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jc w:val="center"/>
        <w:ind w:right="-239"/>
        <w:spacing w:after="0"/>
        <w:rPr>
          <w:sz w:val="20"/>
          <w:szCs w:val="20"/>
          <w:color w:val="auto"/>
        </w:rPr>
      </w:pPr>
      <w:r>
        <w:rPr>
          <w:rFonts w:ascii="Arial" w:cs="Arial" w:eastAsia="Arial" w:hAnsi="Arial"/>
          <w:sz w:val="22"/>
          <w:szCs w:val="22"/>
          <w:b w:val="1"/>
          <w:bCs w:val="1"/>
          <w:color w:val="auto"/>
        </w:rPr>
        <w:t>UNITED STATES</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39"/>
        <w:spacing w:after="0"/>
        <w:rPr>
          <w:sz w:val="20"/>
          <w:szCs w:val="20"/>
          <w:color w:val="auto"/>
        </w:rPr>
      </w:pPr>
      <w:r>
        <w:rPr>
          <w:rFonts w:ascii="Arial" w:cs="Arial" w:eastAsia="Arial" w:hAnsi="Arial"/>
          <w:sz w:val="18"/>
          <w:szCs w:val="18"/>
          <w:b w:val="1"/>
          <w:bCs w:val="1"/>
          <w:color w:val="auto"/>
        </w:rPr>
        <w:t>Washington, D.C. 20549</w:t>
      </w:r>
    </w:p>
    <w:p>
      <w:pPr>
        <w:spacing w:after="0" w:line="269" w:lineRule="exact"/>
        <w:rPr>
          <w:sz w:val="24"/>
          <w:szCs w:val="24"/>
          <w:color w:val="auto"/>
        </w:rPr>
      </w:pPr>
    </w:p>
    <w:p>
      <w:pPr>
        <w:ind w:left="4920"/>
        <w:spacing w:after="0"/>
        <w:rPr>
          <w:sz w:val="20"/>
          <w:szCs w:val="20"/>
          <w:color w:val="auto"/>
        </w:rPr>
      </w:pPr>
      <w:r>
        <w:rPr>
          <w:rFonts w:ascii="Arial" w:cs="Arial" w:eastAsia="Arial" w:hAnsi="Arial"/>
          <w:sz w:val="25"/>
          <w:szCs w:val="25"/>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30480</wp:posOffset>
            </wp:positionV>
            <wp:extent cx="12261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618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-174625</wp:posOffset>
            </wp:positionV>
            <wp:extent cx="1226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29" w:lineRule="exact"/>
        <w:rPr>
          <w:sz w:val="24"/>
          <w:szCs w:val="24"/>
          <w:color w:val="auto"/>
        </w:rPr>
      </w:pPr>
    </w:p>
    <w:p>
      <w:pPr>
        <w:ind w:left="3820"/>
        <w:spacing w:after="0"/>
        <w:rPr>
          <w:sz w:val="20"/>
          <w:szCs w:val="20"/>
          <w:color w:val="auto"/>
        </w:rPr>
      </w:pPr>
      <w:r>
        <w:rPr>
          <w:rFonts w:ascii="Arial" w:cs="Arial" w:eastAsia="Arial" w:hAnsi="Arial"/>
          <w:sz w:val="25"/>
          <w:szCs w:val="25"/>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2070735</wp:posOffset>
            </wp:positionH>
            <wp:positionV relativeFrom="paragraph">
              <wp:posOffset>227965</wp:posOffset>
            </wp:positionV>
            <wp:extent cx="3000375" cy="1157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00375" cy="1157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WINNEBAGO INDUSTRIES, INC.</w:t>
      </w:r>
    </w:p>
    <w:p>
      <w:pPr>
        <w:spacing w:after="0" w:line="56" w:lineRule="exact"/>
        <w:rPr>
          <w:sz w:val="24"/>
          <w:szCs w:val="24"/>
          <w:color w:val="auto"/>
        </w:rPr>
      </w:pPr>
    </w:p>
    <w:p>
      <w:pPr>
        <w:jc w:val="center"/>
        <w:ind w:right="-239"/>
        <w:spacing w:after="0"/>
        <w:rPr>
          <w:sz w:val="20"/>
          <w:szCs w:val="20"/>
          <w:color w:val="auto"/>
        </w:rPr>
      </w:pPr>
      <w:r>
        <w:rPr>
          <w:rFonts w:ascii="Arial" w:cs="Arial" w:eastAsia="Arial" w:hAnsi="Arial"/>
          <w:sz w:val="16"/>
          <w:szCs w:val="16"/>
          <w:color w:val="auto"/>
        </w:rPr>
        <w:t>(Exact name of registrant as specified in its charter)</w:t>
      </w:r>
    </w:p>
    <w:p>
      <w:pPr>
        <w:spacing w:after="0" w:line="178" w:lineRule="exact"/>
        <w:rPr>
          <w:sz w:val="24"/>
          <w:szCs w:val="24"/>
          <w:color w:val="auto"/>
        </w:rPr>
      </w:pPr>
    </w:p>
    <w:tbl>
      <w:tblPr>
        <w:tblLayout w:type="fixed"/>
        <w:tblInd w:w="1320" w:type="dxa"/>
        <w:tblCellMar>
          <w:top w:w="0" w:type="dxa"/>
          <w:left w:w="0" w:type="dxa"/>
          <w:bottom w:w="0" w:type="dxa"/>
          <w:right w:w="0" w:type="dxa"/>
        </w:tblCellMar>
      </w:tblPr>
      <w:tr>
        <w:trPr>
          <w:trHeight w:val="217"/>
        </w:trPr>
        <w:tc>
          <w:tcPr>
            <w:tcW w:w="3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Minnesota</w:t>
            </w:r>
          </w:p>
        </w:tc>
        <w:tc>
          <w:tcPr>
            <w:tcW w:w="340" w:type="dxa"/>
            <w:vAlign w:val="bottom"/>
          </w:tcPr>
          <w:p>
            <w:pPr>
              <w:spacing w:after="0"/>
              <w:rPr>
                <w:sz w:val="18"/>
                <w:szCs w:val="18"/>
                <w:color w:val="auto"/>
              </w:rPr>
            </w:pPr>
          </w:p>
        </w:tc>
        <w:tc>
          <w:tcPr>
            <w:tcW w:w="15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001-06403</w:t>
            </w:r>
          </w:p>
        </w:tc>
        <w:tc>
          <w:tcPr>
            <w:tcW w:w="320" w:type="dxa"/>
            <w:vAlign w:val="bottom"/>
          </w:tcPr>
          <w:p>
            <w:pPr>
              <w:spacing w:after="0"/>
              <w:rPr>
                <w:sz w:val="18"/>
                <w:szCs w:val="18"/>
                <w:color w:val="auto"/>
              </w:rPr>
            </w:pPr>
          </w:p>
        </w:tc>
        <w:tc>
          <w:tcPr>
            <w:tcW w:w="3220" w:type="dxa"/>
            <w:vAlign w:val="bottom"/>
            <w:tcBorders>
              <w:bottom w:val="single" w:sz="8" w:color="auto"/>
            </w:tcBorders>
            <w:gridSpan w:val="2"/>
          </w:tcPr>
          <w:p>
            <w:pPr>
              <w:jc w:val="right"/>
              <w:ind w:right="1099"/>
              <w:spacing w:after="0"/>
              <w:rPr>
                <w:sz w:val="20"/>
                <w:szCs w:val="20"/>
                <w:color w:val="auto"/>
              </w:rPr>
            </w:pPr>
            <w:r>
              <w:rPr>
                <w:rFonts w:ascii="Arial" w:cs="Arial" w:eastAsia="Arial" w:hAnsi="Arial"/>
                <w:sz w:val="16"/>
                <w:szCs w:val="16"/>
                <w:b w:val="1"/>
                <w:bCs w:val="1"/>
                <w:color w:val="auto"/>
              </w:rPr>
              <w:t>42-0802678</w:t>
            </w:r>
          </w:p>
        </w:tc>
        <w:tc>
          <w:tcPr>
            <w:tcW w:w="0" w:type="dxa"/>
            <w:vAlign w:val="bottom"/>
          </w:tcPr>
          <w:p>
            <w:pPr>
              <w:spacing w:after="0"/>
              <w:rPr>
                <w:sz w:val="1"/>
                <w:szCs w:val="1"/>
                <w:color w:val="auto"/>
              </w:rPr>
            </w:pPr>
          </w:p>
        </w:tc>
      </w:tr>
      <w:tr>
        <w:trPr>
          <w:trHeight w:val="183"/>
        </w:trPr>
        <w:tc>
          <w:tcPr>
            <w:tcW w:w="3160" w:type="dxa"/>
            <w:vAlign w:val="bottom"/>
            <w:gridSpan w:val="2"/>
          </w:tcPr>
          <w:p>
            <w:pPr>
              <w:ind w:left="640"/>
              <w:spacing w:after="0" w:line="183" w:lineRule="exact"/>
              <w:rPr>
                <w:sz w:val="20"/>
                <w:szCs w:val="20"/>
                <w:color w:val="auto"/>
              </w:rPr>
            </w:pPr>
            <w:r>
              <w:rPr>
                <w:rFonts w:ascii="Arial" w:cs="Arial" w:eastAsia="Arial" w:hAnsi="Arial"/>
                <w:sz w:val="16"/>
                <w:szCs w:val="16"/>
                <w:color w:val="auto"/>
              </w:rPr>
              <w:t>(State or other jurisdiction</w:t>
            </w:r>
          </w:p>
        </w:tc>
        <w:tc>
          <w:tcPr>
            <w:tcW w:w="340" w:type="dxa"/>
            <w:vAlign w:val="bottom"/>
          </w:tcPr>
          <w:p>
            <w:pPr>
              <w:spacing w:after="0"/>
              <w:rPr>
                <w:sz w:val="15"/>
                <w:szCs w:val="15"/>
                <w:color w:val="auto"/>
              </w:rPr>
            </w:pPr>
          </w:p>
        </w:tc>
        <w:tc>
          <w:tcPr>
            <w:tcW w:w="1900" w:type="dxa"/>
            <w:vAlign w:val="bottom"/>
            <w:gridSpan w:val="2"/>
          </w:tcPr>
          <w:p>
            <w:pPr>
              <w:jc w:val="center"/>
              <w:ind w:right="400"/>
              <w:spacing w:after="0" w:line="183" w:lineRule="exact"/>
              <w:rPr>
                <w:sz w:val="20"/>
                <w:szCs w:val="20"/>
                <w:color w:val="auto"/>
              </w:rPr>
            </w:pPr>
            <w:r>
              <w:rPr>
                <w:rFonts w:ascii="Arial" w:cs="Arial" w:eastAsia="Arial" w:hAnsi="Arial"/>
                <w:sz w:val="16"/>
                <w:szCs w:val="16"/>
                <w:color w:val="auto"/>
              </w:rPr>
              <w:t>(Commission</w:t>
            </w:r>
          </w:p>
        </w:tc>
        <w:tc>
          <w:tcPr>
            <w:tcW w:w="3220" w:type="dxa"/>
            <w:vAlign w:val="bottom"/>
            <w:gridSpan w:val="2"/>
            <w:vMerge w:val="restart"/>
          </w:tcPr>
          <w:p>
            <w:pPr>
              <w:jc w:val="center"/>
              <w:spacing w:after="0"/>
              <w:rPr>
                <w:sz w:val="20"/>
                <w:szCs w:val="20"/>
                <w:color w:val="auto"/>
              </w:rPr>
            </w:pPr>
            <w:r>
              <w:rPr>
                <w:rFonts w:ascii="Arial" w:cs="Arial" w:eastAsia="Arial" w:hAnsi="Arial"/>
                <w:sz w:val="16"/>
                <w:szCs w:val="16"/>
                <w:color w:val="auto"/>
              </w:rPr>
              <w:t>(I.R.S. Employer Identification No.)</w:t>
            </w:r>
          </w:p>
        </w:tc>
        <w:tc>
          <w:tcPr>
            <w:tcW w:w="0" w:type="dxa"/>
            <w:vAlign w:val="bottom"/>
          </w:tcPr>
          <w:p>
            <w:pPr>
              <w:spacing w:after="0"/>
              <w:rPr>
                <w:sz w:val="1"/>
                <w:szCs w:val="1"/>
                <w:color w:val="auto"/>
              </w:rPr>
            </w:pPr>
          </w:p>
        </w:tc>
      </w:tr>
      <w:tr>
        <w:trPr>
          <w:trHeight w:val="120"/>
        </w:trPr>
        <w:tc>
          <w:tcPr>
            <w:tcW w:w="3160" w:type="dxa"/>
            <w:vAlign w:val="bottom"/>
            <w:gridSpan w:val="2"/>
            <w:vMerge w:val="restart"/>
          </w:tcPr>
          <w:p>
            <w:pPr>
              <w:jc w:val="center"/>
              <w:spacing w:after="0"/>
              <w:rPr>
                <w:sz w:val="20"/>
                <w:szCs w:val="20"/>
                <w:color w:val="auto"/>
              </w:rPr>
            </w:pPr>
            <w:r>
              <w:rPr>
                <w:rFonts w:ascii="Arial" w:cs="Arial" w:eastAsia="Arial" w:hAnsi="Arial"/>
                <w:sz w:val="16"/>
                <w:szCs w:val="16"/>
                <w:color w:val="auto"/>
              </w:rPr>
              <w:t>of incorporation)</w:t>
            </w:r>
          </w:p>
        </w:tc>
        <w:tc>
          <w:tcPr>
            <w:tcW w:w="340" w:type="dxa"/>
            <w:vAlign w:val="bottom"/>
          </w:tcPr>
          <w:p>
            <w:pPr>
              <w:spacing w:after="0"/>
              <w:rPr>
                <w:sz w:val="10"/>
                <w:szCs w:val="10"/>
                <w:color w:val="auto"/>
              </w:rPr>
            </w:pPr>
          </w:p>
        </w:tc>
        <w:tc>
          <w:tcPr>
            <w:tcW w:w="1900" w:type="dxa"/>
            <w:vAlign w:val="bottom"/>
            <w:gridSpan w:val="2"/>
            <w:vMerge w:val="restart"/>
          </w:tcPr>
          <w:p>
            <w:pPr>
              <w:ind w:left="300"/>
              <w:spacing w:after="0"/>
              <w:rPr>
                <w:sz w:val="20"/>
                <w:szCs w:val="20"/>
                <w:color w:val="auto"/>
              </w:rPr>
            </w:pPr>
            <w:r>
              <w:rPr>
                <w:rFonts w:ascii="Arial" w:cs="Arial" w:eastAsia="Arial" w:hAnsi="Arial"/>
                <w:sz w:val="16"/>
                <w:szCs w:val="16"/>
                <w:color w:val="auto"/>
              </w:rPr>
              <w:t>File Number)</w:t>
            </w:r>
          </w:p>
        </w:tc>
        <w:tc>
          <w:tcPr>
            <w:tcW w:w="32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1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0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0"/>
        </w:trPr>
        <w:tc>
          <w:tcPr>
            <w:tcW w:w="31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rPr>
              <w:t>13200 Pioneer Trail,</w:t>
            </w: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20" w:type="dxa"/>
            <w:vAlign w:val="bottom"/>
            <w:gridSpan w:val="2"/>
            <w:vMerge w:val="restart"/>
          </w:tcPr>
          <w:p>
            <w:pPr>
              <w:jc w:val="right"/>
              <w:ind w:right="1319"/>
              <w:spacing w:after="0"/>
              <w:rPr>
                <w:sz w:val="20"/>
                <w:szCs w:val="20"/>
                <w:color w:val="auto"/>
              </w:rPr>
            </w:pPr>
            <w:r>
              <w:rPr>
                <w:rFonts w:ascii="Arial" w:cs="Arial" w:eastAsia="Arial" w:hAnsi="Arial"/>
                <w:sz w:val="16"/>
                <w:szCs w:val="16"/>
                <w:b w:val="1"/>
                <w:bCs w:val="1"/>
                <w:color w:val="auto"/>
              </w:rPr>
              <w:t>55347</w:t>
            </w:r>
          </w:p>
        </w:tc>
        <w:tc>
          <w:tcPr>
            <w:tcW w:w="0" w:type="dxa"/>
            <w:vAlign w:val="bottom"/>
          </w:tcPr>
          <w:p>
            <w:pPr>
              <w:spacing w:after="0"/>
              <w:rPr>
                <w:sz w:val="1"/>
                <w:szCs w:val="1"/>
                <w:color w:val="auto"/>
              </w:rPr>
            </w:pPr>
          </w:p>
        </w:tc>
      </w:tr>
      <w:tr>
        <w:trPr>
          <w:trHeight w:val="216"/>
        </w:trPr>
        <w:tc>
          <w:tcPr>
            <w:tcW w:w="3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Eden Prairie, Minnesota</w:t>
            </w: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160" w:type="dxa"/>
            <w:vAlign w:val="bottom"/>
            <w:gridSpan w:val="2"/>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0" w:type="dxa"/>
            <w:vAlign w:val="bottom"/>
          </w:tcPr>
          <w:p>
            <w:pPr>
              <w:jc w:val="center"/>
              <w:ind w:right="959"/>
              <w:spacing w:after="0"/>
              <w:rPr>
                <w:sz w:val="20"/>
                <w:szCs w:val="20"/>
                <w:color w:val="auto"/>
              </w:rPr>
            </w:pPr>
            <w:r>
              <w:rPr>
                <w:rFonts w:ascii="Arial" w:cs="Arial" w:eastAsia="Arial" w:hAnsi="Arial"/>
                <w:sz w:val="16"/>
                <w:szCs w:val="16"/>
                <w:color w:val="auto"/>
              </w:rPr>
              <w:t>(Zip Code)</w:t>
            </w:r>
          </w:p>
        </w:tc>
        <w:tc>
          <w:tcPr>
            <w:tcW w:w="0" w:type="dxa"/>
            <w:vAlign w:val="bottom"/>
          </w:tcPr>
          <w:p>
            <w:pPr>
              <w:spacing w:after="0"/>
              <w:rPr>
                <w:sz w:val="1"/>
                <w:szCs w:val="1"/>
                <w:color w:val="auto"/>
              </w:rPr>
            </w:pPr>
          </w:p>
        </w:tc>
      </w:tr>
      <w:tr>
        <w:trPr>
          <w:trHeight w:val="480"/>
        </w:trPr>
        <w:tc>
          <w:tcPr>
            <w:tcW w:w="2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Stacy L. Bogart</w:t>
            </w:r>
          </w:p>
        </w:tc>
        <w:tc>
          <w:tcPr>
            <w:tcW w:w="10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16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6"/>
                <w:szCs w:val="16"/>
                <w:b w:val="1"/>
                <w:bCs w:val="1"/>
                <w:color w:val="auto"/>
              </w:rPr>
              <w:t>(952) 829-8600</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p>
    <w:p>
      <w:pPr>
        <w:jc w:val="center"/>
        <w:ind w:right="-199"/>
        <w:spacing w:after="0"/>
        <w:rPr>
          <w:sz w:val="20"/>
          <w:szCs w:val="20"/>
          <w:color w:val="auto"/>
        </w:rPr>
      </w:pPr>
      <w:r>
        <w:rPr>
          <w:rFonts w:ascii="Arial" w:cs="Arial" w:eastAsia="Arial" w:hAnsi="Arial"/>
          <w:sz w:val="16"/>
          <w:szCs w:val="16"/>
          <w:color w:val="auto"/>
        </w:rPr>
        <w:t>(Name and telephone number, including area code, of the</w:t>
      </w:r>
    </w:p>
    <w:p>
      <w:pPr>
        <w:jc w:val="center"/>
        <w:ind w:right="-199"/>
        <w:spacing w:after="0"/>
        <w:rPr>
          <w:sz w:val="20"/>
          <w:szCs w:val="20"/>
          <w:color w:val="auto"/>
        </w:rPr>
      </w:pPr>
      <w:r>
        <w:rPr>
          <w:rFonts w:ascii="Arial" w:cs="Arial" w:eastAsia="Arial" w:hAnsi="Arial"/>
          <w:sz w:val="16"/>
          <w:szCs w:val="16"/>
          <w:color w:val="auto"/>
        </w:rPr>
        <w:t>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Check the appropriate box to indicate the rule pursuant to which this Form is being submitted, and provide the period to which the information in this Form applies:</w:t>
      </w:r>
    </w:p>
    <w:p>
      <w:pPr>
        <w:spacing w:after="0" w:line="210" w:lineRule="exact"/>
        <w:rPr>
          <w:sz w:val="24"/>
          <w:szCs w:val="24"/>
          <w:color w:val="auto"/>
        </w:rPr>
      </w:pPr>
    </w:p>
    <w:p>
      <w:pPr>
        <w:ind w:left="340" w:hanging="332"/>
        <w:spacing w:after="0"/>
        <w:tabs>
          <w:tab w:leader="none" w:pos="340" w:val="left"/>
        </w:tabs>
        <w:numPr>
          <w:ilvl w:val="0"/>
          <w:numId w:val="1"/>
        </w:numPr>
        <w:rPr>
          <w:rFonts w:ascii="Wingdings" w:cs="Wingdings" w:eastAsia="Wingdings" w:hAnsi="Wingdings"/>
          <w:sz w:val="16"/>
          <w:szCs w:val="16"/>
          <w:b w:val="1"/>
          <w:bCs w:val="1"/>
          <w:color w:val="auto"/>
        </w:rPr>
      </w:pPr>
      <w:r>
        <w:rPr>
          <w:rFonts w:ascii="Arial" w:cs="Arial" w:eastAsia="Arial" w:hAnsi="Arial"/>
          <w:sz w:val="16"/>
          <w:szCs w:val="16"/>
          <w:color w:val="auto"/>
        </w:rPr>
        <w:t>Rule 13p-1 under the Securities Exchange Act (17 CFR 240.13p-1) for the reporting period from January 1 to December 31, 2024.</w:t>
      </w:r>
    </w:p>
    <w:p>
      <w:pPr>
        <w:spacing w:after="0" w:line="289" w:lineRule="exact"/>
        <w:rPr>
          <w:sz w:val="24"/>
          <w:szCs w:val="24"/>
          <w:color w:val="auto"/>
        </w:rPr>
      </w:pPr>
    </w:p>
    <w:p>
      <w:pPr>
        <w:ind w:left="200" w:hanging="192"/>
        <w:spacing w:after="0"/>
        <w:tabs>
          <w:tab w:leader="none" w:pos="20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Rule 13q-1 under the Securities Exchange Act (17 CFR 240.13q-1) for the fiscal year ended January 1 to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Section 1 - Conflict Minerals Disclosure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1.01 Conflict Minerals Disclosure and Report</w:t>
      </w:r>
    </w:p>
    <w:p>
      <w:pPr>
        <w:spacing w:after="0" w:line="262"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A copy of Winnebago Industries, Inc.'s (“Winnebago’s”) Conflict Minerals Report for the reporting period from January 1, 2024 to December 31, 2024 is provided as Exhibit 1.01 hereto and is publicly available at www.winnebagoind.com under Investors and Financial Information. Winnebago’s determination and related due diligence efforts are included in Winnebago's Conflict Minerals Report and incorporated by reference herein.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1.02 Exhibit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 copy of Winnebago's Conflict Minerals Report is filed as Exhibit 1.01 hereto.</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2 - Resource Extraction Issuer Disclosure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2.01 Resource Extraction Issuer Disclosure and Report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3 - Exhibits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3.01 Exhibits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 1.01 is filed as part of this Specialized Disclosure Report on Form SD.</w:t>
      </w:r>
    </w:p>
    <w:p>
      <w:pPr>
        <w:spacing w:after="0" w:line="377"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Exhibit</w:t>
      </w:r>
    </w:p>
    <w:p>
      <w:pPr>
        <w:ind w:left="420"/>
        <w:spacing w:after="0"/>
        <w:tabs>
          <w:tab w:leader="none" w:pos="136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10795</wp:posOffset>
            </wp:positionV>
            <wp:extent cx="6866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66255" cy="8890"/>
                    </a:xfrm>
                    <a:prstGeom prst="rect">
                      <a:avLst/>
                    </a:prstGeom>
                    <a:noFill/>
                  </pic:spPr>
                </pic:pic>
              </a:graphicData>
            </a:graphic>
          </wp:anchor>
        </w:drawing>
      </w:r>
    </w:p>
    <w:p>
      <w:pPr>
        <w:spacing w:after="0" w:line="10" w:lineRule="exact"/>
        <w:rPr>
          <w:sz w:val="20"/>
          <w:szCs w:val="20"/>
          <w:color w:val="auto"/>
        </w:rPr>
      </w:pPr>
    </w:p>
    <w:p>
      <w:pPr>
        <w:ind w:left="420"/>
        <w:spacing w:after="0"/>
        <w:tabs>
          <w:tab w:leader="none" w:pos="1360" w:val="left"/>
        </w:tabs>
        <w:rPr>
          <w:sz w:val="20"/>
          <w:szCs w:val="20"/>
          <w:color w:val="auto"/>
        </w:rPr>
      </w:pPr>
      <w:r>
        <w:rPr>
          <w:rFonts w:ascii="Arial" w:cs="Arial" w:eastAsia="Arial" w:hAnsi="Arial"/>
          <w:sz w:val="16"/>
          <w:szCs w:val="16"/>
          <w:u w:val="single" w:color="auto"/>
          <w:color w:val="0000FF"/>
        </w:rPr>
        <w:t>1.01</w:t>
      </w:r>
      <w:r>
        <w:rPr>
          <w:sz w:val="20"/>
          <w:szCs w:val="20"/>
          <w:color w:val="auto"/>
        </w:rPr>
        <w:tab/>
      </w:r>
      <w:r>
        <w:rPr>
          <w:rFonts w:ascii="Arial" w:cs="Arial" w:eastAsia="Arial" w:hAnsi="Arial"/>
          <w:sz w:val="16"/>
          <w:szCs w:val="16"/>
          <w:u w:val="single" w:color="auto"/>
          <w:color w:val="0000FF"/>
        </w:rPr>
        <w:t>Conflict Minerals Report for the reporting period January 1, 2024 to December 31, 2024 as required by Items 1.01 and 1.02 of this Form</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100"/>
          </w:cols>
          <w:pgMar w:left="320" w:top="895" w:right="479" w:bottom="1440" w:gutter="0" w:footer="0" w:header="0"/>
        </w:sectPr>
      </w:pPr>
    </w:p>
    <w:bookmarkStart w:id="2" w:name="page3"/>
    <w:bookmarkEnd w:id="2"/>
    <w:p>
      <w:pPr>
        <w:ind w:left="5100"/>
        <w:spacing w:after="0"/>
        <w:rPr>
          <w:sz w:val="20"/>
          <w:szCs w:val="20"/>
          <w:color w:val="auto"/>
        </w:rPr>
      </w:pPr>
      <w:r>
        <w:rPr>
          <w:rFonts w:ascii="Arial" w:cs="Arial" w:eastAsia="Arial" w:hAnsi="Arial"/>
          <w:sz w:val="16"/>
          <w:szCs w:val="16"/>
          <w:b w:val="1"/>
          <w:bCs w:val="1"/>
          <w:color w:val="auto"/>
        </w:rPr>
        <w:t>SIGNATURES</w:t>
      </w:r>
    </w:p>
    <w:p>
      <w:pPr>
        <w:spacing w:after="0" w:line="262"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duly authorized undersigned.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5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080" w:type="dxa"/>
            <w:vAlign w:val="bottom"/>
            <w:gridSpan w:val="2"/>
          </w:tcPr>
          <w:p>
            <w:pPr>
              <w:ind w:left="122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c>
          <w:tcPr>
            <w:tcW w:w="0" w:type="dxa"/>
            <w:vAlign w:val="bottom"/>
          </w:tcPr>
          <w:p>
            <w:pPr>
              <w:spacing w:after="0"/>
              <w:rPr>
                <w:sz w:val="1"/>
                <w:szCs w:val="1"/>
                <w:color w:val="auto"/>
              </w:rPr>
            </w:pPr>
          </w:p>
        </w:tc>
      </w:tr>
      <w:tr>
        <w:trPr>
          <w:trHeight w:val="429"/>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2360" w:type="dxa"/>
            <w:vAlign w:val="bottom"/>
          </w:tcPr>
          <w:p>
            <w:pPr>
              <w:ind w:left="160"/>
              <w:spacing w:after="0"/>
              <w:rPr>
                <w:sz w:val="20"/>
                <w:szCs w:val="20"/>
                <w:color w:val="auto"/>
              </w:rPr>
            </w:pPr>
            <w:r>
              <w:rPr>
                <w:rFonts w:ascii="Arial" w:cs="Arial" w:eastAsia="Arial" w:hAnsi="Arial"/>
                <w:sz w:val="16"/>
                <w:szCs w:val="16"/>
                <w:color w:val="auto"/>
              </w:rPr>
              <w:t>May 29, 2025</w:t>
            </w:r>
          </w:p>
        </w:tc>
        <w:tc>
          <w:tcPr>
            <w:tcW w:w="2040" w:type="dxa"/>
            <w:vAlign w:val="bottom"/>
          </w:tcPr>
          <w:p>
            <w:pPr>
              <w:ind w:left="1220"/>
              <w:spacing w:after="0"/>
              <w:rPr>
                <w:sz w:val="20"/>
                <w:szCs w:val="20"/>
                <w:color w:val="auto"/>
              </w:rPr>
            </w:pPr>
            <w:r>
              <w:rPr>
                <w:rFonts w:ascii="Arial" w:cs="Arial" w:eastAsia="Arial" w:hAnsi="Arial"/>
                <w:sz w:val="16"/>
                <w:szCs w:val="16"/>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Stacy L. Bogart</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40" w:type="dxa"/>
            <w:vAlign w:val="bottom"/>
          </w:tcPr>
          <w:p>
            <w:pPr>
              <w:ind w:left="1220"/>
              <w:spacing w:after="0"/>
              <w:rPr>
                <w:sz w:val="20"/>
                <w:szCs w:val="20"/>
                <w:color w:val="auto"/>
              </w:rPr>
            </w:pPr>
            <w:r>
              <w:rPr>
                <w:rFonts w:ascii="Arial" w:cs="Arial" w:eastAsia="Arial" w:hAnsi="Arial"/>
                <w:sz w:val="16"/>
                <w:szCs w:val="16"/>
                <w:color w:val="auto"/>
              </w:rPr>
              <w:t>Name:</w:t>
            </w:r>
          </w:p>
        </w:tc>
        <w:tc>
          <w:tcPr>
            <w:tcW w:w="5040" w:type="dxa"/>
            <w:vAlign w:val="bottom"/>
          </w:tcPr>
          <w:p>
            <w:pPr>
              <w:ind w:left="20"/>
              <w:spacing w:after="0"/>
              <w:rPr>
                <w:sz w:val="20"/>
                <w:szCs w:val="20"/>
                <w:color w:val="auto"/>
              </w:rPr>
            </w:pPr>
            <w:r>
              <w:rPr>
                <w:rFonts w:ascii="Arial" w:cs="Arial" w:eastAsia="Arial" w:hAnsi="Arial"/>
                <w:sz w:val="16"/>
                <w:szCs w:val="16"/>
                <w:color w:val="auto"/>
              </w:rPr>
              <w:t>Stacy L. Bogart</w:t>
            </w: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40" w:type="dxa"/>
            <w:vAlign w:val="bottom"/>
            <w:vMerge w:val="restart"/>
          </w:tcPr>
          <w:p>
            <w:pPr>
              <w:ind w:left="1220"/>
              <w:spacing w:after="0"/>
              <w:rPr>
                <w:sz w:val="20"/>
                <w:szCs w:val="20"/>
                <w:color w:val="auto"/>
              </w:rPr>
            </w:pPr>
            <w:r>
              <w:rPr>
                <w:rFonts w:ascii="Arial" w:cs="Arial" w:eastAsia="Arial" w:hAnsi="Arial"/>
                <w:sz w:val="16"/>
                <w:szCs w:val="16"/>
                <w:color w:val="auto"/>
              </w:rPr>
              <w:t>Title:</w:t>
            </w:r>
          </w:p>
        </w:tc>
        <w:tc>
          <w:tcPr>
            <w:tcW w:w="5040" w:type="dxa"/>
            <w:vAlign w:val="bottom"/>
          </w:tcPr>
          <w:p>
            <w:pPr>
              <w:ind w:left="20"/>
              <w:spacing w:after="0" w:line="164" w:lineRule="exact"/>
              <w:rPr>
                <w:sz w:val="20"/>
                <w:szCs w:val="20"/>
                <w:color w:val="auto"/>
              </w:rPr>
            </w:pPr>
            <w:r>
              <w:rPr>
                <w:rFonts w:ascii="Arial" w:cs="Arial" w:eastAsia="Arial" w:hAnsi="Arial"/>
                <w:sz w:val="16"/>
                <w:szCs w:val="16"/>
                <w:color w:val="auto"/>
              </w:rPr>
              <w:t>Senior Vice President, General Counsel, Secretary and Corporate</w:t>
            </w:r>
          </w:p>
        </w:tc>
        <w:tc>
          <w:tcPr>
            <w:tcW w:w="0" w:type="dxa"/>
            <w:vAlign w:val="bottom"/>
          </w:tcPr>
          <w:p>
            <w:pPr>
              <w:spacing w:after="0"/>
              <w:rPr>
                <w:sz w:val="1"/>
                <w:szCs w:val="1"/>
                <w:color w:val="auto"/>
              </w:rPr>
            </w:pPr>
          </w:p>
        </w:tc>
      </w:tr>
      <w:tr>
        <w:trPr>
          <w:trHeight w:val="215"/>
        </w:trPr>
        <w:tc>
          <w:tcPr>
            <w:tcW w:w="5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40" w:type="dxa"/>
            <w:vAlign w:val="bottom"/>
            <w:vMerge w:val="continue"/>
          </w:tcPr>
          <w:p>
            <w:pPr>
              <w:spacing w:after="0"/>
              <w:rPr>
                <w:sz w:val="18"/>
                <w:szCs w:val="18"/>
                <w:color w:val="auto"/>
              </w:rPr>
            </w:pPr>
          </w:p>
        </w:tc>
        <w:tc>
          <w:tcPr>
            <w:tcW w:w="5040" w:type="dxa"/>
            <w:vAlign w:val="bottom"/>
          </w:tcPr>
          <w:p>
            <w:pPr>
              <w:ind w:left="20"/>
              <w:spacing w:after="0"/>
              <w:rPr>
                <w:sz w:val="20"/>
                <w:szCs w:val="20"/>
                <w:color w:val="auto"/>
              </w:rPr>
            </w:pPr>
            <w:r>
              <w:rPr>
                <w:rFonts w:ascii="Arial" w:cs="Arial" w:eastAsia="Arial" w:hAnsi="Arial"/>
                <w:sz w:val="16"/>
                <w:szCs w:val="16"/>
                <w:color w:val="auto"/>
              </w:rPr>
              <w:t>Responsibility</w:t>
            </w:r>
          </w:p>
        </w:tc>
        <w:tc>
          <w:tcPr>
            <w:tcW w:w="0" w:type="dxa"/>
            <w:vAlign w:val="bottom"/>
          </w:tcPr>
          <w:p>
            <w:pPr>
              <w:spacing w:after="0"/>
              <w:rPr>
                <w:sz w:val="1"/>
                <w:szCs w:val="1"/>
                <w:color w:val="auto"/>
              </w:rPr>
            </w:pPr>
          </w:p>
        </w:tc>
      </w:tr>
      <w:tr>
        <w:trPr>
          <w:trHeight w:val="863"/>
        </w:trPr>
        <w:tc>
          <w:tcPr>
            <w:tcW w:w="5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040" w:type="dxa"/>
            <w:vAlign w:val="bottom"/>
          </w:tcPr>
          <w:p>
            <w:pPr>
              <w:ind w:left="60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bl>
    <w:p>
      <w:pPr>
        <w:sectPr>
          <w:pgSz w:w="11900" w:h="16838" w:orient="portrait"/>
          <w:cols w:equalWidth="0" w:num="1">
            <w:col w:w="10620"/>
          </w:cols>
          <w:pgMar w:left="320" w:top="895" w:right="9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1.01</w:t>
      </w:r>
    </w:p>
    <w:p>
      <w:pPr>
        <w:spacing w:after="0" w:line="289" w:lineRule="exact"/>
        <w:rPr>
          <w:sz w:val="20"/>
          <w:szCs w:val="20"/>
          <w:color w:val="auto"/>
        </w:rPr>
      </w:pPr>
    </w:p>
    <w:p>
      <w:pPr>
        <w:ind w:left="4600"/>
        <w:spacing w:after="0"/>
        <w:rPr>
          <w:sz w:val="20"/>
          <w:szCs w:val="20"/>
          <w:color w:val="auto"/>
        </w:rPr>
      </w:pPr>
      <w:r>
        <w:rPr>
          <w:rFonts w:ascii="Arial" w:cs="Arial" w:eastAsia="Arial" w:hAnsi="Arial"/>
          <w:sz w:val="16"/>
          <w:szCs w:val="16"/>
          <w:b w:val="1"/>
          <w:bCs w:val="1"/>
          <w:color w:val="auto"/>
        </w:rPr>
        <w:t>Winnebago Industries, Inc.</w:t>
      </w:r>
    </w:p>
    <w:p>
      <w:pPr>
        <w:spacing w:after="0" w:line="46" w:lineRule="exact"/>
        <w:rPr>
          <w:sz w:val="20"/>
          <w:szCs w:val="20"/>
          <w:color w:val="auto"/>
        </w:rPr>
      </w:pPr>
    </w:p>
    <w:p>
      <w:pPr>
        <w:ind w:left="4680"/>
        <w:spacing w:after="0"/>
        <w:rPr>
          <w:sz w:val="20"/>
          <w:szCs w:val="20"/>
          <w:color w:val="auto"/>
        </w:rPr>
      </w:pPr>
      <w:r>
        <w:rPr>
          <w:rFonts w:ascii="Arial" w:cs="Arial" w:eastAsia="Arial" w:hAnsi="Arial"/>
          <w:sz w:val="16"/>
          <w:szCs w:val="16"/>
          <w:b w:val="1"/>
          <w:bCs w:val="1"/>
          <w:color w:val="auto"/>
        </w:rPr>
        <w:t>Conflict Minerals Report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 Ended December 31, 2024</w:t>
      </w:r>
    </w:p>
    <w:p>
      <w:pPr>
        <w:spacing w:after="0" w:line="282" w:lineRule="exact"/>
        <w:rPr>
          <w:sz w:val="20"/>
          <w:szCs w:val="20"/>
          <w:color w:val="auto"/>
        </w:rPr>
      </w:pPr>
    </w:p>
    <w:p>
      <w:pPr>
        <w:ind w:right="800"/>
        <w:spacing w:after="0" w:line="339" w:lineRule="auto"/>
        <w:rPr>
          <w:sz w:val="20"/>
          <w:szCs w:val="20"/>
          <w:color w:val="auto"/>
        </w:rPr>
      </w:pPr>
      <w:r>
        <w:rPr>
          <w:rFonts w:ascii="Arial" w:cs="Arial" w:eastAsia="Arial" w:hAnsi="Arial"/>
          <w:sz w:val="16"/>
          <w:szCs w:val="16"/>
          <w:color w:val="auto"/>
        </w:rPr>
        <w:t>The “Company,” “Winnebago Industries,” “we,” “our,” and “us” are used interchangeably to refer to Winnebago Industries, Inc. and its consolidated subsidiaries.</w:t>
      </w:r>
    </w:p>
    <w:p>
      <w:pPr>
        <w:spacing w:after="0" w:line="169" w:lineRule="exact"/>
        <w:rPr>
          <w:sz w:val="20"/>
          <w:szCs w:val="20"/>
          <w:color w:val="auto"/>
        </w:rPr>
      </w:pPr>
    </w:p>
    <w:p>
      <w:pPr>
        <w:ind w:right="160"/>
        <w:spacing w:after="0" w:line="319" w:lineRule="auto"/>
        <w:rPr>
          <w:sz w:val="20"/>
          <w:szCs w:val="20"/>
          <w:color w:val="auto"/>
        </w:rPr>
      </w:pPr>
      <w:r>
        <w:rPr>
          <w:rFonts w:ascii="Arial" w:cs="Arial" w:eastAsia="Arial" w:hAnsi="Arial"/>
          <w:sz w:val="16"/>
          <w:szCs w:val="16"/>
          <w:color w:val="auto"/>
        </w:rPr>
        <w:t>This Conflict Minerals Report of Winnebago Industries, Inc. for calendar year 2024 is presented in accordance with Rule 13p-1 (“Rule 13p-1”) under the Securities Exchange Act of 1934 (the “1934 Act”). Please refer to Rule 13p-1, Form SD and the 1934 Act Release No. 34-67716 for definitions to the terms used in this Report, unless otherwise defined herein.</w:t>
      </w:r>
    </w:p>
    <w:p>
      <w:pPr>
        <w:spacing w:after="0" w:line="184"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Winnebago Industries, a manufacturer with a diversified portfolio of recreation vehicles and marine products, has determined that its products were manufactured with tin, tantalum, tungsten, and gold, which were necessary for the functionality of such products. In accordance with Rule 13p-1, Winnebago Industries performed due diligence as noted below to determine the conflict minerals’ status of the necessary conflict minerals used in its product manufacturing.</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 of Conflict Minerals Program and Reasonable Country of Origin Inquiry</w:t>
      </w:r>
    </w:p>
    <w:p>
      <w:pPr>
        <w:spacing w:after="0" w:line="300" w:lineRule="exact"/>
        <w:rPr>
          <w:sz w:val="20"/>
          <w:szCs w:val="20"/>
          <w:color w:val="auto"/>
        </w:rPr>
      </w:pPr>
    </w:p>
    <w:p>
      <w:pPr>
        <w:ind w:left="660" w:right="20" w:hanging="328"/>
        <w:spacing w:after="0" w:line="27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6"/>
          <w:szCs w:val="16"/>
          <w:color w:val="auto"/>
        </w:rPr>
        <w:t>We have structured compliance efforts internally to support supply chain due diligence. Winnebago Industries has developed a team responsible for the conflict minerals program. The team reports to the General Counsel.</w:t>
      </w:r>
    </w:p>
    <w:p>
      <w:pPr>
        <w:spacing w:after="0" w:line="19" w:lineRule="exact"/>
        <w:rPr>
          <w:rFonts w:ascii="Arial" w:cs="Arial" w:eastAsia="Arial" w:hAnsi="Arial"/>
          <w:sz w:val="18"/>
          <w:szCs w:val="18"/>
          <w:color w:val="auto"/>
        </w:rPr>
      </w:pPr>
    </w:p>
    <w:p>
      <w:pPr>
        <w:ind w:left="660" w:right="480" w:hanging="328"/>
        <w:spacing w:after="0" w:line="28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6"/>
          <w:szCs w:val="16"/>
          <w:color w:val="auto"/>
        </w:rPr>
        <w:t>We have established a system of controls and supply chain transparency through the adoption and use of due diligence tools created by the Electronic Industry Citizenship Coalition and the Global e-Sustainability Initiative (“EICC/GeSI”). This included the use of the Conflict Minerals Reporting Template (“CMRT”), a supply-chain survey.</w:t>
      </w:r>
    </w:p>
    <w:p>
      <w:pPr>
        <w:spacing w:after="0" w:line="19" w:lineRule="exact"/>
        <w:rPr>
          <w:rFonts w:ascii="Arial" w:cs="Arial" w:eastAsia="Arial" w:hAnsi="Arial"/>
          <w:sz w:val="18"/>
          <w:szCs w:val="18"/>
          <w:color w:val="auto"/>
        </w:rPr>
      </w:pPr>
    </w:p>
    <w:p>
      <w:pPr>
        <w:ind w:left="660" w:right="20" w:hanging="328"/>
        <w:spacing w:after="0" w:line="30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6"/>
          <w:szCs w:val="16"/>
          <w:color w:val="auto"/>
        </w:rPr>
        <w:t>We have conducted a supply chain survey of our largest suppliers that potentially provided parts and materials containing conflict minerals. The survey requested suppliers to identify smelters and refiners, using the CMRT. As a downstream manufacturer, we rely on our vendors to provide the origins of all of our conflict minerals, including the location of the smelter, mine, or transit route of the minerals.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Design of Due Diligence</w:t>
      </w:r>
    </w:p>
    <w:p>
      <w:pPr>
        <w:spacing w:after="0" w:line="27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We have reviewed our suppliers and sourcing decisions, and integrated into our management programs the Organization for Economic Cooperation and Development Due Diligence Guidance for Responsible Supply Chains of Minerals from Conflict-Affected and High-Risk Areas: Second Edition (“OECD Framework”), an internationally-recognized due diligence framework. Winnebago Industries communicated to applicable suppliers our efforts to comply with Rule 13p-1.</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Description of Due Diligence Measures Performed</w:t>
      </w:r>
    </w:p>
    <w:p>
      <w:pPr>
        <w:spacing w:after="0" w:line="287" w:lineRule="exact"/>
        <w:rPr>
          <w:sz w:val="20"/>
          <w:szCs w:val="20"/>
          <w:color w:val="auto"/>
        </w:rPr>
      </w:pPr>
    </w:p>
    <w:p>
      <w:pPr>
        <w:ind w:right="400"/>
        <w:spacing w:after="0" w:line="310" w:lineRule="auto"/>
        <w:rPr>
          <w:sz w:val="20"/>
          <w:szCs w:val="20"/>
          <w:color w:val="auto"/>
        </w:rPr>
      </w:pPr>
      <w:r>
        <w:rPr>
          <w:rFonts w:ascii="Arial" w:cs="Arial" w:eastAsia="Arial" w:hAnsi="Arial"/>
          <w:sz w:val="16"/>
          <w:szCs w:val="16"/>
          <w:color w:val="auto"/>
        </w:rPr>
        <w:t>We have included a summary below of the description of the measures performed to exercise due diligence on the source and chain of custody of the necessary conflict minerals contained in our products, which may have originated from the Covered Countries and may not have come from recycled or scrap sources:</w:t>
      </w:r>
    </w:p>
    <w:p>
      <w:pPr>
        <w:spacing w:after="0" w:line="219" w:lineRule="exact"/>
        <w:rPr>
          <w:sz w:val="20"/>
          <w:szCs w:val="20"/>
          <w:color w:val="auto"/>
        </w:rPr>
      </w:pPr>
    </w:p>
    <w:p>
      <w:pPr>
        <w:ind w:left="660" w:right="120" w:hanging="328"/>
        <w:spacing w:after="0" w:line="27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6"/>
          <w:szCs w:val="16"/>
          <w:color w:val="auto"/>
        </w:rPr>
        <w:t>We evaluated survey responses to identify: (i) the use and source of conflict minerals, and; (ii) any indicators that conflict minerals may have come from the Democratic Republic of the Congo or an Adjoining Country.</w:t>
      </w:r>
    </w:p>
    <w:p>
      <w:pPr>
        <w:spacing w:after="0" w:line="19" w:lineRule="exact"/>
        <w:rPr>
          <w:rFonts w:ascii="Arial" w:cs="Arial" w:eastAsia="Arial" w:hAnsi="Arial"/>
          <w:sz w:val="18"/>
          <w:szCs w:val="18"/>
          <w:color w:val="auto"/>
        </w:rPr>
      </w:pPr>
    </w:p>
    <w:p>
      <w:pPr>
        <w:ind w:left="660" w:right="620" w:hanging="328"/>
        <w:spacing w:after="0" w:line="27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6"/>
          <w:szCs w:val="16"/>
          <w:color w:val="auto"/>
        </w:rPr>
        <w:t>We compared smelters and refiners identified by the supply chain survey against the list of smelters and refiners that are compliant with the Responsible Minerals Assurance Process (“RMAP”) assessment protocols.</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6"/>
          <w:szCs w:val="16"/>
          <w:color w:val="auto"/>
        </w:rPr>
        <w:t>We made additional inquiries on a case-by-case basis if smelter and refinery information was deemed inconsistent, inaccurate, or incomplete.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6"/>
          <w:szCs w:val="16"/>
          <w:color w:val="auto"/>
        </w:rPr>
        <w:t>The status of risk mitigation efforts was summarized and provided to Winnebago Industries’ management.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030" w:right="339" w:bottom="1440" w:gutter="0" w:footer="0" w:header="0"/>
        </w:sectPr>
      </w:pPr>
    </w:p>
    <w:bookmarkStart w:id="4" w:name="page5"/>
    <w:bookmarkEnd w:id="4"/>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6"/>
          <w:szCs w:val="16"/>
          <w:color w:val="auto"/>
        </w:rPr>
        <w:t>Our conflict minerals compliance results are reported annually to the SEC and are made publicly available on our website.</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Determination</w:t>
      </w:r>
    </w:p>
    <w:p>
      <w:pPr>
        <w:spacing w:after="0" w:line="27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All products manufactured by Winnebago Industries are deemed to contain conflict minerals only when necessary to the products’ functionality. We produce products that include motorhomes, travel trailers, fifth wheel trailers, specialty commercial vehicles, and marine products, as well as supporting RV and marine products. Based on the surveys provided and notifications that our suppliers’ diligence efforts were incomplete, we do not have sufficient information to conclusively determine all smelters or refiners or Countries of Origin of the conflict minerals. However, based on the data provided by the Reasonable Country of Origin Inquiry, we have provided a list of the smelters and refiners that were reported in the surveys provided to us by our suppliers on Annex I. The majority of our suppliers reported conflict minerals’ use at the company level, not at the product level. As such, we cannot definitively state whether these conflict minerals were included in the products supplied to Winnebago or further validate that these smelters or refiners exist in our supply chain. However, if any smelter or refiner is identified as having a potential sanctions risk as part of the screening process set forth above, we work with the relevant suppliers to evaluate and remediate such risks in a manner consistent with applicable sanctions program requirements, including, where appropriate, requesting that suppliers remove sanctioned smelters and refiners from their supply chain.</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Due Diligence</w:t>
      </w:r>
    </w:p>
    <w:p>
      <w:pPr>
        <w:spacing w:after="0" w:line="287" w:lineRule="exact"/>
        <w:rPr>
          <w:sz w:val="20"/>
          <w:szCs w:val="20"/>
          <w:color w:val="auto"/>
        </w:rPr>
      </w:pPr>
    </w:p>
    <w:p>
      <w:pPr>
        <w:ind w:right="580"/>
        <w:spacing w:after="0" w:line="339" w:lineRule="auto"/>
        <w:rPr>
          <w:sz w:val="20"/>
          <w:szCs w:val="20"/>
          <w:color w:val="auto"/>
        </w:rPr>
      </w:pPr>
      <w:r>
        <w:rPr>
          <w:rFonts w:ascii="Arial" w:cs="Arial" w:eastAsia="Arial" w:hAnsi="Arial"/>
          <w:sz w:val="16"/>
          <w:szCs w:val="16"/>
          <w:color w:val="auto"/>
        </w:rPr>
        <w:t>There were numerous suppliers that did not provide a listing of smelters and refiners used and an additional group of suppliers that did not provide a response to our survey. In our efforts to obtain timely and accurate information from our supply chain, we intend to execute the following:</w:t>
      </w:r>
    </w:p>
    <w:p>
      <w:pPr>
        <w:spacing w:after="0" w:line="18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6"/>
          <w:szCs w:val="16"/>
          <w:color w:val="auto"/>
        </w:rPr>
        <w:t>Continue to assess the presence of conflict minerals in our supply chain.</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6"/>
          <w:szCs w:val="16"/>
          <w:color w:val="auto"/>
        </w:rPr>
        <w:t>Clearly communicate expectations with newly contracted and delinquent suppliers.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6"/>
          <w:szCs w:val="16"/>
          <w:color w:val="auto"/>
        </w:rPr>
        <w:t>Continue to improve our risk mitigation strategy.</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6"/>
          <w:szCs w:val="16"/>
          <w:color w:val="auto"/>
        </w:rPr>
        <w:t>Continue to encourage our direct suppliers to assess their supply chain risks.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6"/>
          <w:szCs w:val="16"/>
          <w:color w:val="auto"/>
        </w:rPr>
        <w:t>Continue to encourage our direct suppliers to provide complete and accurate information.</w:t>
      </w:r>
    </w:p>
    <w:p>
      <w:pPr>
        <w:spacing w:after="0" w:line="279" w:lineRule="exact"/>
        <w:rPr>
          <w:sz w:val="20"/>
          <w:szCs w:val="20"/>
          <w:color w:val="auto"/>
        </w:rPr>
      </w:pPr>
    </w:p>
    <w:p>
      <w:pPr>
        <w:ind w:right="340"/>
        <w:spacing w:after="0" w:line="339" w:lineRule="auto"/>
        <w:rPr>
          <w:sz w:val="20"/>
          <w:szCs w:val="20"/>
          <w:color w:val="auto"/>
        </w:rPr>
      </w:pPr>
      <w:r>
        <w:rPr>
          <w:rFonts w:ascii="Arial" w:cs="Arial" w:eastAsia="Arial" w:hAnsi="Arial"/>
          <w:sz w:val="16"/>
          <w:szCs w:val="16"/>
          <w:color w:val="auto"/>
        </w:rPr>
        <w:t>As we progress, we expect that transparency in our supply chain will increase, which will allow for more accurate and detailed levels of risk assessment within our supply chain.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180"/>
          </w:cols>
          <w:pgMar w:left="320" w:top="1043" w:right="39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23"/>
        </w:trPr>
        <w:tc>
          <w:tcPr>
            <w:tcW w:w="780" w:type="dxa"/>
            <w:vAlign w:val="bottom"/>
          </w:tcPr>
          <w:p>
            <w:pPr>
              <w:spacing w:after="0"/>
              <w:rPr>
                <w:sz w:val="19"/>
                <w:szCs w:val="19"/>
                <w:color w:val="auto"/>
              </w:rPr>
            </w:pPr>
          </w:p>
        </w:tc>
        <w:tc>
          <w:tcPr>
            <w:tcW w:w="6200" w:type="dxa"/>
            <w:vAlign w:val="bottom"/>
          </w:tcPr>
          <w:p>
            <w:pPr>
              <w:ind w:left="4560"/>
              <w:spacing w:after="0"/>
              <w:rPr>
                <w:sz w:val="20"/>
                <w:szCs w:val="20"/>
                <w:color w:val="auto"/>
              </w:rPr>
            </w:pPr>
            <w:r>
              <w:rPr>
                <w:rFonts w:ascii="Arial" w:cs="Arial" w:eastAsia="Arial" w:hAnsi="Arial"/>
                <w:sz w:val="16"/>
                <w:szCs w:val="16"/>
                <w:b w:val="1"/>
                <w:bCs w:val="1"/>
                <w:color w:val="auto"/>
              </w:rPr>
              <w:t>Annex I</w:t>
            </w:r>
          </w:p>
        </w:tc>
        <w:tc>
          <w:tcPr>
            <w:tcW w:w="4280" w:type="dxa"/>
            <w:vAlign w:val="bottom"/>
          </w:tcPr>
          <w:p>
            <w:pPr>
              <w:spacing w:after="0"/>
              <w:rPr>
                <w:sz w:val="19"/>
                <w:szCs w:val="19"/>
                <w:color w:val="auto"/>
              </w:rPr>
            </w:pPr>
          </w:p>
        </w:tc>
      </w:tr>
      <w:tr>
        <w:trPr>
          <w:trHeight w:val="48"/>
        </w:trPr>
        <w:tc>
          <w:tcPr>
            <w:tcW w:w="780" w:type="dxa"/>
            <w:vAlign w:val="bottom"/>
            <w:tcBorders>
              <w:bottom w:val="single" w:sz="8" w:color="auto"/>
            </w:tcBorders>
          </w:tcPr>
          <w:p>
            <w:pPr>
              <w:spacing w:after="0"/>
              <w:rPr>
                <w:sz w:val="4"/>
                <w:szCs w:val="4"/>
                <w:color w:val="auto"/>
              </w:rPr>
            </w:pPr>
          </w:p>
        </w:tc>
        <w:tc>
          <w:tcPr>
            <w:tcW w:w="6200" w:type="dxa"/>
            <w:vAlign w:val="bottom"/>
            <w:tcBorders>
              <w:bottom w:val="single" w:sz="8" w:color="auto"/>
            </w:tcBorders>
          </w:tcPr>
          <w:p>
            <w:pPr>
              <w:spacing w:after="0"/>
              <w:rPr>
                <w:sz w:val="4"/>
                <w:szCs w:val="4"/>
                <w:color w:val="auto"/>
              </w:rPr>
            </w:pPr>
          </w:p>
        </w:tc>
        <w:tc>
          <w:tcPr>
            <w:tcW w:w="4280" w:type="dxa"/>
            <w:vAlign w:val="bottom"/>
            <w:tcBorders>
              <w:bottom w:val="single" w:sz="8" w:color="auto"/>
            </w:tcBorders>
          </w:tcPr>
          <w:p>
            <w:pPr>
              <w:spacing w:after="0"/>
              <w:rPr>
                <w:sz w:val="4"/>
                <w:szCs w:val="4"/>
                <w:color w:val="auto"/>
              </w:rPr>
            </w:pPr>
          </w:p>
        </w:tc>
      </w:tr>
      <w:tr>
        <w:trPr>
          <w:trHeight w:val="210"/>
        </w:trPr>
        <w:tc>
          <w:tcPr>
            <w:tcW w:w="780" w:type="dxa"/>
            <w:vAlign w:val="bottom"/>
            <w:tcBorders>
              <w:left w:val="single" w:sz="8" w:color="auto"/>
              <w:bottom w:val="single" w:sz="8" w:color="auto"/>
            </w:tcBorders>
            <w:shd w:val="clear" w:color="auto" w:fill="0070C0"/>
          </w:tcPr>
          <w:p>
            <w:pPr>
              <w:ind w:left="80"/>
              <w:spacing w:after="0"/>
              <w:rPr>
                <w:sz w:val="20"/>
                <w:szCs w:val="20"/>
                <w:color w:val="auto"/>
              </w:rPr>
            </w:pPr>
            <w:r>
              <w:rPr>
                <w:rFonts w:ascii="Arial" w:cs="Arial" w:eastAsia="Arial" w:hAnsi="Arial"/>
                <w:sz w:val="16"/>
                <w:szCs w:val="16"/>
                <w:b w:val="1"/>
                <w:bCs w:val="1"/>
                <w:color w:val="FFFFFF"/>
              </w:rPr>
              <w:t>Metal</w:t>
            </w:r>
          </w:p>
        </w:tc>
        <w:tc>
          <w:tcPr>
            <w:tcW w:w="6200" w:type="dxa"/>
            <w:vAlign w:val="bottom"/>
            <w:tcBorders>
              <w:bottom w:val="single" w:sz="8" w:color="auto"/>
            </w:tcBorders>
            <w:shd w:val="clear" w:color="auto" w:fill="0070C0"/>
          </w:tcPr>
          <w:p>
            <w:pPr>
              <w:ind w:left="280"/>
              <w:spacing w:after="0"/>
              <w:rPr>
                <w:sz w:val="20"/>
                <w:szCs w:val="20"/>
                <w:color w:val="auto"/>
              </w:rPr>
            </w:pPr>
            <w:r>
              <w:rPr>
                <w:rFonts w:ascii="Arial" w:cs="Arial" w:eastAsia="Arial" w:hAnsi="Arial"/>
                <w:sz w:val="16"/>
                <w:szCs w:val="16"/>
                <w:b w:val="1"/>
                <w:bCs w:val="1"/>
                <w:color w:val="FFFFFF"/>
              </w:rPr>
              <w:t>Smelter or Refiner Name</w:t>
            </w:r>
          </w:p>
        </w:tc>
        <w:tc>
          <w:tcPr>
            <w:tcW w:w="4280" w:type="dxa"/>
            <w:vAlign w:val="bottom"/>
            <w:tcBorders>
              <w:bottom w:val="single" w:sz="8" w:color="auto"/>
              <w:right w:val="single" w:sz="8" w:color="auto"/>
            </w:tcBorders>
            <w:shd w:val="clear" w:color="auto" w:fill="0070C0"/>
          </w:tcPr>
          <w:p>
            <w:pPr>
              <w:ind w:left="1060"/>
              <w:spacing w:after="0"/>
              <w:rPr>
                <w:sz w:val="20"/>
                <w:szCs w:val="20"/>
                <w:color w:val="auto"/>
              </w:rPr>
            </w:pPr>
            <w:r>
              <w:rPr>
                <w:rFonts w:ascii="Arial" w:cs="Arial" w:eastAsia="Arial" w:hAnsi="Arial"/>
                <w:sz w:val="16"/>
                <w:szCs w:val="16"/>
                <w:b w:val="1"/>
                <w:bCs w:val="1"/>
                <w:color w:val="FFFFFF"/>
              </w:rPr>
              <w:t>Smelter Or Refiner Country</w:t>
            </w:r>
          </w:p>
        </w:tc>
      </w:tr>
      <w:tr>
        <w:trPr>
          <w:trHeight w:val="209"/>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8853 S.p.A.</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ITALY</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ABC Refinery Pty Ltd.</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AUSTRALIA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Abington Reldan Metals, LLC</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UNITED STATES OF AMERICA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Advanced Chemical Company</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UNITED STATES OF AMERICA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African Gold Refinery</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UGANDA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Agosi AG</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GERMANY</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Aida Chemical Industries Co., Ltd.</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JAPAN</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Al Etihad Gold Refinery DMCC</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UNITED ARAB EMIRATES</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Al Ghaith Gold</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PORTUGAL</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Albino Mountinho Lda.</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PORTUGAL</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Alexy Metals</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UNITED STATES OF AMERICA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Almalyk Mining and Metallurgical Complex (AMMC)</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UZBEKISTAN</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AngloGold Ashanti Corrego do Sitio Mineracao</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BRAZIL</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Argor-Heraeus S.A.</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SWITZERLAND</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ARY Aurum Plus</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UNITED ARAB EMIRATES</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Asahi Pretec Corp.</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JAPAN</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Asahi Refining Canada Ltd.</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CANADA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Asahi Refining USA Inc.</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UNITED STATES OF AMERICA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Asaka Riken Co., Ltd.</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JAPAN</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Atasay Kuyumculuk Sanayi Ve Ticaret A.S.</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TURKEY</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Attero Recycling Pvt Ltd.</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INDIA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AU Traders and Refiners</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SOUTH AFRICA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Augmont Enterprises Private Limited</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INDIA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Aurubis AG</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GERMANY</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Bangalore Refinery</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INDIA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Bangko Sentral ng Pilipinas (Central Bank of the Philippines)</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PHILIPPINES</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Boliden AB</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SWEDEN</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Boliden Ronnskar</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SWEDEN</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C. Hafner GmbH + Co. KG</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GERMANY</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C.I Metales Procesados Industriales SAS</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COLOMBIA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Caridad</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MEXICO</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CCR Refinery - Glencore Canada Corporation</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CANADA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Cendres + Metaux S.A.</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SWITZERLAND</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CGR Metalloys Pvt Ltd.</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INDIA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Chimet S.p.A.</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ITALY</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Chugai Mining</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JAPAN</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Coimpa Industrial Ltda.</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BRAZIL</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Daye Non-Ferrous Metals Mining Ltd.</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CHINA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Degussa Sonne / Mond Goldhandel GmbH</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GERMANY</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Dijllah Gold Refinery FZC</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UNITED ARAB EMIRATES</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DODUCO Contacts and Refining GmbH</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GERMANY</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Dongwu Gold Group</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CHINA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Dowa</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JAPAN</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DS PRETECH Co., Ltd.</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KOREA, REPUBLIC OF</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DSC (Do Sung Corporation)</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KOREA, REPUBLIC OF</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Eco-System Recycling Co., Ltd. East Plant</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JAPAN</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Eco-System Recycling Co., Ltd. North Plant</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JAPAN</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Eco-System Recycling Co., Ltd. West Plant</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JAPAN</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Elite Industech Co., Ltd.</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TAIWAN, PROVINCE OF CHINA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Emerald Jewel Industry India Limited (Unit 1)</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INDIA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Emerald Jewel Industry India Limited (Unit 2)</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INDIA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Emerald Jewel Industry India Limited (Unit 3)</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INDIA</w:t>
            </w:r>
          </w:p>
        </w:tc>
      </w:tr>
      <w:tr>
        <w:trPr>
          <w:trHeight w:val="217"/>
        </w:trPr>
        <w:tc>
          <w:tcPr>
            <w:tcW w:w="7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Emerald Jewel Industry India Limited (Unit 4)</w:t>
            </w:r>
          </w:p>
        </w:tc>
        <w:tc>
          <w:tcPr>
            <w:tcW w:w="4280" w:type="dxa"/>
            <w:vAlign w:val="bottom"/>
            <w:tcBorders>
              <w:bottom w:val="single" w:sz="8" w:color="auto"/>
              <w:right w:val="single" w:sz="8" w:color="auto"/>
            </w:tcBorders>
          </w:tcPr>
          <w:p>
            <w:pPr>
              <w:ind w:left="1060"/>
              <w:spacing w:after="0"/>
              <w:rPr>
                <w:sz w:val="20"/>
                <w:szCs w:val="20"/>
                <w:color w:val="auto"/>
              </w:rPr>
            </w:pPr>
            <w:r>
              <w:rPr>
                <w:rFonts w:ascii="Arial" w:cs="Arial" w:eastAsia="Arial" w:hAnsi="Arial"/>
                <w:sz w:val="16"/>
                <w:szCs w:val="16"/>
                <w:color w:val="auto"/>
              </w:rPr>
              <w:t>INDIA</w:t>
            </w:r>
          </w:p>
        </w:tc>
      </w:tr>
    </w:tbl>
    <w:p>
      <w:pPr>
        <w:sectPr>
          <w:pgSz w:w="11900" w:h="16838" w:orient="portrait"/>
          <w:cols w:equalWidth="0" w:num="1">
            <w:col w:w="11260"/>
          </w:cols>
          <w:pgMar w:left="320" w:top="935" w:right="31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780" w:type="dxa"/>
            <w:vAlign w:val="bottom"/>
            <w:tcBorders>
              <w:top w:val="single" w:sz="8" w:color="auto"/>
              <w:left w:val="single" w:sz="8" w:color="auto"/>
              <w:bottom w:val="single" w:sz="8" w:color="auto"/>
            </w:tcBorders>
            <w:shd w:val="clear" w:color="auto" w:fill="0070C0"/>
          </w:tcPr>
          <w:p>
            <w:pPr>
              <w:ind w:left="80"/>
              <w:spacing w:after="0"/>
              <w:rPr>
                <w:sz w:val="20"/>
                <w:szCs w:val="20"/>
                <w:color w:val="auto"/>
              </w:rPr>
            </w:pPr>
            <w:r>
              <w:rPr>
                <w:rFonts w:ascii="Arial" w:cs="Arial" w:eastAsia="Arial" w:hAnsi="Arial"/>
                <w:sz w:val="16"/>
                <w:szCs w:val="16"/>
                <w:b w:val="1"/>
                <w:bCs w:val="1"/>
                <w:color w:val="FFFFFF"/>
              </w:rPr>
              <w:t>Metal</w:t>
            </w:r>
          </w:p>
        </w:tc>
        <w:tc>
          <w:tcPr>
            <w:tcW w:w="6100" w:type="dxa"/>
            <w:vAlign w:val="bottom"/>
            <w:tcBorders>
              <w:top w:val="single" w:sz="8" w:color="auto"/>
              <w:bottom w:val="single" w:sz="8" w:color="auto"/>
            </w:tcBorders>
            <w:shd w:val="clear" w:color="auto" w:fill="0070C0"/>
          </w:tcPr>
          <w:p>
            <w:pPr>
              <w:ind w:left="280"/>
              <w:spacing w:after="0"/>
              <w:rPr>
                <w:sz w:val="20"/>
                <w:szCs w:val="20"/>
                <w:color w:val="auto"/>
              </w:rPr>
            </w:pPr>
            <w:r>
              <w:rPr>
                <w:rFonts w:ascii="Arial" w:cs="Arial" w:eastAsia="Arial" w:hAnsi="Arial"/>
                <w:sz w:val="16"/>
                <w:szCs w:val="16"/>
                <w:b w:val="1"/>
                <w:bCs w:val="1"/>
                <w:color w:val="FFFFFF"/>
              </w:rPr>
              <w:t>Smelter or Refiner Name</w:t>
            </w:r>
          </w:p>
        </w:tc>
        <w:tc>
          <w:tcPr>
            <w:tcW w:w="4380" w:type="dxa"/>
            <w:vAlign w:val="bottom"/>
            <w:tcBorders>
              <w:top w:val="single" w:sz="8" w:color="auto"/>
              <w:bottom w:val="single" w:sz="8" w:color="auto"/>
              <w:right w:val="single" w:sz="8" w:color="auto"/>
            </w:tcBorders>
            <w:shd w:val="clear" w:color="auto" w:fill="0070C0"/>
          </w:tcPr>
          <w:p>
            <w:pPr>
              <w:ind w:left="1160"/>
              <w:spacing w:after="0"/>
              <w:rPr>
                <w:sz w:val="20"/>
                <w:szCs w:val="20"/>
                <w:color w:val="auto"/>
              </w:rPr>
            </w:pPr>
            <w:r>
              <w:rPr>
                <w:rFonts w:ascii="Arial" w:cs="Arial" w:eastAsia="Arial" w:hAnsi="Arial"/>
                <w:sz w:val="16"/>
                <w:szCs w:val="16"/>
                <w:b w:val="1"/>
                <w:bCs w:val="1"/>
                <w:color w:val="FFFFFF"/>
              </w:rPr>
              <w:t>Smelter Or Refiner Country</w:t>
            </w:r>
          </w:p>
        </w:tc>
      </w:tr>
      <w:tr>
        <w:trPr>
          <w:trHeight w:val="209"/>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Emirates Gold DMCC</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UNITED ARAB EMIRATES</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Fidelity Printers and Refiners Ltd.</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ZIMBABWE</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Fujairah Gold FZC</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UNITED ARAB EMIRATES</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Geib Refining Corporation</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UNITED STATES OF AMERICA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GG Refinery Ltd.</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TANZANIA, UNITED REPUBLIC OF</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GGC Gujrat Gold Centre Pvt. Ltd.</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INDIA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Gold by Gold Colombia</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COLOMBIA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Gold Coast Refinery</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GHANA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Gold Refinery of Zijin Mining Group Co., Ltd.</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CHINA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Great Wall Precious Metals Co., Ltd. of CBPM</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CHINA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Guangdong Hua Jian Trade Co., Ltd.</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CHINA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Guangdong Jinding Gold Limited</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CHINA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Guoda Safina High-Tech Environmental Refinery Co., Ltd.</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CHINA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Hang Seng Technology</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CHINA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Hangzhou Fuchunjiang Smelting Co., Ltd.</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CHINA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Heimerle + Meule GmbH</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GERMANY</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Henan Yuguang Gold &amp; Lead Co., Ltd.</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CHINA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Heraeus Germany GmbH Co. KG</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GERMANY</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Heraeus Metals Hong Kong Ltd.</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CHINA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Hunan Chenzhou Mining Co., Ltd.</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CHINA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Hunan Guiyang yinxing Nonferrous Smelting Co., Ltd.</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CHINA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Hung Cheong Metal Manufacturing Limited</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CHINA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HwaSeong CJ Co., Ltd.</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KOREA, REPUBLIC OF</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Impala Platinum - Platinum Metals Refinery (PMR)</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SOUTH AFRICA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Impala Refineries – Base Metals Refinery (BMR)</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SOUTH AFRICA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Impala Refineries – Platinum Metals Refinery (PMR)</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SOUTH AFRICA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Impala Rustenburg</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SOUTH AFRICA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Inca One (Chala One Plant)</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PERU</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Inca One (Koricancha Plant)</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PERU</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Industrial Refining Company</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BELGIUM</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Inner Mongolia Qiankun Gold and Silver Refinery Share Co., Ltd.</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CHINA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International Precious Metal Refiners</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UNITED ARAB EMIRATES</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Ishifuku Metal Industry Co., Ltd.</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JAPAN</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Istanbul Gold Refinery</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TURKEY</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Italpreziosi</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ITALY</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JALAN &amp; Company</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INDIA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Japan Mint</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JAPAN</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Jiangxi Copper Co., Ltd.</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CHINA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Jinlong Copper Co., Ltd.</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CHINA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JSC Ekaterinburg Non-Ferrous Metal Processing Plant</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RUSSIAN FEDERATION</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JSC Novosibirsk Refinery</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RUSSIAN FEDERATION</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JSC Uralelectromed</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RUSSIAN FEDERATION</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JX Nippon Mining &amp; Metals Co., Ltd.</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JAPAN</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K.A. Rasmussen</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NORWAY</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Kaloti Precious Metals</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UNITED ARAB EMIRATES</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Kazakhmys Smelting LLC</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KAZAKHSTAN</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Kazzinc</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KAZAKHSTAN</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Kennecott Utah Copper LLC</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UNITED STATES OF AMERICA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KGHM Polska Miedz Spolka Akcyjna</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POLAND</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Kojima Chemicals Co., Ltd.</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JAPAN</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Korea Zinc Co., Ltd.</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KOREA, REPUBLIC OF</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KP Sanghvi International Pvt Ltd.</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INDIA</w:t>
            </w:r>
          </w:p>
        </w:tc>
      </w:tr>
      <w:tr>
        <w:trPr>
          <w:trHeight w:val="217"/>
        </w:trPr>
        <w:tc>
          <w:tcPr>
            <w:tcW w:w="7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Kundan Care Products Ltd.</w:t>
            </w:r>
          </w:p>
        </w:tc>
        <w:tc>
          <w:tcPr>
            <w:tcW w:w="4380" w:type="dxa"/>
            <w:vAlign w:val="bottom"/>
            <w:tcBorders>
              <w:bottom w:val="single" w:sz="8" w:color="auto"/>
              <w:right w:val="single" w:sz="8" w:color="auto"/>
            </w:tcBorders>
          </w:tcPr>
          <w:p>
            <w:pPr>
              <w:ind w:left="1160"/>
              <w:spacing w:after="0"/>
              <w:rPr>
                <w:sz w:val="20"/>
                <w:szCs w:val="20"/>
                <w:color w:val="auto"/>
              </w:rPr>
            </w:pPr>
            <w:r>
              <w:rPr>
                <w:rFonts w:ascii="Arial" w:cs="Arial" w:eastAsia="Arial" w:hAnsi="Arial"/>
                <w:sz w:val="16"/>
                <w:szCs w:val="16"/>
                <w:color w:val="auto"/>
              </w:rPr>
              <w:t>INDIA</w:t>
            </w:r>
          </w:p>
        </w:tc>
      </w:tr>
    </w:tbl>
    <w:p>
      <w:pPr>
        <w:sectPr>
          <w:pgSz w:w="11900" w:h="16838" w:orient="portrait"/>
          <w:cols w:equalWidth="0" w:num="1">
            <w:col w:w="11260"/>
          </w:cols>
          <w:pgMar w:left="320" w:top="929" w:right="31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780" w:type="dxa"/>
            <w:vAlign w:val="bottom"/>
            <w:tcBorders>
              <w:top w:val="single" w:sz="8" w:color="auto"/>
              <w:left w:val="single" w:sz="8" w:color="auto"/>
              <w:bottom w:val="single" w:sz="8" w:color="auto"/>
            </w:tcBorders>
            <w:shd w:val="clear" w:color="auto" w:fill="0070C0"/>
          </w:tcPr>
          <w:p>
            <w:pPr>
              <w:ind w:left="80"/>
              <w:spacing w:after="0"/>
              <w:rPr>
                <w:sz w:val="20"/>
                <w:szCs w:val="20"/>
                <w:color w:val="auto"/>
              </w:rPr>
            </w:pPr>
            <w:r>
              <w:rPr>
                <w:rFonts w:ascii="Arial" w:cs="Arial" w:eastAsia="Arial" w:hAnsi="Arial"/>
                <w:sz w:val="16"/>
                <w:szCs w:val="16"/>
                <w:b w:val="1"/>
                <w:bCs w:val="1"/>
                <w:color w:val="FFFFFF"/>
              </w:rPr>
              <w:t>Metal</w:t>
            </w:r>
          </w:p>
        </w:tc>
        <w:tc>
          <w:tcPr>
            <w:tcW w:w="6700" w:type="dxa"/>
            <w:vAlign w:val="bottom"/>
            <w:tcBorders>
              <w:top w:val="single" w:sz="8" w:color="auto"/>
              <w:bottom w:val="single" w:sz="8" w:color="auto"/>
            </w:tcBorders>
            <w:shd w:val="clear" w:color="auto" w:fill="0070C0"/>
          </w:tcPr>
          <w:p>
            <w:pPr>
              <w:ind w:left="280"/>
              <w:spacing w:after="0"/>
              <w:rPr>
                <w:sz w:val="20"/>
                <w:szCs w:val="20"/>
                <w:color w:val="auto"/>
              </w:rPr>
            </w:pPr>
            <w:r>
              <w:rPr>
                <w:rFonts w:ascii="Arial" w:cs="Arial" w:eastAsia="Arial" w:hAnsi="Arial"/>
                <w:sz w:val="16"/>
                <w:szCs w:val="16"/>
                <w:b w:val="1"/>
                <w:bCs w:val="1"/>
                <w:color w:val="FFFFFF"/>
              </w:rPr>
              <w:t>Smelter or Refiner Name</w:t>
            </w:r>
          </w:p>
        </w:tc>
        <w:tc>
          <w:tcPr>
            <w:tcW w:w="3780" w:type="dxa"/>
            <w:vAlign w:val="bottom"/>
            <w:tcBorders>
              <w:top w:val="single" w:sz="8" w:color="auto"/>
              <w:bottom w:val="single" w:sz="8" w:color="auto"/>
              <w:right w:val="single" w:sz="8" w:color="auto"/>
            </w:tcBorders>
            <w:shd w:val="clear" w:color="auto" w:fill="0070C0"/>
          </w:tcPr>
          <w:p>
            <w:pPr>
              <w:ind w:left="560"/>
              <w:spacing w:after="0"/>
              <w:rPr>
                <w:sz w:val="20"/>
                <w:szCs w:val="20"/>
                <w:color w:val="auto"/>
              </w:rPr>
            </w:pPr>
            <w:r>
              <w:rPr>
                <w:rFonts w:ascii="Arial" w:cs="Arial" w:eastAsia="Arial" w:hAnsi="Arial"/>
                <w:sz w:val="16"/>
                <w:szCs w:val="16"/>
                <w:b w:val="1"/>
                <w:bCs w:val="1"/>
                <w:color w:val="FFFFFF"/>
              </w:rPr>
              <w:t>Smelter Or Refiner Country</w:t>
            </w:r>
          </w:p>
        </w:tc>
      </w:tr>
      <w:tr>
        <w:trPr>
          <w:trHeight w:val="209"/>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Kyrgyzaltyn JSC</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KYRGYZSTAN</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Kyshtym Copper-Electrolytic Plant ZAO</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RUSSIAN FEDERATION</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L'azurde Company For Jewelry</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SAUDI ARABIA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Lingbao Gold Co.,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CHINA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Lingbao Jinyuan Tonghui Refinery Co.,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CHINA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L'Orfebre S.A.</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ANDORRA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LS MnM Inc.</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KOREA, REPUBLIC OF</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LS-NIKKO Copper Inc.</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KOREA, REPUBLIC OF</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LT Metal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KOREA, REPUBLIC OF</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Luoyang Zijin Yinhui Gold Refinery Co.,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CHINA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Marsam Metals</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BRAZIL</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Materion</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UNITED STATES OF AMERICA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Matsuda Sangyo Co.,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JAPAN</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MD Overseas</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INDIA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Metal Concentrators SA (Pty)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SOUTH AFRICA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Metallix Refining Inc.</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UNITED STATES OF AMERICA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Metalor Technologies (Hong Kong)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CHINA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Metalor Technologies (Singapore) Pte.,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SINGAPORE</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Metalor Technologies (Suzhou)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CHINA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Metalor Technologies S.A.</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SWITZERLAND</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Metalor USA Refining Corporation</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UNITED STATES OF AMERICA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Metalurgica Met-Mex Penoles S.A. De C.V.</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MEXICO</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Minera Titan del Peru SRL (MTP) - Belen Plant</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PERU</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Minera Titán del Perú SRL (MTP) - Belen Plant</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PERU</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Mitsubishi Materials Corporation</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JAPAN</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Mitsui Mining and Smelting Co.,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JAPAN</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MKS PAMP SA</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SWITZERLAND</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MMTC-PAMP India Pvt.,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INDIA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Modeltech Sdn Bhd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MALAYSIA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Morris and Watson</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NEW ZEALAND</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Moscow Special Alloys Processing Plant</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RUSSIAN FEDERATION</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Nadir Metal Rafineri San. Ve Tic. A.S.</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TURKEY</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Navoi Mining and Metallurgical Combinat</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UZBEKISTAN</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NH Recytech Company</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KOREA, REPUBLIC OF</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Nihon Material Co.,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JAPAN</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NOBLE METAL SERVICES</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UNITED STATES OF AMERICA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Nyrstar Metals</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UNITED STATES OF AMERICA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Ogussa Osterreichische Gold- und Silber-Scheideanstalt GmbH</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AUSTRIA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Ohura Precious Metal Industry Co.,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JAPAN</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OJSC "The Gulidov Krasnoyarsk Non-Ferrous Metals Plant" (OJSC Krastsvetmet)</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RUSSIAN FEDERATION</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Pease &amp; Curren</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UNITED STATES OF AMERICA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Penglai Penggang Gold Industry Co.,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CHINA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Planta Recuperadora de Metales SpA</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CHILE</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Prioksky Plant of Non-Ferrous Metals</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RUSSIAN FEDERATION</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PT Aneka Tambang (Persero) Tbk</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INDONESIA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PX Precinox S.A.</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SWITZERLAND</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QG Refining, LLC</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UNITED STATES OF AMERICA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Rand Refinery (Pty)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SOUTH AFRICA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Refinery of Seemine Gold Co.,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CHINA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REMONDIS PMR B.V.</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NETHERLANDS</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Royal Canadian Mint</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CANADA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SAAMP</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FRANCE</w:t>
            </w:r>
          </w:p>
        </w:tc>
      </w:tr>
      <w:tr>
        <w:trPr>
          <w:trHeight w:val="217"/>
        </w:trPr>
        <w:tc>
          <w:tcPr>
            <w:tcW w:w="7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Sabin Metal Corp.</w:t>
            </w:r>
          </w:p>
        </w:tc>
        <w:tc>
          <w:tcPr>
            <w:tcW w:w="378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6"/>
                <w:szCs w:val="16"/>
                <w:color w:val="auto"/>
              </w:rPr>
              <w:t>UNITED STATES OF AMERICA</w:t>
            </w:r>
          </w:p>
        </w:tc>
      </w:tr>
    </w:tbl>
    <w:p>
      <w:pPr>
        <w:sectPr>
          <w:pgSz w:w="11900" w:h="16838" w:orient="portrait"/>
          <w:cols w:equalWidth="0" w:num="1">
            <w:col w:w="11260"/>
          </w:cols>
          <w:pgMar w:left="320" w:top="929" w:right="31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780" w:type="dxa"/>
            <w:vAlign w:val="bottom"/>
            <w:tcBorders>
              <w:top w:val="single" w:sz="8" w:color="auto"/>
              <w:left w:val="single" w:sz="8" w:color="auto"/>
              <w:bottom w:val="single" w:sz="8" w:color="auto"/>
            </w:tcBorders>
            <w:shd w:val="clear" w:color="auto" w:fill="0070C0"/>
          </w:tcPr>
          <w:p>
            <w:pPr>
              <w:ind w:left="80"/>
              <w:spacing w:after="0"/>
              <w:rPr>
                <w:sz w:val="20"/>
                <w:szCs w:val="20"/>
                <w:color w:val="auto"/>
              </w:rPr>
            </w:pPr>
            <w:r>
              <w:rPr>
                <w:rFonts w:ascii="Arial" w:cs="Arial" w:eastAsia="Arial" w:hAnsi="Arial"/>
                <w:sz w:val="16"/>
                <w:szCs w:val="16"/>
                <w:b w:val="1"/>
                <w:bCs w:val="1"/>
                <w:color w:val="FFFFFF"/>
              </w:rPr>
              <w:t>Metal</w:t>
            </w:r>
          </w:p>
        </w:tc>
        <w:tc>
          <w:tcPr>
            <w:tcW w:w="6860" w:type="dxa"/>
            <w:vAlign w:val="bottom"/>
            <w:tcBorders>
              <w:top w:val="single" w:sz="8" w:color="auto"/>
              <w:bottom w:val="single" w:sz="8" w:color="auto"/>
            </w:tcBorders>
            <w:shd w:val="clear" w:color="auto" w:fill="0070C0"/>
          </w:tcPr>
          <w:p>
            <w:pPr>
              <w:ind w:left="280"/>
              <w:spacing w:after="0"/>
              <w:rPr>
                <w:sz w:val="20"/>
                <w:szCs w:val="20"/>
                <w:color w:val="auto"/>
              </w:rPr>
            </w:pPr>
            <w:r>
              <w:rPr>
                <w:rFonts w:ascii="Arial" w:cs="Arial" w:eastAsia="Arial" w:hAnsi="Arial"/>
                <w:sz w:val="16"/>
                <w:szCs w:val="16"/>
                <w:b w:val="1"/>
                <w:bCs w:val="1"/>
                <w:color w:val="FFFFFF"/>
              </w:rPr>
              <w:t>Smelter or Refiner Name</w:t>
            </w:r>
          </w:p>
        </w:tc>
        <w:tc>
          <w:tcPr>
            <w:tcW w:w="3620" w:type="dxa"/>
            <w:vAlign w:val="bottom"/>
            <w:tcBorders>
              <w:top w:val="single" w:sz="8" w:color="auto"/>
              <w:bottom w:val="single" w:sz="8" w:color="auto"/>
              <w:right w:val="single" w:sz="8" w:color="auto"/>
            </w:tcBorders>
            <w:shd w:val="clear" w:color="auto" w:fill="0070C0"/>
          </w:tcPr>
          <w:p>
            <w:pPr>
              <w:ind w:left="400"/>
              <w:spacing w:after="0"/>
              <w:rPr>
                <w:sz w:val="20"/>
                <w:szCs w:val="20"/>
                <w:color w:val="auto"/>
              </w:rPr>
            </w:pPr>
            <w:r>
              <w:rPr>
                <w:rFonts w:ascii="Arial" w:cs="Arial" w:eastAsia="Arial" w:hAnsi="Arial"/>
                <w:sz w:val="16"/>
                <w:szCs w:val="16"/>
                <w:b w:val="1"/>
                <w:bCs w:val="1"/>
                <w:color w:val="FFFFFF"/>
              </w:rPr>
              <w:t>Smelter Or Refiner Country</w:t>
            </w:r>
          </w:p>
        </w:tc>
      </w:tr>
      <w:tr>
        <w:trPr>
          <w:trHeight w:val="209"/>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Safimet S.p.A</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ITALY</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SAFINA A.S.</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CZECHIA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Sai Refinery</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INDIA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Sam Precious Metals</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UNITED ARAB EMIRATES</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Samduck Precious Metals</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KOREA, REPUBLIC OF</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Samwon Metals Corp.</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KOREA, REPUBLIC OF</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Sancus ZFS (L’Orfebre, SA)</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COLOMBIA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SAXONIA Edelmetalle GmbH</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GERMANY</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Sellem Industries Ltd.</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MAURITANIA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SEMPSA Joyeria Plateria S.A.</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SPAIN</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Shan Tou Shi Yong Yuan Jin Shu Zai Sheng Co., Ltd.</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CHINA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Shandong Gold Smelting Co., Ltd.</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CHINA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Shandong Hengbang Smelter Co., Ltd.</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CHINA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Shandong Humon Smelting Co., Ltd.</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CHINA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Shandong Tiancheng Biological Gold Industrial Co., Ltd.</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CHINA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Shandong Yanggu Xiangguang Co., Ltd.</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CHINA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Shandong Zhaojin Gold &amp; Silver Refinery Co., Ltd.</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CHINA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Shenzhen CuiLu Gold Co., Ltd.</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CHINA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Shenzhen Heng Zhong Industry Co., Ltd.</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CHINA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SHENZHEN JINJUNWEI RESOURCE COMPREHENSIVE DEVELOPMENT CO., Ltd.</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CHINA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Shenzhen Zhonghenglong Real Industry Co., Ltd.</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CHINA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Shirpur Gold Refinery Ltd.</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INDIA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Sichuan Tianze Precious Metals Co., Ltd.</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CHINA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Singway Technology Co., Ltd.</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TAIWAN, PROVINCE OF CHINA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Sino-Platinum Metals Co., Ltd.</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CHINA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SOE Shyolkovsky Factory of Secondary Precious Metals</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RUSSIAN FEDERATION</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Solar Applied Materials Technology Corp.</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TAIWAN, PROVINCE OF CHINA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Sovereign Metals</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INDIA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State Research Institute Center for Physical Sciences and Technology</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LITHUANIA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Sudan Gold Refinery</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SUDAN</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Sumitomo Metal Mining Co., Ltd.</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JAPAN</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SungEel HiMetal Co., Ltd.</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KOREA, REPUBLIC OF</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Super Dragon Technology Co., Ltd.</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TAIWAN, PROVINCE OF CHINA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T.C.A S.p.A</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ITALY</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Tanaka Kikinzoku Kogyo K.K.</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JAPAN</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TITAN COMPANY LIMITED, JEWELLERY DIVISION</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INDIA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Tokuriki Honten Co., Ltd.</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JAPAN</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Tongling Nonferrous Metals Group Co., Ltd.</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CHINA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TOO Tau-Ken-Altyn</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KAZAKHSTAN</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Torecom</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KOREA, REPUBLIC OF</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Umicore Brasil Ltda.</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BRAZIL</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Umicore Precious Metals Thailand</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THAILAND</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Umicore S.A. Business Unit Precious Metals Refining</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BELGIUM</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United Precious Metal Refining, Inc.</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UNITED STATES OF AMERICA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Valcambi S.A.</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SWITZERLAND</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Value Trading</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BELGIUM</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Viagra Di precious metals (Zhaoyuan) Co., Ltd.</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CHINA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WEEEREFINING</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FRANCE</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Western Australian Mint (T/a The Perth Mint)</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AUSTRALIA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Western Australian Mint (The Perth Mint)</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AUSTRALIA</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WIELAND Edelmetalle GmbH</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GERMANY</w:t>
            </w: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Pr>
          <w:p>
            <w:pPr>
              <w:ind w:left="280"/>
              <w:spacing w:after="0"/>
              <w:rPr>
                <w:sz w:val="20"/>
                <w:szCs w:val="20"/>
                <w:color w:val="auto"/>
              </w:rPr>
            </w:pPr>
            <w:r>
              <w:rPr>
                <w:rFonts w:ascii="Arial" w:cs="Arial" w:eastAsia="Arial" w:hAnsi="Arial"/>
                <w:sz w:val="16"/>
                <w:szCs w:val="16"/>
                <w:color w:val="auto"/>
              </w:rPr>
              <w:t>Wuzhong Group</w:t>
            </w:r>
          </w:p>
        </w:tc>
        <w:tc>
          <w:tcPr>
            <w:tcW w:w="36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CHINA</w:t>
            </w:r>
          </w:p>
        </w:tc>
      </w:tr>
      <w:tr>
        <w:trPr>
          <w:trHeight w:val="217"/>
        </w:trPr>
        <w:tc>
          <w:tcPr>
            <w:tcW w:w="7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8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Yamakin Co., Ltd.</w:t>
            </w:r>
          </w:p>
        </w:tc>
        <w:tc>
          <w:tcPr>
            <w:tcW w:w="362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6"/>
                <w:szCs w:val="16"/>
                <w:color w:val="auto"/>
              </w:rPr>
              <w:t>JAPAN</w:t>
            </w:r>
          </w:p>
        </w:tc>
      </w:tr>
    </w:tbl>
    <w:p>
      <w:pPr>
        <w:sectPr>
          <w:pgSz w:w="11900" w:h="16838" w:orient="portrait"/>
          <w:cols w:equalWidth="0" w:num="1">
            <w:col w:w="11260"/>
          </w:cols>
          <w:pgMar w:left="320" w:top="929" w:right="31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900" w:type="dxa"/>
            <w:vAlign w:val="bottom"/>
            <w:tcBorders>
              <w:top w:val="single" w:sz="8" w:color="auto"/>
              <w:left w:val="single" w:sz="8" w:color="auto"/>
              <w:bottom w:val="single" w:sz="8" w:color="auto"/>
            </w:tcBorders>
            <w:shd w:val="clear" w:color="auto" w:fill="0070C0"/>
          </w:tcPr>
          <w:p>
            <w:pPr>
              <w:ind w:left="80"/>
              <w:spacing w:after="0"/>
              <w:rPr>
                <w:sz w:val="20"/>
                <w:szCs w:val="20"/>
                <w:color w:val="auto"/>
              </w:rPr>
            </w:pPr>
            <w:r>
              <w:rPr>
                <w:rFonts w:ascii="Arial" w:cs="Arial" w:eastAsia="Arial" w:hAnsi="Arial"/>
                <w:sz w:val="16"/>
                <w:szCs w:val="16"/>
                <w:b w:val="1"/>
                <w:bCs w:val="1"/>
                <w:color w:val="FFFFFF"/>
              </w:rPr>
              <w:t>Metal</w:t>
            </w:r>
          </w:p>
        </w:tc>
        <w:tc>
          <w:tcPr>
            <w:tcW w:w="5720" w:type="dxa"/>
            <w:vAlign w:val="bottom"/>
            <w:tcBorders>
              <w:top w:val="single" w:sz="8" w:color="auto"/>
              <w:bottom w:val="single" w:sz="8" w:color="auto"/>
            </w:tcBorders>
            <w:shd w:val="clear" w:color="auto" w:fill="0070C0"/>
          </w:tcPr>
          <w:p>
            <w:pPr>
              <w:ind w:left="160"/>
              <w:spacing w:after="0"/>
              <w:rPr>
                <w:sz w:val="20"/>
                <w:szCs w:val="20"/>
                <w:color w:val="auto"/>
              </w:rPr>
            </w:pPr>
            <w:r>
              <w:rPr>
                <w:rFonts w:ascii="Arial" w:cs="Arial" w:eastAsia="Arial" w:hAnsi="Arial"/>
                <w:sz w:val="16"/>
                <w:szCs w:val="16"/>
                <w:b w:val="1"/>
                <w:bCs w:val="1"/>
                <w:color w:val="FFFFFF"/>
              </w:rPr>
              <w:t>Smelter or Refiner Name</w:t>
            </w:r>
          </w:p>
        </w:tc>
        <w:tc>
          <w:tcPr>
            <w:tcW w:w="4640" w:type="dxa"/>
            <w:vAlign w:val="bottom"/>
            <w:tcBorders>
              <w:top w:val="single" w:sz="8" w:color="auto"/>
              <w:bottom w:val="single" w:sz="8" w:color="auto"/>
              <w:right w:val="single" w:sz="8" w:color="auto"/>
            </w:tcBorders>
            <w:shd w:val="clear" w:color="auto" w:fill="0070C0"/>
          </w:tcPr>
          <w:p>
            <w:pPr>
              <w:ind w:left="1420"/>
              <w:spacing w:after="0"/>
              <w:rPr>
                <w:sz w:val="20"/>
                <w:szCs w:val="20"/>
                <w:color w:val="auto"/>
              </w:rPr>
            </w:pPr>
            <w:r>
              <w:rPr>
                <w:rFonts w:ascii="Arial" w:cs="Arial" w:eastAsia="Arial" w:hAnsi="Arial"/>
                <w:sz w:val="16"/>
                <w:szCs w:val="16"/>
                <w:b w:val="1"/>
                <w:bCs w:val="1"/>
                <w:color w:val="FFFFFF"/>
              </w:rPr>
              <w:t>Smelter Or Refiner Country</w:t>
            </w:r>
          </w:p>
        </w:tc>
        <w:tc>
          <w:tcPr>
            <w:tcW w:w="0" w:type="dxa"/>
            <w:vAlign w:val="bottom"/>
          </w:tcPr>
          <w:p>
            <w:pPr>
              <w:spacing w:after="0"/>
              <w:rPr>
                <w:sz w:val="1"/>
                <w:szCs w:val="1"/>
                <w:color w:val="auto"/>
              </w:rPr>
            </w:pPr>
          </w:p>
        </w:tc>
      </w:tr>
      <w:tr>
        <w:trPr>
          <w:trHeight w:val="209"/>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720" w:type="dxa"/>
            <w:vAlign w:val="bottom"/>
          </w:tcPr>
          <w:p>
            <w:pPr>
              <w:ind w:left="160"/>
              <w:spacing w:after="0"/>
              <w:rPr>
                <w:sz w:val="20"/>
                <w:szCs w:val="20"/>
                <w:color w:val="auto"/>
              </w:rPr>
            </w:pPr>
            <w:r>
              <w:rPr>
                <w:rFonts w:ascii="Arial" w:cs="Arial" w:eastAsia="Arial" w:hAnsi="Arial"/>
                <w:sz w:val="16"/>
                <w:szCs w:val="16"/>
                <w:color w:val="auto"/>
              </w:rPr>
              <w:t>Yokohama Metal Co.,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720" w:type="dxa"/>
            <w:vAlign w:val="bottom"/>
          </w:tcPr>
          <w:p>
            <w:pPr>
              <w:ind w:left="160"/>
              <w:spacing w:after="0"/>
              <w:rPr>
                <w:sz w:val="20"/>
                <w:szCs w:val="20"/>
                <w:color w:val="auto"/>
              </w:rPr>
            </w:pPr>
            <w:r>
              <w:rPr>
                <w:rFonts w:ascii="Arial" w:cs="Arial" w:eastAsia="Arial" w:hAnsi="Arial"/>
                <w:sz w:val="16"/>
                <w:szCs w:val="16"/>
                <w:color w:val="auto"/>
              </w:rPr>
              <w:t>Yunnan Copper Industry Co.,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720" w:type="dxa"/>
            <w:vAlign w:val="bottom"/>
          </w:tcPr>
          <w:p>
            <w:pPr>
              <w:ind w:left="160"/>
              <w:spacing w:after="0"/>
              <w:rPr>
                <w:sz w:val="20"/>
                <w:szCs w:val="20"/>
                <w:color w:val="auto"/>
              </w:rPr>
            </w:pPr>
            <w:r>
              <w:rPr>
                <w:rFonts w:ascii="Arial" w:cs="Arial" w:eastAsia="Arial" w:hAnsi="Arial"/>
                <w:sz w:val="16"/>
                <w:szCs w:val="16"/>
                <w:color w:val="auto"/>
              </w:rPr>
              <w:t>Yunnan Gold Mining Group Co., Ltd. (YGMG)</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720" w:type="dxa"/>
            <w:vAlign w:val="bottom"/>
          </w:tcPr>
          <w:p>
            <w:pPr>
              <w:ind w:left="160"/>
              <w:spacing w:after="0"/>
              <w:rPr>
                <w:sz w:val="20"/>
                <w:szCs w:val="20"/>
                <w:color w:val="auto"/>
              </w:rPr>
            </w:pPr>
            <w:r>
              <w:rPr>
                <w:rFonts w:ascii="Arial" w:cs="Arial" w:eastAsia="Arial" w:hAnsi="Arial"/>
                <w:sz w:val="16"/>
                <w:szCs w:val="16"/>
                <w:color w:val="auto"/>
              </w:rPr>
              <w:t>Zhe Jiang Guang Yuan Noble Metal Smelting Factory</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720" w:type="dxa"/>
            <w:vAlign w:val="bottom"/>
          </w:tcPr>
          <w:p>
            <w:pPr>
              <w:ind w:left="160"/>
              <w:spacing w:after="0"/>
              <w:rPr>
                <w:sz w:val="20"/>
                <w:szCs w:val="20"/>
                <w:color w:val="auto"/>
              </w:rPr>
            </w:pPr>
            <w:r>
              <w:rPr>
                <w:rFonts w:ascii="Arial" w:cs="Arial" w:eastAsia="Arial" w:hAnsi="Arial"/>
                <w:sz w:val="16"/>
                <w:szCs w:val="16"/>
                <w:color w:val="auto"/>
              </w:rPr>
              <w:t>Zhongkuang Gold Industry Co.,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720" w:type="dxa"/>
            <w:vAlign w:val="bottom"/>
          </w:tcPr>
          <w:p>
            <w:pPr>
              <w:ind w:left="160"/>
              <w:spacing w:after="0"/>
              <w:rPr>
                <w:sz w:val="20"/>
                <w:szCs w:val="20"/>
                <w:color w:val="auto"/>
              </w:rPr>
            </w:pPr>
            <w:r>
              <w:rPr>
                <w:rFonts w:ascii="Arial" w:cs="Arial" w:eastAsia="Arial" w:hAnsi="Arial"/>
                <w:sz w:val="16"/>
                <w:szCs w:val="16"/>
                <w:color w:val="auto"/>
              </w:rPr>
              <w:t>Zhongshan Hyper-Toxic Substance Monopolized Co.,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720" w:type="dxa"/>
            <w:vAlign w:val="bottom"/>
          </w:tcPr>
          <w:p>
            <w:pPr>
              <w:ind w:left="160"/>
              <w:spacing w:after="0"/>
              <w:rPr>
                <w:sz w:val="20"/>
                <w:szCs w:val="20"/>
                <w:color w:val="auto"/>
              </w:rPr>
            </w:pPr>
            <w:r>
              <w:rPr>
                <w:rFonts w:ascii="Arial" w:cs="Arial" w:eastAsia="Arial" w:hAnsi="Arial"/>
                <w:sz w:val="16"/>
                <w:szCs w:val="16"/>
                <w:color w:val="auto"/>
              </w:rPr>
              <w:t>Zhongshan Poison Material Proprietary Co.,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720" w:type="dxa"/>
            <w:vAlign w:val="bottom"/>
          </w:tcPr>
          <w:p>
            <w:pPr>
              <w:ind w:left="160"/>
              <w:spacing w:after="0"/>
              <w:rPr>
                <w:sz w:val="20"/>
                <w:szCs w:val="20"/>
                <w:color w:val="auto"/>
              </w:rPr>
            </w:pPr>
            <w:r>
              <w:rPr>
                <w:rFonts w:ascii="Arial" w:cs="Arial" w:eastAsia="Arial" w:hAnsi="Arial"/>
                <w:sz w:val="16"/>
                <w:szCs w:val="16"/>
                <w:color w:val="auto"/>
              </w:rPr>
              <w:t>Zhongyuan Gold Smelter of Zhongjin Gold Corporation</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720" w:type="dxa"/>
            <w:vAlign w:val="bottom"/>
          </w:tcPr>
          <w:p>
            <w:pPr>
              <w:ind w:left="160"/>
              <w:spacing w:after="0"/>
              <w:rPr>
                <w:sz w:val="20"/>
                <w:szCs w:val="20"/>
                <w:color w:val="auto"/>
              </w:rPr>
            </w:pPr>
            <w:r>
              <w:rPr>
                <w:rFonts w:ascii="Arial" w:cs="Arial" w:eastAsia="Arial" w:hAnsi="Arial"/>
                <w:sz w:val="16"/>
                <w:szCs w:val="16"/>
                <w:color w:val="auto"/>
              </w:rPr>
              <w:t>Zhuhai toxic materials Monopoly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720" w:type="dxa"/>
            <w:vAlign w:val="bottom"/>
          </w:tcPr>
          <w:p>
            <w:pPr>
              <w:ind w:left="160"/>
              <w:spacing w:after="0"/>
              <w:rPr>
                <w:sz w:val="20"/>
                <w:szCs w:val="20"/>
                <w:color w:val="auto"/>
              </w:rPr>
            </w:pPr>
            <w:r>
              <w:rPr>
                <w:rFonts w:ascii="Arial" w:cs="Arial" w:eastAsia="Arial" w:hAnsi="Arial"/>
                <w:sz w:val="16"/>
                <w:szCs w:val="16"/>
                <w:color w:val="auto"/>
              </w:rPr>
              <w:t>Zhuzhou Smelting Group Co.,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5D Production OU</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ESTONIA</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AMG Brasil</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ANHUI HERRMAN IMPEX CO.</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Asaka Riken Co.,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163"/>
        </w:trPr>
        <w:tc>
          <w:tcPr>
            <w:tcW w:w="90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vMerge w:val="restart"/>
          </w:tcPr>
          <w:p>
            <w:pPr>
              <w:ind w:left="160"/>
              <w:spacing w:after="0"/>
              <w:rPr>
                <w:sz w:val="20"/>
                <w:szCs w:val="20"/>
                <w:color w:val="auto"/>
              </w:rPr>
            </w:pPr>
            <w:r>
              <w:rPr>
                <w:rFonts w:ascii="Arial" w:cs="Arial" w:eastAsia="Arial" w:hAnsi="Arial"/>
                <w:sz w:val="16"/>
                <w:szCs w:val="16"/>
                <w:color w:val="auto"/>
              </w:rPr>
              <w:t>Avon Specialty Metals Ltd.</w:t>
            </w:r>
          </w:p>
        </w:tc>
        <w:tc>
          <w:tcPr>
            <w:tcW w:w="4640" w:type="dxa"/>
            <w:vAlign w:val="bottom"/>
            <w:tcBorders>
              <w:right w:val="single" w:sz="8" w:color="auto"/>
            </w:tcBorders>
          </w:tcPr>
          <w:p>
            <w:pPr>
              <w:ind w:left="1420"/>
              <w:spacing w:after="0" w:line="163" w:lineRule="exact"/>
              <w:rPr>
                <w:sz w:val="20"/>
                <w:szCs w:val="20"/>
                <w:color w:val="auto"/>
              </w:rPr>
            </w:pPr>
            <w:r>
              <w:rPr>
                <w:rFonts w:ascii="Arial" w:cs="Arial" w:eastAsia="Arial" w:hAnsi="Arial"/>
                <w:sz w:val="16"/>
                <w:szCs w:val="16"/>
                <w:color w:val="auto"/>
              </w:rPr>
              <w:t>UNITED KINGDOM OF GREAT BRITAIN</w:t>
            </w:r>
          </w:p>
        </w:tc>
        <w:tc>
          <w:tcPr>
            <w:tcW w:w="0" w:type="dxa"/>
            <w:vAlign w:val="bottom"/>
          </w:tcPr>
          <w:p>
            <w:pPr>
              <w:spacing w:after="0"/>
              <w:rPr>
                <w:sz w:val="1"/>
                <w:szCs w:val="1"/>
                <w:color w:val="auto"/>
              </w:rPr>
            </w:pPr>
          </w:p>
        </w:tc>
      </w:tr>
      <w:tr>
        <w:trPr>
          <w:trHeight w:val="141"/>
        </w:trPr>
        <w:tc>
          <w:tcPr>
            <w:tcW w:w="900" w:type="dxa"/>
            <w:vAlign w:val="bottom"/>
            <w:tcBorders>
              <w:left w:val="single" w:sz="8" w:color="auto"/>
            </w:tcBorders>
            <w:vMerge w:val="continue"/>
          </w:tcPr>
          <w:p>
            <w:pPr>
              <w:spacing w:after="0"/>
              <w:rPr>
                <w:sz w:val="12"/>
                <w:szCs w:val="12"/>
                <w:color w:val="auto"/>
              </w:rPr>
            </w:pPr>
          </w:p>
        </w:tc>
        <w:tc>
          <w:tcPr>
            <w:tcW w:w="5720" w:type="dxa"/>
            <w:vAlign w:val="bottom"/>
            <w:vMerge w:val="continue"/>
          </w:tcPr>
          <w:p>
            <w:pPr>
              <w:spacing w:after="0"/>
              <w:rPr>
                <w:sz w:val="12"/>
                <w:szCs w:val="12"/>
                <w:color w:val="auto"/>
              </w:rPr>
            </w:pPr>
          </w:p>
        </w:tc>
        <w:tc>
          <w:tcPr>
            <w:tcW w:w="4640" w:type="dxa"/>
            <w:vAlign w:val="bottom"/>
            <w:tcBorders>
              <w:right w:val="single" w:sz="8" w:color="auto"/>
            </w:tcBorders>
            <w:vMerge w:val="restart"/>
          </w:tcPr>
          <w:p>
            <w:pPr>
              <w:ind w:left="1420"/>
              <w:spacing w:after="0"/>
              <w:rPr>
                <w:sz w:val="20"/>
                <w:szCs w:val="20"/>
                <w:color w:val="auto"/>
              </w:rPr>
            </w:pPr>
            <w:r>
              <w:rPr>
                <w:rFonts w:ascii="Arial" w:cs="Arial" w:eastAsia="Arial" w:hAnsi="Arial"/>
                <w:sz w:val="16"/>
                <w:szCs w:val="16"/>
                <w:color w:val="auto"/>
              </w:rPr>
              <w:t>AND NORTHERN IRELAND</w:t>
            </w:r>
          </w:p>
        </w:tc>
        <w:tc>
          <w:tcPr>
            <w:tcW w:w="0" w:type="dxa"/>
            <w:vAlign w:val="bottom"/>
          </w:tcPr>
          <w:p>
            <w:pPr>
              <w:spacing w:after="0"/>
              <w:rPr>
                <w:sz w:val="1"/>
                <w:szCs w:val="1"/>
                <w:color w:val="auto"/>
              </w:rPr>
            </w:pPr>
          </w:p>
        </w:tc>
      </w:tr>
      <w:tr>
        <w:trPr>
          <w:trHeight w:val="74"/>
        </w:trPr>
        <w:tc>
          <w:tcPr>
            <w:tcW w:w="900" w:type="dxa"/>
            <w:vAlign w:val="bottom"/>
            <w:tcBorders>
              <w:left w:val="single" w:sz="8" w:color="auto"/>
            </w:tcBorders>
          </w:tcPr>
          <w:p>
            <w:pPr>
              <w:spacing w:after="0"/>
              <w:rPr>
                <w:sz w:val="6"/>
                <w:szCs w:val="6"/>
                <w:color w:val="auto"/>
              </w:rPr>
            </w:pPr>
          </w:p>
        </w:tc>
        <w:tc>
          <w:tcPr>
            <w:tcW w:w="5720" w:type="dxa"/>
            <w:vAlign w:val="bottom"/>
          </w:tcPr>
          <w:p>
            <w:pPr>
              <w:spacing w:after="0"/>
              <w:rPr>
                <w:sz w:val="6"/>
                <w:szCs w:val="6"/>
                <w:color w:val="auto"/>
              </w:rPr>
            </w:pPr>
          </w:p>
        </w:tc>
        <w:tc>
          <w:tcPr>
            <w:tcW w:w="46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Baoji Towin Rare Metals Co.,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Changsha South Tantalum Niobium Co.,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CMT Rare Metal Advanced Materials (Hunan) Co.,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CP Metals Inc.</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D Block Metals, LLC</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Exotech Inc.</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F&amp;X Electro-Materials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FIR Metals &amp; Resource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Global Advanced Metals Aizu</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Global Advanced Metals Boyertown</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Guangdong Rising Rare Metals-EO Materials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H.C. Starck Hermsdorf GmbH</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Hengyang King Xing Lifeng New Materials Co.,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Jiangxi Dinghai Tantalum &amp; Niobium Co.,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Jiangxi Sanshi Nonferrous Metals Co.,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Jiangxi Tuohong New Raw Material</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Jiujiang Janny New Material Co.,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JiuJiang JinXin Nonferrous Metals Co.,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Jiujiang Tanbre Co.,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Jiujiang Zhongao Tantalum &amp; Niobium Co.,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KEMET Blue Powder</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KEMET de Mexico</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MEXICO</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Kmeta materials</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NORTH MACEDONIA</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Materion Newton Inc.</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Metallurgical Products India Pvt.,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INDIA</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Mineracao Taboca S.A.</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Mitsui Mining and Smelting Co.,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Ningxia Orient Tantalum Industry Co.,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NPM Silmet AS</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ESTONIA</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PowerX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RWANDA</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QSIL Metals Hermsdorf GmbH</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QuantumClean</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Resind Industria e Comercio Ltda.</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RFH Recycling Metals Co.,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RFH Tantalum Smeltry Co.,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RFH Yancheng Jinye New Material Technology Co.,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7"/>
        </w:trPr>
        <w:tc>
          <w:tcPr>
            <w:tcW w:w="9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Solikamsk Magnesium Works OAO</w:t>
            </w:r>
          </w:p>
        </w:tc>
        <w:tc>
          <w:tcPr>
            <w:tcW w:w="4640" w:type="dxa"/>
            <w:vAlign w:val="bottom"/>
            <w:tcBorders>
              <w:bottom w:val="single" w:sz="8" w:color="auto"/>
              <w:right w:val="single" w:sz="8" w:color="auto"/>
            </w:tcBorders>
          </w:tcPr>
          <w:p>
            <w:pPr>
              <w:ind w:left="1420"/>
              <w:spacing w:after="0"/>
              <w:rPr>
                <w:sz w:val="20"/>
                <w:szCs w:val="20"/>
                <w:color w:val="auto"/>
              </w:rPr>
            </w:pPr>
            <w:r>
              <w:rPr>
                <w:rFonts w:ascii="Arial" w:cs="Arial" w:eastAsia="Arial" w:hAnsi="Arial"/>
                <w:sz w:val="16"/>
                <w:szCs w:val="16"/>
                <w:color w:val="auto"/>
              </w:rPr>
              <w:t>RUSSIAN FEDERATION</w:t>
            </w:r>
          </w:p>
        </w:tc>
        <w:tc>
          <w:tcPr>
            <w:tcW w:w="0" w:type="dxa"/>
            <w:vAlign w:val="bottom"/>
          </w:tcPr>
          <w:p>
            <w:pPr>
              <w:spacing w:after="0"/>
              <w:rPr>
                <w:sz w:val="1"/>
                <w:szCs w:val="1"/>
                <w:color w:val="auto"/>
              </w:rPr>
            </w:pPr>
          </w:p>
        </w:tc>
      </w:tr>
    </w:tbl>
    <w:p>
      <w:pPr>
        <w:sectPr>
          <w:pgSz w:w="11900" w:h="16838" w:orient="portrait"/>
          <w:cols w:equalWidth="0" w:num="1">
            <w:col w:w="11260"/>
          </w:cols>
          <w:pgMar w:left="320" w:top="929" w:right="31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900" w:type="dxa"/>
            <w:vAlign w:val="bottom"/>
            <w:tcBorders>
              <w:top w:val="single" w:sz="8" w:color="auto"/>
              <w:left w:val="single" w:sz="8" w:color="auto"/>
              <w:bottom w:val="single" w:sz="8" w:color="auto"/>
            </w:tcBorders>
            <w:shd w:val="clear" w:color="auto" w:fill="0070C0"/>
          </w:tcPr>
          <w:p>
            <w:pPr>
              <w:ind w:left="80"/>
              <w:spacing w:after="0"/>
              <w:rPr>
                <w:sz w:val="20"/>
                <w:szCs w:val="20"/>
                <w:color w:val="auto"/>
              </w:rPr>
            </w:pPr>
            <w:r>
              <w:rPr>
                <w:rFonts w:ascii="Arial" w:cs="Arial" w:eastAsia="Arial" w:hAnsi="Arial"/>
                <w:sz w:val="16"/>
                <w:szCs w:val="16"/>
                <w:b w:val="1"/>
                <w:bCs w:val="1"/>
                <w:color w:val="FFFFFF"/>
              </w:rPr>
              <w:t>Metal</w:t>
            </w:r>
          </w:p>
        </w:tc>
        <w:tc>
          <w:tcPr>
            <w:tcW w:w="6800" w:type="dxa"/>
            <w:vAlign w:val="bottom"/>
            <w:tcBorders>
              <w:top w:val="single" w:sz="8" w:color="auto"/>
              <w:bottom w:val="single" w:sz="8" w:color="auto"/>
            </w:tcBorders>
            <w:shd w:val="clear" w:color="auto" w:fill="0070C0"/>
          </w:tcPr>
          <w:p>
            <w:pPr>
              <w:ind w:left="160"/>
              <w:spacing w:after="0"/>
              <w:rPr>
                <w:sz w:val="20"/>
                <w:szCs w:val="20"/>
                <w:color w:val="auto"/>
              </w:rPr>
            </w:pPr>
            <w:r>
              <w:rPr>
                <w:rFonts w:ascii="Arial" w:cs="Arial" w:eastAsia="Arial" w:hAnsi="Arial"/>
                <w:sz w:val="16"/>
                <w:szCs w:val="16"/>
                <w:b w:val="1"/>
                <w:bCs w:val="1"/>
                <w:color w:val="FFFFFF"/>
              </w:rPr>
              <w:t>Smelter or Refiner Name</w:t>
            </w:r>
          </w:p>
        </w:tc>
        <w:tc>
          <w:tcPr>
            <w:tcW w:w="3560" w:type="dxa"/>
            <w:vAlign w:val="bottom"/>
            <w:tcBorders>
              <w:top w:val="single" w:sz="8" w:color="auto"/>
              <w:bottom w:val="single" w:sz="8" w:color="auto"/>
              <w:right w:val="single" w:sz="8" w:color="auto"/>
            </w:tcBorders>
            <w:shd w:val="clear" w:color="auto" w:fill="0070C0"/>
          </w:tcPr>
          <w:p>
            <w:pPr>
              <w:ind w:left="340"/>
              <w:spacing w:after="0"/>
              <w:rPr>
                <w:sz w:val="20"/>
                <w:szCs w:val="20"/>
                <w:color w:val="auto"/>
              </w:rPr>
            </w:pPr>
            <w:r>
              <w:rPr>
                <w:rFonts w:ascii="Arial" w:cs="Arial" w:eastAsia="Arial" w:hAnsi="Arial"/>
                <w:sz w:val="16"/>
                <w:szCs w:val="16"/>
                <w:b w:val="1"/>
                <w:bCs w:val="1"/>
                <w:color w:val="FFFFFF"/>
              </w:rPr>
              <w:t>Smelter Or Refiner Country</w:t>
            </w:r>
          </w:p>
        </w:tc>
      </w:tr>
      <w:tr>
        <w:trPr>
          <w:trHeight w:val="209"/>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800" w:type="dxa"/>
            <w:vAlign w:val="bottom"/>
          </w:tcPr>
          <w:p>
            <w:pPr>
              <w:ind w:left="160"/>
              <w:spacing w:after="0"/>
              <w:rPr>
                <w:sz w:val="20"/>
                <w:szCs w:val="20"/>
                <w:color w:val="auto"/>
              </w:rPr>
            </w:pPr>
            <w:r>
              <w:rPr>
                <w:rFonts w:ascii="Arial" w:cs="Arial" w:eastAsia="Arial" w:hAnsi="Arial"/>
                <w:sz w:val="16"/>
                <w:szCs w:val="16"/>
                <w:color w:val="auto"/>
              </w:rPr>
              <w:t>Taki Chemical Co., Ltd.</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JAPAN</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800" w:type="dxa"/>
            <w:vAlign w:val="bottom"/>
          </w:tcPr>
          <w:p>
            <w:pPr>
              <w:ind w:left="160"/>
              <w:spacing w:after="0"/>
              <w:rPr>
                <w:sz w:val="20"/>
                <w:szCs w:val="20"/>
                <w:color w:val="auto"/>
              </w:rPr>
            </w:pPr>
            <w:r>
              <w:rPr>
                <w:rFonts w:ascii="Arial" w:cs="Arial" w:eastAsia="Arial" w:hAnsi="Arial"/>
                <w:sz w:val="16"/>
                <w:szCs w:val="16"/>
                <w:color w:val="auto"/>
              </w:rPr>
              <w:t>TANIOBIS Co., Ltd.</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THAILAND</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800" w:type="dxa"/>
            <w:vAlign w:val="bottom"/>
          </w:tcPr>
          <w:p>
            <w:pPr>
              <w:ind w:left="160"/>
              <w:spacing w:after="0"/>
              <w:rPr>
                <w:sz w:val="20"/>
                <w:szCs w:val="20"/>
                <w:color w:val="auto"/>
              </w:rPr>
            </w:pPr>
            <w:r>
              <w:rPr>
                <w:rFonts w:ascii="Arial" w:cs="Arial" w:eastAsia="Arial" w:hAnsi="Arial"/>
                <w:sz w:val="16"/>
                <w:szCs w:val="16"/>
                <w:color w:val="auto"/>
              </w:rPr>
              <w:t>TANIOBIS GmbH</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GERMANY</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800" w:type="dxa"/>
            <w:vAlign w:val="bottom"/>
          </w:tcPr>
          <w:p>
            <w:pPr>
              <w:ind w:left="160"/>
              <w:spacing w:after="0"/>
              <w:rPr>
                <w:sz w:val="20"/>
                <w:szCs w:val="20"/>
                <w:color w:val="auto"/>
              </w:rPr>
            </w:pPr>
            <w:r>
              <w:rPr>
                <w:rFonts w:ascii="Arial" w:cs="Arial" w:eastAsia="Arial" w:hAnsi="Arial"/>
                <w:sz w:val="16"/>
                <w:szCs w:val="16"/>
                <w:color w:val="auto"/>
              </w:rPr>
              <w:t>TANIOBIS Japan Co., Ltd.</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JAPAN</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800" w:type="dxa"/>
            <w:vAlign w:val="bottom"/>
          </w:tcPr>
          <w:p>
            <w:pPr>
              <w:ind w:left="160"/>
              <w:spacing w:after="0"/>
              <w:rPr>
                <w:sz w:val="20"/>
                <w:szCs w:val="20"/>
                <w:color w:val="auto"/>
              </w:rPr>
            </w:pPr>
            <w:r>
              <w:rPr>
                <w:rFonts w:ascii="Arial" w:cs="Arial" w:eastAsia="Arial" w:hAnsi="Arial"/>
                <w:sz w:val="16"/>
                <w:szCs w:val="16"/>
                <w:color w:val="auto"/>
              </w:rPr>
              <w:t>TANIOBIS Smelting GmbH &amp; Co. KG</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GERMANY</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800" w:type="dxa"/>
            <w:vAlign w:val="bottom"/>
          </w:tcPr>
          <w:p>
            <w:pPr>
              <w:ind w:left="160"/>
              <w:spacing w:after="0"/>
              <w:rPr>
                <w:sz w:val="20"/>
                <w:szCs w:val="20"/>
                <w:color w:val="auto"/>
              </w:rPr>
            </w:pPr>
            <w:r>
              <w:rPr>
                <w:rFonts w:ascii="Arial" w:cs="Arial" w:eastAsia="Arial" w:hAnsi="Arial"/>
                <w:sz w:val="16"/>
                <w:szCs w:val="16"/>
                <w:color w:val="auto"/>
              </w:rPr>
              <w:t>Telex Metals</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UNITED STATES OF AMERICA</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800" w:type="dxa"/>
            <w:vAlign w:val="bottom"/>
          </w:tcPr>
          <w:p>
            <w:pPr>
              <w:ind w:left="160"/>
              <w:spacing w:after="0"/>
              <w:rPr>
                <w:sz w:val="20"/>
                <w:szCs w:val="20"/>
                <w:color w:val="auto"/>
              </w:rPr>
            </w:pPr>
            <w:r>
              <w:rPr>
                <w:rFonts w:ascii="Arial" w:cs="Arial" w:eastAsia="Arial" w:hAnsi="Arial"/>
                <w:sz w:val="16"/>
                <w:szCs w:val="16"/>
                <w:color w:val="auto"/>
              </w:rPr>
              <w:t>Ulba Metallurgical Plant JSC</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KAZAKHSTAN</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800" w:type="dxa"/>
            <w:vAlign w:val="bottom"/>
          </w:tcPr>
          <w:p>
            <w:pPr>
              <w:ind w:left="160"/>
              <w:spacing w:after="0"/>
              <w:rPr>
                <w:sz w:val="20"/>
                <w:szCs w:val="20"/>
                <w:color w:val="auto"/>
              </w:rPr>
            </w:pPr>
            <w:r>
              <w:rPr>
                <w:rFonts w:ascii="Arial" w:cs="Arial" w:eastAsia="Arial" w:hAnsi="Arial"/>
                <w:sz w:val="16"/>
                <w:szCs w:val="16"/>
                <w:color w:val="auto"/>
              </w:rPr>
              <w:t>ULVAC Inc.</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JAPAN</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800" w:type="dxa"/>
            <w:vAlign w:val="bottom"/>
          </w:tcPr>
          <w:p>
            <w:pPr>
              <w:ind w:left="160"/>
              <w:spacing w:after="0"/>
              <w:rPr>
                <w:sz w:val="20"/>
                <w:szCs w:val="20"/>
                <w:color w:val="auto"/>
              </w:rPr>
            </w:pPr>
            <w:r>
              <w:rPr>
                <w:rFonts w:ascii="Arial" w:cs="Arial" w:eastAsia="Arial" w:hAnsi="Arial"/>
                <w:sz w:val="16"/>
                <w:szCs w:val="16"/>
                <w:color w:val="auto"/>
              </w:rPr>
              <w:t>V&amp;D New Materials (Jiangsu) Co., Ltd.</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CHINA</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800" w:type="dxa"/>
            <w:vAlign w:val="bottom"/>
          </w:tcPr>
          <w:p>
            <w:pPr>
              <w:ind w:left="160"/>
              <w:spacing w:after="0"/>
              <w:rPr>
                <w:sz w:val="20"/>
                <w:szCs w:val="20"/>
                <w:color w:val="auto"/>
              </w:rPr>
            </w:pPr>
            <w:r>
              <w:rPr>
                <w:rFonts w:ascii="Arial" w:cs="Arial" w:eastAsia="Arial" w:hAnsi="Arial"/>
                <w:sz w:val="16"/>
                <w:szCs w:val="16"/>
                <w:color w:val="auto"/>
              </w:rPr>
              <w:t>XIMEI RESOURCES (GUANGDONG) LIMITED</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CHINA</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800" w:type="dxa"/>
            <w:vAlign w:val="bottom"/>
          </w:tcPr>
          <w:p>
            <w:pPr>
              <w:ind w:left="160"/>
              <w:spacing w:after="0"/>
              <w:rPr>
                <w:sz w:val="20"/>
                <w:szCs w:val="20"/>
                <w:color w:val="auto"/>
              </w:rPr>
            </w:pPr>
            <w:r>
              <w:rPr>
                <w:rFonts w:ascii="Arial" w:cs="Arial" w:eastAsia="Arial" w:hAnsi="Arial"/>
                <w:sz w:val="16"/>
                <w:szCs w:val="16"/>
                <w:color w:val="auto"/>
              </w:rPr>
              <w:t>XIMEI RESOURCES(GUIZHOU) TECHNOLOGY CO., Ltd.</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CHINA</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800" w:type="dxa"/>
            <w:vAlign w:val="bottom"/>
          </w:tcPr>
          <w:p>
            <w:pPr>
              <w:ind w:left="160"/>
              <w:spacing w:after="0"/>
              <w:rPr>
                <w:sz w:val="20"/>
                <w:szCs w:val="20"/>
                <w:color w:val="auto"/>
              </w:rPr>
            </w:pPr>
            <w:r>
              <w:rPr>
                <w:rFonts w:ascii="Arial" w:cs="Arial" w:eastAsia="Arial" w:hAnsi="Arial"/>
                <w:sz w:val="16"/>
                <w:szCs w:val="16"/>
                <w:color w:val="auto"/>
              </w:rPr>
              <w:t>XinXing HaoRong Electronic Material Co., Ltd.</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CHINA</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800" w:type="dxa"/>
            <w:vAlign w:val="bottom"/>
          </w:tcPr>
          <w:p>
            <w:pPr>
              <w:ind w:left="160"/>
              <w:spacing w:after="0"/>
              <w:rPr>
                <w:sz w:val="20"/>
                <w:szCs w:val="20"/>
                <w:color w:val="auto"/>
              </w:rPr>
            </w:pPr>
            <w:r>
              <w:rPr>
                <w:rFonts w:ascii="Arial" w:cs="Arial" w:eastAsia="Arial" w:hAnsi="Arial"/>
                <w:sz w:val="16"/>
                <w:szCs w:val="16"/>
                <w:color w:val="auto"/>
              </w:rPr>
              <w:t>Yanling Jincheng Tantalum &amp; Niobium Co., Ltd.</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CHINA</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800" w:type="dxa"/>
            <w:vAlign w:val="bottom"/>
          </w:tcPr>
          <w:p>
            <w:pPr>
              <w:ind w:left="160"/>
              <w:spacing w:after="0"/>
              <w:rPr>
                <w:sz w:val="20"/>
                <w:szCs w:val="20"/>
                <w:color w:val="auto"/>
              </w:rPr>
            </w:pPr>
            <w:r>
              <w:rPr>
                <w:rFonts w:ascii="Arial" w:cs="Arial" w:eastAsia="Arial" w:hAnsi="Arial"/>
                <w:sz w:val="16"/>
                <w:szCs w:val="16"/>
                <w:color w:val="auto"/>
              </w:rPr>
              <w:t>Zhuzhou Cemented Carbide Group Co., Ltd.</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CHINA</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Alpha</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UNITED STATES OF AMERICA</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Alpha Assembly Solutions Inc</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UNITED STATES OF AMERICA</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Alpha Metals</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UNITED STATES OF AMERICA</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An Vinh Joint Stock Mineral Processing Company</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VIET NAM</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Aurubis Beerse</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BELGIUM</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Aurubis Berango</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SPAIN</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Chenzhou Yunxiang Mining and Metallurgy Co., Ltd.</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CHINA</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Chifeng Dajingzi Tin Industry Co., Ltd.</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CHINA</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China Tin Group Co., Ltd.</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CHINA</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Chofu Works</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JAPAN</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CRM Fundicao De Metais E Comercio De Equipamentos Eletronicos Do Brasil Ltda.</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BRAZIL</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CRM Synergies</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SPAIN</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CV Ayi Jaya</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INDONESIA</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CV Gita Pesona</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INDONESIA</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CV Tiga Sekawan</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INDONESIA</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CV United Smelting</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INDONESIA</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CV Venus Inti Perkasa</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INDONESIA</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Dongguan CiEXPO Environmental Engineering Co., Ltd.</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CHINA</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Dongguan City Xida Soldering Tin Products Co.</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CHINA</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Dowa</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JAPAN</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DS Myanmar</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MYANMAR</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Electro-Mechanical Facility of the Cao Bang Minerals &amp; Metallurgy Joint Stock Company</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VIET NAM</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EM Vinto</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BOLIVIA (PLURINATIONAL STATE OF)</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Empresa Metalúrgica Vinto</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BOLIVIA (PLURINATIONAL STATE OF)</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ENAF</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BOLIVIA (PLURINATIONAL STATE OF)</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Estanho de Rondonia S.A.</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BRAZIL</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Fabrica Auricchio Industria e Comercio Ltda.</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BRAZIL</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Feinhutte Halsbrucke GmbH</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GERMANY</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Fenix Metals</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POLAND</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Gejiu City Fuxiang Industry and Trade Co., Ltd.</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CHINA</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Gejiu Fengming Metallurgy Chemical Plant</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CHINA</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Gejiu Kai Meng Industry and Trade LLC</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CHINA</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Gejiu Non-Ferrous Metal Processing Co., Ltd.</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CHINA</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Gejiu Yunxi Group Corp.</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CHINA</w:t>
            </w:r>
          </w:p>
        </w:tc>
      </w:tr>
      <w:tr>
        <w:trPr>
          <w:trHeight w:val="216"/>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Gejiu Yunxin Nonferrous Electrolysis Co., Ltd.</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CHINA</w:t>
            </w:r>
          </w:p>
        </w:tc>
      </w:tr>
      <w:tr>
        <w:trPr>
          <w:trHeight w:val="217"/>
        </w:trPr>
        <w:tc>
          <w:tcPr>
            <w:tcW w:w="9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Gejiu Zili Mining And Metallurgy Co., Ltd.</w:t>
            </w:r>
          </w:p>
        </w:tc>
        <w:tc>
          <w:tcPr>
            <w:tcW w:w="356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CHINA</w:t>
            </w:r>
          </w:p>
        </w:tc>
      </w:tr>
    </w:tbl>
    <w:p>
      <w:pPr>
        <w:sectPr>
          <w:pgSz w:w="11900" w:h="16838" w:orient="portrait"/>
          <w:cols w:equalWidth="0" w:num="1">
            <w:col w:w="11260"/>
          </w:cols>
          <w:pgMar w:left="320" w:top="930" w:right="31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780" w:type="dxa"/>
            <w:vAlign w:val="bottom"/>
            <w:tcBorders>
              <w:top w:val="single" w:sz="8" w:color="auto"/>
              <w:left w:val="single" w:sz="8" w:color="auto"/>
              <w:bottom w:val="single" w:sz="8" w:color="auto"/>
            </w:tcBorders>
            <w:shd w:val="clear" w:color="auto" w:fill="0070C0"/>
          </w:tcPr>
          <w:p>
            <w:pPr>
              <w:ind w:left="80"/>
              <w:spacing w:after="0"/>
              <w:rPr>
                <w:sz w:val="20"/>
                <w:szCs w:val="20"/>
                <w:color w:val="auto"/>
              </w:rPr>
            </w:pPr>
            <w:r>
              <w:rPr>
                <w:rFonts w:ascii="Arial" w:cs="Arial" w:eastAsia="Arial" w:hAnsi="Arial"/>
                <w:sz w:val="16"/>
                <w:szCs w:val="16"/>
                <w:b w:val="1"/>
                <w:bCs w:val="1"/>
                <w:color w:val="FFFFFF"/>
              </w:rPr>
              <w:t>Metal</w:t>
            </w:r>
          </w:p>
        </w:tc>
        <w:tc>
          <w:tcPr>
            <w:tcW w:w="6700" w:type="dxa"/>
            <w:vAlign w:val="bottom"/>
            <w:tcBorders>
              <w:top w:val="single" w:sz="8" w:color="auto"/>
              <w:bottom w:val="single" w:sz="8" w:color="auto"/>
            </w:tcBorders>
            <w:shd w:val="clear" w:color="auto" w:fill="0070C0"/>
          </w:tcPr>
          <w:p>
            <w:pPr>
              <w:ind w:left="280"/>
              <w:spacing w:after="0"/>
              <w:rPr>
                <w:sz w:val="20"/>
                <w:szCs w:val="20"/>
                <w:color w:val="auto"/>
              </w:rPr>
            </w:pPr>
            <w:r>
              <w:rPr>
                <w:rFonts w:ascii="Arial" w:cs="Arial" w:eastAsia="Arial" w:hAnsi="Arial"/>
                <w:sz w:val="16"/>
                <w:szCs w:val="16"/>
                <w:b w:val="1"/>
                <w:bCs w:val="1"/>
                <w:color w:val="FFFFFF"/>
              </w:rPr>
              <w:t>Smelter or Refiner Name</w:t>
            </w:r>
          </w:p>
        </w:tc>
        <w:tc>
          <w:tcPr>
            <w:tcW w:w="3780" w:type="dxa"/>
            <w:vAlign w:val="bottom"/>
            <w:tcBorders>
              <w:top w:val="single" w:sz="8" w:color="auto"/>
              <w:bottom w:val="single" w:sz="8" w:color="auto"/>
              <w:right w:val="single" w:sz="8" w:color="auto"/>
            </w:tcBorders>
            <w:shd w:val="clear" w:color="auto" w:fill="0070C0"/>
          </w:tcPr>
          <w:p>
            <w:pPr>
              <w:ind w:left="560"/>
              <w:spacing w:after="0"/>
              <w:rPr>
                <w:sz w:val="20"/>
                <w:szCs w:val="20"/>
                <w:color w:val="auto"/>
              </w:rPr>
            </w:pPr>
            <w:r>
              <w:rPr>
                <w:rFonts w:ascii="Arial" w:cs="Arial" w:eastAsia="Arial" w:hAnsi="Arial"/>
                <w:sz w:val="16"/>
                <w:szCs w:val="16"/>
                <w:b w:val="1"/>
                <w:bCs w:val="1"/>
                <w:color w:val="FFFFFF"/>
              </w:rPr>
              <w:t>Smelter Or Refiner Country</w:t>
            </w:r>
          </w:p>
        </w:tc>
        <w:tc>
          <w:tcPr>
            <w:tcW w:w="0" w:type="dxa"/>
            <w:vAlign w:val="bottom"/>
          </w:tcPr>
          <w:p>
            <w:pPr>
              <w:spacing w:after="0"/>
              <w:rPr>
                <w:sz w:val="1"/>
                <w:szCs w:val="1"/>
                <w:color w:val="auto"/>
              </w:rPr>
            </w:pPr>
          </w:p>
        </w:tc>
      </w:tr>
      <w:tr>
        <w:trPr>
          <w:trHeight w:val="209"/>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Global Advanced Metals Greenbushes Pty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AUSTRALIA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Guangdong Hanhe Non-Ferrous Metal Co.,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GUANGXI HUA TIN GOLD MINUTE FEE,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Guangxi Nonferrous Metals Group</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Guangxi Zhongshan Jin Yi Smelting Co.,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Hezhou Jinwei Tin Co.,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Hongqiao Metals (Kunshan) Co.,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HuiChang Hill Tin Industry Co.,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Huichang Jinshunda Tin Co.,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Hulterworth Smelter</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Jean Goldschmidt International (JGI Hydrometal)</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BELGIUM</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Jiang Jia Wang Technology Co.</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jiangsu Buffalo Electromechanical Co.,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Jiangxi New Nanshan Technology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Jiangxi Yaosheng Tungsten Co.,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LIAN JING</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Longnan Chuangyue Environmental Protection Technology Development Co.,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Luna Smelter,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RWANDA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Ma An Shan Shu Guang Smelter Corp.</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Ma'anshan Weitai Tin Co.,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Magnu's Minerais Metais e Ligas Ltda.</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Malaysia Smelting Corporation (MSC)</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MALAYSIA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Malaysia Smelting Corporation Berhad (Port Klang)</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MALAYSIA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Materials Eco-Refining Co.,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Melt Metais e Ligas S.A.</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Metahub Industries Sdn. Bhd.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MALAYSIA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Metallic Resources, Inc.</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Metallo Belgium N.V.</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BELGIUM</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Metallo Spain S.L.U.</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SPAIN</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Minchali Metal Industry Co.,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TAIWAN, PROVINCE OF CHINA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Mineracao Taboca S.A.</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Ming Li Jia smelt Metal Factory</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163"/>
        </w:trPr>
        <w:tc>
          <w:tcPr>
            <w:tcW w:w="78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vMerge w:val="restart"/>
          </w:tcPr>
          <w:p>
            <w:pPr>
              <w:ind w:left="280"/>
              <w:spacing w:after="0"/>
              <w:rPr>
                <w:sz w:val="20"/>
                <w:szCs w:val="20"/>
                <w:color w:val="auto"/>
              </w:rPr>
            </w:pPr>
            <w:r>
              <w:rPr>
                <w:rFonts w:ascii="Arial" w:cs="Arial" w:eastAsia="Arial" w:hAnsi="Arial"/>
                <w:sz w:val="16"/>
                <w:szCs w:val="16"/>
                <w:color w:val="auto"/>
              </w:rPr>
              <w:t>Mining Minerals Resources SARL</w:t>
            </w:r>
          </w:p>
        </w:tc>
        <w:tc>
          <w:tcPr>
            <w:tcW w:w="3780" w:type="dxa"/>
            <w:vAlign w:val="bottom"/>
            <w:tcBorders>
              <w:right w:val="single" w:sz="8" w:color="auto"/>
            </w:tcBorders>
          </w:tcPr>
          <w:p>
            <w:pPr>
              <w:ind w:left="560"/>
              <w:spacing w:after="0" w:line="163" w:lineRule="exact"/>
              <w:rPr>
                <w:sz w:val="20"/>
                <w:szCs w:val="20"/>
                <w:color w:val="auto"/>
              </w:rPr>
            </w:pPr>
            <w:r>
              <w:rPr>
                <w:rFonts w:ascii="Arial" w:cs="Arial" w:eastAsia="Arial" w:hAnsi="Arial"/>
                <w:sz w:val="16"/>
                <w:szCs w:val="16"/>
                <w:color w:val="auto"/>
              </w:rPr>
              <w:t>CONGO, DEMOCRATIC REPUBLIC OF</w:t>
            </w:r>
          </w:p>
        </w:tc>
        <w:tc>
          <w:tcPr>
            <w:tcW w:w="0" w:type="dxa"/>
            <w:vAlign w:val="bottom"/>
          </w:tcPr>
          <w:p>
            <w:pPr>
              <w:spacing w:after="0"/>
              <w:rPr>
                <w:sz w:val="1"/>
                <w:szCs w:val="1"/>
                <w:color w:val="auto"/>
              </w:rPr>
            </w:pPr>
          </w:p>
        </w:tc>
      </w:tr>
      <w:tr>
        <w:trPr>
          <w:trHeight w:val="141"/>
        </w:trPr>
        <w:tc>
          <w:tcPr>
            <w:tcW w:w="780" w:type="dxa"/>
            <w:vAlign w:val="bottom"/>
            <w:tcBorders>
              <w:left w:val="single" w:sz="8" w:color="auto"/>
            </w:tcBorders>
            <w:vMerge w:val="continue"/>
          </w:tcPr>
          <w:p>
            <w:pPr>
              <w:spacing w:after="0"/>
              <w:rPr>
                <w:sz w:val="12"/>
                <w:szCs w:val="12"/>
                <w:color w:val="auto"/>
              </w:rPr>
            </w:pPr>
          </w:p>
        </w:tc>
        <w:tc>
          <w:tcPr>
            <w:tcW w:w="6700" w:type="dxa"/>
            <w:vAlign w:val="bottom"/>
            <w:vMerge w:val="continue"/>
          </w:tcPr>
          <w:p>
            <w:pPr>
              <w:spacing w:after="0"/>
              <w:rPr>
                <w:sz w:val="12"/>
                <w:szCs w:val="12"/>
                <w:color w:val="auto"/>
              </w:rPr>
            </w:pPr>
          </w:p>
        </w:tc>
        <w:tc>
          <w:tcPr>
            <w:tcW w:w="3780" w:type="dxa"/>
            <w:vAlign w:val="bottom"/>
            <w:tcBorders>
              <w:right w:val="single" w:sz="8" w:color="auto"/>
            </w:tcBorders>
            <w:vMerge w:val="restart"/>
          </w:tcPr>
          <w:p>
            <w:pPr>
              <w:ind w:left="560"/>
              <w:spacing w:after="0"/>
              <w:rPr>
                <w:sz w:val="20"/>
                <w:szCs w:val="20"/>
                <w:color w:val="auto"/>
              </w:rPr>
            </w:pPr>
            <w:r>
              <w:rPr>
                <w:rFonts w:ascii="Arial" w:cs="Arial" w:eastAsia="Arial" w:hAnsi="Arial"/>
                <w:sz w:val="16"/>
                <w:szCs w:val="16"/>
                <w:color w:val="auto"/>
              </w:rPr>
              <w:t>THE</w:t>
            </w:r>
          </w:p>
        </w:tc>
        <w:tc>
          <w:tcPr>
            <w:tcW w:w="0" w:type="dxa"/>
            <w:vAlign w:val="bottom"/>
          </w:tcPr>
          <w:p>
            <w:pPr>
              <w:spacing w:after="0"/>
              <w:rPr>
                <w:sz w:val="1"/>
                <w:szCs w:val="1"/>
                <w:color w:val="auto"/>
              </w:rPr>
            </w:pPr>
          </w:p>
        </w:tc>
      </w:tr>
      <w:tr>
        <w:trPr>
          <w:trHeight w:val="74"/>
        </w:trPr>
        <w:tc>
          <w:tcPr>
            <w:tcW w:w="780" w:type="dxa"/>
            <w:vAlign w:val="bottom"/>
            <w:tcBorders>
              <w:left w:val="single" w:sz="8" w:color="auto"/>
            </w:tcBorders>
          </w:tcPr>
          <w:p>
            <w:pPr>
              <w:spacing w:after="0"/>
              <w:rPr>
                <w:sz w:val="6"/>
                <w:szCs w:val="6"/>
                <w:color w:val="auto"/>
              </w:rPr>
            </w:pPr>
          </w:p>
        </w:tc>
        <w:tc>
          <w:tcPr>
            <w:tcW w:w="6700" w:type="dxa"/>
            <w:vAlign w:val="bottom"/>
          </w:tcPr>
          <w:p>
            <w:pPr>
              <w:spacing w:after="0"/>
              <w:rPr>
                <w:sz w:val="6"/>
                <w:szCs w:val="6"/>
                <w:color w:val="auto"/>
              </w:rPr>
            </w:pPr>
          </w:p>
        </w:tc>
        <w:tc>
          <w:tcPr>
            <w:tcW w:w="37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Minsur</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PERU</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Mitsubishi Materials Corporation</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Modeltech Sdn Bhd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MALAYSIA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Ney Metals and Alloys</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Nghe Tinh Non-Ferrous Metals Joint Stock Company</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VIET NAM</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Novosibirsk Tin Combine</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RUSSIAN FEDERATION</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O.M. Manufacturing (Thailand) Co.,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THAILAND</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O.M. Manufacturing Philippines, Inc.</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PHILIPPINES</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OMODEO A. E S. METALLEGHE SRL</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ITALY</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Operaciones Metalurgicas S.A.</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BOLIVIA (PLURINATIONAL STATE OF)</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Pongpipat Company Limited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MYANMAR</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Precious Minerals and Smelting Limited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INDIA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PT Aries Kencana Sejahtera</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PT Artha Cipta Langgeng</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PT ATD Makmur Mandiri Jaya</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PT Babel Inti Perkasa</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PT Babel Surya Alam Lestari</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Pr>
          <w:p>
            <w:pPr>
              <w:ind w:left="280"/>
              <w:spacing w:after="0"/>
              <w:rPr>
                <w:sz w:val="20"/>
                <w:szCs w:val="20"/>
                <w:color w:val="auto"/>
              </w:rPr>
            </w:pPr>
            <w:r>
              <w:rPr>
                <w:rFonts w:ascii="Arial" w:cs="Arial" w:eastAsia="Arial" w:hAnsi="Arial"/>
                <w:sz w:val="16"/>
                <w:szCs w:val="16"/>
                <w:color w:val="auto"/>
              </w:rPr>
              <w:t>PT Bangka Prima Tin</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7"/>
        </w:trPr>
        <w:tc>
          <w:tcPr>
            <w:tcW w:w="7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7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PT Bangka Serumpun</w:t>
            </w:r>
          </w:p>
        </w:tc>
        <w:tc>
          <w:tcPr>
            <w:tcW w:w="378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bl>
    <w:p>
      <w:pPr>
        <w:sectPr>
          <w:pgSz w:w="11900" w:h="16838" w:orient="portrait"/>
          <w:cols w:equalWidth="0" w:num="1">
            <w:col w:w="11260"/>
          </w:cols>
          <w:pgMar w:left="320" w:top="930" w:right="31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780" w:type="dxa"/>
            <w:vAlign w:val="bottom"/>
            <w:tcBorders>
              <w:top w:val="single" w:sz="8" w:color="auto"/>
              <w:left w:val="single" w:sz="8" w:color="auto"/>
              <w:bottom w:val="single" w:sz="8" w:color="auto"/>
            </w:tcBorders>
            <w:shd w:val="clear" w:color="auto" w:fill="0070C0"/>
          </w:tcPr>
          <w:p>
            <w:pPr>
              <w:ind w:left="80"/>
              <w:spacing w:after="0"/>
              <w:rPr>
                <w:sz w:val="20"/>
                <w:szCs w:val="20"/>
                <w:color w:val="auto"/>
              </w:rPr>
            </w:pPr>
            <w:r>
              <w:rPr>
                <w:rFonts w:ascii="Arial" w:cs="Arial" w:eastAsia="Arial" w:hAnsi="Arial"/>
                <w:sz w:val="16"/>
                <w:szCs w:val="16"/>
                <w:b w:val="1"/>
                <w:bCs w:val="1"/>
                <w:color w:val="FFFFFF"/>
              </w:rPr>
              <w:t>Metal</w:t>
            </w:r>
          </w:p>
        </w:tc>
        <w:tc>
          <w:tcPr>
            <w:tcW w:w="7140" w:type="dxa"/>
            <w:vAlign w:val="bottom"/>
            <w:tcBorders>
              <w:top w:val="single" w:sz="8" w:color="auto"/>
              <w:bottom w:val="single" w:sz="8" w:color="auto"/>
            </w:tcBorders>
            <w:shd w:val="clear" w:color="auto" w:fill="0070C0"/>
          </w:tcPr>
          <w:p>
            <w:pPr>
              <w:ind w:left="280"/>
              <w:spacing w:after="0"/>
              <w:rPr>
                <w:sz w:val="20"/>
                <w:szCs w:val="20"/>
                <w:color w:val="auto"/>
              </w:rPr>
            </w:pPr>
            <w:r>
              <w:rPr>
                <w:rFonts w:ascii="Arial" w:cs="Arial" w:eastAsia="Arial" w:hAnsi="Arial"/>
                <w:sz w:val="16"/>
                <w:szCs w:val="16"/>
                <w:b w:val="1"/>
                <w:bCs w:val="1"/>
                <w:color w:val="FFFFFF"/>
              </w:rPr>
              <w:t>Smelter or Refiner Name</w:t>
            </w:r>
          </w:p>
        </w:tc>
        <w:tc>
          <w:tcPr>
            <w:tcW w:w="3340" w:type="dxa"/>
            <w:vAlign w:val="bottom"/>
            <w:tcBorders>
              <w:top w:val="single" w:sz="8" w:color="auto"/>
              <w:bottom w:val="single" w:sz="8" w:color="auto"/>
              <w:right w:val="single" w:sz="8" w:color="auto"/>
            </w:tcBorders>
            <w:shd w:val="clear" w:color="auto" w:fill="0070C0"/>
          </w:tcPr>
          <w:p>
            <w:pPr>
              <w:ind w:left="120"/>
              <w:spacing w:after="0"/>
              <w:rPr>
                <w:sz w:val="20"/>
                <w:szCs w:val="20"/>
                <w:color w:val="auto"/>
              </w:rPr>
            </w:pPr>
            <w:r>
              <w:rPr>
                <w:rFonts w:ascii="Arial" w:cs="Arial" w:eastAsia="Arial" w:hAnsi="Arial"/>
                <w:sz w:val="16"/>
                <w:szCs w:val="16"/>
                <w:b w:val="1"/>
                <w:bCs w:val="1"/>
                <w:color w:val="FFFFFF"/>
              </w:rPr>
              <w:t>Smelter Or Refiner Country</w:t>
            </w:r>
          </w:p>
        </w:tc>
        <w:tc>
          <w:tcPr>
            <w:tcW w:w="0" w:type="dxa"/>
            <w:vAlign w:val="bottom"/>
          </w:tcPr>
          <w:p>
            <w:pPr>
              <w:spacing w:after="0"/>
              <w:rPr>
                <w:sz w:val="1"/>
                <w:szCs w:val="1"/>
                <w:color w:val="auto"/>
              </w:rPr>
            </w:pPr>
          </w:p>
        </w:tc>
      </w:tr>
      <w:tr>
        <w:trPr>
          <w:trHeight w:val="209"/>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Bangka Tin Industry</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Belitung Industri Sejahtera</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Bukit Timah</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Cipta Persada Mulia</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DS Jaya Abadi</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Inti Stania Prima</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Karimun Mining</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Lautan Harmonis Sejahtera</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Masbro Alam Stania</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Menara Cipta Mulia</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Mitra Stania Prima</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Mitra Sukses Globalindo</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Panca Mega Persada</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Premium Tin Indonesia</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Prima Timah Utama</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Putera Sarana Shakti (PT PSS)</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Rajawali Rimba Perkasa</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Rajehan Ariq</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Rajehan Ariq</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Refined Bangka Tin</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Sariwiguna Binasentosa</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Stanindo Inti Perkasa</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Sukses Inti Makmur</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Sukses Inti Makmur (SIM)</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Sumber Jaya Indah</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Timah Nusantara</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Timah Tbk Kundur</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Timah Tbk Mentok</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Tinindo Inter Nusa</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Tirus Putra Mandiri</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Tommy Utama</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Resind Industria e Comercio Ltda.</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Rian Resources SDN. BHD.</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MALAYSIA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RIKAYAA GREENTECH PRIVATE LIMITED</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INDIA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Rui Da Hung</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TAIWAN, PROVINCE OF CHINA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Shan Tou Shi Yong Yuan Jin Shu Zai Sheng Co., Ltd.</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Shenzhen Hong Chang Metal Manufacturing Factory</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Sichuan Guanghan Jiangnan casting smelters</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Sigma Tin Alloy Co., Ltd.</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Soft Metais Ltda.</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Soft Metais Ltda.</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Solder Court Ltd.</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Super Ligas</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Suzhou Nuonengda Chemical Co., Ltd.</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Taicang City Nancang Metal Material Co., Ltd.</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Taiwan Huanliang</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TAIWAN, PROVINCE OF CHINA</w:t>
            </w:r>
          </w:p>
        </w:tc>
        <w:tc>
          <w:tcPr>
            <w:tcW w:w="0" w:type="dxa"/>
            <w:vAlign w:val="bottom"/>
          </w:tcPr>
          <w:p>
            <w:pPr>
              <w:spacing w:after="0"/>
              <w:rPr>
                <w:sz w:val="1"/>
                <w:szCs w:val="1"/>
                <w:color w:val="auto"/>
              </w:rPr>
            </w:pPr>
          </w:p>
        </w:tc>
      </w:tr>
      <w:tr>
        <w:trPr>
          <w:trHeight w:val="163"/>
        </w:trPr>
        <w:tc>
          <w:tcPr>
            <w:tcW w:w="78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line="163" w:lineRule="exact"/>
              <w:rPr>
                <w:sz w:val="20"/>
                <w:szCs w:val="20"/>
                <w:color w:val="auto"/>
              </w:rPr>
            </w:pPr>
            <w:r>
              <w:rPr>
                <w:rFonts w:ascii="Arial" w:cs="Arial" w:eastAsia="Arial" w:hAnsi="Arial"/>
                <w:sz w:val="16"/>
                <w:szCs w:val="16"/>
                <w:color w:val="auto"/>
              </w:rPr>
              <w:t>Takehara PVD Materials Plant / PVD Materials Division of MITSUI MINING &amp; SMELTING CO.,</w:t>
            </w:r>
          </w:p>
        </w:tc>
        <w:tc>
          <w:tcPr>
            <w:tcW w:w="33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141"/>
        </w:trPr>
        <w:tc>
          <w:tcPr>
            <w:tcW w:w="780" w:type="dxa"/>
            <w:vAlign w:val="bottom"/>
            <w:tcBorders>
              <w:left w:val="single" w:sz="8" w:color="auto"/>
            </w:tcBorders>
            <w:vMerge w:val="continue"/>
          </w:tcPr>
          <w:p>
            <w:pPr>
              <w:spacing w:after="0"/>
              <w:rPr>
                <w:sz w:val="12"/>
                <w:szCs w:val="12"/>
                <w:color w:val="auto"/>
              </w:rPr>
            </w:pPr>
          </w:p>
        </w:tc>
        <w:tc>
          <w:tcPr>
            <w:tcW w:w="7140" w:type="dxa"/>
            <w:vAlign w:val="bottom"/>
            <w:vMerge w:val="restart"/>
          </w:tcPr>
          <w:p>
            <w:pPr>
              <w:ind w:left="280"/>
              <w:spacing w:after="0"/>
              <w:rPr>
                <w:sz w:val="20"/>
                <w:szCs w:val="20"/>
                <w:color w:val="auto"/>
              </w:rPr>
            </w:pPr>
            <w:r>
              <w:rPr>
                <w:rFonts w:ascii="Arial" w:cs="Arial" w:eastAsia="Arial" w:hAnsi="Arial"/>
                <w:sz w:val="16"/>
                <w:szCs w:val="16"/>
                <w:color w:val="auto"/>
              </w:rPr>
              <w:t>LTD.</w:t>
            </w:r>
          </w:p>
        </w:tc>
        <w:tc>
          <w:tcPr>
            <w:tcW w:w="33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780" w:type="dxa"/>
            <w:vAlign w:val="bottom"/>
            <w:tcBorders>
              <w:left w:val="single" w:sz="8" w:color="auto"/>
            </w:tcBorders>
          </w:tcPr>
          <w:p>
            <w:pPr>
              <w:spacing w:after="0"/>
              <w:rPr>
                <w:sz w:val="6"/>
                <w:szCs w:val="6"/>
                <w:color w:val="auto"/>
              </w:rPr>
            </w:pPr>
          </w:p>
        </w:tc>
        <w:tc>
          <w:tcPr>
            <w:tcW w:w="7140" w:type="dxa"/>
            <w:vAlign w:val="bottom"/>
            <w:vMerge w:val="continue"/>
          </w:tcPr>
          <w:p>
            <w:pPr>
              <w:spacing w:after="0"/>
              <w:rPr>
                <w:sz w:val="6"/>
                <w:szCs w:val="6"/>
                <w:color w:val="auto"/>
              </w:rPr>
            </w:pPr>
          </w:p>
        </w:tc>
        <w:tc>
          <w:tcPr>
            <w:tcW w:w="3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Thai Nguyen Mining and Metallurgy Co., Ltd.</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VIET NAM</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Thailand Mine Factory</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THAILAND</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Thaisarco</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THAILAND</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Three green surface technology limited company</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TIN PLATING GEJIU</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7"/>
        </w:trPr>
        <w:tc>
          <w:tcPr>
            <w:tcW w:w="7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Tin Smelting Branch of Yunnan Tin Co., Ltd.</w:t>
            </w:r>
          </w:p>
        </w:tc>
        <w:tc>
          <w:tcPr>
            <w:tcW w:w="33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bl>
    <w:p>
      <w:pPr>
        <w:sectPr>
          <w:pgSz w:w="11900" w:h="16838" w:orient="portrait"/>
          <w:cols w:equalWidth="0" w:num="1">
            <w:col w:w="11260"/>
          </w:cols>
          <w:pgMar w:left="320" w:top="930" w:right="31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920" w:type="dxa"/>
            <w:vAlign w:val="bottom"/>
            <w:tcBorders>
              <w:top w:val="single" w:sz="8" w:color="auto"/>
              <w:left w:val="single" w:sz="8" w:color="auto"/>
              <w:bottom w:val="single" w:sz="8" w:color="auto"/>
            </w:tcBorders>
            <w:shd w:val="clear" w:color="auto" w:fill="0070C0"/>
          </w:tcPr>
          <w:p>
            <w:pPr>
              <w:ind w:left="80"/>
              <w:spacing w:after="0"/>
              <w:rPr>
                <w:sz w:val="20"/>
                <w:szCs w:val="20"/>
                <w:color w:val="auto"/>
              </w:rPr>
            </w:pPr>
            <w:r>
              <w:rPr>
                <w:rFonts w:ascii="Arial" w:cs="Arial" w:eastAsia="Arial" w:hAnsi="Arial"/>
                <w:sz w:val="16"/>
                <w:szCs w:val="16"/>
                <w:b w:val="1"/>
                <w:bCs w:val="1"/>
                <w:color w:val="FFFFFF"/>
              </w:rPr>
              <w:t>Metal</w:t>
            </w:r>
          </w:p>
        </w:tc>
        <w:tc>
          <w:tcPr>
            <w:tcW w:w="5760" w:type="dxa"/>
            <w:vAlign w:val="bottom"/>
            <w:tcBorders>
              <w:top w:val="single" w:sz="8" w:color="auto"/>
              <w:bottom w:val="single" w:sz="8" w:color="auto"/>
            </w:tcBorders>
            <w:shd w:val="clear" w:color="auto" w:fill="0070C0"/>
          </w:tcPr>
          <w:p>
            <w:pPr>
              <w:ind w:left="140"/>
              <w:spacing w:after="0"/>
              <w:rPr>
                <w:sz w:val="20"/>
                <w:szCs w:val="20"/>
                <w:color w:val="auto"/>
              </w:rPr>
            </w:pPr>
            <w:r>
              <w:rPr>
                <w:rFonts w:ascii="Arial" w:cs="Arial" w:eastAsia="Arial" w:hAnsi="Arial"/>
                <w:sz w:val="16"/>
                <w:szCs w:val="16"/>
                <w:b w:val="1"/>
                <w:bCs w:val="1"/>
                <w:color w:val="FFFFFF"/>
              </w:rPr>
              <w:t>Smelter or Refiner Name</w:t>
            </w:r>
          </w:p>
        </w:tc>
        <w:tc>
          <w:tcPr>
            <w:tcW w:w="4580" w:type="dxa"/>
            <w:vAlign w:val="bottom"/>
            <w:tcBorders>
              <w:top w:val="single" w:sz="8" w:color="auto"/>
              <w:bottom w:val="single" w:sz="8" w:color="auto"/>
              <w:right w:val="single" w:sz="8" w:color="auto"/>
            </w:tcBorders>
            <w:shd w:val="clear" w:color="auto" w:fill="0070C0"/>
          </w:tcPr>
          <w:p>
            <w:pPr>
              <w:ind w:left="1360"/>
              <w:spacing w:after="0"/>
              <w:rPr>
                <w:sz w:val="20"/>
                <w:szCs w:val="20"/>
                <w:color w:val="auto"/>
              </w:rPr>
            </w:pPr>
            <w:r>
              <w:rPr>
                <w:rFonts w:ascii="Arial" w:cs="Arial" w:eastAsia="Arial" w:hAnsi="Arial"/>
                <w:sz w:val="16"/>
                <w:szCs w:val="16"/>
                <w:b w:val="1"/>
                <w:bCs w:val="1"/>
                <w:color w:val="FFFFFF"/>
              </w:rPr>
              <w:t>Smelter Or Refiner Country</w:t>
            </w:r>
          </w:p>
        </w:tc>
        <w:tc>
          <w:tcPr>
            <w:tcW w:w="0" w:type="dxa"/>
            <w:vAlign w:val="bottom"/>
          </w:tcPr>
          <w:p>
            <w:pPr>
              <w:spacing w:after="0"/>
              <w:rPr>
                <w:sz w:val="1"/>
                <w:szCs w:val="1"/>
                <w:color w:val="auto"/>
              </w:rPr>
            </w:pPr>
          </w:p>
        </w:tc>
      </w:tr>
      <w:tr>
        <w:trPr>
          <w:trHeight w:val="209"/>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Tin Technology &amp; Refining</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TONG LONG</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Top-Team Technology (Shenzhen)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TRATHO Metal Quimica</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Tuyen Quang Non-Ferrous Metals Joint Stock Company</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VIET NAM</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VQB Mineral and Trading Group JSC</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VIET NAM</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White Solder Metalurgia e Mineracao Ltda.</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White Solder Metalurgica</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Woodcross Smelting Company Limited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UGANDA</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WUJIANG CITY LUXE TIN FACTORY</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Xiamen Honglu Tungsten Molybdenum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Xianghualing Tin Industry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Xin Furukawa Metal ( Wuxi )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XURI</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Yifeng Tin</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Yiquan Manufacturing</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Yunnan Chengfeng Non-ferrous Metals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Yunnan Chengo Electric Smelting Plant</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Yunnan Copper Zinc Industry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Yunnan Geiju Smelting Corp.</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Yunnan Industrial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Yunnan Malipo Baiyi Kuangye Co.</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Yunnan Tin Company Limited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Yunnan Tin Company,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Yunnan Yunfan Non-ferrous Metals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Zhongshan Jinye Smelting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A.L.M.T. Corp.</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ACL Metais Eireli</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Albasteel Industria e Comercio de Ligas Para Fundicao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Artek LLC</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RUSSIAN FEDERATION</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Asia Tungsten Products Vietnam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VIET NAM</w:t>
            </w:r>
          </w:p>
        </w:tc>
        <w:tc>
          <w:tcPr>
            <w:tcW w:w="0" w:type="dxa"/>
            <w:vAlign w:val="bottom"/>
          </w:tcPr>
          <w:p>
            <w:pPr>
              <w:spacing w:after="0"/>
              <w:rPr>
                <w:sz w:val="1"/>
                <w:szCs w:val="1"/>
                <w:color w:val="auto"/>
              </w:rPr>
            </w:pPr>
          </w:p>
        </w:tc>
      </w:tr>
      <w:tr>
        <w:trPr>
          <w:trHeight w:val="163"/>
        </w:trPr>
        <w:tc>
          <w:tcPr>
            <w:tcW w:w="92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vMerge w:val="restart"/>
          </w:tcPr>
          <w:p>
            <w:pPr>
              <w:ind w:left="140"/>
              <w:spacing w:after="0"/>
              <w:rPr>
                <w:sz w:val="20"/>
                <w:szCs w:val="20"/>
                <w:color w:val="auto"/>
              </w:rPr>
            </w:pPr>
            <w:r>
              <w:rPr>
                <w:rFonts w:ascii="Arial" w:cs="Arial" w:eastAsia="Arial" w:hAnsi="Arial"/>
                <w:sz w:val="16"/>
                <w:szCs w:val="16"/>
                <w:color w:val="auto"/>
              </w:rPr>
              <w:t>Avon Specialty Metals Ltd.</w:t>
            </w:r>
          </w:p>
        </w:tc>
        <w:tc>
          <w:tcPr>
            <w:tcW w:w="4580" w:type="dxa"/>
            <w:vAlign w:val="bottom"/>
            <w:tcBorders>
              <w:right w:val="single" w:sz="8" w:color="auto"/>
            </w:tcBorders>
          </w:tcPr>
          <w:p>
            <w:pPr>
              <w:ind w:left="1360"/>
              <w:spacing w:after="0" w:line="163" w:lineRule="exact"/>
              <w:rPr>
                <w:sz w:val="20"/>
                <w:szCs w:val="20"/>
                <w:color w:val="auto"/>
              </w:rPr>
            </w:pPr>
            <w:r>
              <w:rPr>
                <w:rFonts w:ascii="Arial" w:cs="Arial" w:eastAsia="Arial" w:hAnsi="Arial"/>
                <w:sz w:val="16"/>
                <w:szCs w:val="16"/>
                <w:color w:val="auto"/>
              </w:rPr>
              <w:t>UNITED KINGDOM OF GREAT BRITAIN</w:t>
            </w:r>
          </w:p>
        </w:tc>
        <w:tc>
          <w:tcPr>
            <w:tcW w:w="0" w:type="dxa"/>
            <w:vAlign w:val="bottom"/>
          </w:tcPr>
          <w:p>
            <w:pPr>
              <w:spacing w:after="0"/>
              <w:rPr>
                <w:sz w:val="1"/>
                <w:szCs w:val="1"/>
                <w:color w:val="auto"/>
              </w:rPr>
            </w:pPr>
          </w:p>
        </w:tc>
      </w:tr>
      <w:tr>
        <w:trPr>
          <w:trHeight w:val="141"/>
        </w:trPr>
        <w:tc>
          <w:tcPr>
            <w:tcW w:w="920" w:type="dxa"/>
            <w:vAlign w:val="bottom"/>
            <w:tcBorders>
              <w:left w:val="single" w:sz="8" w:color="auto"/>
            </w:tcBorders>
            <w:vMerge w:val="continue"/>
          </w:tcPr>
          <w:p>
            <w:pPr>
              <w:spacing w:after="0"/>
              <w:rPr>
                <w:sz w:val="12"/>
                <w:szCs w:val="12"/>
                <w:color w:val="auto"/>
              </w:rPr>
            </w:pPr>
          </w:p>
        </w:tc>
        <w:tc>
          <w:tcPr>
            <w:tcW w:w="5760" w:type="dxa"/>
            <w:vAlign w:val="bottom"/>
            <w:vMerge w:val="continue"/>
          </w:tcPr>
          <w:p>
            <w:pPr>
              <w:spacing w:after="0"/>
              <w:rPr>
                <w:sz w:val="12"/>
                <w:szCs w:val="12"/>
                <w:color w:val="auto"/>
              </w:rPr>
            </w:pPr>
          </w:p>
        </w:tc>
        <w:tc>
          <w:tcPr>
            <w:tcW w:w="4580" w:type="dxa"/>
            <w:vAlign w:val="bottom"/>
            <w:tcBorders>
              <w:right w:val="single" w:sz="8" w:color="auto"/>
            </w:tcBorders>
            <w:vMerge w:val="restart"/>
          </w:tcPr>
          <w:p>
            <w:pPr>
              <w:ind w:left="1360"/>
              <w:spacing w:after="0"/>
              <w:rPr>
                <w:sz w:val="20"/>
                <w:szCs w:val="20"/>
                <w:color w:val="auto"/>
              </w:rPr>
            </w:pPr>
            <w:r>
              <w:rPr>
                <w:rFonts w:ascii="Arial" w:cs="Arial" w:eastAsia="Arial" w:hAnsi="Arial"/>
                <w:sz w:val="16"/>
                <w:szCs w:val="16"/>
                <w:color w:val="auto"/>
              </w:rPr>
              <w:t>AND NORTHERN IRELAND</w:t>
            </w:r>
          </w:p>
        </w:tc>
        <w:tc>
          <w:tcPr>
            <w:tcW w:w="0" w:type="dxa"/>
            <w:vAlign w:val="bottom"/>
          </w:tcPr>
          <w:p>
            <w:pPr>
              <w:spacing w:after="0"/>
              <w:rPr>
                <w:sz w:val="1"/>
                <w:szCs w:val="1"/>
                <w:color w:val="auto"/>
              </w:rPr>
            </w:pPr>
          </w:p>
        </w:tc>
      </w:tr>
      <w:tr>
        <w:trPr>
          <w:trHeight w:val="74"/>
        </w:trPr>
        <w:tc>
          <w:tcPr>
            <w:tcW w:w="920" w:type="dxa"/>
            <w:vAlign w:val="bottom"/>
            <w:tcBorders>
              <w:left w:val="single" w:sz="8" w:color="auto"/>
            </w:tcBorders>
          </w:tcPr>
          <w:p>
            <w:pPr>
              <w:spacing w:after="0"/>
              <w:rPr>
                <w:sz w:val="6"/>
                <w:szCs w:val="6"/>
                <w:color w:val="auto"/>
              </w:rPr>
            </w:pPr>
          </w:p>
        </w:tc>
        <w:tc>
          <w:tcPr>
            <w:tcW w:w="5760" w:type="dxa"/>
            <w:vAlign w:val="bottom"/>
          </w:tcPr>
          <w:p>
            <w:pPr>
              <w:spacing w:after="0"/>
              <w:rPr>
                <w:sz w:val="6"/>
                <w:szCs w:val="6"/>
                <w:color w:val="auto"/>
              </w:rPr>
            </w:pPr>
          </w:p>
        </w:tc>
        <w:tc>
          <w:tcPr>
            <w:tcW w:w="45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China Molybdenum Tungsten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Chongyi Zhangyuan Tungsten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CNMC (Guangxi) PGMA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Cronimet Brasil Ltda.</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DONGKUK INDUSTRIES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KOREA, REPUBLIC OF</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Fujian Ganmin RareMetal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Fujian Jinxin Tungsten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Fujian Xinlu Tungsten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Ganzhou Beseem Ferrotungsten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Ganzhou Haichuang Tungsten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Ganzhou Huaxing Tungsten Products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Ganzhou Jiangwu Ferrotungsten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Ganzhou Seadragon W &amp; Mo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Ganzhou Sunny Non-Ferrous Metals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Global Tungsten &amp; Powders Corp.</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Global Tungsten &amp; Powders LLC</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Guangdong Xianglu Tungsten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H.C. Starck Tungsten GmbH</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HANNAE FOR T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KOREA, REPUBLIC OF</w:t>
            </w:r>
          </w:p>
        </w:tc>
        <w:tc>
          <w:tcPr>
            <w:tcW w:w="0" w:type="dxa"/>
            <w:vAlign w:val="bottom"/>
          </w:tcPr>
          <w:p>
            <w:pPr>
              <w:spacing w:after="0"/>
              <w:rPr>
                <w:sz w:val="1"/>
                <w:szCs w:val="1"/>
                <w:color w:val="auto"/>
              </w:rPr>
            </w:pPr>
          </w:p>
        </w:tc>
      </w:tr>
      <w:tr>
        <w:trPr>
          <w:trHeight w:val="217"/>
        </w:trPr>
        <w:tc>
          <w:tcPr>
            <w:tcW w:w="9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Hubei Green Tungsten Co., Ltd.</w:t>
            </w:r>
          </w:p>
        </w:tc>
        <w:tc>
          <w:tcPr>
            <w:tcW w:w="4580" w:type="dxa"/>
            <w:vAlign w:val="bottom"/>
            <w:tcBorders>
              <w:bottom w:val="single" w:sz="8" w:color="auto"/>
              <w:right w:val="single" w:sz="8" w:color="auto"/>
            </w:tcBorders>
          </w:tcPr>
          <w:p>
            <w:pPr>
              <w:ind w:left="13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bl>
    <w:p>
      <w:pPr>
        <w:sectPr>
          <w:pgSz w:w="11900" w:h="16838" w:orient="portrait"/>
          <w:cols w:equalWidth="0" w:num="1">
            <w:col w:w="11260"/>
          </w:cols>
          <w:pgMar w:left="320" w:top="930" w:right="31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920" w:type="dxa"/>
            <w:vAlign w:val="bottom"/>
            <w:tcBorders>
              <w:top w:val="single" w:sz="8" w:color="auto"/>
              <w:left w:val="single" w:sz="8" w:color="auto"/>
              <w:bottom w:val="single" w:sz="8" w:color="auto"/>
            </w:tcBorders>
            <w:shd w:val="clear" w:color="auto" w:fill="0070C0"/>
          </w:tcPr>
          <w:p>
            <w:pPr>
              <w:ind w:left="80"/>
              <w:spacing w:after="0"/>
              <w:rPr>
                <w:sz w:val="20"/>
                <w:szCs w:val="20"/>
                <w:color w:val="auto"/>
              </w:rPr>
            </w:pPr>
            <w:r>
              <w:rPr>
                <w:rFonts w:ascii="Arial" w:cs="Arial" w:eastAsia="Arial" w:hAnsi="Arial"/>
                <w:sz w:val="16"/>
                <w:szCs w:val="16"/>
                <w:b w:val="1"/>
                <w:bCs w:val="1"/>
                <w:color w:val="FFFFFF"/>
              </w:rPr>
              <w:t>Metal</w:t>
            </w:r>
          </w:p>
        </w:tc>
        <w:tc>
          <w:tcPr>
            <w:tcW w:w="6700" w:type="dxa"/>
            <w:vAlign w:val="bottom"/>
            <w:tcBorders>
              <w:top w:val="single" w:sz="8" w:color="auto"/>
              <w:bottom w:val="single" w:sz="8" w:color="auto"/>
            </w:tcBorders>
            <w:shd w:val="clear" w:color="auto" w:fill="0070C0"/>
          </w:tcPr>
          <w:p>
            <w:pPr>
              <w:ind w:left="140"/>
              <w:spacing w:after="0"/>
              <w:rPr>
                <w:sz w:val="20"/>
                <w:szCs w:val="20"/>
                <w:color w:val="auto"/>
              </w:rPr>
            </w:pPr>
            <w:r>
              <w:rPr>
                <w:rFonts w:ascii="Arial" w:cs="Arial" w:eastAsia="Arial" w:hAnsi="Arial"/>
                <w:sz w:val="16"/>
                <w:szCs w:val="16"/>
                <w:b w:val="1"/>
                <w:bCs w:val="1"/>
                <w:color w:val="FFFFFF"/>
              </w:rPr>
              <w:t>Smelter or Refiner Name</w:t>
            </w:r>
          </w:p>
        </w:tc>
        <w:tc>
          <w:tcPr>
            <w:tcW w:w="3640" w:type="dxa"/>
            <w:vAlign w:val="bottom"/>
            <w:tcBorders>
              <w:top w:val="single" w:sz="8" w:color="auto"/>
              <w:bottom w:val="single" w:sz="8" w:color="auto"/>
              <w:right w:val="single" w:sz="8" w:color="auto"/>
            </w:tcBorders>
            <w:shd w:val="clear" w:color="auto" w:fill="0070C0"/>
          </w:tcPr>
          <w:p>
            <w:pPr>
              <w:ind w:left="420"/>
              <w:spacing w:after="0"/>
              <w:rPr>
                <w:sz w:val="20"/>
                <w:szCs w:val="20"/>
                <w:color w:val="auto"/>
              </w:rPr>
            </w:pPr>
            <w:r>
              <w:rPr>
                <w:rFonts w:ascii="Arial" w:cs="Arial" w:eastAsia="Arial" w:hAnsi="Arial"/>
                <w:sz w:val="16"/>
                <w:szCs w:val="16"/>
                <w:b w:val="1"/>
                <w:bCs w:val="1"/>
                <w:color w:val="FFFFFF"/>
              </w:rPr>
              <w:t>Smelter Or Refiner Country</w:t>
            </w:r>
          </w:p>
        </w:tc>
      </w:tr>
      <w:tr>
        <w:trPr>
          <w:trHeight w:val="209"/>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Hunan Chenzhou Mining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CHINA</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Hunan Chuangda Vanadium Tungsten Co., Ltd. Wuji</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CHINA</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Hunan Jintai New Material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CHINA</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Hunan Litian Tungsten Industry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CHINA</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Hunan Shizhuyuan Nonferrous Metals Co., Ltd. Chenzhou Tungsten Products Branch</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CHINA</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Hydrometallurg, JSC</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RUSSIAN FEDERATION</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Japan New Metals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JAPAN</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Jiangwu H.C. Starck Tungsten Products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CHINA</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Jiangxi Dayu Longxintai Tungsten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CHINA</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Jiangxi Gan Bei Tungsten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CHINA</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Jiangxi Minmetals Gao'an Non-ferrous Metals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CHINA</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Jiangxi Tonggu Non-ferrous Metallurgical &amp; Chemical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CHINA</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Jiangxi Xinsheng Tungsten Industry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CHINA</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Jiangxi Yaosheng Tungsten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CHINA</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JSC "Kirovgrad Hard Alloys Plant"</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RUSSIAN FEDERATION</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Kenee Mining Corporation Vietnam</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VIET NAM</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Kennametal Fallon</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UNITED STATES OF AMERICA</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Kennametal Huntsville</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UNITED STATES OF AMERICA</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KGETS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KOREA, REPUBLIC OF</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LAOS SOUTHERN MINING SMELTING SOLE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LAO PEOPLE'S DEMOCRATIC REPUBLIC</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LAOS SOUTHERN MINING SMELTING SOLE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LAOS</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Lianyou Metals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TAIWAN, PROVINCE OF CHINA</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Lianyou Resources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TAIWAN, PROVINCE OF CHINA</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LLC Vostok</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RUSSIAN FEDERATION</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MALAMET SMELTING SDN. BHD.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MALAYSIA</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Malipo Haiyu Tungsten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CHINA</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Masan High-Tech Materials</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VIET NAM</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Moliren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RUSSIAN FEDERATION</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Nam Viet Cromit Joint Stock Company</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VIET NAM</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Niagara Refining LLC</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UNITED STATES OF AMERICA</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NPP Tyazhmetprom LLC</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RUSSIAN FEDERATION</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OOO “Technolom” 1</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RUSSIAN FEDERATION</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OOO “Technolom” 2</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RUSSIAN FEDERATION</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Philippine Bonway Manufacturing Industrial Corporation</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PHILIPPINES</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Philippine Carreytech Metal Corp.</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PHILIPPINES</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Philippine Chuangxin Industrial Co., Inc.</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PHILIPPINES</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Plansee Composite Materials GmbH</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GERMANY</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Sanher Tungsten Vietnam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VIET NAM</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Shaoguan Xinhai Rendan Tungsten Industry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CHINA</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Shinwon Tungsten (Fujian Shanghang)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CHINA</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TANIOBIS Smelting GmbH &amp; Co. KG</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GERMANY</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Tejing (Vietnam) Tungsten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VIET NAM</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Tungsten Vietnam Joint Stock Company</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VIET NAM</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Unecha Refractory metals plant</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RUSSIAN FEDERATION</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Wolfram Bergbau und Hutten AG</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AUSTRIA</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Woltech Korea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KOREA, REPUBLIC OF</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Xiamen Tungsten (H.C.)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CHINA</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Xiamen Tungsten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CHINA</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Xinfeng Huarui Tungsten &amp; Molybdenum New Material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CHINA</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YUDU ANSHENG TUNGSTEN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CHINA</w:t>
            </w:r>
          </w:p>
        </w:tc>
      </w:tr>
      <w:tr>
        <w:trPr>
          <w:trHeight w:val="216"/>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Yuecheng Tin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CHINA</w:t>
            </w:r>
          </w:p>
        </w:tc>
      </w:tr>
      <w:tr>
        <w:trPr>
          <w:trHeight w:val="217"/>
        </w:trPr>
        <w:tc>
          <w:tcPr>
            <w:tcW w:w="9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Zhangzhou Chuen Bao Apt Smeltery Co., Ltd.</w:t>
            </w:r>
          </w:p>
        </w:tc>
        <w:tc>
          <w:tcPr>
            <w:tcW w:w="364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6"/>
                <w:szCs w:val="16"/>
                <w:color w:val="auto"/>
              </w:rPr>
              <w:t>CHINA</w:t>
            </w:r>
          </w:p>
        </w:tc>
      </w:tr>
    </w:tbl>
    <w:p>
      <w:pPr>
        <w:spacing w:after="0" w:line="1" w:lineRule="exact"/>
        <w:rPr>
          <w:sz w:val="20"/>
          <w:szCs w:val="20"/>
          <w:color w:val="auto"/>
        </w:rPr>
      </w:pPr>
    </w:p>
    <w:sectPr>
      <w:pgSz w:w="11900" w:h="16838" w:orient="portrait"/>
      <w:cols w:equalWidth="0" w:num="1">
        <w:col w:w="11260"/>
      </w:cols>
      <w:pgMar w:left="320" w:top="93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x"/>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2025-05-29T07:45:42Z</dcterms:created>
  <dcterms:modified xsi:type="dcterms:W3CDTF">2025-05-29T07:45:42Z</dcterms:modified>
</cp:coreProperties>
</file>