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ectPr>
          <w:pgSz w:w="11900" w:h="16838" w:orient="portrait"/>
          <w:cols w:equalWidth="0" w:num="1">
            <w:col w:w="10219"/>
          </w:cols>
          <w:pgMar w:left="240" w:top="649" w:right="1440" w:bottom="862"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November 28, 1998</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160" w:space="120"/>
            <w:col w:w="6939"/>
          </w:cols>
          <w:pgMar w:left="240" w:top="649" w:right="1440" w:bottom="862" w:gutter="0" w:footer="0" w:header="0"/>
          <w:type w:val="continuous"/>
        </w:sectPr>
      </w:pPr>
    </w:p>
    <w:p>
      <w:pPr>
        <w:spacing w:after="0" w:line="2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649" w:right="1440" w:bottom="862" w:gutter="0" w:footer="0" w:header="0"/>
          <w:type w:val="continuous"/>
        </w:sectPr>
      </w:pPr>
    </w:p>
    <w:p>
      <w:pPr>
        <w:spacing w:after="0" w:line="224"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______________________ to _______________________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1-6403</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ind w:left="1280"/>
              <w:spacing w:after="0"/>
              <w:rPr>
                <w:sz w:val="20"/>
                <w:szCs w:val="20"/>
                <w:color w:val="auto"/>
              </w:rPr>
            </w:pPr>
            <w:r>
              <w:rPr>
                <w:rFonts w:ascii="Courier New" w:cs="Courier New" w:eastAsia="Courier New" w:hAnsi="Courier New"/>
                <w:sz w:val="18"/>
                <w:szCs w:val="18"/>
                <w:color w:val="auto"/>
              </w:rPr>
              <w:t>IOWA</w:t>
            </w:r>
          </w:p>
        </w:tc>
        <w:tc>
          <w:tcPr>
            <w:tcW w:w="2740" w:type="dxa"/>
            <w:vAlign w:val="bottom"/>
          </w:tcPr>
          <w:p>
            <w:pPr>
              <w:spacing w:after="0"/>
              <w:rPr>
                <w:sz w:val="17"/>
                <w:szCs w:val="17"/>
                <w:color w:val="auto"/>
              </w:rPr>
            </w:pPr>
          </w:p>
        </w:tc>
        <w:tc>
          <w:tcPr>
            <w:tcW w:w="278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8"/>
              </w:rPr>
              <w:t>42-0803978</w:t>
            </w: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7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P. O. Box 152, Forest</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City, Iowa</w:t>
            </w:r>
          </w:p>
        </w:tc>
        <w:tc>
          <w:tcPr>
            <w:tcW w:w="27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(Address of principal</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27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(515) 582-3535</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209"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There were 22,148,798 shares of $.50 par value common stock outstanding on January 7, 1999.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INDEX TO REPORT ON FORM 10-Q</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right"/>
        <w:ind w:right="939"/>
        <w:spacing w:after="0"/>
        <w:rPr>
          <w:sz w:val="20"/>
          <w:szCs w:val="20"/>
          <w:color w:val="auto"/>
        </w:rPr>
      </w:pPr>
      <w:r>
        <w:rPr>
          <w:rFonts w:ascii="Courier New" w:cs="Courier New" w:eastAsia="Courier New" w:hAnsi="Courier New"/>
          <w:sz w:val="18"/>
          <w:szCs w:val="18"/>
          <w:color w:val="auto"/>
        </w:rPr>
        <w:t>Page Number</w:t>
      </w:r>
    </w:p>
    <w:p>
      <w:pPr>
        <w:spacing w:after="0" w:line="4" w:lineRule="exact"/>
        <w:rPr>
          <w:sz w:val="24"/>
          <w:szCs w:val="24"/>
          <w:color w:val="auto"/>
        </w:rPr>
      </w:pPr>
    </w:p>
    <w:p>
      <w:pPr>
        <w:ind w:left="8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3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4800" w:type="dxa"/>
            <w:vAlign w:val="bottom"/>
          </w:tcPr>
          <w:p>
            <w:pPr>
              <w:ind w:left="960"/>
              <w:spacing w:after="0"/>
              <w:rPr>
                <w:sz w:val="20"/>
                <w:szCs w:val="20"/>
                <w:color w:val="auto"/>
              </w:rPr>
            </w:pPr>
            <w:r>
              <w:rPr>
                <w:rFonts w:ascii="Courier New" w:cs="Courier New" w:eastAsia="Courier New" w:hAnsi="Courier New"/>
                <w:sz w:val="18"/>
                <w:szCs w:val="18"/>
                <w:color w:val="auto"/>
                <w:w w:val="98"/>
              </w:rPr>
              <w:t>Consolidated Balance Sheets (Interim</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period information unaudited)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&amp;</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rPr>
              <w:t>2</w:t>
            </w:r>
          </w:p>
        </w:tc>
      </w:tr>
      <w:tr>
        <w:trPr>
          <w:trHeight w:val="405"/>
        </w:trPr>
        <w:tc>
          <w:tcPr>
            <w:tcW w:w="4800" w:type="dxa"/>
            <w:vAlign w:val="bottom"/>
          </w:tcPr>
          <w:p>
            <w:pPr>
              <w:ind w:left="960"/>
              <w:spacing w:after="0"/>
              <w:rPr>
                <w:sz w:val="20"/>
                <w:szCs w:val="20"/>
                <w:color w:val="auto"/>
              </w:rPr>
            </w:pPr>
            <w:r>
              <w:rPr>
                <w:rFonts w:ascii="Courier New" w:cs="Courier New" w:eastAsia="Courier New" w:hAnsi="Courier New"/>
                <w:sz w:val="18"/>
                <w:szCs w:val="18"/>
                <w:color w:val="auto"/>
                <w:w w:val="98"/>
              </w:rPr>
              <w:t>Unaudited Consolidated Statements of</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Earnings</w:t>
            </w:r>
          </w:p>
        </w:tc>
        <w:tc>
          <w:tcPr>
            <w:tcW w:w="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24"/>
                <w:szCs w:val="24"/>
                <w:color w:val="auto"/>
              </w:rPr>
            </w:pPr>
          </w:p>
        </w:tc>
      </w:tr>
      <w:tr>
        <w:trPr>
          <w:trHeight w:val="405"/>
        </w:trPr>
        <w:tc>
          <w:tcPr>
            <w:tcW w:w="4800" w:type="dxa"/>
            <w:vAlign w:val="bottom"/>
          </w:tcPr>
          <w:p>
            <w:pPr>
              <w:ind w:left="960"/>
              <w:spacing w:after="0"/>
              <w:rPr>
                <w:sz w:val="20"/>
                <w:szCs w:val="20"/>
                <w:color w:val="auto"/>
              </w:rPr>
            </w:pPr>
            <w:r>
              <w:rPr>
                <w:rFonts w:ascii="Courier New" w:cs="Courier New" w:eastAsia="Courier New" w:hAnsi="Courier New"/>
                <w:sz w:val="18"/>
                <w:szCs w:val="18"/>
                <w:color w:val="auto"/>
                <w:w w:val="98"/>
              </w:rPr>
              <w:t>Unaudited Consolidated Statements of</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Cash Flows</w:t>
            </w:r>
          </w:p>
        </w:tc>
        <w:tc>
          <w:tcPr>
            <w:tcW w:w="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24"/>
                <w:szCs w:val="24"/>
                <w:color w:val="auto"/>
              </w:rPr>
            </w:pPr>
          </w:p>
        </w:tc>
      </w:tr>
      <w:tr>
        <w:trPr>
          <w:trHeight w:val="405"/>
        </w:trPr>
        <w:tc>
          <w:tcPr>
            <w:tcW w:w="806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Unaudited Condensed Notes to Consolidated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&amp;</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rPr>
              <w:t>6</w:t>
            </w:r>
          </w:p>
        </w:tc>
      </w:tr>
      <w:tr>
        <w:trPr>
          <w:trHeight w:val="405"/>
        </w:trPr>
        <w:tc>
          <w:tcPr>
            <w:tcW w:w="4800" w:type="dxa"/>
            <w:vAlign w:val="bottom"/>
          </w:tcPr>
          <w:p>
            <w:pPr>
              <w:ind w:left="960"/>
              <w:spacing w:after="0"/>
              <w:rPr>
                <w:sz w:val="20"/>
                <w:szCs w:val="20"/>
                <w:color w:val="auto"/>
              </w:rPr>
            </w:pPr>
            <w:r>
              <w:rPr>
                <w:rFonts w:ascii="Courier New" w:cs="Courier New" w:eastAsia="Courier New" w:hAnsi="Courier New"/>
                <w:sz w:val="18"/>
                <w:szCs w:val="18"/>
                <w:color w:val="auto"/>
                <w:w w:val="98"/>
              </w:rPr>
              <w:t>Management's Discussion and Analysis</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of Financial Condition and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r>
      <w:tr>
        <w:trPr>
          <w:trHeight w:val="203"/>
        </w:trPr>
        <w:tc>
          <w:tcPr>
            <w:tcW w:w="48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Results of Operations</w:t>
            </w:r>
          </w:p>
        </w:tc>
        <w:tc>
          <w:tcPr>
            <w:tcW w:w="3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PART II. OTHER INFORMATION</w:t>
            </w:r>
          </w:p>
        </w:tc>
        <w:tc>
          <w:tcPr>
            <w:tcW w:w="3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12</w:t>
            </w:r>
          </w:p>
        </w:tc>
      </w:tr>
    </w:tbl>
    <w:p>
      <w:pPr>
        <w:sectPr>
          <w:pgSz w:w="11900" w:h="16838" w:orient="portrait"/>
          <w:cols w:equalWidth="0" w:num="1">
            <w:col w:w="10219"/>
          </w:cols>
          <w:pgMar w:left="240" w:top="649" w:right="1440" w:bottom="862"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NOVEMBER 28,</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AUGUST 29,</w:t>
            </w:r>
          </w:p>
        </w:tc>
      </w:tr>
      <w:tr>
        <w:trPr>
          <w:trHeight w:val="203"/>
        </w:trPr>
        <w:tc>
          <w:tcPr>
            <w:tcW w:w="590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ASSETS</w:t>
            </w:r>
          </w:p>
        </w:tc>
        <w:tc>
          <w:tcPr>
            <w:tcW w:w="280" w:type="dxa"/>
            <w:vAlign w:val="bottom"/>
          </w:tcPr>
          <w:p>
            <w:pPr>
              <w:spacing w:after="0"/>
              <w:rPr>
                <w:sz w:val="17"/>
                <w:szCs w:val="17"/>
                <w:color w:val="auto"/>
              </w:rPr>
            </w:pPr>
          </w:p>
        </w:tc>
        <w:tc>
          <w:tcPr>
            <w:tcW w:w="13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1998</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80" w:type="dxa"/>
            <w:vAlign w:val="bottom"/>
          </w:tcPr>
          <w:p>
            <w:pPr>
              <w:spacing w:after="0"/>
              <w:rPr>
                <w:sz w:val="17"/>
                <w:szCs w:val="17"/>
                <w:color w:val="auto"/>
              </w:rPr>
            </w:pP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33,940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53,859</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($1,263 and $1,582, respectively)</w:t>
            </w: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26,491</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22,025</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($159 and $78, respectively)</w:t>
            </w: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25,680</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12,782</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56,920</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55,433</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3,981</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3,516</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6,906</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6,906</w:t>
            </w:r>
          </w:p>
        </w:tc>
      </w:tr>
      <w:tr>
        <w:trPr>
          <w:trHeight w:val="203"/>
        </w:trPr>
        <w:tc>
          <w:tcPr>
            <w:tcW w:w="590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28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153,918</w:t>
            </w:r>
          </w:p>
        </w:tc>
        <w:tc>
          <w:tcPr>
            <w:tcW w:w="2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154,521</w:t>
            </w:r>
          </w:p>
        </w:tc>
      </w:tr>
      <w:tr>
        <w:trPr>
          <w:trHeight w:val="203"/>
        </w:trPr>
        <w:tc>
          <w:tcPr>
            <w:tcW w:w="590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1,158</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39,187</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38,779</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70,205</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69,095</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5,096</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5,047</w:t>
            </w:r>
          </w:p>
        </w:tc>
      </w:tr>
      <w:tr>
        <w:trPr>
          <w:trHeight w:val="203"/>
        </w:trPr>
        <w:tc>
          <w:tcPr>
            <w:tcW w:w="590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115,646</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114,079</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82,295</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81,167</w:t>
            </w:r>
          </w:p>
        </w:tc>
      </w:tr>
      <w:tr>
        <w:trPr>
          <w:trHeight w:val="203"/>
        </w:trPr>
        <w:tc>
          <w:tcPr>
            <w:tcW w:w="590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28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33,351</w:t>
            </w:r>
          </w:p>
        </w:tc>
        <w:tc>
          <w:tcPr>
            <w:tcW w:w="2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32,912</w:t>
            </w:r>
          </w:p>
        </w:tc>
      </w:tr>
      <w:tr>
        <w:trPr>
          <w:trHeight w:val="203"/>
        </w:trPr>
        <w:tc>
          <w:tcPr>
            <w:tcW w:w="590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LONG-TERM NOTES RECEIVABLE, less allowances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($1,344 and $973, respectively)</w:t>
            </w:r>
          </w:p>
        </w:tc>
        <w:tc>
          <w:tcPr>
            <w:tcW w:w="280" w:type="dxa"/>
            <w:vAlign w:val="bottom"/>
          </w:tcPr>
          <w:p>
            <w:pPr>
              <w:spacing w:after="0"/>
              <w:rPr>
                <w:sz w:val="17"/>
                <w:szCs w:val="17"/>
                <w:color w:val="auto"/>
              </w:rPr>
            </w:pP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4,958</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5,396</w:t>
            </w:r>
          </w:p>
        </w:tc>
      </w:tr>
      <w:tr>
        <w:trPr>
          <w:trHeight w:val="203"/>
        </w:trPr>
        <w:tc>
          <w:tcPr>
            <w:tcW w:w="590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28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22,160</w:t>
            </w:r>
          </w:p>
        </w:tc>
        <w:tc>
          <w:tcPr>
            <w:tcW w:w="2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21,226</w:t>
            </w:r>
          </w:p>
        </w:tc>
      </w:tr>
      <w:tr>
        <w:trPr>
          <w:trHeight w:val="203"/>
        </w:trPr>
        <w:tc>
          <w:tcPr>
            <w:tcW w:w="590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28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16,309</w:t>
            </w:r>
          </w:p>
        </w:tc>
        <w:tc>
          <w:tcPr>
            <w:tcW w:w="2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16,071</w:t>
            </w:r>
          </w:p>
        </w:tc>
      </w:tr>
      <w:tr>
        <w:trPr>
          <w:trHeight w:val="203"/>
        </w:trPr>
        <w:tc>
          <w:tcPr>
            <w:tcW w:w="590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28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471</w:t>
            </w:r>
          </w:p>
        </w:tc>
        <w:tc>
          <w:tcPr>
            <w:tcW w:w="2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486</w:t>
            </w:r>
          </w:p>
        </w:tc>
      </w:tr>
      <w:tr>
        <w:trPr>
          <w:trHeight w:val="203"/>
        </w:trPr>
        <w:tc>
          <w:tcPr>
            <w:tcW w:w="590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2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231,167</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230,612</w:t>
            </w:r>
          </w:p>
        </w:tc>
      </w:tr>
      <w:tr>
        <w:trPr>
          <w:trHeight w:val="203"/>
        </w:trPr>
        <w:tc>
          <w:tcPr>
            <w:tcW w:w="590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12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NOVEMBER 28,</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AUGUST 29,</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26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1998</w:t>
            </w:r>
          </w:p>
        </w:tc>
        <w:tc>
          <w:tcPr>
            <w:tcW w:w="2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2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17,058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24,461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16,497</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12,623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3,872</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3,566</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5,487</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5,260</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Vacation liability</w:t>
            </w: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3,675</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3,343</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3,133</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2,236</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9,949</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11,113</w:t>
            </w:r>
          </w:p>
        </w:tc>
      </w:tr>
      <w:tr>
        <w:trPr>
          <w:trHeight w:val="203"/>
        </w:trPr>
        <w:tc>
          <w:tcPr>
            <w:tcW w:w="61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26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59,671</w:t>
            </w:r>
          </w:p>
        </w:tc>
        <w:tc>
          <w:tcPr>
            <w:tcW w:w="20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62,602</w:t>
            </w:r>
          </w:p>
        </w:tc>
      </w:tr>
      <w:tr>
        <w:trPr>
          <w:trHeight w:val="203"/>
        </w:trPr>
        <w:tc>
          <w:tcPr>
            <w:tcW w:w="61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POSTRETIREMENT HEALTH CARE AND DEFERRED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 BENEFITS</w:t>
            </w: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53,194</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51,487</w:t>
            </w:r>
          </w:p>
        </w:tc>
      </w:tr>
      <w:tr>
        <w:trPr>
          <w:trHeight w:val="203"/>
        </w:trPr>
        <w:tc>
          <w:tcPr>
            <w:tcW w:w="61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60,000,000 shares:  issued 25,871,000 and 25,865,000</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respectively</w:t>
            </w: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12,935</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12,932</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22,563</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22,507</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121,307</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111,665</w:t>
            </w:r>
          </w:p>
        </w:tc>
      </w:tr>
      <w:tr>
        <w:trPr>
          <w:trHeight w:val="203"/>
        </w:trPr>
        <w:tc>
          <w:tcPr>
            <w:tcW w:w="61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156,805</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147,104</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2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38,503</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30,581</w:t>
            </w:r>
          </w:p>
        </w:tc>
      </w:tr>
      <w:tr>
        <w:trPr>
          <w:trHeight w:val="203"/>
        </w:trPr>
        <w:tc>
          <w:tcPr>
            <w:tcW w:w="61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26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118,302</w:t>
            </w:r>
          </w:p>
        </w:tc>
        <w:tc>
          <w:tcPr>
            <w:tcW w:w="20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116,523</w:t>
            </w:r>
          </w:p>
        </w:tc>
      </w:tr>
      <w:tr>
        <w:trPr>
          <w:trHeight w:val="203"/>
        </w:trPr>
        <w:tc>
          <w:tcPr>
            <w:tcW w:w="61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231,167</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230,612</w:t>
            </w:r>
          </w:p>
        </w:tc>
      </w:tr>
      <w:tr>
        <w:trPr>
          <w:trHeight w:val="203"/>
        </w:trPr>
        <w:tc>
          <w:tcPr>
            <w:tcW w:w="612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779"/>
        <w:spacing w:after="0" w:line="279" w:lineRule="auto"/>
        <w:rPr>
          <w:sz w:val="20"/>
          <w:szCs w:val="20"/>
          <w:color w:val="auto"/>
        </w:rPr>
      </w:pPr>
      <w:r>
        <w:rPr>
          <w:rFonts w:ascii="Courier New" w:cs="Courier New" w:eastAsia="Courier New" w:hAnsi="Courier New"/>
          <w:sz w:val="16"/>
          <w:szCs w:val="16"/>
          <w:color w:val="auto"/>
        </w:rPr>
        <w:t>WINNEBAGO INDUSTRIES, INC. AND SUBSIDIARIES UNAUDITED CONSOLIDATED STATEMENTS OF EARNINGS ================================================================================</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20"/>
                <w:szCs w:val="20"/>
                <w:color w:val="auto"/>
              </w:rPr>
            </w:pPr>
            <w:r>
              <w:rPr>
                <w:rFonts w:ascii="Courier New" w:cs="Courier New" w:eastAsia="Courier New" w:hAnsi="Courier New"/>
                <w:sz w:val="18"/>
                <w:szCs w:val="18"/>
                <w:color w:val="auto"/>
              </w:rPr>
              <w:t>In thousands, except per share data</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THIRTEEN WEEKS ENDED</w:t>
            </w:r>
          </w:p>
        </w:tc>
      </w:tr>
      <w:tr>
        <w:trPr>
          <w:trHeight w:val="203"/>
        </w:trPr>
        <w:tc>
          <w:tcPr>
            <w:tcW w:w="5700" w:type="dxa"/>
            <w:vAlign w:val="bottom"/>
          </w:tcPr>
          <w:p>
            <w:pPr>
              <w:spacing w:after="0"/>
              <w:rPr>
                <w:sz w:val="17"/>
                <w:szCs w:val="17"/>
                <w:color w:val="auto"/>
              </w:rPr>
            </w:pPr>
          </w:p>
        </w:tc>
        <w:tc>
          <w:tcPr>
            <w:tcW w:w="1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NOVEMBER 28,</w:t>
            </w:r>
          </w:p>
        </w:tc>
        <w:tc>
          <w:tcPr>
            <w:tcW w:w="1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NOVEMBER 29,</w:t>
            </w:r>
          </w:p>
        </w:tc>
      </w:tr>
      <w:tr>
        <w:trPr>
          <w:trHeight w:val="203"/>
        </w:trPr>
        <w:tc>
          <w:tcPr>
            <w:tcW w:w="5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44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70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157,664</w:t>
            </w:r>
          </w:p>
        </w:tc>
        <w:tc>
          <w:tcPr>
            <w:tcW w:w="4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125,896</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4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132,788</w:t>
            </w:r>
          </w:p>
        </w:tc>
        <w:tc>
          <w:tcPr>
            <w:tcW w:w="4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107,473</w:t>
            </w:r>
          </w:p>
        </w:tc>
      </w:tr>
      <w:tr>
        <w:trPr>
          <w:trHeight w:val="203"/>
        </w:trPr>
        <w:tc>
          <w:tcPr>
            <w:tcW w:w="570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24,876</w:t>
            </w:r>
          </w:p>
        </w:tc>
        <w:tc>
          <w:tcPr>
            <w:tcW w:w="4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18,423</w:t>
            </w:r>
          </w:p>
        </w:tc>
      </w:tr>
      <w:tr>
        <w:trPr>
          <w:trHeight w:val="203"/>
        </w:trPr>
        <w:tc>
          <w:tcPr>
            <w:tcW w:w="570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 and delivery</w:t>
            </w:r>
          </w:p>
        </w:tc>
        <w:tc>
          <w:tcPr>
            <w:tcW w:w="4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5,102</w:t>
            </w:r>
          </w:p>
        </w:tc>
        <w:tc>
          <w:tcPr>
            <w:tcW w:w="4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5,729</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4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5,694</w:t>
            </w:r>
          </w:p>
        </w:tc>
        <w:tc>
          <w:tcPr>
            <w:tcW w:w="4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5,266</w:t>
            </w:r>
          </w:p>
        </w:tc>
      </w:tr>
      <w:tr>
        <w:trPr>
          <w:trHeight w:val="203"/>
        </w:trPr>
        <w:tc>
          <w:tcPr>
            <w:tcW w:w="570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4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10,796</w:t>
            </w:r>
          </w:p>
        </w:tc>
        <w:tc>
          <w:tcPr>
            <w:tcW w:w="4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10,995</w:t>
            </w:r>
          </w:p>
        </w:tc>
      </w:tr>
      <w:tr>
        <w:trPr>
          <w:trHeight w:val="203"/>
        </w:trPr>
        <w:tc>
          <w:tcPr>
            <w:tcW w:w="570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14,080</w:t>
            </w:r>
          </w:p>
        </w:tc>
        <w:tc>
          <w:tcPr>
            <w:tcW w:w="4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7,428</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4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581</w:t>
            </w:r>
          </w:p>
        </w:tc>
        <w:tc>
          <w:tcPr>
            <w:tcW w:w="4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613</w:t>
            </w:r>
          </w:p>
        </w:tc>
      </w:tr>
      <w:tr>
        <w:trPr>
          <w:trHeight w:val="203"/>
        </w:trPr>
        <w:tc>
          <w:tcPr>
            <w:tcW w:w="570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Pre-tax income</w:t>
            </w:r>
          </w:p>
        </w:tc>
        <w:tc>
          <w:tcPr>
            <w:tcW w:w="4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14,661</w:t>
            </w:r>
          </w:p>
        </w:tc>
        <w:tc>
          <w:tcPr>
            <w:tcW w:w="4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8,041</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Provision for taxes</w:t>
            </w:r>
          </w:p>
        </w:tc>
        <w:tc>
          <w:tcPr>
            <w:tcW w:w="4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5,012</w:t>
            </w:r>
          </w:p>
        </w:tc>
        <w:tc>
          <w:tcPr>
            <w:tcW w:w="4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2,703</w:t>
            </w:r>
          </w:p>
        </w:tc>
      </w:tr>
      <w:tr>
        <w:trPr>
          <w:trHeight w:val="203"/>
        </w:trPr>
        <w:tc>
          <w:tcPr>
            <w:tcW w:w="570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9,649</w:t>
            </w:r>
          </w:p>
        </w:tc>
        <w:tc>
          <w:tcPr>
            <w:tcW w:w="4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5,338</w:t>
            </w:r>
          </w:p>
        </w:tc>
      </w:tr>
      <w:tr>
        <w:trPr>
          <w:trHeight w:val="203"/>
        </w:trPr>
        <w:tc>
          <w:tcPr>
            <w:tcW w:w="570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Earnings per common share (Note 7):</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4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(Note 7):</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22,224</w:t>
            </w:r>
          </w:p>
        </w:tc>
        <w:tc>
          <w:tcPr>
            <w:tcW w:w="4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25,481</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22,458</w:t>
            </w:r>
          </w:p>
        </w:tc>
        <w:tc>
          <w:tcPr>
            <w:tcW w:w="4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25,612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4" w:name="page5"/>
    <w:bookmarkEnd w:id="4"/>
    <w:p>
      <w:pPr>
        <w:jc w:val="center"/>
        <w:ind w:right="1680"/>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80"/>
        <w:spacing w:after="0" w:line="238" w:lineRule="auto"/>
        <w:rPr>
          <w:sz w:val="20"/>
          <w:szCs w:val="20"/>
          <w:color w:val="auto"/>
        </w:rPr>
      </w:pPr>
      <w:r>
        <w:rPr>
          <w:rFonts w:ascii="Courier New" w:cs="Courier New" w:eastAsia="Courier New" w:hAnsi="Courier New"/>
          <w:sz w:val="18"/>
          <w:szCs w:val="18"/>
          <w:color w:val="auto"/>
        </w:rPr>
        <w:t>UNAUDITED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THIRTEEN WEEKS ENDED</w:t>
            </w:r>
          </w:p>
        </w:tc>
      </w:tr>
      <w:tr>
        <w:trPr>
          <w:trHeight w:val="203"/>
        </w:trPr>
        <w:tc>
          <w:tcPr>
            <w:tcW w:w="7060" w:type="dxa"/>
            <w:vAlign w:val="bottom"/>
          </w:tcPr>
          <w:p>
            <w:pPr>
              <w:spacing w:after="0"/>
              <w:rPr>
                <w:sz w:val="17"/>
                <w:szCs w:val="17"/>
                <w:color w:val="auto"/>
              </w:rPr>
            </w:pP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NOVEMBER 28,</w:t>
            </w:r>
          </w:p>
        </w:tc>
        <w:tc>
          <w:tcPr>
            <w:tcW w:w="14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NOVEMBER 29,</w:t>
            </w:r>
          </w:p>
        </w:tc>
      </w:tr>
      <w:tr>
        <w:trPr>
          <w:trHeight w:val="203"/>
        </w:trPr>
        <w:tc>
          <w:tcPr>
            <w:tcW w:w="7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1998</w:t>
            </w:r>
          </w:p>
        </w:tc>
        <w:tc>
          <w:tcPr>
            <w:tcW w:w="46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9,649</w:t>
            </w:r>
          </w:p>
        </w:tc>
        <w:tc>
          <w:tcPr>
            <w:tcW w:w="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5,338</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net cash provided by operating activities: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1,353</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1,369</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274</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receivable and other assets</w:t>
            </w:r>
          </w:p>
        </w:tc>
        <w:tc>
          <w:tcPr>
            <w:tcW w:w="42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(5,192)</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7,987</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inventories</w:t>
            </w:r>
          </w:p>
        </w:tc>
        <w:tc>
          <w:tcPr>
            <w:tcW w:w="42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(1,487)</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(Decease) increase in accounts payable and accrued expenses</w:t>
            </w:r>
          </w:p>
        </w:tc>
        <w:tc>
          <w:tcPr>
            <w:tcW w:w="42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(6,805)</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1,925</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3,874</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14,203</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1,257</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915</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(238)</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2,685</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32,052</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provided (used) by investing activities: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marketable securities</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42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(1,969)</w:t>
            </w: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(687)</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42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(25,432)</w:t>
            </w: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(13,899)</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Collections of dealer receivables</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12,453</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9,096</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214</w:t>
            </w: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investing activities</w:t>
            </w:r>
          </w:p>
        </w:tc>
        <w:tc>
          <w:tcPr>
            <w:tcW w:w="42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(14,734)</w:t>
            </w: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(6,561)</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used by financing activities and capital transactions: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for purchase of common stock</w:t>
            </w:r>
          </w:p>
        </w:tc>
        <w:tc>
          <w:tcPr>
            <w:tcW w:w="42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(8,141)</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 long-term debt</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(695)</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dividends</w:t>
            </w:r>
          </w:p>
        </w:tc>
        <w:tc>
          <w:tcPr>
            <w:tcW w:w="42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278</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financing activities and</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42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(7,870)</w:t>
            </w: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increase in cash and cash equivalents</w:t>
            </w:r>
          </w:p>
        </w:tc>
        <w:tc>
          <w:tcPr>
            <w:tcW w:w="42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(19,919)</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24,842</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420" w:type="dxa"/>
            <w:vAlign w:val="bottom"/>
          </w:tcPr>
          <w:p>
            <w:pPr>
              <w:spacing w:after="0"/>
              <w:rPr>
                <w:sz w:val="24"/>
                <w:szCs w:val="24"/>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53,859</w:t>
            </w:r>
          </w:p>
        </w:tc>
        <w:tc>
          <w:tcPr>
            <w:tcW w:w="46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32,130</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 - end of period</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33,940</w:t>
            </w:r>
          </w:p>
        </w:tc>
        <w:tc>
          <w:tcPr>
            <w:tcW w:w="4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56,972</w:t>
            </w:r>
          </w:p>
        </w:tc>
      </w:tr>
      <w:tr>
        <w:trPr>
          <w:trHeight w:val="203"/>
        </w:trPr>
        <w:tc>
          <w:tcPr>
            <w:tcW w:w="70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20"/>
          </w:cols>
          <w:pgMar w:left="240" w:top="919" w:right="1439" w:bottom="1440" w:gutter="0" w:footer="0" w:header="0"/>
        </w:sectPr>
      </w:pPr>
    </w:p>
    <w:bookmarkStart w:id="5" w:name="page6"/>
    <w:bookmarkEnd w:id="5"/>
    <w:p>
      <w:pPr>
        <w:ind w:left="1992"/>
        <w:spacing w:after="0"/>
        <w:rPr>
          <w:sz w:val="20"/>
          <w:szCs w:val="20"/>
          <w:color w:val="auto"/>
        </w:rPr>
      </w:pPr>
      <w:r>
        <w:rPr>
          <w:rFonts w:ascii="Courier New" w:cs="Courier New" w:eastAsia="Courier New" w:hAnsi="Courier New"/>
          <w:sz w:val="18"/>
          <w:szCs w:val="18"/>
          <w:color w:val="auto"/>
        </w:rPr>
        <w:t>WINNEBAGO INDUSTRIES, INC. AND SUBSIDIARIES</w:t>
      </w:r>
    </w:p>
    <w:p>
      <w:pPr>
        <w:ind w:left="952"/>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7" w:lineRule="exact"/>
        <w:rPr>
          <w:sz w:val="20"/>
          <w:szCs w:val="20"/>
          <w:color w:val="auto"/>
        </w:rPr>
      </w:pPr>
    </w:p>
    <w:p>
      <w:pPr>
        <w:ind w:left="632" w:right="1779" w:hanging="632"/>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management, the accompanying unaudited consolidated condensed financial statements contain all adjustments, consisting of normal recurring accruals, necessary to present fairly the consolidated financial position as of November 28, 1998, the consolidated results of operations for the 13 weeks ended November 28, 1998 and November 29, 1997, and the consolidated cash flows for the 13 weeks ended November 28, 1998 and November 29, 1997. The results of operations for the 13 weeks ended November 28, 1998, are not necessarily indicative of the results to be expected for the full year.</w:t>
      </w:r>
    </w:p>
    <w:p>
      <w:pPr>
        <w:spacing w:after="0" w:line="213" w:lineRule="exact"/>
        <w:rPr>
          <w:rFonts w:ascii="Courier New" w:cs="Courier New" w:eastAsia="Courier New" w:hAnsi="Courier New"/>
          <w:sz w:val="18"/>
          <w:szCs w:val="18"/>
          <w:color w:val="auto"/>
        </w:rPr>
      </w:pPr>
    </w:p>
    <w:p>
      <w:pPr>
        <w:ind w:left="632" w:right="1999" w:hanging="632"/>
        <w:spacing w:after="0" w:line="236"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1572"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November 28,</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w w:val="94"/>
              </w:rPr>
              <w:t>August 29,</w:t>
            </w:r>
          </w:p>
        </w:tc>
      </w:tr>
      <w:tr>
        <w:trPr>
          <w:trHeight w:val="203"/>
        </w:trPr>
        <w:tc>
          <w:tcPr>
            <w:tcW w:w="2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1998</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25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Finished goods .......</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22,325</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24,147</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 ......</w:t>
            </w:r>
          </w:p>
        </w:tc>
        <w:tc>
          <w:tcPr>
            <w:tcW w:w="6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16,746</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15,328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w:t>
            </w:r>
          </w:p>
        </w:tc>
        <w:tc>
          <w:tcPr>
            <w:tcW w:w="6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35,588</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33,384</w:t>
            </w:r>
          </w:p>
        </w:tc>
      </w:tr>
      <w:tr>
        <w:trPr>
          <w:trHeight w:val="203"/>
        </w:trPr>
        <w:tc>
          <w:tcPr>
            <w:tcW w:w="25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74,659</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72,859</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LIFO reserve .........</w:t>
            </w:r>
          </w:p>
        </w:tc>
        <w:tc>
          <w:tcPr>
            <w:tcW w:w="6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17,739</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17,426</w:t>
            </w:r>
          </w:p>
        </w:tc>
      </w:tr>
      <w:tr>
        <w:trPr>
          <w:trHeight w:val="203"/>
        </w:trPr>
        <w:tc>
          <w:tcPr>
            <w:tcW w:w="25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56,920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55,433</w:t>
            </w:r>
          </w:p>
        </w:tc>
      </w:tr>
      <w:tr>
        <w:trPr>
          <w:trHeight w:val="203"/>
        </w:trPr>
        <w:tc>
          <w:tcPr>
            <w:tcW w:w="25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32" w:right="1779" w:hanging="632"/>
        <w:spacing w:after="0" w:line="270" w:lineRule="auto"/>
        <w:tabs>
          <w:tab w:leader="none" w:pos="63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March, 1992, the Company has had a financing and security agreement with NationsBank Specialty Lending Unit.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and continues for successive one-year periods unless either party provides at least 90-days' notice prior to the end of the one-year period to the other party that they wish to terminate the line of credit. The agreement also contains certain restrictive covenants, including maintenance of minimum net worth, working capital and current ratio. As of November 28, 1998, the Company was in compliance with these covenants. There were no outstanding borrowings under the line of credit at November 28, 1998 or August 29, 1998.</w:t>
      </w:r>
    </w:p>
    <w:p>
      <w:pPr>
        <w:spacing w:after="0" w:line="386" w:lineRule="exact"/>
        <w:rPr>
          <w:rFonts w:ascii="Courier New" w:cs="Courier New" w:eastAsia="Courier New" w:hAnsi="Courier New"/>
          <w:sz w:val="16"/>
          <w:szCs w:val="16"/>
          <w:color w:val="auto"/>
        </w:rPr>
      </w:pPr>
    </w:p>
    <w:p>
      <w:pPr>
        <w:ind w:left="632" w:right="1779" w:hanging="632"/>
        <w:spacing w:after="0" w:line="238"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$159,772,000 and $132,540,000 under repurchase agreements with lending institutions as of November 28, 1998 and August 29, 1998, respectively. Included in these contingent liabilities as of November 28, 1998 and August 29, 1998 are approximately $10,841,000 and $18,623,000, respectively, of certain dealer receivables subject to recourse agreements with NationsBank and Green Tree Financial Corporation.</w:t>
      </w:r>
    </w:p>
    <w:p>
      <w:pPr>
        <w:spacing w:after="0" w:line="207" w:lineRule="exact"/>
        <w:rPr>
          <w:rFonts w:ascii="Courier New" w:cs="Courier New" w:eastAsia="Courier New" w:hAnsi="Courier New"/>
          <w:sz w:val="18"/>
          <w:szCs w:val="18"/>
          <w:color w:val="auto"/>
        </w:rPr>
      </w:pPr>
    </w:p>
    <w:p>
      <w:pPr>
        <w:ind w:left="632" w:right="2619" w:hanging="632"/>
        <w:spacing w:after="0" w:line="235"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periods indicated, the Company paid cash for the following (dollars in thousands):</w:t>
      </w:r>
    </w:p>
    <w:p>
      <w:pPr>
        <w:spacing w:after="0" w:line="203" w:lineRule="exact"/>
        <w:rPr>
          <w:sz w:val="20"/>
          <w:szCs w:val="20"/>
          <w:color w:val="auto"/>
        </w:rPr>
      </w:pPr>
    </w:p>
    <w:tbl>
      <w:tblPr>
        <w:tblLayout w:type="fixed"/>
        <w:tblInd w:w="1572"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310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Thirteen Weeks Ended</w:t>
            </w:r>
          </w:p>
        </w:tc>
      </w:tr>
      <w:tr>
        <w:trPr>
          <w:trHeight w:val="203"/>
        </w:trPr>
        <w:tc>
          <w:tcPr>
            <w:tcW w:w="1440" w:type="dxa"/>
            <w:vAlign w:val="bottom"/>
          </w:tcPr>
          <w:p>
            <w:pPr>
              <w:spacing w:after="0"/>
              <w:rPr>
                <w:sz w:val="17"/>
                <w:szCs w:val="17"/>
                <w:color w:val="auto"/>
              </w:rPr>
            </w:pPr>
          </w:p>
        </w:tc>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November 28,</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November 29,</w:t>
            </w:r>
          </w:p>
        </w:tc>
      </w:tr>
      <w:tr>
        <w:trPr>
          <w:trHeight w:val="203"/>
        </w:trPr>
        <w:tc>
          <w:tcPr>
            <w:tcW w:w="1440" w:type="dxa"/>
            <w:vAlign w:val="bottom"/>
          </w:tcPr>
          <w:p>
            <w:pPr>
              <w:spacing w:after="0"/>
              <w:rPr>
                <w:sz w:val="17"/>
                <w:szCs w:val="17"/>
                <w:color w:val="auto"/>
              </w:rPr>
            </w:pP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1998</w:t>
            </w:r>
          </w:p>
        </w:tc>
        <w:tc>
          <w:tcPr>
            <w:tcW w:w="58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144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1,375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w:t>
            </w:r>
          </w:p>
        </w:tc>
        <w:tc>
          <w:tcPr>
            <w:tcW w:w="58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w:t>
            </w:r>
          </w:p>
        </w:tc>
      </w:tr>
      <w:tr>
        <w:trPr>
          <w:trHeight w:val="608"/>
        </w:trPr>
        <w:tc>
          <w:tcPr>
            <w:tcW w:w="1440" w:type="dxa"/>
            <w:vAlign w:val="bottom"/>
          </w:tcPr>
          <w:p>
            <w:pPr>
              <w:spacing w:after="0"/>
              <w:rPr>
                <w:sz w:val="24"/>
                <w:szCs w:val="24"/>
                <w:color w:val="auto"/>
              </w:rPr>
            </w:pP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1"/>
          </w:cols>
          <w:pgMar w:left="248" w:top="919" w:right="1440" w:bottom="159" w:gutter="0" w:footer="0" w:header="0"/>
        </w:sectPr>
      </w:pPr>
    </w:p>
    <w:bookmarkStart w:id="6" w:name="page7"/>
    <w:bookmarkEnd w:id="6"/>
    <w:p>
      <w:pPr>
        <w:ind w:left="632" w:right="1779" w:hanging="632"/>
        <w:spacing w:after="0" w:line="237"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28, 1998, the Company completed the $36,500,000 repurchase of outstanding shares of its common stock authorized by the Board of Directors on December 29, 1997. Under this repurchase program, 3,612,660 shares were repurchased for an aggregate consideration of $36,499,018.</w:t>
      </w:r>
    </w:p>
    <w:p>
      <w:pPr>
        <w:spacing w:after="0" w:line="207" w:lineRule="exact"/>
        <w:rPr>
          <w:rFonts w:ascii="Courier New" w:cs="Courier New" w:eastAsia="Courier New" w:hAnsi="Courier New"/>
          <w:sz w:val="18"/>
          <w:szCs w:val="18"/>
          <w:color w:val="auto"/>
        </w:rPr>
      </w:pPr>
    </w:p>
    <w:p>
      <w:pPr>
        <w:ind w:left="632" w:right="1779" w:hanging="632"/>
        <w:spacing w:after="0" w:line="290" w:lineRule="auto"/>
        <w:tabs>
          <w:tab w:leader="none" w:pos="63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reflects the calculation of basic and diluted earnings per share for the 13 weeks ended November 28, 1998 and November 29, 1997.</w:t>
      </w:r>
    </w:p>
    <w:p>
      <w:pPr>
        <w:spacing w:after="0" w:line="164" w:lineRule="exact"/>
        <w:rPr>
          <w:sz w:val="20"/>
          <w:szCs w:val="20"/>
          <w:color w:val="auto"/>
        </w:rPr>
      </w:pPr>
    </w:p>
    <w:tbl>
      <w:tblPr>
        <w:tblLayout w:type="fixed"/>
        <w:tblInd w:w="852" w:type="dxa"/>
        <w:tblCellMar>
          <w:top w:w="0" w:type="dxa"/>
          <w:left w:w="0" w:type="dxa"/>
          <w:bottom w:w="0" w:type="dxa"/>
          <w:right w:w="0" w:type="dxa"/>
        </w:tblCellMar>
      </w:tblPr>
      <w:tr>
        <w:trPr>
          <w:trHeight w:val="204"/>
        </w:trPr>
        <w:tc>
          <w:tcPr>
            <w:tcW w:w="4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7"/>
              </w:rPr>
              <w:t>Thirteen Weeks Ended</w:t>
            </w:r>
          </w:p>
        </w:tc>
      </w:tr>
      <w:tr>
        <w:trPr>
          <w:trHeight w:val="203"/>
        </w:trPr>
        <w:tc>
          <w:tcPr>
            <w:tcW w:w="4520" w:type="dxa"/>
            <w:vAlign w:val="bottom"/>
          </w:tcPr>
          <w:p>
            <w:pPr>
              <w:spacing w:after="0"/>
              <w:rPr>
                <w:sz w:val="17"/>
                <w:szCs w:val="17"/>
                <w:color w:val="auto"/>
              </w:rPr>
            </w:pPr>
          </w:p>
        </w:tc>
        <w:tc>
          <w:tcPr>
            <w:tcW w:w="3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November 28,</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November 29,</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520" w:type="dxa"/>
            <w:vAlign w:val="bottom"/>
          </w:tcPr>
          <w:p>
            <w:pPr>
              <w:spacing w:after="0"/>
              <w:rPr>
                <w:sz w:val="17"/>
                <w:szCs w:val="17"/>
                <w:color w:val="auto"/>
              </w:rPr>
            </w:pP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1998</w:t>
            </w:r>
          </w:p>
        </w:tc>
        <w:tc>
          <w:tcPr>
            <w:tcW w:w="48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5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Net income per share - basic:</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income</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9,649</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5,338</w:t>
            </w:r>
          </w:p>
        </w:tc>
      </w:tr>
      <w:tr>
        <w:trPr>
          <w:trHeight w:val="203"/>
        </w:trPr>
        <w:tc>
          <w:tcPr>
            <w:tcW w:w="45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22,224</w:t>
            </w:r>
          </w:p>
        </w:tc>
        <w:tc>
          <w:tcPr>
            <w:tcW w:w="4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25,481</w:t>
            </w:r>
          </w:p>
        </w:tc>
      </w:tr>
      <w:tr>
        <w:trPr>
          <w:trHeight w:val="203"/>
        </w:trPr>
        <w:tc>
          <w:tcPr>
            <w:tcW w:w="45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income per share - basic</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5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Net income per share - assuming dilution:</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income</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9,649</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5,338</w:t>
            </w:r>
          </w:p>
        </w:tc>
      </w:tr>
      <w:tr>
        <w:trPr>
          <w:trHeight w:val="203"/>
        </w:trPr>
        <w:tc>
          <w:tcPr>
            <w:tcW w:w="45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22,224</w:t>
            </w:r>
          </w:p>
        </w:tc>
        <w:tc>
          <w:tcPr>
            <w:tcW w:w="4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25,481</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Dilutive impact of options outstanding</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w:t>
            </w:r>
          </w:p>
        </w:tc>
        <w:tc>
          <w:tcPr>
            <w:tcW w:w="4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45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Weighted average shares &amp; potential</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dilutive shares outstanding</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22,458</w:t>
            </w:r>
          </w:p>
        </w:tc>
        <w:tc>
          <w:tcPr>
            <w:tcW w:w="4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25,612</w:t>
            </w:r>
          </w:p>
        </w:tc>
      </w:tr>
      <w:tr>
        <w:trPr>
          <w:trHeight w:val="203"/>
        </w:trPr>
        <w:tc>
          <w:tcPr>
            <w:tcW w:w="45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Net income per share - assuming dilution</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52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520" w:type="dxa"/>
            <w:vAlign w:val="bottom"/>
          </w:tcPr>
          <w:p>
            <w:pPr>
              <w:ind w:left="3260"/>
              <w:spacing w:after="0"/>
              <w:rPr>
                <w:sz w:val="20"/>
                <w:szCs w:val="20"/>
                <w:color w:val="auto"/>
              </w:rPr>
            </w:pPr>
            <w:r>
              <w:rPr>
                <w:rFonts w:ascii="Courier New" w:cs="Courier New" w:eastAsia="Courier New" w:hAnsi="Courier New"/>
                <w:sz w:val="18"/>
                <w:szCs w:val="18"/>
                <w:color w:val="auto"/>
              </w:rPr>
              <w:t>6</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1"/>
          </w:cols>
          <w:pgMar w:left="248" w:top="92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Thirteen Weeks Ended November 28, 1998 Compared to Thirteen Weeks Ended November 29, 1997</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revenues for the 13 weeks ended November 28, 1998 were $157,664,000 an increase of $31,768,000, or 25.2 percent from the 13 week period ended November 29, 1997. Motor home shipments (Class A and C) were 2,466 units, an increase of 404 units, or 19.6 percent, during the first quarter of fiscal 1999 compared to the first quarter of fiscal 1998. Favorable interest rates, low fuel prices, high consumer confidence levels and an aging baby boom population have stimulated upward momentum for the Company as well as the recreation vehicle market in general. Management believes that the Company's long-term prospects remain bright. As of December 18, 1998, the Company's order backlog of Class A and Class C motor homes was approximately 3,100 orders compared to approximately 1,500 orders at the same time last year.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profit, as a percent of net revenues, was 15.8 percent for the 13 weeks ended November 28, 1998 compared to 14.6 percent for the 13 weeks ended November 29, 1997. The Company's increased volume of production and sales of motor homes resulted in the improved margins.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and delivery expenses were $5,102,000 or 3.2 percent of net revenues during the first quarter of fiscal 1999 compared to $5,729,000 or 4.6 percent of net revenues during the first quarter of fiscal 1998. The decreases in dollars and percentage can be attributed primarily to decreases, during the 13 weeks ended November 28, 1998, in promotional programs and a decrease in the reserve for losses on certain dealer receivables subject to full recourse to the Company. Increased sales volume, during the first quarter of fiscal 1999, also contributed to the decrease in percentage.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increased by $428,000 to $5,694,000 comparing the 13 weeks ended November 28, 1998 to the 13 weeks ended November 29, 1997 but decreased as a percentage of net revenues to 3.6 percent from 4.2 percent. Increases in the Company's employee incentive programs and in legal reserves during the first quarter of fiscal 1999 primarily contributed to the dollar increase in general and administrative expenses when comparing the two fiscal quarters. Partially offsetting these increases was a decrease in reserves for product liability costs during the first quarter of fiscal 1999.</w:t>
      </w:r>
    </w:p>
    <w:p>
      <w:pPr>
        <w:spacing w:after="0" w:line="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Increased sales volume, during the first quarter of fiscal 1999, contributed to the decrease in percentage.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had net financial income of $581,000 for the first quarter of fiscal 1999 compared to net financial income of $613,000 for the comparable quarter of fiscal 1998. During the 13 weeks ended November 28, 1998, the Company recorded $651,000 of net interest income and losses of $70,000 in foreign currency transactions. During the 13 weeks ended November 29, 1997, the Company recorded $660,000 of net interest income and losses of $47,000 in foreign currency transactions.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first quarter of fiscal 1999 ended November 28, 1998, the Company had</w:t>
      </w:r>
    </w:p>
    <w:p>
      <w:pPr>
        <w:spacing w:after="0" w:line="238" w:lineRule="auto"/>
        <w:rPr>
          <w:sz w:val="20"/>
          <w:szCs w:val="20"/>
          <w:color w:val="auto"/>
        </w:rPr>
      </w:pPr>
      <w:r>
        <w:rPr>
          <w:rFonts w:ascii="Courier New" w:cs="Courier New" w:eastAsia="Courier New" w:hAnsi="Courier New"/>
          <w:sz w:val="18"/>
          <w:szCs w:val="18"/>
          <w:color w:val="auto"/>
        </w:rPr>
        <w:t>net income of $9,649,000, or $.43 per diluted share, compared to the first</w:t>
      </w:r>
    </w:p>
    <w:p>
      <w:pPr>
        <w:spacing w:after="0"/>
        <w:rPr>
          <w:sz w:val="20"/>
          <w:szCs w:val="20"/>
          <w:color w:val="auto"/>
        </w:rPr>
      </w:pPr>
      <w:r>
        <w:rPr>
          <w:rFonts w:ascii="Courier New" w:cs="Courier New" w:eastAsia="Courier New" w:hAnsi="Courier New"/>
          <w:sz w:val="18"/>
          <w:szCs w:val="18"/>
          <w:color w:val="auto"/>
        </w:rPr>
        <w:t>quarter of fiscal 1998 ended November 29, 1997's net income of $5,338,000,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 per diluted share. Net income increased by 80.8 percent when comparing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quarter of fiscal 1999 to fiscal 1998 but increased by 104.8 percent on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diluted share basis when comparing the two quarters due to fewer shares of</w:t>
      </w:r>
    </w:p>
    <w:p>
      <w:pPr>
        <w:spacing w:after="0" w:line="238" w:lineRule="auto"/>
        <w:rPr>
          <w:sz w:val="20"/>
          <w:szCs w:val="20"/>
          <w:color w:val="auto"/>
        </w:rPr>
      </w:pPr>
      <w:r>
        <w:rPr>
          <w:rFonts w:ascii="Courier New" w:cs="Courier New" w:eastAsia="Courier New" w:hAnsi="Courier New"/>
          <w:sz w:val="18"/>
          <w:szCs w:val="18"/>
          <w:color w:val="auto"/>
        </w:rPr>
        <w:t>the Company's common stock being outstanding at November 28, 1998. See Note 6.</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The Company meets its working capital requirements, capital equipment requirements and cash requirements of subsidiaries with funds generated internally.</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 November 28, 1998, working capital was $94,247,000, an increase of $2,328,000 from the amount at August 29, 1998. The Company's principal uses of cash during the 13 weeks ended November 28, 1998 were $25,432,000 of dealer receivable investments and $8,141,000 for the purchase of shares of the Company's Common Stock. The Company's principal source of cash during the 13 weeks ended November 28, 1998 was the collection of $12,453,000 in dealer receivables. The Company's sources and uses of cash during the 13 weeks ended November 28, 1998 are set forth in the unaudited consolidated statement of cash flows for that period.</w:t>
      </w:r>
    </w:p>
    <w:p>
      <w:pPr>
        <w:spacing w:after="0" w:line="186"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Principal known demands at November 28, 1998 on the Company's liquid assets for the remainder of fiscal 1999 include approximately $7,625,000 of capital expenditures (primarily equipment replacement) and payments of cash dividends.</w:t>
      </w:r>
    </w:p>
    <w:p>
      <w:pPr>
        <w:spacing w:after="0" w:line="178"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Management currently expects its cash on hand and funds from operations to be sufficient to cover both short-term and long-term operating requirements.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CHANGES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Statement of Financial Accounting Standards ("SFAS") No. 130, "Reporting Comprehensive Income" was issued in June 1997 and has been adopted by the Company at the beginning of fiscal 1999. The statement requires companies to disclose comprehensive income and its components in their financial statements. This statement has no material impact on the Company's financials.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 Disclosures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SFAS No. 131, "Disclosures about Segments of and Enterprise and Related Information" was issued in June 1997 and must be adopted by the Company in the fourth quarter of fiscal 1999. The statement establishes standards which redefine how operating segments are determined and requires public companies to report financial and descriptive information about reportable operating segments.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and Other Postretirement Benefits Disclosure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SFAS No. 132, "Employer's Disclosure About Pensions and Other Postretirement Benefits" was issued in February 1998 and must be adopted by the Company in the fourth quarter of fiscal 1999. The statement revises employer's disclosures about pension and other postretirement benefit plans. It does not change the measurement or recognition of those plans.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for Derivative Instruments and Hedging Activities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SFAS No. 133, "Accounting for Derivative Instruments and Hedging Activities" was issued in June 1998 and must be adopted by the Company no later than fiscal 2000. This statement requires that an entity recognize all derivatives as either assets or liabilities in the statement of financial position and measure these instruments at fair value.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has not completed the process of evaluating the effects of SFAS No. 131, SFAS No. 132 or SFAS No. 133. Since all these pronouncements, except for SFAS No. 133, relate primarily to changes in disclosure requirements, the Company does not believe the new requirements will significantly affect its financial condition or operating results.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demand from customers, effects of competition, the general state of the economy, interest rates, consumer confidence, changes in the product or customer mix or revenues and in the level of operating expenses and other factors which may be disclosed throughout this Form 10-Q.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(Y2K) COMPLIANCE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has conducted a comprehensive review of its computer systems that could be affected by the "Year 2000" issue and began an implementation plan in 1996 to resolve this issue. The Company decided to make corrections for compliance by programming rather than through file conversion. The program corrections were completed in May 1998. All programs are being tested individually and in the systems test mode. The testing is scheduled for completion in early calendar 1999 and is on schedule.</w:t>
      </w:r>
    </w:p>
    <w:p>
      <w:pPr>
        <w:spacing w:after="0" w:line="21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Company's Plant Engineering and Maintenance Department was charged with the assessment and remediation of any Y2K problems in plant production equipment and in any building infrastructure equipment. Each machine will be checked individually and steps taken at that time to update for Y2K compliance. The completion of this project is scheduled for July 1999 and is on schedule.</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Purchasing and Information Systems Departments have contacted all of the Company's major suppliers to determine their readiness for their compliance with the Y2K issue. The responses have been recorded and the Purchasing Department will personally contact any major supplier that has reported they may have a problem with being Y2K compliant by the start of the calendar year 2000.</w:t>
      </w:r>
    </w:p>
    <w:p>
      <w:pPr>
        <w:spacing w:after="0" w:line="210"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total cost associated with the modifications required to be Y2K compliant are not expected to exceed $300,000 of which approximately $260,000 has been expensed ($10,000 in fiscal 1999). Any remaining costs incurred by the Company for the Y2K project will be absorbed in existing budgets.</w:t>
      </w:r>
    </w:p>
    <w:p>
      <w:pPr>
        <w:spacing w:after="0" w:line="182"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The failure to correct a material Y2K problem could result in an interruption in, or a failure of, certain normal business activities or operations. Such failures could materially and adversely affect the Company's operations. The Company's Y2K project is expected to significantly reduce its level of uncertainty about the Y2K problem and in particular, about the Y2K compliance and readiness of its material external agents.</w:t>
      </w:r>
    </w:p>
    <w:p>
      <w:pPr>
        <w:spacing w:after="0" w:line="186"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At this time, the Company believes it has addressed all Y2K issues that may arise, therefore, no contingency plan has been developed. If during the Company's in-house testing or if information is received from an outside source that they would be unable to be Y2K compliant, the Company will then develop an appropriate contingency plan to address Y2K problems that may arise.</w:t>
      </w:r>
    </w:p>
    <w:p>
      <w:pPr>
        <w:spacing w:after="0" w:line="18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Readers are cautioned that forward-looking statements contained in the Y2K update should be read in conjunction with the Company's disclosures under the heading: "FORWARD LOOKING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900" w:hanging="628"/>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 See Exhibit Index on page 12.</w:t>
      </w:r>
    </w:p>
    <w:p>
      <w:pPr>
        <w:spacing w:after="0" w:line="206" w:lineRule="exact"/>
        <w:rPr>
          <w:rFonts w:ascii="Courier New" w:cs="Courier New" w:eastAsia="Courier New" w:hAnsi="Courier New"/>
          <w:sz w:val="18"/>
          <w:szCs w:val="18"/>
          <w:color w:val="auto"/>
        </w:rPr>
      </w:pPr>
    </w:p>
    <w:p>
      <w:pPr>
        <w:ind w:left="1900" w:right="2099" w:hanging="628"/>
        <w:spacing w:after="0" w:line="23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1" w:name="page12"/>
    <w:bookmarkEnd w:id="1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January 7, 1999</w:t>
      </w:r>
    </w:p>
    <w:p>
      <w:pPr>
        <w:spacing w:after="0" w:line="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D. Hertzke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D. Hertzke</w:t>
      </w:r>
    </w:p>
    <w:p>
      <w:pPr>
        <w:spacing w:after="0" w:line="238" w:lineRule="auto"/>
        <w:rPr>
          <w:sz w:val="20"/>
          <w:szCs w:val="20"/>
          <w:color w:val="auto"/>
        </w:rPr>
      </w:pPr>
      <w:r>
        <w:rPr>
          <w:rFonts w:ascii="Courier New" w:cs="Courier New" w:eastAsia="Courier New" w:hAnsi="Courier New"/>
          <w:sz w:val="18"/>
          <w:szCs w:val="18"/>
          <w:color w:val="auto"/>
        </w:rPr>
        <w:t>Chairman of the Board, Chief Executive</w:t>
      </w:r>
    </w:p>
    <w:p>
      <w:pPr>
        <w:spacing w:after="0"/>
        <w:rPr>
          <w:sz w:val="20"/>
          <w:szCs w:val="20"/>
          <w:color w:val="auto"/>
        </w:rPr>
      </w:pPr>
      <w:r>
        <w:rPr>
          <w:rFonts w:ascii="Courier New" w:cs="Courier New" w:eastAsia="Courier New" w:hAnsi="Courier New"/>
          <w:sz w:val="18"/>
          <w:szCs w:val="18"/>
          <w:color w:val="auto"/>
        </w:rPr>
        <w:t>Officer, and President</w:t>
      </w:r>
    </w:p>
    <w:p>
      <w:pPr>
        <w:ind w:left="640"/>
        <w:spacing w:after="0" w:line="237"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420" w:space="220"/>
            <w:col w:w="2860" w:space="720"/>
            <w:col w:w="599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January 7, 1999</w:t>
      </w:r>
    </w:p>
    <w:p>
      <w:pPr>
        <w:spacing w:after="0" w:line="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Chief Financial Officer</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ectPr>
          <w:pgSz w:w="11900" w:h="16838" w:orient="portrait"/>
          <w:cols w:equalWidth="0" w:num="3">
            <w:col w:w="420" w:space="220"/>
            <w:col w:w="2860" w:space="720"/>
            <w:col w:w="5999"/>
          </w:cols>
          <w:pgMar w:left="240" w:top="919"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919" w:right="1440" w:bottom="1440" w:gutter="0" w:footer="0" w:header="0"/>
          <w:type w:val="continuous"/>
        </w:sectPr>
      </w:pPr>
    </w:p>
    <w:bookmarkStart w:id="12" w:name="page13"/>
    <w:bookmarkEnd w:id="12"/>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10f.</w:t>
      </w:r>
      <w:r>
        <w:rPr>
          <w:sz w:val="20"/>
          <w:szCs w:val="20"/>
          <w:color w:val="auto"/>
        </w:rPr>
        <w:tab/>
      </w:r>
      <w:r>
        <w:rPr>
          <w:rFonts w:ascii="Courier New" w:cs="Courier New" w:eastAsia="Courier New" w:hAnsi="Courier New"/>
          <w:sz w:val="16"/>
          <w:szCs w:val="16"/>
          <w:color w:val="auto"/>
        </w:rPr>
        <w:t>Winnebago Industries, Inc. Officers Incentive Compensation Plan.</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EXHIBIT 10f.</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ind w:left="2320"/>
        <w:spacing w:after="0" w:line="238" w:lineRule="auto"/>
        <w:rPr>
          <w:sz w:val="20"/>
          <w:szCs w:val="20"/>
          <w:color w:val="auto"/>
        </w:rPr>
      </w:pPr>
      <w:r>
        <w:rPr>
          <w:rFonts w:ascii="Courier New" w:cs="Courier New" w:eastAsia="Courier New" w:hAnsi="Courier New"/>
          <w:sz w:val="18"/>
          <w:szCs w:val="18"/>
          <w:color w:val="auto"/>
        </w:rPr>
        <w:t>OFFICERS INCENTIVE COMPENSATION PLAN</w:t>
      </w:r>
    </w:p>
    <w:p>
      <w:pPr>
        <w:ind w:left="2960"/>
        <w:spacing w:after="0"/>
        <w:rPr>
          <w:sz w:val="20"/>
          <w:szCs w:val="20"/>
          <w:color w:val="auto"/>
        </w:rPr>
      </w:pPr>
      <w:r>
        <w:rPr>
          <w:rFonts w:ascii="Courier New" w:cs="Courier New" w:eastAsia="Courier New" w:hAnsi="Courier New"/>
          <w:sz w:val="18"/>
          <w:szCs w:val="18"/>
          <w:color w:val="auto"/>
        </w:rPr>
        <w:t>FISCAL PERIOD 1998 - 1999</w:t>
      </w:r>
    </w:p>
    <w:p>
      <w:pPr>
        <w:spacing w:after="0" w:line="200" w:lineRule="exact"/>
        <w:rPr>
          <w:sz w:val="20"/>
          <w:szCs w:val="20"/>
          <w:color w:val="auto"/>
        </w:rPr>
      </w:pPr>
    </w:p>
    <w:p>
      <w:pPr>
        <w:spacing w:after="0" w:line="209" w:lineRule="exact"/>
        <w:rPr>
          <w:sz w:val="20"/>
          <w:szCs w:val="20"/>
          <w:color w:val="auto"/>
        </w:rPr>
      </w:pPr>
    </w:p>
    <w:p>
      <w:pPr>
        <w:ind w:left="640" w:right="1879" w:hanging="632"/>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purpose of the Winnebago Industries, Inc. Officers Incentive Compensation Plan (the "Plan") is to promote the growth and profitability of Winnebago Industries, Inc. (the "Company") by providing its officers with an incentive to achieve corporate profit objectives and to attract and retain officers who will contribute to the achievement of long-term growth and profitability of the company.</w:t>
      </w: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6" w:lineRule="exact"/>
        <w:rPr>
          <w:rFonts w:ascii="Courier New" w:cs="Courier New" w:eastAsia="Courier New" w:hAnsi="Courier New"/>
          <w:sz w:val="18"/>
          <w:szCs w:val="18"/>
          <w:color w:val="auto"/>
        </w:rPr>
      </w:pPr>
    </w:p>
    <w:p>
      <w:pPr>
        <w:ind w:left="1900" w:right="1779" w:hanging="628"/>
        <w:spacing w:after="0" w:line="236" w:lineRule="auto"/>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HUMAN RESOURCES COMMITTEE. The Plan shall be administered by a Committee (the "Committee") appointed by the Board of Directors.</w:t>
      </w:r>
    </w:p>
    <w:p>
      <w:pPr>
        <w:spacing w:after="0" w:line="208" w:lineRule="exact"/>
        <w:rPr>
          <w:rFonts w:ascii="Courier New" w:cs="Courier New" w:eastAsia="Courier New" w:hAnsi="Courier New"/>
          <w:sz w:val="18"/>
          <w:szCs w:val="18"/>
          <w:color w:val="auto"/>
        </w:rPr>
      </w:pPr>
    </w:p>
    <w:p>
      <w:pPr>
        <w:ind w:left="1900" w:right="1779" w:hanging="628"/>
        <w:spacing w:after="0" w:line="237" w:lineRule="auto"/>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211" w:lineRule="exact"/>
        <w:rPr>
          <w:rFonts w:ascii="Courier New" w:cs="Courier New" w:eastAsia="Courier New" w:hAnsi="Courier New"/>
          <w:sz w:val="18"/>
          <w:szCs w:val="18"/>
          <w:color w:val="auto"/>
        </w:rPr>
      </w:pPr>
    </w:p>
    <w:p>
      <w:pPr>
        <w:ind w:left="1900" w:right="1879" w:hanging="628"/>
        <w:spacing w:after="0" w:line="235" w:lineRule="auto"/>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APPROVAL. The Committee must approve the Plan prior to the beginning of each new fiscal year.</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ELIGIBILITY.</w:t>
      </w:r>
    </w:p>
    <w:p>
      <w:pPr>
        <w:spacing w:after="0" w:line="207" w:lineRule="exact"/>
        <w:rPr>
          <w:sz w:val="20"/>
          <w:szCs w:val="20"/>
          <w:color w:val="auto"/>
        </w:rPr>
      </w:pPr>
    </w:p>
    <w:p>
      <w:pPr>
        <w:ind w:left="1900" w:right="2099" w:hanging="628"/>
        <w:spacing w:after="0" w:line="290" w:lineRule="auto"/>
        <w:tabs>
          <w:tab w:leader="none" w:pos="19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must be an officer of the Company with responsibilities that can impact the Corporation's results.</w:t>
      </w:r>
    </w:p>
    <w:p>
      <w:pPr>
        <w:spacing w:after="0" w:line="169" w:lineRule="exact"/>
        <w:rPr>
          <w:rFonts w:ascii="Courier New" w:cs="Courier New" w:eastAsia="Courier New" w:hAnsi="Courier New"/>
          <w:sz w:val="16"/>
          <w:szCs w:val="16"/>
          <w:color w:val="auto"/>
        </w:rPr>
      </w:pPr>
    </w:p>
    <w:p>
      <w:pPr>
        <w:ind w:left="1900" w:right="1779" w:hanging="628"/>
        <w:spacing w:after="0" w:line="237" w:lineRule="auto"/>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President of Winnebago Industries, Inc. will make recommendations to the Committee on partial year participation due to retirement, disability, new participants and other related participation issues.</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will approve all participation.</w:t>
      </w:r>
    </w:p>
    <w:p>
      <w:pPr>
        <w:spacing w:after="0" w:line="206"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THE PLAN. The incentive award is based upon financial performance of the Corporation as established by the Management Plan. The Plan is an annual program that provides for quarterly cumulative measurements of financial performance and an opportunity for quarterly incentive payment based on performance results.</w:t>
      </w:r>
    </w:p>
    <w:p>
      <w:pPr>
        <w:spacing w:after="0" w:line="208" w:lineRule="exact"/>
        <w:rPr>
          <w:rFonts w:ascii="Courier New" w:cs="Courier New" w:eastAsia="Courier New" w:hAnsi="Courier New"/>
          <w:sz w:val="18"/>
          <w:szCs w:val="18"/>
          <w:color w:val="auto"/>
        </w:rPr>
      </w:pPr>
    </w:p>
    <w:p>
      <w:pPr>
        <w:ind w:left="6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performance measurements for this Plan will be earnings per share and return on equity of the Company. These financial performance measurements will provide an appropriate balance between quality and quantity of earnings. The Company's beginning of the fiscal year stockholders' equity will be used as the base figure for the calculation of return on equity. Any stock repurchase program, adopted or completed outside of the Management Plan will not be considered in the earnings per share and the return on equity calculations.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5"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 The amount of the participants' incentive compensation for the quarter shall be in direct proportion to the financial performance expressed as a percentage (Financial Factor) against predetermined compensation targets for each participant. Upon completion of the first quarter of the fiscal year, quarterly results thereafter shall be combined to form cumulative fiscal year-to-date results. The results for the respective period will be used in identifying the Financial Factor to be used for that period when calculating the participants incentive compensation.</w:t>
      </w:r>
    </w:p>
    <w:p>
      <w:pPr>
        <w:spacing w:after="0" w:line="213"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 of the quarterly calculated incentive will be paid within 45 days after the close of the fiscal quarter. The remaining 50% of the quarterly calculated incentive will be held back and carried forward into the next cumulative quarter. At the end of the fourth fiscal quarter (fiscal year end), a final year-end accounting will be made prior to the payment of any remaining incentive holdback for the year.</w:t>
      </w:r>
    </w:p>
    <w:p>
      <w:pPr>
        <w:spacing w:after="0" w:line="209"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minimum for earnings per share and return on equity will be 75% of the</w:t>
      </w:r>
    </w:p>
    <w:p>
      <w:pPr>
        <w:sectPr>
          <w:pgSz w:w="11900" w:h="16838" w:orient="portrait"/>
          <w:cols w:equalWidth="0" w:num="1">
            <w:col w:w="10219"/>
          </w:cols>
          <w:pgMar w:left="240" w:top="339" w:right="1440" w:bottom="0" w:gutter="0" w:footer="0" w:header="0"/>
        </w:sectPr>
      </w:pPr>
    </w:p>
    <w:bookmarkStart w:id="14" w:name="page15"/>
    <w:bookmarkEnd w:id="14"/>
    <w:p>
      <w:pPr>
        <w:ind w:left="632" w:right="1999"/>
        <w:spacing w:after="0" w:line="236" w:lineRule="auto"/>
        <w:rPr>
          <w:sz w:val="20"/>
          <w:szCs w:val="20"/>
          <w:color w:val="auto"/>
        </w:rPr>
      </w:pPr>
      <w:r>
        <w:rPr>
          <w:rFonts w:ascii="Courier New" w:cs="Courier New" w:eastAsia="Courier New" w:hAnsi="Courier New"/>
          <w:sz w:val="18"/>
          <w:szCs w:val="18"/>
          <w:color w:val="auto"/>
        </w:rPr>
        <w:t>Management Plan. The maximum for earnings per share and return on equity will be 125% of the Management Plan. No bonus incentive will be paid at less than 75% attainment of the Management Plan.</w:t>
      </w:r>
    </w:p>
    <w:p>
      <w:pPr>
        <w:spacing w:after="0" w:line="209" w:lineRule="exact"/>
        <w:rPr>
          <w:sz w:val="20"/>
          <w:szCs w:val="20"/>
          <w:color w:val="auto"/>
        </w:rPr>
      </w:pPr>
    </w:p>
    <w:p>
      <w:pPr>
        <w:ind w:left="632" w:right="1779"/>
        <w:spacing w:after="0" w:line="237" w:lineRule="auto"/>
        <w:rPr>
          <w:sz w:val="20"/>
          <w:szCs w:val="20"/>
          <w:color w:val="auto"/>
        </w:rPr>
      </w:pPr>
      <w:r>
        <w:rPr>
          <w:rFonts w:ascii="Courier New" w:cs="Courier New" w:eastAsia="Courier New" w:hAnsi="Courier New"/>
          <w:sz w:val="18"/>
          <w:szCs w:val="18"/>
          <w:color w:val="auto"/>
        </w:rPr>
        <w:t>The incentive for the officers except for the Chief Executive Officer, provides for a 60% bonus (Target) comprised of (2/3) cash and (1/3) stock at 100% achievement of the financial objectives of earnings per share and return on equity. The incentive for the Chief Executive Officer provides for a 87.5% bonus (Target) comprised of (2/3) cash and (1/3) stock at 100% achievement of the financial objectives of earnings per share and return on equity.</w:t>
      </w:r>
    </w:p>
    <w:p>
      <w:pPr>
        <w:spacing w:after="0" w:line="211" w:lineRule="exact"/>
        <w:rPr>
          <w:sz w:val="20"/>
          <w:szCs w:val="20"/>
          <w:color w:val="auto"/>
        </w:rPr>
      </w:pPr>
    </w:p>
    <w:p>
      <w:pPr>
        <w:ind w:left="632" w:right="1779"/>
        <w:spacing w:after="0" w:line="237" w:lineRule="auto"/>
        <w:rPr>
          <w:sz w:val="20"/>
          <w:szCs w:val="20"/>
          <w:color w:val="auto"/>
        </w:rPr>
      </w:pPr>
      <w:r>
        <w:rPr>
          <w:rFonts w:ascii="Courier New" w:cs="Courier New" w:eastAsia="Courier New" w:hAnsi="Courier New"/>
          <w:sz w:val="18"/>
          <w:szCs w:val="18"/>
          <w:color w:val="auto"/>
        </w:rPr>
        <w:t>A participant must be employed by Winnebago Industries, Inc. at the end of the fiscal year to be eligible for any previous quarterly holdback allocations except as waived by the Human Resource Committee for normal retirement and disability.</w:t>
      </w:r>
    </w:p>
    <w:p>
      <w:pPr>
        <w:spacing w:after="0" w:line="207" w:lineRule="exact"/>
        <w:rPr>
          <w:sz w:val="20"/>
          <w:szCs w:val="20"/>
          <w:color w:val="auto"/>
        </w:rPr>
      </w:pPr>
    </w:p>
    <w:p>
      <w:pPr>
        <w:jc w:val="both"/>
        <w:ind w:left="632" w:right="1779" w:hanging="632"/>
        <w:spacing w:after="0" w:line="268" w:lineRule="auto"/>
        <w:tabs>
          <w:tab w:leader="none" w:pos="63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STRATEGIC PERFORMANCE. The Human Resources Committee reserves the right to modify the core incentive eligibility by plus/minus 20% (of the calculated Financial Factor) based upon strategic organizational priorities.</w:t>
      </w:r>
    </w:p>
    <w:p>
      <w:pPr>
        <w:jc w:val="both"/>
        <w:ind w:left="632"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Strategic performance will be measured at the end of the fiscal year only. Strategic measurements may focus on one or more of the following strategic factors but are not limited to those stated.</w:t>
      </w:r>
    </w:p>
    <w:p>
      <w:pPr>
        <w:spacing w:after="0" w:line="203" w:lineRule="exact"/>
        <w:rPr>
          <w:sz w:val="20"/>
          <w:szCs w:val="20"/>
          <w:color w:val="auto"/>
        </w:rPr>
      </w:pPr>
    </w:p>
    <w:tbl>
      <w:tblPr>
        <w:tblLayout w:type="fixed"/>
        <w:tblInd w:w="1372" w:type="dxa"/>
        <w:tblCellMar>
          <w:top w:w="0" w:type="dxa"/>
          <w:left w:w="0" w:type="dxa"/>
          <w:bottom w:w="0" w:type="dxa"/>
          <w:right w:w="0" w:type="dxa"/>
        </w:tblCellMar>
      </w:tblPr>
      <w:tr>
        <w:trPr>
          <w:trHeight w:val="204"/>
        </w:trPr>
        <w:tc>
          <w:tcPr>
            <w:tcW w:w="2680" w:type="dxa"/>
            <w:vAlign w:val="bottom"/>
            <w:gridSpan w:val="2"/>
          </w:tcPr>
          <w:p>
            <w:pPr>
              <w:spacing w:after="0"/>
              <w:rPr>
                <w:sz w:val="20"/>
                <w:szCs w:val="20"/>
                <w:color w:val="auto"/>
              </w:rPr>
            </w:pPr>
            <w:r>
              <w:rPr>
                <w:rFonts w:ascii="Courier New" w:cs="Courier New" w:eastAsia="Courier New" w:hAnsi="Courier New"/>
                <w:sz w:val="18"/>
                <w:szCs w:val="18"/>
                <w:color w:val="auto"/>
              </w:rPr>
              <w:t>Revenue Growth</w:t>
            </w:r>
          </w:p>
        </w:tc>
        <w:tc>
          <w:tcPr>
            <w:tcW w:w="3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Customer Satisfaction</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Market Share</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Inventory</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Management</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Quality</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Technical</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Innovation</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Introductions</w:t>
            </w:r>
          </w:p>
        </w:tc>
        <w:tc>
          <w:tcPr>
            <w:tcW w:w="3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Ethical Business Practices</w:t>
            </w:r>
          </w:p>
        </w:tc>
      </w:tr>
    </w:tbl>
    <w:p>
      <w:pPr>
        <w:spacing w:after="0" w:line="207" w:lineRule="exact"/>
        <w:rPr>
          <w:sz w:val="20"/>
          <w:szCs w:val="20"/>
          <w:color w:val="auto"/>
        </w:rPr>
      </w:pPr>
    </w:p>
    <w:p>
      <w:pPr>
        <w:ind w:left="632" w:right="1879" w:hanging="632"/>
        <w:spacing w:after="0" w:line="237"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STOCK MATCH. 50% of the total cash incentives earned for the year will be matched annually and paid in restricted stock to encourage stock ownership and promote the long-term growth and profitability of Winnebago Industries, Inc.</w:t>
      </w:r>
    </w:p>
    <w:p>
      <w:pPr>
        <w:sectPr>
          <w:pgSz w:w="11900" w:h="16838" w:orient="portrait"/>
          <w:cols w:equalWidth="0" w:num="1">
            <w:col w:w="10211"/>
          </w:cols>
          <w:pgMar w:left="248" w:top="142" w:right="1440" w:bottom="1440" w:gutter="0" w:footer="0" w:header="0"/>
        </w:sectPr>
      </w:pPr>
    </w:p>
    <w:bookmarkStart w:id="15" w:name="page16"/>
    <w:bookmarkEnd w:id="15"/>
    <w:p>
      <w:pPr>
        <w:ind w:left="640" w:right="1879" w:hanging="632"/>
        <w:spacing w:after="0" w:line="23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the Company undergoes a change in control during the Plan year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fiscal monthly period immediately preceding the Effective Date. Based on such estimate, the Committee shall award a prorated portion of the incentive determined by such estimate. Any holdback for previous period(s) will be released and paid to the participant together with the annual stock match payment earned.</w:t>
      </w:r>
    </w:p>
    <w:p>
      <w:pPr>
        <w:spacing w:after="0" w:line="215" w:lineRule="exact"/>
        <w:rPr>
          <w:rFonts w:ascii="Courier New" w:cs="Courier New" w:eastAsia="Courier New" w:hAnsi="Courier New"/>
          <w:sz w:val="18"/>
          <w:szCs w:val="18"/>
          <w:color w:val="auto"/>
        </w:rPr>
      </w:pPr>
    </w:p>
    <w:p>
      <w:pPr>
        <w:ind w:left="640" w:right="1999" w:hanging="632"/>
        <w:spacing w:after="0" w:line="236"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Except to the extent preempted by federal law, the consideration and operation of the Plan shall be governed by the laws of the State of Iowa.</w:t>
      </w:r>
    </w:p>
    <w:p>
      <w:pPr>
        <w:spacing w:after="0" w:line="208"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Approved by:</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D. Hertzke</w:t>
      </w:r>
    </w:p>
    <w:p>
      <w:pPr>
        <w:spacing w:after="0" w:line="238" w:lineRule="auto"/>
        <w:rPr>
          <w:sz w:val="20"/>
          <w:szCs w:val="20"/>
          <w:color w:val="auto"/>
        </w:rPr>
      </w:pPr>
      <w:r>
        <w:rPr>
          <w:rFonts w:ascii="Courier New" w:cs="Courier New" w:eastAsia="Courier New" w:hAnsi="Courier New"/>
          <w:sz w:val="18"/>
          <w:szCs w:val="18"/>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 Dated</w:t>
      </w:r>
    </w:p>
    <w:p>
      <w:pPr>
        <w:spacing w:after="0" w:line="403" w:lineRule="exact"/>
        <w:rPr>
          <w:sz w:val="20"/>
          <w:szCs w:val="20"/>
          <w:color w:val="auto"/>
        </w:rPr>
      </w:pPr>
    </w:p>
    <w:p>
      <w:pPr>
        <w:sectPr>
          <w:pgSz w:w="11900" w:h="16838" w:orient="portrait"/>
          <w:cols w:equalWidth="0" w:num="2">
            <w:col w:w="4440" w:space="420"/>
            <w:col w:w="535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Gerald C. Kitch</w:t>
      </w:r>
    </w:p>
    <w:p>
      <w:pPr>
        <w:spacing w:after="0" w:line="238" w:lineRule="auto"/>
        <w:rPr>
          <w:sz w:val="20"/>
          <w:szCs w:val="20"/>
          <w:color w:val="auto"/>
        </w:rPr>
      </w:pPr>
      <w:r>
        <w:rPr>
          <w:rFonts w:ascii="Courier New" w:cs="Courier New" w:eastAsia="Courier New" w:hAnsi="Courier New"/>
          <w:sz w:val="18"/>
          <w:szCs w:val="18"/>
          <w:color w:val="auto"/>
        </w:rPr>
        <w:t>Human Resources Committee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 Dated</w:t>
      </w:r>
    </w:p>
    <w:p>
      <w:pPr>
        <w:sectPr>
          <w:pgSz w:w="11900" w:h="16838" w:orient="portrait"/>
          <w:cols w:equalWidth="0" w:num="2">
            <w:col w:w="4440" w:space="420"/>
            <w:col w:w="5359"/>
          </w:cols>
          <w:pgMar w:left="240" w:top="925"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AUG-28-1999</w:t>
      </w:r>
    </w:p>
    <w:p>
      <w:pPr>
        <w:ind w:left="3160"/>
        <w:spacing w:after="0"/>
        <w:rPr>
          <w:sz w:val="20"/>
          <w:szCs w:val="20"/>
          <w:color w:val="auto"/>
        </w:rPr>
      </w:pPr>
      <w:r>
        <w:rPr>
          <w:rFonts w:ascii="Courier New" w:cs="Courier New" w:eastAsia="Courier New" w:hAnsi="Courier New"/>
          <w:sz w:val="18"/>
          <w:szCs w:val="18"/>
          <w:color w:val="auto"/>
        </w:rPr>
        <w:t>NOV-28-1998</w:t>
      </w:r>
    </w:p>
    <w:p>
      <w:pPr>
        <w:ind w:left="4320"/>
        <w:spacing w:after="0" w:line="237" w:lineRule="auto"/>
        <w:rPr>
          <w:sz w:val="20"/>
          <w:szCs w:val="20"/>
          <w:color w:val="auto"/>
        </w:rPr>
      </w:pPr>
      <w:r>
        <w:rPr>
          <w:rFonts w:ascii="Courier New" w:cs="Courier New" w:eastAsia="Courier New" w:hAnsi="Courier New"/>
          <w:sz w:val="18"/>
          <w:szCs w:val="18"/>
          <w:color w:val="auto"/>
        </w:rPr>
        <w:t>33,940</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53,593</w:t>
      </w:r>
    </w:p>
    <w:p>
      <w:pPr>
        <w:ind w:left="3780"/>
        <w:spacing w:after="0" w:line="237" w:lineRule="auto"/>
        <w:rPr>
          <w:sz w:val="20"/>
          <w:szCs w:val="20"/>
          <w:color w:val="auto"/>
        </w:rPr>
      </w:pPr>
      <w:r>
        <w:rPr>
          <w:rFonts w:ascii="Courier New" w:cs="Courier New" w:eastAsia="Courier New" w:hAnsi="Courier New"/>
          <w:sz w:val="18"/>
          <w:szCs w:val="18"/>
          <w:color w:val="auto"/>
        </w:rPr>
        <w:t>1,422</w:t>
      </w:r>
    </w:p>
    <w:p>
      <w:pPr>
        <w:ind w:left="3780"/>
        <w:spacing w:after="0"/>
        <w:rPr>
          <w:sz w:val="20"/>
          <w:szCs w:val="20"/>
          <w:color w:val="auto"/>
        </w:rPr>
      </w:pPr>
      <w:r>
        <w:rPr>
          <w:rFonts w:ascii="Courier New" w:cs="Courier New" w:eastAsia="Courier New" w:hAnsi="Courier New"/>
          <w:sz w:val="18"/>
          <w:szCs w:val="18"/>
          <w:color w:val="auto"/>
        </w:rPr>
        <w:t>56,920</w:t>
      </w:r>
    </w:p>
    <w:p>
      <w:pPr>
        <w:ind w:left="3160"/>
        <w:spacing w:after="0" w:line="237" w:lineRule="auto"/>
        <w:rPr>
          <w:sz w:val="20"/>
          <w:szCs w:val="20"/>
          <w:color w:val="auto"/>
        </w:rPr>
      </w:pPr>
      <w:r>
        <w:rPr>
          <w:rFonts w:ascii="Courier New" w:cs="Courier New" w:eastAsia="Courier New" w:hAnsi="Courier New"/>
          <w:sz w:val="18"/>
          <w:szCs w:val="18"/>
          <w:color w:val="auto"/>
        </w:rPr>
        <w:t>153,918</w:t>
      </w:r>
    </w:p>
    <w:p>
      <w:pPr>
        <w:ind w:left="4200"/>
        <w:spacing w:after="0"/>
        <w:rPr>
          <w:sz w:val="20"/>
          <w:szCs w:val="20"/>
          <w:color w:val="auto"/>
        </w:rPr>
      </w:pPr>
      <w:r>
        <w:rPr>
          <w:rFonts w:ascii="Courier New" w:cs="Courier New" w:eastAsia="Courier New" w:hAnsi="Courier New"/>
          <w:sz w:val="18"/>
          <w:szCs w:val="18"/>
          <w:color w:val="auto"/>
        </w:rPr>
        <w:t>115,646</w:t>
      </w:r>
    </w:p>
    <w:p>
      <w:pPr>
        <w:ind w:left="3460"/>
        <w:spacing w:after="0" w:line="237" w:lineRule="auto"/>
        <w:rPr>
          <w:sz w:val="20"/>
          <w:szCs w:val="20"/>
          <w:color w:val="auto"/>
        </w:rPr>
      </w:pPr>
      <w:r>
        <w:rPr>
          <w:rFonts w:ascii="Courier New" w:cs="Courier New" w:eastAsia="Courier New" w:hAnsi="Courier New"/>
          <w:sz w:val="18"/>
          <w:szCs w:val="18"/>
          <w:color w:val="auto"/>
        </w:rPr>
        <w:t>82,295</w:t>
      </w:r>
    </w:p>
    <w:p>
      <w:pPr>
        <w:ind w:left="3360"/>
        <w:spacing w:after="0" w:line="238" w:lineRule="auto"/>
        <w:rPr>
          <w:sz w:val="20"/>
          <w:szCs w:val="20"/>
          <w:color w:val="auto"/>
        </w:rPr>
      </w:pPr>
      <w:r>
        <w:rPr>
          <w:rFonts w:ascii="Courier New" w:cs="Courier New" w:eastAsia="Courier New" w:hAnsi="Courier New"/>
          <w:sz w:val="18"/>
          <w:szCs w:val="18"/>
          <w:color w:val="auto"/>
        </w:rPr>
        <w:t>231,167</w:t>
      </w:r>
    </w:p>
    <w:p>
      <w:pPr>
        <w:ind w:left="2740"/>
        <w:spacing w:after="0"/>
        <w:rPr>
          <w:sz w:val="20"/>
          <w:szCs w:val="20"/>
          <w:color w:val="auto"/>
        </w:rPr>
      </w:pPr>
      <w:r>
        <w:rPr>
          <w:rFonts w:ascii="Courier New" w:cs="Courier New" w:eastAsia="Courier New" w:hAnsi="Courier New"/>
          <w:sz w:val="18"/>
          <w:szCs w:val="18"/>
          <w:color w:val="auto"/>
        </w:rPr>
        <w:t>59,671</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12,935</w:t>
      </w:r>
    </w:p>
    <w:p>
      <w:pPr>
        <w:ind w:left="3780"/>
        <w:spacing w:after="0" w:line="237" w:lineRule="auto"/>
        <w:rPr>
          <w:sz w:val="20"/>
          <w:szCs w:val="20"/>
          <w:color w:val="auto"/>
        </w:rPr>
      </w:pPr>
      <w:r>
        <w:rPr>
          <w:rFonts w:ascii="Courier New" w:cs="Courier New" w:eastAsia="Courier New" w:hAnsi="Courier New"/>
          <w:sz w:val="18"/>
          <w:szCs w:val="18"/>
          <w:color w:val="auto"/>
        </w:rPr>
        <w:t>105,367</w:t>
      </w:r>
    </w:p>
    <w:p>
      <w:pPr>
        <w:ind w:left="1880"/>
        <w:spacing w:after="0" w:line="238" w:lineRule="auto"/>
        <w:rPr>
          <w:sz w:val="20"/>
          <w:szCs w:val="20"/>
          <w:color w:val="auto"/>
        </w:rPr>
      </w:pPr>
      <w:r>
        <w:rPr>
          <w:rFonts w:ascii="Courier New" w:cs="Courier New" w:eastAsia="Courier New" w:hAnsi="Courier New"/>
          <w:sz w:val="18"/>
          <w:szCs w:val="18"/>
          <w:color w:val="auto"/>
        </w:rPr>
        <w:t>231,167</w:t>
      </w:r>
    </w:p>
    <w:p>
      <w:pPr>
        <w:ind w:left="4100"/>
        <w:spacing w:after="0"/>
        <w:rPr>
          <w:sz w:val="20"/>
          <w:szCs w:val="20"/>
          <w:color w:val="auto"/>
        </w:rPr>
      </w:pPr>
      <w:r>
        <w:rPr>
          <w:rFonts w:ascii="Courier New" w:cs="Courier New" w:eastAsia="Courier New" w:hAnsi="Courier New"/>
          <w:sz w:val="18"/>
          <w:szCs w:val="18"/>
          <w:color w:val="auto"/>
        </w:rPr>
        <w:t>157,664</w:t>
      </w:r>
    </w:p>
    <w:p>
      <w:pPr>
        <w:ind w:left="3160"/>
        <w:spacing w:after="0" w:line="237" w:lineRule="auto"/>
        <w:rPr>
          <w:sz w:val="20"/>
          <w:szCs w:val="20"/>
          <w:color w:val="auto"/>
        </w:rPr>
      </w:pPr>
      <w:r>
        <w:rPr>
          <w:rFonts w:ascii="Courier New" w:cs="Courier New" w:eastAsia="Courier New" w:hAnsi="Courier New"/>
          <w:sz w:val="18"/>
          <w:szCs w:val="18"/>
          <w:color w:val="auto"/>
        </w:rPr>
        <w:t>157,664</w:t>
      </w:r>
    </w:p>
    <w:p>
      <w:pPr>
        <w:jc w:val="right"/>
        <w:ind w:right="5059"/>
        <w:spacing w:after="0"/>
        <w:rPr>
          <w:sz w:val="20"/>
          <w:szCs w:val="20"/>
          <w:color w:val="auto"/>
        </w:rPr>
      </w:pPr>
      <w:r>
        <w:rPr>
          <w:rFonts w:ascii="Courier New" w:cs="Courier New" w:eastAsia="Courier New" w:hAnsi="Courier New"/>
          <w:sz w:val="18"/>
          <w:szCs w:val="18"/>
          <w:color w:val="auto"/>
        </w:rPr>
        <w:t>132,788</w:t>
      </w:r>
    </w:p>
    <w:p>
      <w:pPr>
        <w:ind w:left="3460"/>
        <w:spacing w:after="0" w:line="237" w:lineRule="auto"/>
        <w:rPr>
          <w:sz w:val="20"/>
          <w:szCs w:val="20"/>
          <w:color w:val="auto"/>
        </w:rPr>
      </w:pPr>
      <w:r>
        <w:rPr>
          <w:rFonts w:ascii="Courier New" w:cs="Courier New" w:eastAsia="Courier New" w:hAnsi="Courier New"/>
          <w:sz w:val="18"/>
          <w:szCs w:val="18"/>
          <w:color w:val="auto"/>
        </w:rPr>
        <w:t>132,788</w:t>
      </w:r>
    </w:p>
    <w:p>
      <w:pPr>
        <w:ind w:left="3260"/>
        <w:spacing w:after="0"/>
        <w:rPr>
          <w:sz w:val="20"/>
          <w:szCs w:val="20"/>
          <w:color w:val="auto"/>
        </w:rPr>
      </w:pPr>
      <w:r>
        <w:rPr>
          <w:rFonts w:ascii="Courier New" w:cs="Courier New" w:eastAsia="Courier New" w:hAnsi="Courier New"/>
          <w:sz w:val="18"/>
          <w:szCs w:val="18"/>
          <w:color w:val="auto"/>
        </w:rPr>
        <w:t>10,796</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(581)</w:t>
      </w:r>
    </w:p>
    <w:p>
      <w:pPr>
        <w:ind w:left="3360"/>
        <w:spacing w:after="0" w:line="237" w:lineRule="auto"/>
        <w:rPr>
          <w:sz w:val="20"/>
          <w:szCs w:val="20"/>
          <w:color w:val="auto"/>
        </w:rPr>
      </w:pPr>
      <w:r>
        <w:rPr>
          <w:rFonts w:ascii="Courier New" w:cs="Courier New" w:eastAsia="Courier New" w:hAnsi="Courier New"/>
          <w:sz w:val="18"/>
          <w:szCs w:val="18"/>
          <w:color w:val="auto"/>
        </w:rPr>
        <w:t>14,661</w:t>
      </w:r>
    </w:p>
    <w:p>
      <w:pPr>
        <w:ind w:left="3780"/>
        <w:spacing w:after="0" w:line="238" w:lineRule="auto"/>
        <w:rPr>
          <w:sz w:val="20"/>
          <w:szCs w:val="20"/>
          <w:color w:val="auto"/>
        </w:rPr>
      </w:pPr>
      <w:r>
        <w:rPr>
          <w:rFonts w:ascii="Courier New" w:cs="Courier New" w:eastAsia="Courier New" w:hAnsi="Courier New"/>
          <w:sz w:val="18"/>
          <w:szCs w:val="18"/>
          <w:color w:val="auto"/>
        </w:rPr>
        <w:t>5,012</w:t>
      </w:r>
    </w:p>
    <w:p>
      <w:pPr>
        <w:ind w:left="3040"/>
        <w:spacing w:after="0"/>
        <w:rPr>
          <w:sz w:val="20"/>
          <w:szCs w:val="20"/>
          <w:color w:val="auto"/>
        </w:rPr>
      </w:pPr>
      <w:r>
        <w:rPr>
          <w:rFonts w:ascii="Courier New" w:cs="Courier New" w:eastAsia="Courier New" w:hAnsi="Courier New"/>
          <w:sz w:val="18"/>
          <w:szCs w:val="18"/>
          <w:color w:val="auto"/>
        </w:rPr>
        <w:t>9,649</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jc w:val="center"/>
        <w:ind w:right="2019"/>
        <w:spacing w:after="0"/>
        <w:rPr>
          <w:sz w:val="20"/>
          <w:szCs w:val="20"/>
          <w:color w:val="auto"/>
        </w:rPr>
      </w:pPr>
      <w:r>
        <w:rPr>
          <w:rFonts w:ascii="Courier New" w:cs="Courier New" w:eastAsia="Courier New" w:hAnsi="Courier New"/>
          <w:sz w:val="18"/>
          <w:szCs w:val="18"/>
          <w:color w:val="auto"/>
        </w:rPr>
        <w:t>9,649</w:t>
      </w:r>
    </w:p>
    <w:p>
      <w:pPr>
        <w:jc w:val="center"/>
        <w:ind w:right="2019"/>
        <w:spacing w:after="0" w:line="237" w:lineRule="auto"/>
        <w:rPr>
          <w:sz w:val="20"/>
          <w:szCs w:val="20"/>
          <w:color w:val="auto"/>
        </w:rPr>
      </w:pPr>
      <w:r>
        <w:rPr>
          <w:rFonts w:ascii="Courier New" w:cs="Courier New" w:eastAsia="Courier New" w:hAnsi="Courier New"/>
          <w:sz w:val="18"/>
          <w:szCs w:val="18"/>
          <w:color w:val="auto"/>
        </w:rPr>
        <w:t>.43</w:t>
      </w:r>
    </w:p>
    <w:p>
      <w:pPr>
        <w:jc w:val="center"/>
        <w:ind w:right="2019"/>
        <w:spacing w:after="0" w:line="238" w:lineRule="auto"/>
        <w:rPr>
          <w:sz w:val="20"/>
          <w:szCs w:val="20"/>
          <w:color w:val="auto"/>
        </w:rPr>
      </w:pPr>
      <w:r>
        <w:rPr>
          <w:rFonts w:ascii="Courier New" w:cs="Courier New" w:eastAsia="Courier New" w:hAnsi="Courier New"/>
          <w:sz w:val="18"/>
          <w:szCs w:val="18"/>
          <w:color w:val="auto"/>
        </w:rPr>
        <w:t>.43</w:t>
      </w:r>
    </w:p>
    <w:sectPr>
      <w:pgSz w:w="11900" w:h="16838" w:orient="portrait"/>
      <w:cols w:equalWidth="0" w:num="1">
        <w:col w:w="10099"/>
      </w:cols>
      <w:pgMar w:left="36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1"/>
    </w:lvl>
    <w:lvl w:ilvl="1">
      <w:lvlJc w:val="left"/>
      <w:lvlText w:val="%2."/>
      <w:numFmt w:val="decimal"/>
      <w:start w:val="1"/>
    </w:lvl>
  </w:abstractNum>
  <w:abstractNum w:abstractNumId="8">
    <w:nsid w:val="216231B"/>
    <w:multiLevelType w:val="hybridMultilevel"/>
    <w:lvl w:ilvl="0">
      <w:lvlJc w:val="left"/>
      <w:lvlText w:val="%1."/>
      <w:numFmt w:val="decimal"/>
      <w:start w:val="4"/>
    </w:lvl>
    <w:lvl w:ilvl="1">
      <w:lvlJc w:val="left"/>
      <w:lvlText w:val="%2"/>
      <w:numFmt w:val="decimal"/>
      <w:start w:val="1"/>
    </w:lvl>
  </w:abstractNum>
  <w:abstractNum w:abstractNumId="9">
    <w:nsid w:val="1F16E9E8"/>
    <w:multiLevelType w:val="hybridMultilevel"/>
    <w:lvl w:ilvl="0">
      <w:lvlJc w:val="left"/>
      <w:lvlText w:val="%1."/>
      <w:numFmt w:val="decimal"/>
      <w:start w:val="6"/>
    </w:lvl>
  </w:abstractNum>
  <w:abstractNum w:abstractNumId="10">
    <w:nsid w:val="1190CDE7"/>
    <w:multiLevelType w:val="hybridMultilevel"/>
    <w:lvl w:ilvl="0">
      <w:lvlJc w:val="left"/>
      <w:lvlText w:val="%1."/>
      <w:numFmt w:val="decimal"/>
      <w:start w:val="7"/>
    </w:lvl>
  </w:abstractNum>
  <w:abstractNum w:abstractNumId="11">
    <w:nsid w:val="66EF438D"/>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2020-02-22T09:40:49Z</dcterms:created>
  <dcterms:modified xsi:type="dcterms:W3CDTF">2020-02-22T09:40:49Z</dcterms:modified>
</cp:coreProperties>
</file>