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233680</wp:posOffset>
            </wp:positionV>
            <wp:extent cx="137223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84"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196215</wp:posOffset>
            </wp:positionV>
            <wp:extent cx="137223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June 14,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1181100</wp:posOffset>
            </wp:positionV>
            <wp:extent cx="13804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0490" cy="17145"/>
                    </a:xfrm>
                    <a:prstGeom prst="rect">
                      <a:avLst/>
                    </a:prstGeom>
                    <a:noFill/>
                  </pic:spPr>
                </pic:pic>
              </a:graphicData>
            </a:graphic>
          </wp:anchor>
        </w:drawing>
        <w:drawing>
          <wp:anchor simplePos="0" relativeHeight="251657728" behindDoc="1" locked="0" layoutInCell="0" allowOverlap="1">
            <wp:simplePos x="0" y="0"/>
            <wp:positionH relativeFrom="column">
              <wp:posOffset>2578100</wp:posOffset>
            </wp:positionH>
            <wp:positionV relativeFrom="paragraph">
              <wp:posOffset>14605</wp:posOffset>
            </wp:positionV>
            <wp:extent cx="2066925" cy="9093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66925" cy="9093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Winnebago Industries, Inc.</w:t>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4"/>
          <w:szCs w:val="24"/>
          <w:color w:val="auto"/>
        </w:rPr>
      </w:pPr>
    </w:p>
    <w:p>
      <w:pPr>
        <w:spacing w:after="0" w:line="226" w:lineRule="exact"/>
        <w:rPr>
          <w:sz w:val="24"/>
          <w:szCs w:val="24"/>
          <w:color w:val="auto"/>
        </w:rPr>
      </w:pPr>
    </w:p>
    <w:tbl>
      <w:tblPr>
        <w:tblLayout w:type="fixed"/>
        <w:tblInd w:w="1120" w:type="dxa"/>
        <w:tblCellMar>
          <w:top w:w="0" w:type="dxa"/>
          <w:left w:w="0" w:type="dxa"/>
          <w:bottom w:w="0" w:type="dxa"/>
          <w:right w:w="0" w:type="dxa"/>
        </w:tblCellMar>
      </w:tblPr>
      <w:tr>
        <w:trPr>
          <w:trHeight w:val="246"/>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Iowa</w:t>
            </w:r>
          </w:p>
        </w:tc>
        <w:tc>
          <w:tcPr>
            <w:tcW w:w="2500" w:type="dxa"/>
            <w:vAlign w:val="bottom"/>
            <w:tcBorders>
              <w:bottom w:val="single" w:sz="8" w:color="auto"/>
            </w:tcBorders>
          </w:tcPr>
          <w:p>
            <w:pPr>
              <w:jc w:val="right"/>
              <w:ind w:right="734"/>
              <w:spacing w:after="0"/>
              <w:rPr>
                <w:sz w:val="20"/>
                <w:szCs w:val="20"/>
                <w:color w:val="auto"/>
              </w:rPr>
            </w:pPr>
            <w:r>
              <w:rPr>
                <w:rFonts w:ascii="Arial" w:cs="Arial" w:eastAsia="Arial" w:hAnsi="Arial"/>
                <w:sz w:val="18"/>
                <w:szCs w:val="18"/>
                <w:b w:val="1"/>
                <w:bCs w:val="1"/>
                <w:color w:val="auto"/>
              </w:rPr>
              <w:t>001-06403</w:t>
            </w:r>
          </w:p>
        </w:tc>
        <w:tc>
          <w:tcPr>
            <w:tcW w:w="100" w:type="dxa"/>
            <w:vAlign w:val="bottom"/>
            <w:tcBorders>
              <w:bottom w:val="single" w:sz="8" w:color="auto"/>
            </w:tcBorders>
          </w:tcPr>
          <w:p>
            <w:pPr>
              <w:spacing w:after="0"/>
              <w:rPr>
                <w:sz w:val="21"/>
                <w:szCs w:val="21"/>
                <w:color w:val="auto"/>
              </w:rPr>
            </w:pPr>
          </w:p>
        </w:tc>
        <w:tc>
          <w:tcPr>
            <w:tcW w:w="3260" w:type="dxa"/>
            <w:vAlign w:val="bottom"/>
            <w:tcBorders>
              <w:bottom w:val="single" w:sz="8" w:color="auto"/>
            </w:tcBorders>
          </w:tcPr>
          <w:p>
            <w:pPr>
              <w:jc w:val="right"/>
              <w:ind w:right="1116"/>
              <w:spacing w:after="0"/>
              <w:rPr>
                <w:sz w:val="20"/>
                <w:szCs w:val="20"/>
                <w:color w:val="auto"/>
              </w:rPr>
            </w:pPr>
            <w:r>
              <w:rPr>
                <w:rFonts w:ascii="Arial" w:cs="Arial" w:eastAsia="Arial" w:hAnsi="Arial"/>
                <w:sz w:val="18"/>
                <w:szCs w:val="18"/>
                <w:b w:val="1"/>
                <w:bCs w:val="1"/>
                <w:color w:val="auto"/>
              </w:rPr>
              <w:t>42-0802678</w:t>
            </w:r>
          </w:p>
        </w:tc>
      </w:tr>
      <w:tr>
        <w:trPr>
          <w:trHeight w:val="218"/>
        </w:trPr>
        <w:tc>
          <w:tcPr>
            <w:tcW w:w="3340" w:type="dxa"/>
            <w:vAlign w:val="bottom"/>
          </w:tcPr>
          <w:p>
            <w:pPr>
              <w:jc w:val="center"/>
              <w:spacing w:after="0"/>
              <w:rPr>
                <w:sz w:val="20"/>
                <w:szCs w:val="20"/>
                <w:color w:val="auto"/>
              </w:rPr>
            </w:pPr>
            <w:r>
              <w:rPr>
                <w:rFonts w:ascii="Arial" w:cs="Arial" w:eastAsia="Arial" w:hAnsi="Arial"/>
                <w:sz w:val="16"/>
                <w:szCs w:val="16"/>
                <w:color w:val="auto"/>
              </w:rPr>
              <w:t>(State or Other Jurisdiction</w:t>
            </w:r>
          </w:p>
        </w:tc>
        <w:tc>
          <w:tcPr>
            <w:tcW w:w="2600" w:type="dxa"/>
            <w:vAlign w:val="bottom"/>
            <w:gridSpan w:val="2"/>
          </w:tcPr>
          <w:p>
            <w:pPr>
              <w:jc w:val="center"/>
              <w:ind w:right="100"/>
              <w:spacing w:after="0"/>
              <w:rPr>
                <w:sz w:val="20"/>
                <w:szCs w:val="20"/>
                <w:color w:val="auto"/>
              </w:rPr>
            </w:pPr>
            <w:r>
              <w:rPr>
                <w:rFonts w:ascii="Arial" w:cs="Arial" w:eastAsia="Arial" w:hAnsi="Arial"/>
                <w:sz w:val="16"/>
                <w:szCs w:val="16"/>
                <w:color w:val="auto"/>
              </w:rPr>
              <w:t>(Commission File Number)</w:t>
            </w:r>
          </w:p>
        </w:tc>
        <w:tc>
          <w:tcPr>
            <w:tcW w:w="3260" w:type="dxa"/>
            <w:vAlign w:val="bottom"/>
          </w:tcPr>
          <w:p>
            <w:pPr>
              <w:jc w:val="center"/>
              <w:ind w:right="16"/>
              <w:spacing w:after="0"/>
              <w:rPr>
                <w:sz w:val="20"/>
                <w:szCs w:val="20"/>
                <w:color w:val="auto"/>
              </w:rPr>
            </w:pPr>
            <w:r>
              <w:rPr>
                <w:rFonts w:ascii="Arial" w:cs="Arial" w:eastAsia="Arial" w:hAnsi="Arial"/>
                <w:sz w:val="16"/>
                <w:szCs w:val="16"/>
                <w:color w:val="auto"/>
                <w:w w:val="99"/>
              </w:rPr>
              <w:t>(IRS Employer</w:t>
            </w:r>
          </w:p>
        </w:tc>
      </w:tr>
      <w:tr>
        <w:trPr>
          <w:trHeight w:val="195"/>
        </w:trPr>
        <w:tc>
          <w:tcPr>
            <w:tcW w:w="3340" w:type="dxa"/>
            <w:vAlign w:val="bottom"/>
          </w:tcPr>
          <w:p>
            <w:pPr>
              <w:jc w:val="center"/>
              <w:spacing w:after="0"/>
              <w:rPr>
                <w:sz w:val="20"/>
                <w:szCs w:val="20"/>
                <w:color w:val="auto"/>
              </w:rPr>
            </w:pPr>
            <w:r>
              <w:rPr>
                <w:rFonts w:ascii="Arial" w:cs="Arial" w:eastAsia="Arial" w:hAnsi="Arial"/>
                <w:sz w:val="16"/>
                <w:szCs w:val="16"/>
                <w:color w:val="auto"/>
              </w:rPr>
              <w:t>of Incorporation)</w:t>
            </w:r>
          </w:p>
        </w:tc>
        <w:tc>
          <w:tcPr>
            <w:tcW w:w="2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60" w:type="dxa"/>
            <w:vAlign w:val="bottom"/>
          </w:tcPr>
          <w:p>
            <w:pPr>
              <w:jc w:val="center"/>
              <w:ind w:right="36"/>
              <w:spacing w:after="0"/>
              <w:rPr>
                <w:sz w:val="20"/>
                <w:szCs w:val="20"/>
                <w:color w:val="auto"/>
              </w:rPr>
            </w:pPr>
            <w:r>
              <w:rPr>
                <w:rFonts w:ascii="Arial" w:cs="Arial" w:eastAsia="Arial" w:hAnsi="Arial"/>
                <w:sz w:val="16"/>
                <w:szCs w:val="16"/>
                <w:color w:val="auto"/>
              </w:rPr>
              <w:t>Identification No.)</w:t>
            </w:r>
          </w:p>
        </w:tc>
      </w:tr>
      <w:tr>
        <w:trPr>
          <w:trHeight w:val="526"/>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P.O. Box 152, Forest City, Iowa</w:t>
            </w:r>
          </w:p>
        </w:tc>
        <w:tc>
          <w:tcPr>
            <w:tcW w:w="25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jc w:val="right"/>
              <w:ind w:right="1356"/>
              <w:spacing w:after="0"/>
              <w:rPr>
                <w:sz w:val="20"/>
                <w:szCs w:val="20"/>
                <w:color w:val="auto"/>
              </w:rPr>
            </w:pPr>
            <w:r>
              <w:rPr>
                <w:rFonts w:ascii="Arial" w:cs="Arial" w:eastAsia="Arial" w:hAnsi="Arial"/>
                <w:sz w:val="18"/>
                <w:szCs w:val="18"/>
                <w:b w:val="1"/>
                <w:bCs w:val="1"/>
                <w:color w:val="auto"/>
              </w:rPr>
              <w:t>50436</w:t>
            </w:r>
          </w:p>
        </w:tc>
      </w:tr>
      <w:tr>
        <w:trPr>
          <w:trHeight w:val="224"/>
        </w:trPr>
        <w:tc>
          <w:tcPr>
            <w:tcW w:w="3340" w:type="dxa"/>
            <w:vAlign w:val="bottom"/>
          </w:tcPr>
          <w:p>
            <w:pPr>
              <w:jc w:val="center"/>
              <w:spacing w:after="0"/>
              <w:rPr>
                <w:sz w:val="20"/>
                <w:szCs w:val="20"/>
                <w:color w:val="auto"/>
              </w:rPr>
            </w:pPr>
            <w:r>
              <w:rPr>
                <w:rFonts w:ascii="Arial" w:cs="Arial" w:eastAsia="Arial" w:hAnsi="Arial"/>
                <w:sz w:val="16"/>
                <w:szCs w:val="16"/>
                <w:color w:val="auto"/>
              </w:rPr>
              <w:t>(Address of Principal Executive Offices)</w:t>
            </w: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60" w:type="dxa"/>
            <w:vAlign w:val="bottom"/>
          </w:tcPr>
          <w:p>
            <w:pPr>
              <w:jc w:val="center"/>
              <w:ind w:right="16"/>
              <w:spacing w:after="0"/>
              <w:rPr>
                <w:sz w:val="20"/>
                <w:szCs w:val="20"/>
                <w:color w:val="auto"/>
              </w:rPr>
            </w:pPr>
            <w:r>
              <w:rPr>
                <w:rFonts w:ascii="Arial" w:cs="Arial" w:eastAsia="Arial" w:hAnsi="Arial"/>
                <w:sz w:val="16"/>
                <w:szCs w:val="16"/>
                <w:color w:val="auto"/>
              </w:rPr>
              <w:t>(Zip Code)</w:t>
            </w:r>
          </w:p>
        </w:tc>
      </w:tr>
      <w:tr>
        <w:trPr>
          <w:trHeight w:val="473"/>
        </w:trPr>
        <w:tc>
          <w:tcPr>
            <w:tcW w:w="5940" w:type="dxa"/>
            <w:vAlign w:val="bottom"/>
            <w:gridSpan w:val="3"/>
          </w:tcPr>
          <w:p>
            <w:pPr>
              <w:ind w:left="2180"/>
              <w:spacing w:after="0"/>
              <w:rPr>
                <w:sz w:val="20"/>
                <w:szCs w:val="20"/>
                <w:color w:val="auto"/>
              </w:rPr>
            </w:pPr>
            <w:r>
              <w:rPr>
                <w:rFonts w:ascii="Arial" w:cs="Arial" w:eastAsia="Arial" w:hAnsi="Arial"/>
                <w:sz w:val="16"/>
                <w:szCs w:val="16"/>
                <w:color w:val="auto"/>
              </w:rPr>
              <w:t>Registrant's telephone number, including area code</w:t>
            </w:r>
          </w:p>
        </w:tc>
        <w:tc>
          <w:tcPr>
            <w:tcW w:w="3260" w:type="dxa"/>
            <w:vAlign w:val="bottom"/>
          </w:tcPr>
          <w:p>
            <w:pPr>
              <w:jc w:val="right"/>
              <w:ind w:right="2096"/>
              <w:spacing w:after="0"/>
              <w:rPr>
                <w:sz w:val="20"/>
                <w:szCs w:val="20"/>
                <w:color w:val="auto"/>
              </w:rPr>
            </w:pPr>
            <w:r>
              <w:rPr>
                <w:rFonts w:ascii="Arial" w:cs="Arial" w:eastAsia="Arial" w:hAnsi="Arial"/>
                <w:sz w:val="16"/>
                <w:szCs w:val="16"/>
                <w:b w:val="1"/>
                <w:bCs w:val="1"/>
                <w:color w:val="auto"/>
              </w:rPr>
              <w:t>641-585-3535</w:t>
            </w:r>
          </w:p>
        </w:tc>
      </w:tr>
    </w:tbl>
    <w:p>
      <w:pPr>
        <w:spacing w:after="0" w:line="183" w:lineRule="exact"/>
        <w:rPr>
          <w:sz w:val="24"/>
          <w:szCs w:val="24"/>
          <w:color w:val="auto"/>
        </w:rPr>
      </w:pPr>
    </w:p>
    <w:p>
      <w:pPr>
        <w:ind w:left="2560"/>
        <w:spacing w:after="0"/>
        <w:rPr>
          <w:sz w:val="20"/>
          <w:szCs w:val="20"/>
          <w:color w:val="auto"/>
        </w:rPr>
      </w:pPr>
      <w:r>
        <w:rPr>
          <w:rFonts w:ascii="Arial" w:cs="Arial" w:eastAsia="Arial" w:hAnsi="Arial"/>
          <w:sz w:val="16"/>
          <w:szCs w:val="16"/>
          <w:color w:val="auto"/>
        </w:rPr>
        <w:t>______________________________________________________________________</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224790</wp:posOffset>
            </wp:positionV>
            <wp:extent cx="136334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69" w:lineRule="exact"/>
        <w:rPr>
          <w:sz w:val="24"/>
          <w:szCs w:val="24"/>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ectPr>
          <w:pgSz w:w="11900" w:h="16838" w:orient="portrait"/>
          <w:cols w:equalWidth="0" w:num="1">
            <w:col w:w="11420"/>
          </w:cols>
          <w:pgMar w:left="240" w:top="676" w:right="23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color w:val="auto"/>
        </w:rPr>
        <w:t>Item 2.02 Results of Operations and Financial Condition.</w:t>
      </w:r>
    </w:p>
    <w:p>
      <w:pPr>
        <w:spacing w:after="0" w:line="245"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Winnebago Industries, Inc. is filing herewith a press release issued on June 14, 2012, as Exhibit 99.1 which is incorporated by reference herein. The press release was issued to report earnings for the third quarter of Fiscal 2012 ended May 26, 2012.</w:t>
      </w:r>
    </w:p>
    <w:p>
      <w:pPr>
        <w:spacing w:after="0" w:line="3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218" w:lineRule="exact"/>
        <w:rPr>
          <w:sz w:val="20"/>
          <w:szCs w:val="20"/>
          <w:color w:val="auto"/>
        </w:rPr>
      </w:pPr>
    </w:p>
    <w:p>
      <w:pPr>
        <w:ind w:left="380" w:hanging="372"/>
        <w:spacing w:after="0"/>
        <w:tabs>
          <w:tab w:leader="none" w:pos="380" w:val="left"/>
        </w:tabs>
        <w:numPr>
          <w:ilvl w:val="0"/>
          <w:numId w:val="2"/>
        </w:numPr>
        <w:rPr>
          <w:rFonts w:ascii="Arial" w:cs="Arial" w:eastAsia="Arial" w:hAnsi="Arial"/>
          <w:sz w:val="16"/>
          <w:szCs w:val="16"/>
          <w:color w:val="auto"/>
        </w:rPr>
      </w:pPr>
      <w:r>
        <w:rPr>
          <w:rFonts w:ascii="Arial" w:cs="Arial" w:eastAsia="Arial" w:hAnsi="Arial"/>
          <w:sz w:val="16"/>
          <w:szCs w:val="16"/>
          <w:color w:val="auto"/>
        </w:rPr>
        <w:t>Exhibits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Exhibit</w:t>
      </w:r>
    </w:p>
    <w:p>
      <w:pPr>
        <w:spacing w:after="0" w:line="25"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16"/>
          <w:szCs w:val="16"/>
          <w:b w:val="1"/>
          <w:bCs w:val="1"/>
          <w:color w:val="auto"/>
        </w:rPr>
        <w:t>Number</w:t>
        <w:tab/>
        <w:t>Description</w:t>
      </w:r>
    </w:p>
    <w:p>
      <w:pPr>
        <w:spacing w:after="0" w:line="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6"/>
          <w:szCs w:val="16"/>
          <w:color w:val="auto"/>
        </w:rPr>
        <w:t>99.1</w:t>
      </w:r>
      <w:r>
        <w:rPr>
          <w:sz w:val="20"/>
          <w:szCs w:val="20"/>
          <w:color w:val="auto"/>
        </w:rPr>
        <w:tab/>
      </w:r>
      <w:r>
        <w:rPr>
          <w:rFonts w:ascii="Arial" w:cs="Arial" w:eastAsia="Arial" w:hAnsi="Arial"/>
          <w:sz w:val="16"/>
          <w:szCs w:val="16"/>
          <w:color w:val="auto"/>
        </w:rPr>
        <w:t>Press release of Winnebago Industries, Inc. dated June 14, 2012.</w:t>
      </w:r>
    </w:p>
    <w:p>
      <w:pPr>
        <w:sectPr>
          <w:pgSz w:w="11900" w:h="16838" w:orient="portrait"/>
          <w:cols w:equalWidth="0" w:num="1">
            <w:col w:w="11060"/>
          </w:cols>
          <w:pgMar w:left="240" w:top="571" w:right="599" w:bottom="1440" w:gutter="0" w:footer="0" w:header="0"/>
        </w:sectPr>
      </w:pPr>
    </w:p>
    <w:bookmarkStart w:id="2" w:name="page3"/>
    <w:bookmarkEnd w:id="2"/>
    <w:p>
      <w:pPr>
        <w:jc w:val="center"/>
        <w:ind w:right="-199"/>
        <w:spacing w:after="0"/>
        <w:rPr>
          <w:sz w:val="20"/>
          <w:szCs w:val="20"/>
          <w:color w:val="auto"/>
        </w:rPr>
      </w:pPr>
      <w:r>
        <w:rPr>
          <w:rFonts w:ascii="Arial" w:cs="Arial" w:eastAsia="Arial" w:hAnsi="Arial"/>
          <w:sz w:val="20"/>
          <w:szCs w:val="20"/>
          <w:b w:val="1"/>
          <w:bCs w:val="1"/>
          <w:color w:val="auto"/>
        </w:rPr>
        <w:t>SIGNATURES</w:t>
      </w:r>
    </w:p>
    <w:p>
      <w:pPr>
        <w:spacing w:after="0" w:line="17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322" w:lineRule="exact"/>
        <w:rPr>
          <w:sz w:val="20"/>
          <w:szCs w:val="20"/>
          <w:color w:val="auto"/>
        </w:rPr>
      </w:pPr>
    </w:p>
    <w:p>
      <w:pPr>
        <w:ind w:left="3460"/>
        <w:spacing w:after="0"/>
        <w:rPr>
          <w:sz w:val="20"/>
          <w:szCs w:val="20"/>
          <w:color w:val="auto"/>
        </w:rPr>
      </w:pPr>
      <w:r>
        <w:rPr>
          <w:rFonts w:ascii="Arial" w:cs="Arial" w:eastAsia="Arial" w:hAnsi="Arial"/>
          <w:sz w:val="22"/>
          <w:szCs w:val="22"/>
          <w:color w:val="auto"/>
        </w:rPr>
        <w:t>W</w:t>
      </w:r>
      <w:r>
        <w:rPr>
          <w:rFonts w:ascii="Arial" w:cs="Arial" w:eastAsia="Arial" w:hAnsi="Arial"/>
          <w:sz w:val="16"/>
          <w:szCs w:val="16"/>
          <w:color w:val="auto"/>
        </w:rPr>
        <w:t>INNEBAGO</w:t>
      </w:r>
      <w:r>
        <w:rPr>
          <w:rFonts w:ascii="Arial" w:cs="Arial" w:eastAsia="Arial" w:hAnsi="Arial"/>
          <w:sz w:val="22"/>
          <w:szCs w:val="22"/>
          <w:color w:val="auto"/>
        </w:rPr>
        <w:t xml:space="preserve"> I</w:t>
      </w:r>
      <w:r>
        <w:rPr>
          <w:rFonts w:ascii="Arial" w:cs="Arial" w:eastAsia="Arial" w:hAnsi="Arial"/>
          <w:sz w:val="16"/>
          <w:szCs w:val="16"/>
          <w:color w:val="auto"/>
        </w:rPr>
        <w:t>NDUSTRIES,</w:t>
      </w:r>
      <w:r>
        <w:rPr>
          <w:rFonts w:ascii="Arial" w:cs="Arial" w:eastAsia="Arial" w:hAnsi="Arial"/>
          <w:sz w:val="22"/>
          <w:szCs w:val="22"/>
          <w:color w:val="auto"/>
        </w:rPr>
        <w:t xml:space="preserve"> I</w:t>
      </w:r>
      <w:r>
        <w:rPr>
          <w:rFonts w:ascii="Arial" w:cs="Arial" w:eastAsia="Arial" w:hAnsi="Arial"/>
          <w:sz w:val="16"/>
          <w:szCs w:val="16"/>
          <w:color w:val="auto"/>
        </w:rPr>
        <w:t>NC.</w:t>
      </w:r>
    </w:p>
    <w:p>
      <w:pPr>
        <w:spacing w:after="0" w:line="80" w:lineRule="exact"/>
        <w:rPr>
          <w:sz w:val="20"/>
          <w:szCs w:val="20"/>
          <w:color w:val="auto"/>
        </w:rPr>
      </w:pPr>
    </w:p>
    <w:p>
      <w:pPr>
        <w:ind w:left="3460"/>
        <w:spacing w:after="0"/>
        <w:rPr>
          <w:sz w:val="20"/>
          <w:szCs w:val="20"/>
          <w:color w:val="auto"/>
        </w:rPr>
      </w:pPr>
      <w:r>
        <w:rPr>
          <w:rFonts w:ascii="Arial" w:cs="Arial" w:eastAsia="Arial" w:hAnsi="Arial"/>
          <w:sz w:val="16"/>
          <w:szCs w:val="16"/>
          <w:color w:val="auto"/>
        </w:rPr>
        <w:t>(Registrant)</w:t>
      </w:r>
    </w:p>
    <w:p>
      <w:pPr>
        <w:spacing w:after="0" w:line="370" w:lineRule="exact"/>
        <w:rPr>
          <w:sz w:val="20"/>
          <w:szCs w:val="20"/>
          <w:color w:val="auto"/>
        </w:rPr>
      </w:pPr>
    </w:p>
    <w:p>
      <w:pPr>
        <w:ind w:left="40"/>
        <w:spacing w:after="0"/>
        <w:tabs>
          <w:tab w:leader="none" w:pos="600" w:val="left"/>
          <w:tab w:leader="none" w:pos="3440" w:val="left"/>
          <w:tab w:leader="none" w:pos="4100" w:val="left"/>
        </w:tabs>
        <w:rPr>
          <w:sz w:val="20"/>
          <w:szCs w:val="20"/>
          <w:color w:val="auto"/>
        </w:rPr>
      </w:pPr>
      <w:r>
        <w:rPr>
          <w:rFonts w:ascii="Arial" w:cs="Arial" w:eastAsia="Arial" w:hAnsi="Arial"/>
          <w:sz w:val="16"/>
          <w:szCs w:val="16"/>
          <w:color w:val="auto"/>
        </w:rPr>
        <w:t>Date:</w:t>
        <w:tab/>
        <w:t>June 14, 2012</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Randy J. Potts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2603500</wp:posOffset>
            </wp:positionH>
            <wp:positionV relativeFrom="paragraph">
              <wp:posOffset>19050</wp:posOffset>
            </wp:positionV>
            <wp:extent cx="31299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29915" cy="8890"/>
                    </a:xfrm>
                    <a:prstGeom prst="rect">
                      <a:avLst/>
                    </a:prstGeom>
                    <a:noFill/>
                  </pic:spPr>
                </pic:pic>
              </a:graphicData>
            </a:graphic>
          </wp:anchor>
        </w:drawing>
      </w:r>
    </w:p>
    <w:p>
      <w:pPr>
        <w:spacing w:after="0" w:line="66" w:lineRule="exact"/>
        <w:rPr>
          <w:sz w:val="20"/>
          <w:szCs w:val="20"/>
          <w:color w:val="auto"/>
        </w:rPr>
      </w:pPr>
    </w:p>
    <w:p>
      <w:pPr>
        <w:ind w:left="3460"/>
        <w:spacing w:after="0"/>
        <w:tabs>
          <w:tab w:leader="none" w:pos="4100" w:val="left"/>
        </w:tabs>
        <w:rPr>
          <w:sz w:val="20"/>
          <w:szCs w:val="20"/>
          <w:color w:val="auto"/>
        </w:rPr>
      </w:pPr>
      <w:r>
        <w:rPr>
          <w:rFonts w:ascii="Arial" w:cs="Arial" w:eastAsia="Arial" w:hAnsi="Arial"/>
          <w:sz w:val="16"/>
          <w:szCs w:val="16"/>
          <w:color w:val="auto"/>
        </w:rPr>
        <w:t>Name:</w:t>
        <w:tab/>
        <w:t>Randy J. Potts</w:t>
      </w:r>
    </w:p>
    <w:p>
      <w:pPr>
        <w:spacing w:after="0" w:line="86" w:lineRule="exact"/>
        <w:rPr>
          <w:sz w:val="20"/>
          <w:szCs w:val="20"/>
          <w:color w:val="auto"/>
        </w:rPr>
      </w:pPr>
    </w:p>
    <w:p>
      <w:pPr>
        <w:ind w:left="3460"/>
        <w:spacing w:after="0"/>
        <w:tabs>
          <w:tab w:leader="none" w:pos="410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6"/>
          <w:szCs w:val="16"/>
          <w:color w:val="auto"/>
        </w:rPr>
        <w:t>Chairman of the Board, Chief Executive Officer and President</w:t>
      </w:r>
    </w:p>
    <w:p>
      <w:pPr>
        <w:sectPr>
          <w:pgSz w:w="11900" w:h="16838" w:orient="portrait"/>
          <w:cols w:equalWidth="0" w:num="1">
            <w:col w:w="11220"/>
          </w:cols>
          <w:pgMar w:left="240" w:top="571" w:right="439" w:bottom="1440" w:gutter="0" w:footer="0" w:header="0"/>
        </w:sectPr>
      </w:pPr>
    </w:p>
    <w:bookmarkStart w:id="3" w:name="page4"/>
    <w:bookmarkEnd w:id="3"/>
    <w:p>
      <w:pPr>
        <w:ind w:left="4260"/>
        <w:spacing w:after="0"/>
        <w:rPr>
          <w:sz w:val="20"/>
          <w:szCs w:val="20"/>
          <w:color w:val="auto"/>
        </w:rPr>
      </w:pPr>
      <w:r>
        <w:rPr>
          <w:rFonts w:ascii="Arial" w:cs="Arial" w:eastAsia="Arial" w:hAnsi="Arial"/>
          <w:sz w:val="22"/>
          <w:szCs w:val="22"/>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3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7"/>
          <w:szCs w:val="17"/>
          <w:b w:val="1"/>
          <w:bCs w:val="1"/>
          <w:color w:val="auto"/>
        </w:rPr>
        <w:t>Description</w:t>
      </w:r>
    </w:p>
    <w:p>
      <w:pPr>
        <w:spacing w:after="0" w:line="9"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7"/>
          <w:szCs w:val="17"/>
          <w:color w:val="auto"/>
        </w:rPr>
        <w:t>Press release of Winnebago Industries, Inc. dated June 14, 2012.</w:t>
      </w:r>
    </w:p>
    <w:p>
      <w:pPr>
        <w:sectPr>
          <w:pgSz w:w="11900" w:h="16838" w:orient="portrait"/>
          <w:cols w:equalWidth="0" w:num="1">
            <w:col w:w="9559"/>
          </w:cols>
          <w:pgMar w:left="900" w:top="580" w:right="1440" w:bottom="1440" w:gutter="0" w:footer="0" w:header="0"/>
        </w:sectPr>
      </w:pPr>
    </w:p>
    <w:bookmarkStart w:id="4" w:name="page5"/>
    <w:bookmarkEnd w:id="4"/>
    <w:p>
      <w:pPr>
        <w:spacing w:after="0"/>
        <w:rPr>
          <w:sz w:val="20"/>
          <w:szCs w:val="20"/>
          <w:color w:val="auto"/>
        </w:rPr>
      </w:pPr>
      <w:r>
        <w:rPr>
          <w:rFonts w:ascii="Arial" w:cs="Arial" w:eastAsia="Arial" w:hAnsi="Arial"/>
          <w:sz w:val="16"/>
          <w:szCs w:val="16"/>
          <w:color w:val="auto"/>
        </w:rPr>
        <w:t>Contact: Sheila Davis - PR/IR Mgr. - 641-585-6803 - sdavis@winnebagoind.com</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WINNEBAGO INDUSTRIES REPORTS RESULTS FOR</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THIRD QUARTER FISCAL 2012</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 Income from Operations Significantly Increased in Third Quarter FY12 Versus Prior Year Quarter --</w:t>
      </w:r>
    </w:p>
    <w:p>
      <w:pPr>
        <w:spacing w:after="0" w:line="275"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FOREST CITY, IOWA, June 14, 2012 - Winnebago Industries, Inc. (NYSE:WGO), a leading United States (U.S.) recreation vehicle (RV) manufacturers, today reported financial results for the Company's third quarter of Fiscal 2012 and first nine months of Fiscal 2012.</w:t>
      </w:r>
    </w:p>
    <w:p>
      <w:pPr>
        <w:spacing w:after="0" w:line="142"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Revenues for the third quarter of Fiscal 2012 ended May 26, 2012 were $155.7 million, an increase of 14.9 percent, versus $135.6 million for the third quarter of Fiscal 2011. Included within consolidated revenues was $16.4 million associated with towable products, compared to $7.2 million for the third quarter of Fiscal 2011. The Company reported an operating profit of $3.5 million for the quarter versus $538,000 for the third quarter of Fiscal 2011. Net income for the third quarter was $3.9 million versus $1.2 million for the third quarter of Fiscal 2011. On a diluted per share basis, the Company had net income of $0.13 for the third quarter of Fiscal 2012 versus $0.04 for the third quarter of Fiscal 2011.</w:t>
      </w:r>
    </w:p>
    <w:p>
      <w:pPr>
        <w:spacing w:after="0" w:line="149"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Revenues were higher in the quarter as compared to the prior year primarily due to an increase in wholesale deliveries of towable products and the increase in average selling price for all RV products due to the mix of higher priced products delivered. The third quarter of Fiscal 2012 gross margin was positively impacted by better fixed cost absorption due to higher production levels as compared to the prior period.</w:t>
      </w:r>
    </w:p>
    <w:p>
      <w:pPr>
        <w:spacing w:after="0" w:line="147"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Revenues for the first nine months of Fiscal 2012 were $419.1 million, an increase of 14.6 percent, compared to $365.9 million for the first nine months of Fiscal 2011. The Company reported an operating profit of $3.0 million for the first nine months of Fiscal 2012, compared to $9.5 million for the same period of Fiscal 2011. Net income for the first nine months of Fiscal 2012 was $4.1 million, or $0.14 per diluted share, versus $8.3 million, or $0.28 per diluted share, for the first nine months of the last fiscal year.</w:t>
      </w:r>
    </w:p>
    <w:p>
      <w:pPr>
        <w:spacing w:after="0" w:line="149"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Revenues were higher for the first nine months as compared to the prior period for the same reasons as during the third quarter, with increased towable deliveries and increased average selling prices for all RV products due to the mix of higher priced products delivered. Operating profit for the first nine months was lower as compared to the prior period most notably due to increased pricing and inflationary pressures in Fiscal 2012 and the fact that Fiscal 2011 results included a $3.5 million pre-tax benefit from the results of an annual physical inventory of work-in-process, due to lower actual inventory scrap and production loss.</w:t>
      </w:r>
    </w:p>
    <w:p>
      <w:pPr>
        <w:spacing w:after="0" w:line="149"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“Our business was sequentially much stronger during the third fiscal quarter and as a result, our margins have improved," said Winnebago Industries' Chairman, CEO and President Randy Potts. "Notably, towables achieved their first full quarter of operating profitability in the third quarter. Our sales order backlog for motorized products was strong going into our Dealer Days event held in May in Las Vegas. This event resulted in even more orders, particularly for our towable products, due to the positive reception to our new product offerings. Our RV inventory on dealers' lots is fresh but at a conservative level, which combined with our higher order position leads us to be optimistic about the remainder of the fiscal year."</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Conference Call</w:t>
      </w:r>
    </w:p>
    <w:p>
      <w:pPr>
        <w:spacing w:after="0" w:line="25"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 xml:space="preserve">Winnebago Industries, Inc. will conduct a conference call in conjunction with this release at 9 a.m. Central Time today, Thursday, June 14, 2012. Members of the news media, investors and the general public are invited to access a live broadcast of the conference call via the Investor Relations page of the Company's website at </w:t>
      </w:r>
      <w:r>
        <w:rPr>
          <w:rFonts w:ascii="Arial" w:cs="Arial" w:eastAsia="Arial" w:hAnsi="Arial"/>
          <w:sz w:val="16"/>
          <w:szCs w:val="16"/>
          <w:u w:val="single" w:color="auto"/>
          <w:color w:val="auto"/>
        </w:rPr>
        <w:t>http://www.winnebagoind.com/investor.html</w:t>
      </w:r>
      <w:r>
        <w:rPr>
          <w:rFonts w:ascii="Arial" w:cs="Arial" w:eastAsia="Arial" w:hAnsi="Arial"/>
          <w:sz w:val="16"/>
          <w:szCs w:val="16"/>
          <w:color w:val="auto"/>
        </w:rPr>
        <w:t>. The event will be archived and available for replay for the next 90 days.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Winnebago Industries</w:t>
      </w:r>
    </w:p>
    <w:p>
      <w:pPr>
        <w:spacing w:after="0" w:line="19"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Winnebago Industries, Inc., The Most Recognized Name In Motor Homes</w:t>
      </w:r>
      <w:r>
        <w:rPr>
          <w:rFonts w:ascii="Arial" w:cs="Arial" w:eastAsia="Arial" w:hAnsi="Arial"/>
          <w:sz w:val="25"/>
          <w:szCs w:val="25"/>
          <w:color w:val="auto"/>
          <w:vertAlign w:val="superscript"/>
        </w:rPr>
        <w:t>®</w:t>
      </w:r>
      <w:r>
        <w:rPr>
          <w:rFonts w:ascii="Arial" w:cs="Arial" w:eastAsia="Arial" w:hAnsi="Arial"/>
          <w:sz w:val="16"/>
          <w:szCs w:val="16"/>
          <w:color w:val="auto"/>
        </w:rPr>
        <w:t xml:space="preserve">, is a leading U.S. manufacturer of recreation vehicles used primarily in leisure travel and outdoor recreation activities. The Company and its subsidiary build quality motor homes, travel trailers and fifth wheel products under the Winnebago, Itasca, Era and SunnyBrook brand names. Winnebago Industries has received the Quality Circle Award from the Recreation Vehicle Dealers Association every year since the award's inception in 1996. The Company's common stock is listed on the New York and Chicago Stock Exchanges and traded under the symbol WGO. Options for the Company's common stock are traded on the Chicago Board Options Exchange. For access to Winnebago Industries' investor relations material or to add your name to an automatic email list for Company news releases, visit, </w:t>
      </w:r>
      <w:r>
        <w:rPr>
          <w:rFonts w:ascii="Arial" w:cs="Arial" w:eastAsia="Arial" w:hAnsi="Arial"/>
          <w:sz w:val="16"/>
          <w:szCs w:val="16"/>
          <w:u w:val="single" w:color="auto"/>
          <w:color w:val="auto"/>
        </w:rPr>
        <w:t>http://www.winnebagoind.com/investor.html</w:t>
      </w:r>
      <w:r>
        <w:rPr>
          <w:rFonts w:ascii="Arial" w:cs="Arial" w:eastAsia="Arial" w:hAnsi="Arial"/>
          <w:sz w:val="16"/>
          <w:szCs w:val="16"/>
          <w:color w:val="auto"/>
        </w:rPr>
        <w:t>.</w:t>
      </w:r>
    </w:p>
    <w:p>
      <w:pPr>
        <w:spacing w:after="0" w:line="76"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This press release may contain forward-looking statements within the meaning of the Private Securities Litigation Reform Act of 1995. Investors are cautioned that forward-looking statements are inherently uncertain. A number of factors could cause actual results to differ materially from these statements, including, but not limited to increases in interest rates, availability of credit, low consumer confidence, significant increase in repurchase obligations, inadequate liquidity or capital resources, availability and price of fuel, a slowdown in the economy, availability of chassis and other key component parts, sales order cancellations, slower than anticipated sales of new or existing products, new product introductions by competitors, the effect of global tensions, integration of operations relating to mergers and acquisitions activities and other factors. Additional information concerning certain risks and uncertainties that could cause actual results to differ materially from that projected or suggested is contained in the Company's filings with the Securities and Exchange Commission (SEC) over the last 12 months, copies of which are available from the SEC or from the Company upon request. The Company disclaims any obligation or undertaking to disseminate any updates or revisions to any</w:t>
      </w:r>
    </w:p>
    <w:p>
      <w:pPr>
        <w:sectPr>
          <w:pgSz w:w="11900" w:h="16838" w:orient="portrait"/>
          <w:cols w:equalWidth="0" w:num="1">
            <w:col w:w="11400"/>
          </w:cols>
          <w:pgMar w:left="240" w:top="601" w:right="259" w:bottom="1440" w:gutter="0" w:footer="0" w:header="0"/>
        </w:sectPr>
      </w:pPr>
    </w:p>
    <w:bookmarkStart w:id="5" w:name="page6"/>
    <w:bookmarkEnd w:id="5"/>
    <w:p>
      <w:pPr>
        <w:spacing w:after="0" w:line="260" w:lineRule="auto"/>
        <w:rPr>
          <w:sz w:val="20"/>
          <w:szCs w:val="20"/>
          <w:color w:val="auto"/>
        </w:rPr>
      </w:pPr>
      <w:r>
        <w:rPr>
          <w:rFonts w:ascii="Arial" w:cs="Arial" w:eastAsia="Arial" w:hAnsi="Arial"/>
          <w:sz w:val="16"/>
          <w:szCs w:val="16"/>
          <w:color w:val="auto"/>
        </w:rPr>
        <w:t>forward looking statements contained in this release or to reflect any changes in the Company's expectations after the date of this release or any change in events, conditions or circumstances on which any statement is based, except as required by law.</w:t>
      </w:r>
    </w:p>
    <w:p>
      <w:pPr>
        <w:spacing w:after="0" w:line="61"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 # #</w:t>
      </w:r>
    </w:p>
    <w:p>
      <w:pPr>
        <w:sectPr>
          <w:pgSz w:w="11900" w:h="16838" w:orient="portrait"/>
          <w:cols w:equalWidth="0" w:num="1">
            <w:col w:w="11100"/>
          </w:cols>
          <w:pgMar w:left="240" w:top="682" w:right="5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9"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 thousands, except percent and per share data)</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3280" w:type="dxa"/>
            <w:vAlign w:val="bottom"/>
            <w:tcBorders>
              <w:bottom w:val="single" w:sz="8" w:color="auto"/>
            </w:tcBorders>
            <w:gridSpan w:val="6"/>
          </w:tcPr>
          <w:p>
            <w:pPr>
              <w:jc w:val="center"/>
              <w:ind w:right="1000"/>
              <w:spacing w:after="0"/>
              <w:rPr>
                <w:sz w:val="20"/>
                <w:szCs w:val="20"/>
                <w:color w:val="auto"/>
              </w:rPr>
            </w:pPr>
            <w:r>
              <w:rPr>
                <w:rFonts w:ascii="Arial" w:cs="Arial" w:eastAsia="Arial" w:hAnsi="Arial"/>
                <w:sz w:val="16"/>
                <w:szCs w:val="16"/>
                <w:b w:val="1"/>
                <w:bCs w:val="1"/>
                <w:color w:val="auto"/>
              </w:rPr>
              <w:t>Quarter Ended</w:t>
            </w:r>
          </w:p>
        </w:tc>
        <w:tc>
          <w:tcPr>
            <w:tcW w:w="920" w:type="dxa"/>
            <w:vAlign w:val="bottom"/>
            <w:tcBorders>
              <w:bottom w:val="single" w:sz="8" w:color="auto"/>
            </w:tcBorders>
          </w:tcPr>
          <w:p>
            <w:pPr>
              <w:spacing w:after="0"/>
              <w:rPr>
                <w:sz w:val="19"/>
                <w:szCs w:val="19"/>
                <w:color w:val="auto"/>
              </w:rPr>
            </w:pPr>
          </w:p>
        </w:tc>
      </w:tr>
      <w:tr>
        <w:trPr>
          <w:trHeight w:val="264"/>
        </w:trPr>
        <w:tc>
          <w:tcPr>
            <w:tcW w:w="51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gridSpan w:val="3"/>
          </w:tcPr>
          <w:p>
            <w:pPr>
              <w:ind w:left="640"/>
              <w:spacing w:after="0"/>
              <w:rPr>
                <w:sz w:val="20"/>
                <w:szCs w:val="20"/>
                <w:color w:val="auto"/>
              </w:rPr>
            </w:pPr>
            <w:r>
              <w:rPr>
                <w:rFonts w:ascii="Arial" w:cs="Arial" w:eastAsia="Arial" w:hAnsi="Arial"/>
                <w:sz w:val="16"/>
                <w:szCs w:val="16"/>
                <w:b w:val="1"/>
                <w:bCs w:val="1"/>
                <w:color w:val="auto"/>
              </w:rPr>
              <w:t>May 26, 2012</w:t>
            </w:r>
          </w:p>
        </w:tc>
        <w:tc>
          <w:tcPr>
            <w:tcW w:w="820" w:type="dxa"/>
            <w:vAlign w:val="bottom"/>
            <w:tcBorders>
              <w:bottom w:val="single" w:sz="8" w:color="auto"/>
            </w:tcBorders>
          </w:tcPr>
          <w:p>
            <w:pPr>
              <w:spacing w:after="0"/>
              <w:rPr>
                <w:sz w:val="22"/>
                <w:szCs w:val="22"/>
                <w:color w:val="auto"/>
              </w:rPr>
            </w:pPr>
          </w:p>
        </w:tc>
        <w:tc>
          <w:tcPr>
            <w:tcW w:w="4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gridSpan w:val="3"/>
          </w:tcPr>
          <w:p>
            <w:pPr>
              <w:ind w:left="740"/>
              <w:spacing w:after="0"/>
              <w:rPr>
                <w:sz w:val="20"/>
                <w:szCs w:val="20"/>
                <w:color w:val="auto"/>
              </w:rPr>
            </w:pPr>
            <w:r>
              <w:rPr>
                <w:rFonts w:ascii="Arial" w:cs="Arial" w:eastAsia="Arial" w:hAnsi="Arial"/>
                <w:sz w:val="16"/>
                <w:szCs w:val="16"/>
                <w:b w:val="1"/>
                <w:bCs w:val="1"/>
                <w:color w:val="auto"/>
              </w:rPr>
              <w:t>May 28, 2011</w:t>
            </w:r>
          </w:p>
        </w:tc>
        <w:tc>
          <w:tcPr>
            <w:tcW w:w="920" w:type="dxa"/>
            <w:vAlign w:val="bottom"/>
            <w:tcBorders>
              <w:bottom w:val="single" w:sz="8" w:color="auto"/>
            </w:tcBorders>
          </w:tcPr>
          <w:p>
            <w:pPr>
              <w:spacing w:after="0"/>
              <w:rPr>
                <w:sz w:val="22"/>
                <w:szCs w:val="22"/>
                <w:color w:val="auto"/>
              </w:rPr>
            </w:pPr>
          </w:p>
        </w:tc>
      </w:tr>
      <w:tr>
        <w:trPr>
          <w:trHeight w:val="270"/>
        </w:trPr>
        <w:tc>
          <w:tcPr>
            <w:tcW w:w="5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155,709</w:t>
            </w:r>
          </w:p>
        </w:tc>
        <w:tc>
          <w:tcPr>
            <w:tcW w:w="2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100.0 %</w:t>
            </w:r>
          </w:p>
        </w:tc>
        <w:tc>
          <w:tcPr>
            <w:tcW w:w="4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135,568</w:t>
            </w:r>
          </w:p>
        </w:tc>
        <w:tc>
          <w:tcPr>
            <w:tcW w:w="2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100.0 %</w:t>
            </w:r>
          </w:p>
        </w:tc>
      </w:tr>
      <w:tr>
        <w:trPr>
          <w:trHeight w:val="264"/>
        </w:trPr>
        <w:tc>
          <w:tcPr>
            <w:tcW w:w="52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Cost of goods sold</w:t>
            </w: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143,638</w:t>
            </w:r>
          </w:p>
        </w:tc>
        <w:tc>
          <w:tcPr>
            <w:tcW w:w="2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92.2 %</w:t>
            </w:r>
          </w:p>
        </w:tc>
        <w:tc>
          <w:tcPr>
            <w:tcW w:w="4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126,865</w:t>
            </w:r>
          </w:p>
        </w:tc>
        <w:tc>
          <w:tcPr>
            <w:tcW w:w="22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93.6 %</w:t>
            </w:r>
          </w:p>
        </w:tc>
      </w:tr>
      <w:tr>
        <w:trPr>
          <w:trHeight w:val="250"/>
        </w:trPr>
        <w:tc>
          <w:tcPr>
            <w:tcW w:w="5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2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12,071</w:t>
            </w:r>
          </w:p>
        </w:tc>
        <w:tc>
          <w:tcPr>
            <w:tcW w:w="20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7.8 %</w:t>
            </w:r>
          </w:p>
        </w:tc>
        <w:tc>
          <w:tcPr>
            <w:tcW w:w="4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8,703</w:t>
            </w:r>
          </w:p>
        </w:tc>
        <w:tc>
          <w:tcPr>
            <w:tcW w:w="220" w:type="dxa"/>
            <w:vAlign w:val="bottom"/>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6.4 %</w:t>
            </w:r>
          </w:p>
        </w:tc>
      </w:tr>
      <w:tr>
        <w:trPr>
          <w:trHeight w:val="284"/>
        </w:trPr>
        <w:tc>
          <w:tcPr>
            <w:tcW w:w="5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70"/>
        </w:trPr>
        <w:tc>
          <w:tcPr>
            <w:tcW w:w="5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60"/>
        </w:trPr>
        <w:tc>
          <w:tcPr>
            <w:tcW w:w="5280" w:type="dxa"/>
            <w:vAlign w:val="bottom"/>
            <w:gridSpan w:val="2"/>
          </w:tcPr>
          <w:p>
            <w:pPr>
              <w:ind w:left="280"/>
              <w:spacing w:after="0"/>
              <w:rPr>
                <w:sz w:val="20"/>
                <w:szCs w:val="20"/>
                <w:color w:val="auto"/>
              </w:rPr>
            </w:pPr>
            <w:r>
              <w:rPr>
                <w:rFonts w:ascii="Arial" w:cs="Arial" w:eastAsia="Arial" w:hAnsi="Arial"/>
                <w:sz w:val="16"/>
                <w:szCs w:val="16"/>
                <w:color w:val="auto"/>
              </w:rPr>
              <w:t>Selling</w:t>
            </w:r>
          </w:p>
        </w:tc>
        <w:tc>
          <w:tcPr>
            <w:tcW w:w="260" w:type="dxa"/>
            <w:vAlign w:val="bottom"/>
          </w:tcPr>
          <w:p>
            <w:pPr>
              <w:spacing w:after="0"/>
              <w:rPr>
                <w:sz w:val="22"/>
                <w:szCs w:val="22"/>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4,331</w:t>
            </w: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20" w:type="dxa"/>
            <w:vAlign w:val="bottom"/>
          </w:tcPr>
          <w:p>
            <w:pPr>
              <w:jc w:val="right"/>
              <w:ind w:right="99"/>
              <w:spacing w:after="0"/>
              <w:rPr>
                <w:sz w:val="20"/>
                <w:szCs w:val="20"/>
                <w:color w:val="auto"/>
              </w:rPr>
            </w:pPr>
            <w:r>
              <w:rPr>
                <w:rFonts w:ascii="Arial" w:cs="Arial" w:eastAsia="Arial" w:hAnsi="Arial"/>
                <w:sz w:val="16"/>
                <w:szCs w:val="16"/>
                <w:color w:val="auto"/>
              </w:rPr>
              <w:t>2.8 %</w:t>
            </w:r>
          </w:p>
        </w:tc>
        <w:tc>
          <w:tcPr>
            <w:tcW w:w="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3,608</w:t>
            </w: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20" w:type="dxa"/>
            <w:vAlign w:val="bottom"/>
          </w:tcPr>
          <w:p>
            <w:pPr>
              <w:jc w:val="right"/>
              <w:ind w:right="199"/>
              <w:spacing w:after="0"/>
              <w:rPr>
                <w:sz w:val="20"/>
                <w:szCs w:val="20"/>
                <w:color w:val="auto"/>
              </w:rPr>
            </w:pPr>
            <w:r>
              <w:rPr>
                <w:rFonts w:ascii="Arial" w:cs="Arial" w:eastAsia="Arial" w:hAnsi="Arial"/>
                <w:sz w:val="16"/>
                <w:szCs w:val="16"/>
                <w:color w:val="auto"/>
              </w:rPr>
              <w:t>2.7 %</w:t>
            </w:r>
          </w:p>
        </w:tc>
      </w:tr>
      <w:tr>
        <w:trPr>
          <w:trHeight w:val="280"/>
        </w:trPr>
        <w:tc>
          <w:tcPr>
            <w:tcW w:w="5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General and administrative</w:t>
            </w: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4,213</w:t>
            </w:r>
          </w:p>
        </w:tc>
        <w:tc>
          <w:tcPr>
            <w:tcW w:w="2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2.7 %</w:t>
            </w:r>
          </w:p>
        </w:tc>
        <w:tc>
          <w:tcPr>
            <w:tcW w:w="4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3,952</w:t>
            </w:r>
          </w:p>
        </w:tc>
        <w:tc>
          <w:tcPr>
            <w:tcW w:w="2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2.9 %</w:t>
            </w:r>
          </w:p>
        </w:tc>
      </w:tr>
      <w:tr>
        <w:trPr>
          <w:trHeight w:val="264"/>
        </w:trPr>
        <w:tc>
          <w:tcPr>
            <w:tcW w:w="5280" w:type="dxa"/>
            <w:vAlign w:val="bottom"/>
            <w:gridSpan w:val="2"/>
          </w:tcPr>
          <w:p>
            <w:pPr>
              <w:ind w:left="280"/>
              <w:spacing w:after="0"/>
              <w:rPr>
                <w:sz w:val="20"/>
                <w:szCs w:val="20"/>
                <w:color w:val="auto"/>
              </w:rPr>
            </w:pPr>
            <w:r>
              <w:rPr>
                <w:rFonts w:ascii="Arial" w:cs="Arial" w:eastAsia="Arial" w:hAnsi="Arial"/>
                <w:sz w:val="16"/>
                <w:szCs w:val="16"/>
                <w:color w:val="auto"/>
              </w:rPr>
              <w:t>Impaired assets</w:t>
            </w:r>
          </w:p>
        </w:tc>
        <w:tc>
          <w:tcPr>
            <w:tcW w:w="260" w:type="dxa"/>
            <w:vAlign w:val="bottom"/>
          </w:tcPr>
          <w:p>
            <w:pPr>
              <w:spacing w:after="0"/>
              <w:rPr>
                <w:sz w:val="22"/>
                <w:szCs w:val="22"/>
                <w:color w:val="auto"/>
              </w:rPr>
            </w:pPr>
          </w:p>
        </w:tc>
        <w:tc>
          <w:tcPr>
            <w:tcW w:w="1680" w:type="dxa"/>
            <w:vAlign w:val="bottom"/>
            <w:gridSpan w:val="3"/>
          </w:tcPr>
          <w:p>
            <w:pPr>
              <w:jc w:val="right"/>
              <w:ind w:right="94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580"/>
              <w:spacing w:after="0"/>
              <w:rPr>
                <w:sz w:val="20"/>
                <w:szCs w:val="20"/>
                <w:color w:val="auto"/>
              </w:rPr>
            </w:pPr>
            <w:r>
              <w:rPr>
                <w:rFonts w:ascii="Arial" w:cs="Arial" w:eastAsia="Arial" w:hAnsi="Arial"/>
                <w:sz w:val="16"/>
                <w:szCs w:val="16"/>
                <w:color w:val="auto"/>
              </w:rPr>
              <w:t>— %</w:t>
            </w:r>
          </w:p>
        </w:tc>
        <w:tc>
          <w:tcPr>
            <w:tcW w:w="280" w:type="dxa"/>
            <w:vAlign w:val="bottom"/>
          </w:tcPr>
          <w:p>
            <w:pPr>
              <w:spacing w:after="0"/>
              <w:rPr>
                <w:sz w:val="22"/>
                <w:szCs w:val="22"/>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605</w:t>
            </w: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20" w:type="dxa"/>
            <w:vAlign w:val="bottom"/>
          </w:tcPr>
          <w:p>
            <w:pPr>
              <w:jc w:val="right"/>
              <w:ind w:right="199"/>
              <w:spacing w:after="0"/>
              <w:rPr>
                <w:sz w:val="20"/>
                <w:szCs w:val="20"/>
                <w:color w:val="auto"/>
              </w:rPr>
            </w:pPr>
            <w:r>
              <w:rPr>
                <w:rFonts w:ascii="Arial" w:cs="Arial" w:eastAsia="Arial" w:hAnsi="Arial"/>
                <w:sz w:val="16"/>
                <w:szCs w:val="16"/>
                <w:color w:val="auto"/>
              </w:rPr>
              <w:t>0.4 %</w:t>
            </w:r>
          </w:p>
        </w:tc>
      </w:tr>
      <w:tr>
        <w:trPr>
          <w:trHeight w:val="250"/>
        </w:trPr>
        <w:tc>
          <w:tcPr>
            <w:tcW w:w="5280" w:type="dxa"/>
            <w:vAlign w:val="bottom"/>
            <w:tcBorders>
              <w:top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Total operating expenses</w:t>
            </w: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8,544</w:t>
            </w:r>
          </w:p>
        </w:tc>
        <w:tc>
          <w:tcPr>
            <w:tcW w:w="200" w:type="dxa"/>
            <w:vAlign w:val="bottom"/>
            <w:tcBorders>
              <w:top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5.5 %</w:t>
            </w:r>
          </w:p>
        </w:tc>
        <w:tc>
          <w:tcPr>
            <w:tcW w:w="4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8,165</w:t>
            </w:r>
          </w:p>
        </w:tc>
        <w:tc>
          <w:tcPr>
            <w:tcW w:w="220" w:type="dxa"/>
            <w:vAlign w:val="bottom"/>
            <w:tcBorders>
              <w:top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6.0 %</w:t>
            </w:r>
          </w:p>
        </w:tc>
      </w:tr>
      <w:tr>
        <w:trPr>
          <w:trHeight w:val="284"/>
        </w:trPr>
        <w:tc>
          <w:tcPr>
            <w:tcW w:w="5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70"/>
        </w:trPr>
        <w:tc>
          <w:tcPr>
            <w:tcW w:w="5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3,527</w:t>
            </w:r>
          </w:p>
        </w:tc>
        <w:tc>
          <w:tcPr>
            <w:tcW w:w="2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2.3 %</w:t>
            </w:r>
          </w:p>
        </w:tc>
        <w:tc>
          <w:tcPr>
            <w:tcW w:w="4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538</w:t>
            </w:r>
          </w:p>
        </w:tc>
        <w:tc>
          <w:tcPr>
            <w:tcW w:w="2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0.4 %</w:t>
            </w:r>
          </w:p>
        </w:tc>
      </w:tr>
      <w:tr>
        <w:trPr>
          <w:trHeight w:val="264"/>
        </w:trPr>
        <w:tc>
          <w:tcPr>
            <w:tcW w:w="52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Non-operating income</w:t>
            </w: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402</w:t>
            </w:r>
          </w:p>
        </w:tc>
        <w:tc>
          <w:tcPr>
            <w:tcW w:w="2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0.3 %</w:t>
            </w:r>
          </w:p>
        </w:tc>
        <w:tc>
          <w:tcPr>
            <w:tcW w:w="4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76</w:t>
            </w:r>
          </w:p>
        </w:tc>
        <w:tc>
          <w:tcPr>
            <w:tcW w:w="22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0.1 %</w:t>
            </w:r>
          </w:p>
        </w:tc>
      </w:tr>
      <w:tr>
        <w:trPr>
          <w:trHeight w:val="257"/>
        </w:trPr>
        <w:tc>
          <w:tcPr>
            <w:tcW w:w="5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3,929</w:t>
            </w:r>
          </w:p>
        </w:tc>
        <w:tc>
          <w:tcPr>
            <w:tcW w:w="2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2.5 %</w:t>
            </w:r>
          </w:p>
        </w:tc>
        <w:tc>
          <w:tcPr>
            <w:tcW w:w="4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614</w:t>
            </w:r>
          </w:p>
        </w:tc>
        <w:tc>
          <w:tcPr>
            <w:tcW w:w="2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0.5 %</w:t>
            </w:r>
          </w:p>
        </w:tc>
      </w:tr>
      <w:tr>
        <w:trPr>
          <w:trHeight w:val="284"/>
        </w:trPr>
        <w:tc>
          <w:tcPr>
            <w:tcW w:w="5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64"/>
        </w:trPr>
        <w:tc>
          <w:tcPr>
            <w:tcW w:w="5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Benefit for taxes</w:t>
            </w: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(12)</w:t>
            </w:r>
          </w:p>
        </w:tc>
        <w:tc>
          <w:tcPr>
            <w:tcW w:w="2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6"/>
                <w:szCs w:val="16"/>
                <w:color w:val="auto"/>
              </w:rPr>
              <w:t>— %</w:t>
            </w: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(581)</w:t>
            </w:r>
          </w:p>
        </w:tc>
        <w:tc>
          <w:tcPr>
            <w:tcW w:w="2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(0.4)%</w:t>
            </w:r>
          </w:p>
        </w:tc>
      </w:tr>
      <w:tr>
        <w:trPr>
          <w:trHeight w:val="280"/>
        </w:trPr>
        <w:tc>
          <w:tcPr>
            <w:tcW w:w="52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Net income</w:t>
            </w: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3,941</w:t>
            </w:r>
          </w:p>
        </w:tc>
        <w:tc>
          <w:tcPr>
            <w:tcW w:w="200" w:type="dxa"/>
            <w:vAlign w:val="bottom"/>
            <w:tcBorders>
              <w:bottom w:val="single" w:sz="8" w:color="CCEEFF"/>
            </w:tcBorders>
          </w:tcPr>
          <w:p>
            <w:pPr>
              <w:spacing w:after="0"/>
              <w:rPr>
                <w:sz w:val="24"/>
                <w:szCs w:val="24"/>
                <w:color w:val="auto"/>
              </w:rPr>
            </w:pPr>
          </w:p>
        </w:tc>
        <w:tc>
          <w:tcPr>
            <w:tcW w:w="52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2.5 %</w:t>
            </w:r>
          </w:p>
        </w:tc>
        <w:tc>
          <w:tcPr>
            <w:tcW w:w="4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1,195</w:t>
            </w:r>
          </w:p>
        </w:tc>
        <w:tc>
          <w:tcPr>
            <w:tcW w:w="220" w:type="dxa"/>
            <w:vAlign w:val="bottom"/>
            <w:tcBorders>
              <w:bottom w:val="single" w:sz="8" w:color="CCEEFF"/>
            </w:tcBorders>
          </w:tcPr>
          <w:p>
            <w:pPr>
              <w:spacing w:after="0"/>
              <w:rPr>
                <w:sz w:val="24"/>
                <w:szCs w:val="24"/>
                <w:color w:val="auto"/>
              </w:rPr>
            </w:pPr>
          </w:p>
        </w:tc>
        <w:tc>
          <w:tcPr>
            <w:tcW w:w="62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0.9 %</w:t>
            </w:r>
          </w:p>
        </w:tc>
      </w:tr>
      <w:tr>
        <w:trPr>
          <w:trHeight w:val="267"/>
        </w:trPr>
        <w:tc>
          <w:tcPr>
            <w:tcW w:w="5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60"/>
        </w:trPr>
        <w:tc>
          <w:tcPr>
            <w:tcW w:w="5280" w:type="dxa"/>
            <w:vAlign w:val="bottom"/>
            <w:gridSpan w:val="2"/>
          </w:tcPr>
          <w:p>
            <w:pPr>
              <w:ind w:left="40"/>
              <w:spacing w:after="0"/>
              <w:rPr>
                <w:sz w:val="20"/>
                <w:szCs w:val="20"/>
                <w:color w:val="auto"/>
              </w:rPr>
            </w:pPr>
            <w:r>
              <w:rPr>
                <w:rFonts w:ascii="Arial" w:cs="Arial" w:eastAsia="Arial" w:hAnsi="Arial"/>
                <w:sz w:val="16"/>
                <w:szCs w:val="16"/>
                <w:color w:val="auto"/>
              </w:rPr>
              <w:t>Income per common share:</w:t>
            </w: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80"/>
        </w:trPr>
        <w:tc>
          <w:tcPr>
            <w:tcW w:w="52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Basic</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0.13</w:t>
            </w:r>
          </w:p>
        </w:tc>
        <w:tc>
          <w:tcPr>
            <w:tcW w:w="2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0.04</w:t>
            </w:r>
          </w:p>
        </w:tc>
        <w:tc>
          <w:tcPr>
            <w:tcW w:w="2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60"/>
        </w:trPr>
        <w:tc>
          <w:tcPr>
            <w:tcW w:w="5280" w:type="dxa"/>
            <w:vAlign w:val="bottom"/>
            <w:gridSpan w:val="2"/>
          </w:tcPr>
          <w:p>
            <w:pPr>
              <w:ind w:left="240"/>
              <w:spacing w:after="0"/>
              <w:rPr>
                <w:sz w:val="20"/>
                <w:szCs w:val="20"/>
                <w:color w:val="auto"/>
              </w:rPr>
            </w:pPr>
            <w:r>
              <w:rPr>
                <w:rFonts w:ascii="Arial" w:cs="Arial" w:eastAsia="Arial" w:hAnsi="Arial"/>
                <w:sz w:val="16"/>
                <w:szCs w:val="16"/>
                <w:color w:val="auto"/>
              </w:rPr>
              <w:t>Diluted</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0.13</w:t>
            </w: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0.04</w:t>
            </w: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80"/>
        </w:trPr>
        <w:tc>
          <w:tcPr>
            <w:tcW w:w="5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w:t>
            </w: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60"/>
        </w:trPr>
        <w:tc>
          <w:tcPr>
            <w:tcW w:w="5280" w:type="dxa"/>
            <w:vAlign w:val="bottom"/>
            <w:gridSpan w:val="2"/>
          </w:tcPr>
          <w:p>
            <w:pPr>
              <w:ind w:left="240"/>
              <w:spacing w:after="0"/>
              <w:rPr>
                <w:sz w:val="20"/>
                <w:szCs w:val="20"/>
                <w:color w:val="auto"/>
              </w:rPr>
            </w:pPr>
            <w:r>
              <w:rPr>
                <w:rFonts w:ascii="Arial" w:cs="Arial" w:eastAsia="Arial" w:hAnsi="Arial"/>
                <w:sz w:val="16"/>
                <w:szCs w:val="16"/>
                <w:color w:val="auto"/>
              </w:rPr>
              <w:t>Basic</w:t>
            </w:r>
          </w:p>
        </w:tc>
        <w:tc>
          <w:tcPr>
            <w:tcW w:w="260" w:type="dxa"/>
            <w:vAlign w:val="bottom"/>
          </w:tcPr>
          <w:p>
            <w:pPr>
              <w:spacing w:after="0"/>
              <w:rPr>
                <w:sz w:val="22"/>
                <w:szCs w:val="22"/>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29,225</w:t>
            </w: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29,124</w:t>
            </w: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80"/>
        </w:trPr>
        <w:tc>
          <w:tcPr>
            <w:tcW w:w="52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29,263</w:t>
            </w:r>
          </w:p>
        </w:tc>
        <w:tc>
          <w:tcPr>
            <w:tcW w:w="2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29,152</w:t>
            </w:r>
          </w:p>
        </w:tc>
        <w:tc>
          <w:tcPr>
            <w:tcW w:w="2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547"/>
        </w:trPr>
        <w:tc>
          <w:tcPr>
            <w:tcW w:w="5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6"/>
          </w:tcPr>
          <w:p>
            <w:pPr>
              <w:jc w:val="center"/>
              <w:ind w:right="1000"/>
              <w:spacing w:after="0"/>
              <w:rPr>
                <w:sz w:val="20"/>
                <w:szCs w:val="20"/>
                <w:color w:val="auto"/>
              </w:rPr>
            </w:pPr>
            <w:r>
              <w:rPr>
                <w:rFonts w:ascii="Arial" w:cs="Arial" w:eastAsia="Arial" w:hAnsi="Arial"/>
                <w:sz w:val="16"/>
                <w:szCs w:val="16"/>
                <w:b w:val="1"/>
                <w:bCs w:val="1"/>
                <w:color w:val="auto"/>
              </w:rPr>
              <w:t>Nine Months Ended</w:t>
            </w:r>
          </w:p>
        </w:tc>
        <w:tc>
          <w:tcPr>
            <w:tcW w:w="920" w:type="dxa"/>
            <w:vAlign w:val="bottom"/>
            <w:tcBorders>
              <w:bottom w:val="single" w:sz="8" w:color="auto"/>
            </w:tcBorders>
          </w:tcPr>
          <w:p>
            <w:pPr>
              <w:spacing w:after="0"/>
              <w:rPr>
                <w:sz w:val="24"/>
                <w:szCs w:val="24"/>
                <w:color w:val="auto"/>
              </w:rPr>
            </w:pPr>
          </w:p>
        </w:tc>
      </w:tr>
      <w:tr>
        <w:trPr>
          <w:trHeight w:val="264"/>
        </w:trPr>
        <w:tc>
          <w:tcPr>
            <w:tcW w:w="51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gridSpan w:val="3"/>
          </w:tcPr>
          <w:p>
            <w:pPr>
              <w:ind w:left="640"/>
              <w:spacing w:after="0"/>
              <w:rPr>
                <w:sz w:val="20"/>
                <w:szCs w:val="20"/>
                <w:color w:val="auto"/>
              </w:rPr>
            </w:pPr>
            <w:r>
              <w:rPr>
                <w:rFonts w:ascii="Arial" w:cs="Arial" w:eastAsia="Arial" w:hAnsi="Arial"/>
                <w:sz w:val="16"/>
                <w:szCs w:val="16"/>
                <w:b w:val="1"/>
                <w:bCs w:val="1"/>
                <w:color w:val="auto"/>
              </w:rPr>
              <w:t>May 26, 2012</w:t>
            </w:r>
          </w:p>
        </w:tc>
        <w:tc>
          <w:tcPr>
            <w:tcW w:w="820" w:type="dxa"/>
            <w:vAlign w:val="bottom"/>
            <w:tcBorders>
              <w:bottom w:val="single" w:sz="8" w:color="auto"/>
            </w:tcBorders>
          </w:tcPr>
          <w:p>
            <w:pPr>
              <w:spacing w:after="0"/>
              <w:rPr>
                <w:sz w:val="22"/>
                <w:szCs w:val="22"/>
                <w:color w:val="auto"/>
              </w:rPr>
            </w:pPr>
          </w:p>
        </w:tc>
        <w:tc>
          <w:tcPr>
            <w:tcW w:w="4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gridSpan w:val="3"/>
          </w:tcPr>
          <w:p>
            <w:pPr>
              <w:ind w:left="740"/>
              <w:spacing w:after="0"/>
              <w:rPr>
                <w:sz w:val="20"/>
                <w:szCs w:val="20"/>
                <w:color w:val="auto"/>
              </w:rPr>
            </w:pPr>
            <w:r>
              <w:rPr>
                <w:rFonts w:ascii="Arial" w:cs="Arial" w:eastAsia="Arial" w:hAnsi="Arial"/>
                <w:sz w:val="16"/>
                <w:szCs w:val="16"/>
                <w:b w:val="1"/>
                <w:bCs w:val="1"/>
                <w:color w:val="auto"/>
              </w:rPr>
              <w:t>May 28, 2011</w:t>
            </w:r>
          </w:p>
        </w:tc>
        <w:tc>
          <w:tcPr>
            <w:tcW w:w="920" w:type="dxa"/>
            <w:vAlign w:val="bottom"/>
            <w:tcBorders>
              <w:bottom w:val="single" w:sz="8" w:color="auto"/>
            </w:tcBorders>
          </w:tcPr>
          <w:p>
            <w:pPr>
              <w:spacing w:after="0"/>
              <w:rPr>
                <w:sz w:val="22"/>
                <w:szCs w:val="22"/>
                <w:color w:val="auto"/>
              </w:rPr>
            </w:pPr>
          </w:p>
        </w:tc>
      </w:tr>
      <w:tr>
        <w:trPr>
          <w:trHeight w:val="270"/>
        </w:trPr>
        <w:tc>
          <w:tcPr>
            <w:tcW w:w="5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419,146</w:t>
            </w:r>
          </w:p>
        </w:tc>
        <w:tc>
          <w:tcPr>
            <w:tcW w:w="2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100.0 %</w:t>
            </w:r>
          </w:p>
        </w:tc>
        <w:tc>
          <w:tcPr>
            <w:tcW w:w="4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365,872</w:t>
            </w:r>
          </w:p>
        </w:tc>
        <w:tc>
          <w:tcPr>
            <w:tcW w:w="2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100.0 %</w:t>
            </w:r>
          </w:p>
        </w:tc>
      </w:tr>
      <w:tr>
        <w:trPr>
          <w:trHeight w:val="264"/>
        </w:trPr>
        <w:tc>
          <w:tcPr>
            <w:tcW w:w="52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Cost of goods sold</w:t>
            </w: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391,733</w:t>
            </w:r>
          </w:p>
        </w:tc>
        <w:tc>
          <w:tcPr>
            <w:tcW w:w="2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93.5 %</w:t>
            </w:r>
          </w:p>
        </w:tc>
        <w:tc>
          <w:tcPr>
            <w:tcW w:w="4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334,646</w:t>
            </w:r>
          </w:p>
        </w:tc>
        <w:tc>
          <w:tcPr>
            <w:tcW w:w="22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91.5 %</w:t>
            </w:r>
          </w:p>
        </w:tc>
      </w:tr>
      <w:tr>
        <w:trPr>
          <w:trHeight w:val="250"/>
        </w:trPr>
        <w:tc>
          <w:tcPr>
            <w:tcW w:w="5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2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27,413</w:t>
            </w:r>
          </w:p>
        </w:tc>
        <w:tc>
          <w:tcPr>
            <w:tcW w:w="20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6.5 %</w:t>
            </w:r>
          </w:p>
        </w:tc>
        <w:tc>
          <w:tcPr>
            <w:tcW w:w="4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31,226</w:t>
            </w:r>
          </w:p>
        </w:tc>
        <w:tc>
          <w:tcPr>
            <w:tcW w:w="220" w:type="dxa"/>
            <w:vAlign w:val="bottom"/>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8.5 %</w:t>
            </w:r>
          </w:p>
        </w:tc>
      </w:tr>
      <w:tr>
        <w:trPr>
          <w:trHeight w:val="284"/>
        </w:trPr>
        <w:tc>
          <w:tcPr>
            <w:tcW w:w="5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70"/>
        </w:trPr>
        <w:tc>
          <w:tcPr>
            <w:tcW w:w="5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60"/>
        </w:trPr>
        <w:tc>
          <w:tcPr>
            <w:tcW w:w="5280" w:type="dxa"/>
            <w:vAlign w:val="bottom"/>
            <w:gridSpan w:val="2"/>
          </w:tcPr>
          <w:p>
            <w:pPr>
              <w:ind w:left="280"/>
              <w:spacing w:after="0"/>
              <w:rPr>
                <w:sz w:val="20"/>
                <w:szCs w:val="20"/>
                <w:color w:val="auto"/>
              </w:rPr>
            </w:pPr>
            <w:r>
              <w:rPr>
                <w:rFonts w:ascii="Arial" w:cs="Arial" w:eastAsia="Arial" w:hAnsi="Arial"/>
                <w:sz w:val="16"/>
                <w:szCs w:val="16"/>
                <w:color w:val="auto"/>
              </w:rPr>
              <w:t>Selling</w:t>
            </w:r>
          </w:p>
        </w:tc>
        <w:tc>
          <w:tcPr>
            <w:tcW w:w="260" w:type="dxa"/>
            <w:vAlign w:val="bottom"/>
          </w:tcPr>
          <w:p>
            <w:pPr>
              <w:spacing w:after="0"/>
              <w:rPr>
                <w:sz w:val="22"/>
                <w:szCs w:val="22"/>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12,485</w:t>
            </w: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20" w:type="dxa"/>
            <w:vAlign w:val="bottom"/>
          </w:tcPr>
          <w:p>
            <w:pPr>
              <w:jc w:val="right"/>
              <w:ind w:right="99"/>
              <w:spacing w:after="0"/>
              <w:rPr>
                <w:sz w:val="20"/>
                <w:szCs w:val="20"/>
                <w:color w:val="auto"/>
              </w:rPr>
            </w:pPr>
            <w:r>
              <w:rPr>
                <w:rFonts w:ascii="Arial" w:cs="Arial" w:eastAsia="Arial" w:hAnsi="Arial"/>
                <w:sz w:val="16"/>
                <w:szCs w:val="16"/>
                <w:color w:val="auto"/>
              </w:rPr>
              <w:t>3.0 %</w:t>
            </w:r>
          </w:p>
        </w:tc>
        <w:tc>
          <w:tcPr>
            <w:tcW w:w="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10,129</w:t>
            </w: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20" w:type="dxa"/>
            <w:vAlign w:val="bottom"/>
          </w:tcPr>
          <w:p>
            <w:pPr>
              <w:jc w:val="right"/>
              <w:ind w:right="199"/>
              <w:spacing w:after="0"/>
              <w:rPr>
                <w:sz w:val="20"/>
                <w:szCs w:val="20"/>
                <w:color w:val="auto"/>
              </w:rPr>
            </w:pPr>
            <w:r>
              <w:rPr>
                <w:rFonts w:ascii="Arial" w:cs="Arial" w:eastAsia="Arial" w:hAnsi="Arial"/>
                <w:sz w:val="16"/>
                <w:szCs w:val="16"/>
                <w:color w:val="auto"/>
              </w:rPr>
              <w:t>2.8 %</w:t>
            </w:r>
          </w:p>
        </w:tc>
      </w:tr>
      <w:tr>
        <w:trPr>
          <w:trHeight w:val="280"/>
        </w:trPr>
        <w:tc>
          <w:tcPr>
            <w:tcW w:w="5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General and administrative</w:t>
            </w: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11,938</w:t>
            </w:r>
          </w:p>
        </w:tc>
        <w:tc>
          <w:tcPr>
            <w:tcW w:w="2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2.8 %</w:t>
            </w:r>
          </w:p>
        </w:tc>
        <w:tc>
          <w:tcPr>
            <w:tcW w:w="4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11,623</w:t>
            </w:r>
          </w:p>
        </w:tc>
        <w:tc>
          <w:tcPr>
            <w:tcW w:w="2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3.2 %</w:t>
            </w:r>
          </w:p>
        </w:tc>
      </w:tr>
      <w:tr>
        <w:trPr>
          <w:trHeight w:val="264"/>
        </w:trPr>
        <w:tc>
          <w:tcPr>
            <w:tcW w:w="5280" w:type="dxa"/>
            <w:vAlign w:val="bottom"/>
            <w:gridSpan w:val="2"/>
          </w:tcPr>
          <w:p>
            <w:pPr>
              <w:ind w:left="280"/>
              <w:spacing w:after="0"/>
              <w:rPr>
                <w:sz w:val="20"/>
                <w:szCs w:val="20"/>
                <w:color w:val="auto"/>
              </w:rPr>
            </w:pPr>
            <w:r>
              <w:rPr>
                <w:rFonts w:ascii="Arial" w:cs="Arial" w:eastAsia="Arial" w:hAnsi="Arial"/>
                <w:sz w:val="16"/>
                <w:szCs w:val="16"/>
                <w:color w:val="auto"/>
              </w:rPr>
              <w:t>Impaired assets</w:t>
            </w:r>
          </w:p>
        </w:tc>
        <w:tc>
          <w:tcPr>
            <w:tcW w:w="260" w:type="dxa"/>
            <w:vAlign w:val="bottom"/>
          </w:tcPr>
          <w:p>
            <w:pPr>
              <w:spacing w:after="0"/>
              <w:rPr>
                <w:sz w:val="22"/>
                <w:szCs w:val="22"/>
                <w:color w:val="auto"/>
              </w:rPr>
            </w:pPr>
          </w:p>
        </w:tc>
        <w:tc>
          <w:tcPr>
            <w:tcW w:w="1680" w:type="dxa"/>
            <w:vAlign w:val="bottom"/>
            <w:gridSpan w:val="3"/>
          </w:tcPr>
          <w:p>
            <w:pPr>
              <w:jc w:val="right"/>
              <w:ind w:right="94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580"/>
              <w:spacing w:after="0"/>
              <w:rPr>
                <w:sz w:val="20"/>
                <w:szCs w:val="20"/>
                <w:color w:val="auto"/>
              </w:rPr>
            </w:pPr>
            <w:r>
              <w:rPr>
                <w:rFonts w:ascii="Arial" w:cs="Arial" w:eastAsia="Arial" w:hAnsi="Arial"/>
                <w:sz w:val="16"/>
                <w:szCs w:val="16"/>
                <w:color w:val="auto"/>
              </w:rPr>
              <w:t>— %</w:t>
            </w:r>
          </w:p>
        </w:tc>
        <w:tc>
          <w:tcPr>
            <w:tcW w:w="280" w:type="dxa"/>
            <w:vAlign w:val="bottom"/>
          </w:tcPr>
          <w:p>
            <w:pPr>
              <w:spacing w:after="0"/>
              <w:rPr>
                <w:sz w:val="22"/>
                <w:szCs w:val="22"/>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(39)</w:t>
            </w: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20" w:type="dxa"/>
            <w:vAlign w:val="bottom"/>
          </w:tcPr>
          <w:p>
            <w:pPr>
              <w:jc w:val="right"/>
              <w:ind w:right="199"/>
              <w:spacing w:after="0"/>
              <w:rPr>
                <w:sz w:val="20"/>
                <w:szCs w:val="20"/>
                <w:color w:val="auto"/>
              </w:rPr>
            </w:pPr>
            <w:r>
              <w:rPr>
                <w:rFonts w:ascii="Arial" w:cs="Arial" w:eastAsia="Arial" w:hAnsi="Arial"/>
                <w:sz w:val="16"/>
                <w:szCs w:val="16"/>
                <w:color w:val="auto"/>
              </w:rPr>
              <w:t>— %</w:t>
            </w:r>
          </w:p>
        </w:tc>
      </w:tr>
      <w:tr>
        <w:trPr>
          <w:trHeight w:val="250"/>
        </w:trPr>
        <w:tc>
          <w:tcPr>
            <w:tcW w:w="5280" w:type="dxa"/>
            <w:vAlign w:val="bottom"/>
            <w:tcBorders>
              <w:top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Total operating expenses</w:t>
            </w: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24,423</w:t>
            </w:r>
          </w:p>
        </w:tc>
        <w:tc>
          <w:tcPr>
            <w:tcW w:w="200" w:type="dxa"/>
            <w:vAlign w:val="bottom"/>
            <w:tcBorders>
              <w:top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5.8 %</w:t>
            </w:r>
          </w:p>
        </w:tc>
        <w:tc>
          <w:tcPr>
            <w:tcW w:w="4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21,713</w:t>
            </w:r>
          </w:p>
        </w:tc>
        <w:tc>
          <w:tcPr>
            <w:tcW w:w="220" w:type="dxa"/>
            <w:vAlign w:val="bottom"/>
            <w:tcBorders>
              <w:top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5.9 %</w:t>
            </w:r>
          </w:p>
        </w:tc>
      </w:tr>
      <w:tr>
        <w:trPr>
          <w:trHeight w:val="284"/>
        </w:trPr>
        <w:tc>
          <w:tcPr>
            <w:tcW w:w="5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70"/>
        </w:trPr>
        <w:tc>
          <w:tcPr>
            <w:tcW w:w="5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2,990</w:t>
            </w:r>
          </w:p>
        </w:tc>
        <w:tc>
          <w:tcPr>
            <w:tcW w:w="2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0.7 %</w:t>
            </w:r>
          </w:p>
        </w:tc>
        <w:tc>
          <w:tcPr>
            <w:tcW w:w="4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9,513</w:t>
            </w:r>
          </w:p>
        </w:tc>
        <w:tc>
          <w:tcPr>
            <w:tcW w:w="2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2.6 %</w:t>
            </w:r>
          </w:p>
        </w:tc>
      </w:tr>
      <w:tr>
        <w:trPr>
          <w:trHeight w:val="264"/>
        </w:trPr>
        <w:tc>
          <w:tcPr>
            <w:tcW w:w="52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Non-operating income</w:t>
            </w: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549</w:t>
            </w:r>
          </w:p>
        </w:tc>
        <w:tc>
          <w:tcPr>
            <w:tcW w:w="2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0.1 %</w:t>
            </w:r>
          </w:p>
        </w:tc>
        <w:tc>
          <w:tcPr>
            <w:tcW w:w="4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550</w:t>
            </w:r>
          </w:p>
        </w:tc>
        <w:tc>
          <w:tcPr>
            <w:tcW w:w="22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0.2 %</w:t>
            </w:r>
          </w:p>
        </w:tc>
      </w:tr>
      <w:tr>
        <w:trPr>
          <w:trHeight w:val="257"/>
        </w:trPr>
        <w:tc>
          <w:tcPr>
            <w:tcW w:w="5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3,539</w:t>
            </w:r>
          </w:p>
        </w:tc>
        <w:tc>
          <w:tcPr>
            <w:tcW w:w="2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0.8 %</w:t>
            </w:r>
          </w:p>
        </w:tc>
        <w:tc>
          <w:tcPr>
            <w:tcW w:w="4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10,063</w:t>
            </w:r>
          </w:p>
        </w:tc>
        <w:tc>
          <w:tcPr>
            <w:tcW w:w="2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2.8 %</w:t>
            </w:r>
          </w:p>
        </w:tc>
      </w:tr>
      <w:tr>
        <w:trPr>
          <w:trHeight w:val="284"/>
        </w:trPr>
        <w:tc>
          <w:tcPr>
            <w:tcW w:w="5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64"/>
        </w:trPr>
        <w:tc>
          <w:tcPr>
            <w:tcW w:w="5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(Benefit) provision for taxes</w:t>
            </w:r>
          </w:p>
        </w:tc>
        <w:tc>
          <w:tcPr>
            <w:tcW w:w="2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(525)</w:t>
            </w:r>
          </w:p>
        </w:tc>
        <w:tc>
          <w:tcPr>
            <w:tcW w:w="20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(0.1)%</w:t>
            </w:r>
          </w:p>
        </w:tc>
        <w:tc>
          <w:tcPr>
            <w:tcW w:w="4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1,767</w:t>
            </w:r>
          </w:p>
        </w:tc>
        <w:tc>
          <w:tcPr>
            <w:tcW w:w="220" w:type="dxa"/>
            <w:vAlign w:val="bottom"/>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0.5 %</w:t>
            </w:r>
          </w:p>
        </w:tc>
      </w:tr>
      <w:tr>
        <w:trPr>
          <w:trHeight w:val="280"/>
        </w:trPr>
        <w:tc>
          <w:tcPr>
            <w:tcW w:w="52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Net income</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4,064</w:t>
            </w:r>
          </w:p>
        </w:tc>
        <w:tc>
          <w:tcPr>
            <w:tcW w:w="20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1.0 %</w:t>
            </w:r>
          </w:p>
        </w:tc>
        <w:tc>
          <w:tcPr>
            <w:tcW w:w="4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8,296</w:t>
            </w:r>
          </w:p>
        </w:tc>
        <w:tc>
          <w:tcPr>
            <w:tcW w:w="220" w:type="dxa"/>
            <w:vAlign w:val="bottom"/>
            <w:tcBorders>
              <w:bottom w:val="single" w:sz="8" w:color="CCEEFF"/>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2.3 %</w:t>
            </w:r>
          </w:p>
        </w:tc>
      </w:tr>
      <w:tr>
        <w:trPr>
          <w:trHeight w:val="267"/>
        </w:trPr>
        <w:tc>
          <w:tcPr>
            <w:tcW w:w="5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60"/>
        </w:trPr>
        <w:tc>
          <w:tcPr>
            <w:tcW w:w="5280" w:type="dxa"/>
            <w:vAlign w:val="bottom"/>
            <w:gridSpan w:val="2"/>
          </w:tcPr>
          <w:p>
            <w:pPr>
              <w:ind w:left="40"/>
              <w:spacing w:after="0"/>
              <w:rPr>
                <w:sz w:val="20"/>
                <w:szCs w:val="20"/>
                <w:color w:val="auto"/>
              </w:rPr>
            </w:pPr>
            <w:r>
              <w:rPr>
                <w:rFonts w:ascii="Arial" w:cs="Arial" w:eastAsia="Arial" w:hAnsi="Arial"/>
                <w:sz w:val="16"/>
                <w:szCs w:val="16"/>
                <w:color w:val="auto"/>
              </w:rPr>
              <w:t>Income per common share:</w:t>
            </w: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80"/>
        </w:trPr>
        <w:tc>
          <w:tcPr>
            <w:tcW w:w="52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Basic</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0.14</w:t>
            </w:r>
          </w:p>
        </w:tc>
        <w:tc>
          <w:tcPr>
            <w:tcW w:w="2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0.28</w:t>
            </w:r>
          </w:p>
        </w:tc>
        <w:tc>
          <w:tcPr>
            <w:tcW w:w="2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60"/>
        </w:trPr>
        <w:tc>
          <w:tcPr>
            <w:tcW w:w="5280" w:type="dxa"/>
            <w:vAlign w:val="bottom"/>
            <w:gridSpan w:val="2"/>
          </w:tcPr>
          <w:p>
            <w:pPr>
              <w:ind w:left="240"/>
              <w:spacing w:after="0"/>
              <w:rPr>
                <w:sz w:val="20"/>
                <w:szCs w:val="20"/>
                <w:color w:val="auto"/>
              </w:rPr>
            </w:pPr>
            <w:r>
              <w:rPr>
                <w:rFonts w:ascii="Arial" w:cs="Arial" w:eastAsia="Arial" w:hAnsi="Arial"/>
                <w:sz w:val="16"/>
                <w:szCs w:val="16"/>
                <w:color w:val="auto"/>
              </w:rPr>
              <w:t>Diluted</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0.14</w:t>
            </w: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0.28</w:t>
            </w: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80"/>
        </w:trPr>
        <w:tc>
          <w:tcPr>
            <w:tcW w:w="5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w:t>
            </w: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60"/>
        </w:trPr>
        <w:tc>
          <w:tcPr>
            <w:tcW w:w="5280" w:type="dxa"/>
            <w:vAlign w:val="bottom"/>
            <w:gridSpan w:val="2"/>
          </w:tcPr>
          <w:p>
            <w:pPr>
              <w:ind w:left="240"/>
              <w:spacing w:after="0"/>
              <w:rPr>
                <w:sz w:val="20"/>
                <w:szCs w:val="20"/>
                <w:color w:val="auto"/>
              </w:rPr>
            </w:pPr>
            <w:r>
              <w:rPr>
                <w:rFonts w:ascii="Arial" w:cs="Arial" w:eastAsia="Arial" w:hAnsi="Arial"/>
                <w:sz w:val="16"/>
                <w:szCs w:val="16"/>
                <w:color w:val="auto"/>
              </w:rPr>
              <w:t>Basic</w:t>
            </w:r>
          </w:p>
        </w:tc>
        <w:tc>
          <w:tcPr>
            <w:tcW w:w="260" w:type="dxa"/>
            <w:vAlign w:val="bottom"/>
          </w:tcPr>
          <w:p>
            <w:pPr>
              <w:spacing w:after="0"/>
              <w:rPr>
                <w:sz w:val="22"/>
                <w:szCs w:val="22"/>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29,171</w:t>
            </w: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29,118</w:t>
            </w: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80"/>
        </w:trPr>
        <w:tc>
          <w:tcPr>
            <w:tcW w:w="52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29,243</w:t>
            </w:r>
          </w:p>
        </w:tc>
        <w:tc>
          <w:tcPr>
            <w:tcW w:w="2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29,135</w:t>
            </w:r>
          </w:p>
        </w:tc>
        <w:tc>
          <w:tcPr>
            <w:tcW w:w="2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bl>
    <w:p>
      <w:pPr>
        <w:sectPr>
          <w:pgSz w:w="11900" w:h="16838" w:orient="portrait"/>
          <w:cols w:equalWidth="0" w:num="1">
            <w:col w:w="11420"/>
          </w:cols>
          <w:pgMar w:left="240" w:top="576" w:right="239" w:bottom="832"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gridSpan w:val="2"/>
          </w:tcPr>
          <w:p>
            <w:pPr>
              <w:ind w:left="160"/>
              <w:spacing w:after="0"/>
              <w:rPr>
                <w:sz w:val="20"/>
                <w:szCs w:val="20"/>
                <w:color w:val="auto"/>
              </w:rPr>
            </w:pPr>
            <w:r>
              <w:rPr>
                <w:rFonts w:ascii="Arial" w:cs="Arial" w:eastAsia="Arial" w:hAnsi="Arial"/>
                <w:sz w:val="16"/>
                <w:szCs w:val="16"/>
                <w:b w:val="1"/>
                <w:bCs w:val="1"/>
                <w:color w:val="auto"/>
              </w:rPr>
              <w:t>May 26,</w:t>
            </w:r>
          </w:p>
        </w:tc>
        <w:tc>
          <w:tcPr>
            <w:tcW w:w="220" w:type="dxa"/>
            <w:vAlign w:val="bottom"/>
          </w:tcPr>
          <w:p>
            <w:pPr>
              <w:spacing w:after="0"/>
              <w:rPr>
                <w:sz w:val="16"/>
                <w:szCs w:val="16"/>
                <w:color w:val="auto"/>
              </w:rPr>
            </w:pPr>
          </w:p>
        </w:tc>
        <w:tc>
          <w:tcPr>
            <w:tcW w:w="1260" w:type="dxa"/>
            <w:vAlign w:val="bottom"/>
          </w:tcPr>
          <w:p>
            <w:pPr>
              <w:jc w:val="right"/>
              <w:ind w:right="259"/>
              <w:spacing w:after="0"/>
              <w:rPr>
                <w:sz w:val="20"/>
                <w:szCs w:val="20"/>
                <w:color w:val="auto"/>
              </w:rPr>
            </w:pPr>
            <w:r>
              <w:rPr>
                <w:rFonts w:ascii="Arial" w:cs="Arial" w:eastAsia="Arial" w:hAnsi="Arial"/>
                <w:sz w:val="16"/>
                <w:szCs w:val="16"/>
                <w:b w:val="1"/>
                <w:bCs w:val="1"/>
                <w:color w:val="auto"/>
              </w:rPr>
              <w:t>August 27,</w:t>
            </w:r>
          </w:p>
        </w:tc>
      </w:tr>
      <w:tr>
        <w:trPr>
          <w:trHeight w:val="228"/>
        </w:trPr>
        <w:tc>
          <w:tcPr>
            <w:tcW w:w="81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2012</w:t>
            </w: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2011</w:t>
            </w:r>
          </w:p>
        </w:tc>
      </w:tr>
      <w:tr>
        <w:trPr>
          <w:trHeight w:val="270"/>
        </w:trPr>
        <w:tc>
          <w:tcPr>
            <w:tcW w:w="82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60"/>
        </w:trPr>
        <w:tc>
          <w:tcPr>
            <w:tcW w:w="8240" w:type="dxa"/>
            <w:vAlign w:val="bottom"/>
            <w:gridSpan w:val="2"/>
          </w:tcPr>
          <w:p>
            <w:pPr>
              <w:ind w:left="40"/>
              <w:spacing w:after="0"/>
              <w:rPr>
                <w:sz w:val="20"/>
                <w:szCs w:val="20"/>
                <w:color w:val="auto"/>
              </w:rPr>
            </w:pPr>
            <w:r>
              <w:rPr>
                <w:rFonts w:ascii="Arial" w:cs="Arial" w:eastAsia="Arial" w:hAnsi="Arial"/>
                <w:sz w:val="16"/>
                <w:szCs w:val="16"/>
                <w:color w:val="auto"/>
              </w:rPr>
              <w:t>Current assets:</w:t>
            </w: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80"/>
        </w:trPr>
        <w:tc>
          <w:tcPr>
            <w:tcW w:w="82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80,831</w:t>
            </w: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69,307</w:t>
            </w:r>
          </w:p>
        </w:tc>
      </w:tr>
      <w:tr>
        <w:trPr>
          <w:trHeight w:val="260"/>
        </w:trPr>
        <w:tc>
          <w:tcPr>
            <w:tcW w:w="8240" w:type="dxa"/>
            <w:vAlign w:val="bottom"/>
            <w:gridSpan w:val="2"/>
          </w:tcPr>
          <w:p>
            <w:pPr>
              <w:ind w:left="280"/>
              <w:spacing w:after="0"/>
              <w:rPr>
                <w:sz w:val="20"/>
                <w:szCs w:val="20"/>
                <w:color w:val="auto"/>
              </w:rPr>
            </w:pPr>
            <w:r>
              <w:rPr>
                <w:rFonts w:ascii="Arial" w:cs="Arial" w:eastAsia="Arial" w:hAnsi="Arial"/>
                <w:sz w:val="16"/>
                <w:szCs w:val="16"/>
                <w:color w:val="auto"/>
              </w:rPr>
              <w:t>Short-term investments</w:t>
            </w:r>
          </w:p>
        </w:tc>
        <w:tc>
          <w:tcPr>
            <w:tcW w:w="26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250</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82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Receivables, net</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18,476</w:t>
            </w: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19,981</w:t>
            </w:r>
          </w:p>
        </w:tc>
      </w:tr>
      <w:tr>
        <w:trPr>
          <w:trHeight w:val="260"/>
        </w:trPr>
        <w:tc>
          <w:tcPr>
            <w:tcW w:w="8240" w:type="dxa"/>
            <w:vAlign w:val="bottom"/>
            <w:gridSpan w:val="2"/>
          </w:tcPr>
          <w:p>
            <w:pPr>
              <w:ind w:left="280"/>
              <w:spacing w:after="0"/>
              <w:rPr>
                <w:sz w:val="20"/>
                <w:szCs w:val="20"/>
                <w:color w:val="auto"/>
              </w:rPr>
            </w:pPr>
            <w:r>
              <w:rPr>
                <w:rFonts w:ascii="Arial" w:cs="Arial" w:eastAsia="Arial" w:hAnsi="Arial"/>
                <w:sz w:val="16"/>
                <w:szCs w:val="16"/>
                <w:color w:val="auto"/>
              </w:rPr>
              <w:t>Inventories</w:t>
            </w:r>
          </w:p>
        </w:tc>
        <w:tc>
          <w:tcPr>
            <w:tcW w:w="26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69,604</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69,165</w:t>
            </w:r>
          </w:p>
        </w:tc>
      </w:tr>
      <w:tr>
        <w:trPr>
          <w:trHeight w:val="280"/>
        </w:trPr>
        <w:tc>
          <w:tcPr>
            <w:tcW w:w="82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Prepaid expenses and other assets</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4,289</w:t>
            </w: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4,227</w:t>
            </w:r>
          </w:p>
        </w:tc>
      </w:tr>
      <w:tr>
        <w:trPr>
          <w:trHeight w:val="260"/>
        </w:trPr>
        <w:tc>
          <w:tcPr>
            <w:tcW w:w="8240" w:type="dxa"/>
            <w:vAlign w:val="bottom"/>
            <w:gridSpan w:val="2"/>
          </w:tcPr>
          <w:p>
            <w:pPr>
              <w:ind w:left="280"/>
              <w:spacing w:after="0"/>
              <w:rPr>
                <w:sz w:val="20"/>
                <w:szCs w:val="20"/>
                <w:color w:val="auto"/>
              </w:rPr>
            </w:pPr>
            <w:r>
              <w:rPr>
                <w:rFonts w:ascii="Arial" w:cs="Arial" w:eastAsia="Arial" w:hAnsi="Arial"/>
                <w:sz w:val="16"/>
                <w:szCs w:val="16"/>
                <w:color w:val="auto"/>
              </w:rPr>
              <w:t>Income taxes receivable</w:t>
            </w:r>
          </w:p>
        </w:tc>
        <w:tc>
          <w:tcPr>
            <w:tcW w:w="26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875</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1,525</w:t>
            </w:r>
          </w:p>
        </w:tc>
      </w:tr>
      <w:tr>
        <w:trPr>
          <w:trHeight w:val="273"/>
        </w:trPr>
        <w:tc>
          <w:tcPr>
            <w:tcW w:w="82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Deferred income taxes</w:t>
            </w:r>
          </w:p>
        </w:tc>
        <w:tc>
          <w:tcPr>
            <w:tcW w:w="2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1,402</w:t>
            </w:r>
          </w:p>
        </w:tc>
        <w:tc>
          <w:tcPr>
            <w:tcW w:w="2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649</w:t>
            </w:r>
          </w:p>
        </w:tc>
      </w:tr>
      <w:tr>
        <w:trPr>
          <w:trHeight w:val="247"/>
        </w:trPr>
        <w:tc>
          <w:tcPr>
            <w:tcW w:w="8240" w:type="dxa"/>
            <w:vAlign w:val="bottom"/>
            <w:gridSpan w:val="2"/>
          </w:tcPr>
          <w:p>
            <w:pPr>
              <w:ind w:left="500"/>
              <w:spacing w:after="0"/>
              <w:rPr>
                <w:sz w:val="20"/>
                <w:szCs w:val="20"/>
                <w:color w:val="auto"/>
              </w:rPr>
            </w:pPr>
            <w:r>
              <w:rPr>
                <w:rFonts w:ascii="Arial" w:cs="Arial" w:eastAsia="Arial" w:hAnsi="Arial"/>
                <w:sz w:val="16"/>
                <w:szCs w:val="16"/>
                <w:color w:val="auto"/>
              </w:rPr>
              <w:t>Total current assets</w:t>
            </w:r>
          </w:p>
        </w:tc>
        <w:tc>
          <w:tcPr>
            <w:tcW w:w="260" w:type="dxa"/>
            <w:vAlign w:val="bottom"/>
          </w:tcPr>
          <w:p>
            <w:pPr>
              <w:spacing w:after="0"/>
              <w:rPr>
                <w:sz w:val="21"/>
                <w:szCs w:val="21"/>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175,727</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164,854</w:t>
            </w:r>
          </w:p>
        </w:tc>
      </w:tr>
      <w:tr>
        <w:trPr>
          <w:trHeight w:val="280"/>
        </w:trPr>
        <w:tc>
          <w:tcPr>
            <w:tcW w:w="82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Property, plant, and equipment, net</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20,382</w:t>
            </w: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22,589</w:t>
            </w:r>
          </w:p>
        </w:tc>
      </w:tr>
      <w:tr>
        <w:trPr>
          <w:trHeight w:val="260"/>
        </w:trPr>
        <w:tc>
          <w:tcPr>
            <w:tcW w:w="8240" w:type="dxa"/>
            <w:vAlign w:val="bottom"/>
            <w:gridSpan w:val="2"/>
          </w:tcPr>
          <w:p>
            <w:pPr>
              <w:ind w:left="40"/>
              <w:spacing w:after="0"/>
              <w:rPr>
                <w:sz w:val="20"/>
                <w:szCs w:val="20"/>
                <w:color w:val="auto"/>
              </w:rPr>
            </w:pPr>
            <w:r>
              <w:rPr>
                <w:rFonts w:ascii="Arial" w:cs="Arial" w:eastAsia="Arial" w:hAnsi="Arial"/>
                <w:sz w:val="16"/>
                <w:szCs w:val="16"/>
                <w:color w:val="auto"/>
              </w:rPr>
              <w:t>Assets held for sale</w:t>
            </w:r>
          </w:p>
        </w:tc>
        <w:tc>
          <w:tcPr>
            <w:tcW w:w="26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600</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600</w:t>
            </w:r>
          </w:p>
        </w:tc>
      </w:tr>
      <w:tr>
        <w:trPr>
          <w:trHeight w:val="280"/>
        </w:trPr>
        <w:tc>
          <w:tcPr>
            <w:tcW w:w="82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Long-term investments</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9,091</w:t>
            </w: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10,627</w:t>
            </w:r>
          </w:p>
        </w:tc>
      </w:tr>
      <w:tr>
        <w:trPr>
          <w:trHeight w:val="260"/>
        </w:trPr>
        <w:tc>
          <w:tcPr>
            <w:tcW w:w="8240" w:type="dxa"/>
            <w:vAlign w:val="bottom"/>
            <w:gridSpan w:val="2"/>
          </w:tcPr>
          <w:p>
            <w:pPr>
              <w:ind w:left="40"/>
              <w:spacing w:after="0"/>
              <w:rPr>
                <w:sz w:val="20"/>
                <w:szCs w:val="20"/>
                <w:color w:val="auto"/>
              </w:rPr>
            </w:pPr>
            <w:r>
              <w:rPr>
                <w:rFonts w:ascii="Arial" w:cs="Arial" w:eastAsia="Arial" w:hAnsi="Arial"/>
                <w:sz w:val="16"/>
                <w:szCs w:val="16"/>
                <w:color w:val="auto"/>
              </w:rPr>
              <w:t>Investment in life insurance</w:t>
            </w:r>
          </w:p>
        </w:tc>
        <w:tc>
          <w:tcPr>
            <w:tcW w:w="26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22,981</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23,669</w:t>
            </w:r>
          </w:p>
        </w:tc>
      </w:tr>
      <w:tr>
        <w:trPr>
          <w:trHeight w:val="280"/>
        </w:trPr>
        <w:tc>
          <w:tcPr>
            <w:tcW w:w="82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1,228</w:t>
            </w: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1,228</w:t>
            </w:r>
          </w:p>
        </w:tc>
      </w:tr>
      <w:tr>
        <w:trPr>
          <w:trHeight w:val="260"/>
        </w:trPr>
        <w:tc>
          <w:tcPr>
            <w:tcW w:w="8240" w:type="dxa"/>
            <w:vAlign w:val="bottom"/>
            <w:gridSpan w:val="2"/>
          </w:tcPr>
          <w:p>
            <w:pPr>
              <w:ind w:left="40"/>
              <w:spacing w:after="0"/>
              <w:rPr>
                <w:sz w:val="20"/>
                <w:szCs w:val="20"/>
                <w:color w:val="auto"/>
              </w:rPr>
            </w:pPr>
            <w:r>
              <w:rPr>
                <w:rFonts w:ascii="Arial" w:cs="Arial" w:eastAsia="Arial" w:hAnsi="Arial"/>
                <w:sz w:val="16"/>
                <w:szCs w:val="16"/>
                <w:color w:val="auto"/>
              </w:rPr>
              <w:t>Amortizable intangible assets</w:t>
            </w:r>
          </w:p>
        </w:tc>
        <w:tc>
          <w:tcPr>
            <w:tcW w:w="26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661</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720</w:t>
            </w:r>
          </w:p>
        </w:tc>
      </w:tr>
      <w:tr>
        <w:trPr>
          <w:trHeight w:val="273"/>
        </w:trPr>
        <w:tc>
          <w:tcPr>
            <w:tcW w:w="82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2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13,254</w:t>
            </w:r>
          </w:p>
        </w:tc>
        <w:tc>
          <w:tcPr>
            <w:tcW w:w="2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15,640</w:t>
            </w:r>
          </w:p>
        </w:tc>
      </w:tr>
      <w:tr>
        <w:trPr>
          <w:trHeight w:val="280"/>
        </w:trPr>
        <w:tc>
          <w:tcPr>
            <w:tcW w:w="8240" w:type="dxa"/>
            <w:vAlign w:val="bottom"/>
            <w:tcBorders>
              <w:bottom w:val="single" w:sz="8" w:color="CCEEFF"/>
            </w:tcBorders>
            <w:gridSpan w:val="2"/>
          </w:tcPr>
          <w:p>
            <w:pPr>
              <w:ind w:left="500"/>
              <w:spacing w:after="0"/>
              <w:rPr>
                <w:sz w:val="20"/>
                <w:szCs w:val="20"/>
                <w:color w:val="auto"/>
              </w:rPr>
            </w:pPr>
            <w:r>
              <w:rPr>
                <w:rFonts w:ascii="Arial" w:cs="Arial" w:eastAsia="Arial" w:hAnsi="Arial"/>
                <w:sz w:val="16"/>
                <w:szCs w:val="16"/>
                <w:color w:val="auto"/>
              </w:rPr>
              <w:t>Total assets</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243,924</w:t>
            </w:r>
          </w:p>
        </w:tc>
        <w:tc>
          <w:tcPr>
            <w:tcW w:w="2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239,927</w:t>
            </w:r>
          </w:p>
        </w:tc>
      </w:tr>
      <w:tr>
        <w:trPr>
          <w:trHeight w:val="267"/>
        </w:trPr>
        <w:tc>
          <w:tcPr>
            <w:tcW w:w="8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60"/>
        </w:trPr>
        <w:tc>
          <w:tcPr>
            <w:tcW w:w="8240" w:type="dxa"/>
            <w:vAlign w:val="bottom"/>
            <w:gridSpan w:val="2"/>
          </w:tcPr>
          <w:p>
            <w:pPr>
              <w:ind w:left="40"/>
              <w:spacing w:after="0"/>
              <w:rPr>
                <w:sz w:val="20"/>
                <w:szCs w:val="20"/>
                <w:color w:val="auto"/>
              </w:rPr>
            </w:pPr>
            <w:r>
              <w:rPr>
                <w:rFonts w:ascii="Arial" w:cs="Arial" w:eastAsia="Arial" w:hAnsi="Arial"/>
                <w:sz w:val="16"/>
                <w:szCs w:val="16"/>
                <w:color w:val="auto"/>
              </w:rPr>
              <w:t>LIABILITIES AND STOCKHOLDERS' EQUITY</w:t>
            </w: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80"/>
        </w:trPr>
        <w:tc>
          <w:tcPr>
            <w:tcW w:w="82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60"/>
        </w:trPr>
        <w:tc>
          <w:tcPr>
            <w:tcW w:w="8240" w:type="dxa"/>
            <w:vAlign w:val="bottom"/>
            <w:gridSpan w:val="2"/>
          </w:tcPr>
          <w:p>
            <w:pPr>
              <w:ind w:left="280"/>
              <w:spacing w:after="0"/>
              <w:rPr>
                <w:sz w:val="20"/>
                <w:szCs w:val="20"/>
                <w:color w:val="auto"/>
              </w:rPr>
            </w:pPr>
            <w:r>
              <w:rPr>
                <w:rFonts w:ascii="Arial" w:cs="Arial" w:eastAsia="Arial" w:hAnsi="Arial"/>
                <w:sz w:val="16"/>
                <w:szCs w:val="16"/>
                <w:color w:val="auto"/>
              </w:rPr>
              <w:t>Accounts payable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24,635</w:t>
            </w:r>
          </w:p>
        </w:tc>
        <w:tc>
          <w:tcPr>
            <w:tcW w:w="20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21,610</w:t>
            </w:r>
          </w:p>
        </w:tc>
      </w:tr>
      <w:tr>
        <w:trPr>
          <w:trHeight w:val="280"/>
        </w:trPr>
        <w:tc>
          <w:tcPr>
            <w:tcW w:w="82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Income taxes payable</w:t>
            </w:r>
          </w:p>
        </w:tc>
        <w:tc>
          <w:tcPr>
            <w:tcW w:w="26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104</w:t>
            </w:r>
          </w:p>
        </w:tc>
      </w:tr>
      <w:tr>
        <w:trPr>
          <w:trHeight w:val="264"/>
        </w:trPr>
        <w:tc>
          <w:tcPr>
            <w:tcW w:w="824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Accrued expenses</w:t>
            </w:r>
          </w:p>
        </w:tc>
        <w:tc>
          <w:tcPr>
            <w:tcW w:w="2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32,413</w:t>
            </w:r>
          </w:p>
        </w:tc>
        <w:tc>
          <w:tcPr>
            <w:tcW w:w="2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29,604</w:t>
            </w:r>
          </w:p>
        </w:tc>
      </w:tr>
      <w:tr>
        <w:trPr>
          <w:trHeight w:val="257"/>
        </w:trPr>
        <w:tc>
          <w:tcPr>
            <w:tcW w:w="82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Total current liabilities</w:t>
            </w:r>
          </w:p>
        </w:tc>
        <w:tc>
          <w:tcPr>
            <w:tcW w:w="2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57,048</w:t>
            </w:r>
          </w:p>
        </w:tc>
        <w:tc>
          <w:tcPr>
            <w:tcW w:w="2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51,318</w:t>
            </w:r>
          </w:p>
        </w:tc>
      </w:tr>
      <w:tr>
        <w:trPr>
          <w:trHeight w:val="254"/>
        </w:trPr>
        <w:tc>
          <w:tcPr>
            <w:tcW w:w="8240" w:type="dxa"/>
            <w:vAlign w:val="bottom"/>
            <w:gridSpan w:val="2"/>
          </w:tcPr>
          <w:p>
            <w:pPr>
              <w:ind w:left="40"/>
              <w:spacing w:after="0"/>
              <w:rPr>
                <w:sz w:val="20"/>
                <w:szCs w:val="20"/>
                <w:color w:val="auto"/>
              </w:rPr>
            </w:pPr>
            <w:r>
              <w:rPr>
                <w:rFonts w:ascii="Arial" w:cs="Arial" w:eastAsia="Arial" w:hAnsi="Arial"/>
                <w:sz w:val="16"/>
                <w:szCs w:val="16"/>
                <w:color w:val="auto"/>
              </w:rPr>
              <w:t>Long-term liabilities:</w:t>
            </w: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80"/>
        </w:trPr>
        <w:tc>
          <w:tcPr>
            <w:tcW w:w="82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Unrecognized tax benefits</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4,853</w:t>
            </w: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5,387</w:t>
            </w:r>
          </w:p>
        </w:tc>
      </w:tr>
      <w:tr>
        <w:trPr>
          <w:trHeight w:val="264"/>
        </w:trPr>
        <w:tc>
          <w:tcPr>
            <w:tcW w:w="824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Postretirement health care and deferred compensation benefits, net of current portion</w:t>
            </w:r>
          </w:p>
        </w:tc>
        <w:tc>
          <w:tcPr>
            <w:tcW w:w="2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67,158</w:t>
            </w:r>
          </w:p>
        </w:tc>
        <w:tc>
          <w:tcPr>
            <w:tcW w:w="2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74,492</w:t>
            </w:r>
          </w:p>
        </w:tc>
      </w:tr>
      <w:tr>
        <w:trPr>
          <w:trHeight w:val="257"/>
        </w:trPr>
        <w:tc>
          <w:tcPr>
            <w:tcW w:w="82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Total long-term liabilities</w:t>
            </w:r>
          </w:p>
        </w:tc>
        <w:tc>
          <w:tcPr>
            <w:tcW w:w="2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72,011</w:t>
            </w: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79,879</w:t>
            </w:r>
          </w:p>
        </w:tc>
      </w:tr>
      <w:tr>
        <w:trPr>
          <w:trHeight w:val="264"/>
        </w:trPr>
        <w:tc>
          <w:tcPr>
            <w:tcW w:w="82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Stockholders' equity</w:t>
            </w:r>
          </w:p>
        </w:tc>
        <w:tc>
          <w:tcPr>
            <w:tcW w:w="2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114,865</w:t>
            </w:r>
          </w:p>
        </w:tc>
        <w:tc>
          <w:tcPr>
            <w:tcW w:w="2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108,730</w:t>
            </w:r>
          </w:p>
        </w:tc>
      </w:tr>
      <w:tr>
        <w:trPr>
          <w:trHeight w:val="240"/>
        </w:trPr>
        <w:tc>
          <w:tcPr>
            <w:tcW w:w="82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Total liabilities and stockholders' equity</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243,924</w:t>
            </w:r>
          </w:p>
        </w:tc>
        <w:tc>
          <w:tcPr>
            <w:tcW w:w="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239,927</w:t>
            </w:r>
          </w:p>
        </w:tc>
      </w:tr>
      <w:tr>
        <w:trPr>
          <w:trHeight w:val="20"/>
        </w:trPr>
        <w:tc>
          <w:tcPr>
            <w:tcW w:w="8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792"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4"/>
          </w:tcPr>
          <w:p>
            <w:pPr>
              <w:jc w:val="right"/>
              <w:ind w:right="919"/>
              <w:spacing w:after="0"/>
              <w:rPr>
                <w:sz w:val="20"/>
                <w:szCs w:val="20"/>
                <w:color w:val="auto"/>
              </w:rPr>
            </w:pPr>
            <w:r>
              <w:rPr>
                <w:rFonts w:ascii="Arial" w:cs="Arial" w:eastAsia="Arial" w:hAnsi="Arial"/>
                <w:sz w:val="16"/>
                <w:szCs w:val="16"/>
                <w:b w:val="1"/>
                <w:bCs w:val="1"/>
                <w:color w:val="auto"/>
              </w:rPr>
              <w:t>Nine Months Ended</w:t>
            </w:r>
          </w:p>
        </w:tc>
      </w:tr>
      <w:tr>
        <w:trPr>
          <w:trHeight w:val="198"/>
        </w:trPr>
        <w:tc>
          <w:tcPr>
            <w:tcW w:w="7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gridSpan w:val="2"/>
          </w:tcPr>
          <w:p>
            <w:pPr>
              <w:ind w:left="200"/>
              <w:spacing w:after="0"/>
              <w:rPr>
                <w:sz w:val="20"/>
                <w:szCs w:val="20"/>
                <w:color w:val="auto"/>
              </w:rPr>
            </w:pPr>
            <w:r>
              <w:rPr>
                <w:rFonts w:ascii="Arial" w:cs="Arial" w:eastAsia="Arial" w:hAnsi="Arial"/>
                <w:sz w:val="16"/>
                <w:szCs w:val="16"/>
                <w:b w:val="1"/>
                <w:bCs w:val="1"/>
                <w:color w:val="auto"/>
              </w:rPr>
              <w:t>May 26,</w:t>
            </w:r>
          </w:p>
        </w:tc>
        <w:tc>
          <w:tcPr>
            <w:tcW w:w="320" w:type="dxa"/>
            <w:vAlign w:val="bottom"/>
          </w:tcPr>
          <w:p>
            <w:pPr>
              <w:spacing w:after="0"/>
              <w:rPr>
                <w:sz w:val="17"/>
                <w:szCs w:val="17"/>
                <w:color w:val="auto"/>
              </w:rPr>
            </w:pPr>
          </w:p>
        </w:tc>
        <w:tc>
          <w:tcPr>
            <w:tcW w:w="1340" w:type="dxa"/>
            <w:vAlign w:val="bottom"/>
          </w:tcPr>
          <w:p>
            <w:pPr>
              <w:jc w:val="right"/>
              <w:ind w:right="479"/>
              <w:spacing w:after="0"/>
              <w:rPr>
                <w:sz w:val="20"/>
                <w:szCs w:val="20"/>
                <w:color w:val="auto"/>
              </w:rPr>
            </w:pPr>
            <w:r>
              <w:rPr>
                <w:rFonts w:ascii="Arial" w:cs="Arial" w:eastAsia="Arial" w:hAnsi="Arial"/>
                <w:sz w:val="16"/>
                <w:szCs w:val="16"/>
                <w:b w:val="1"/>
                <w:bCs w:val="1"/>
                <w:color w:val="auto"/>
              </w:rPr>
              <w:t>May 28,</w:t>
            </w:r>
          </w:p>
        </w:tc>
      </w:tr>
      <w:tr>
        <w:trPr>
          <w:trHeight w:val="228"/>
        </w:trPr>
        <w:tc>
          <w:tcPr>
            <w:tcW w:w="77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2012</w:t>
            </w:r>
          </w:p>
        </w:tc>
        <w:tc>
          <w:tcPr>
            <w:tcW w:w="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2011</w:t>
            </w:r>
          </w:p>
        </w:tc>
      </w:tr>
      <w:tr>
        <w:trPr>
          <w:trHeight w:val="270"/>
        </w:trPr>
        <w:tc>
          <w:tcPr>
            <w:tcW w:w="78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3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60"/>
        </w:trPr>
        <w:tc>
          <w:tcPr>
            <w:tcW w:w="7880" w:type="dxa"/>
            <w:vAlign w:val="bottom"/>
            <w:gridSpan w:val="2"/>
          </w:tcPr>
          <w:p>
            <w:pPr>
              <w:ind w:left="280"/>
              <w:spacing w:after="0"/>
              <w:rPr>
                <w:sz w:val="20"/>
                <w:szCs w:val="20"/>
                <w:color w:val="auto"/>
              </w:rPr>
            </w:pPr>
            <w:r>
              <w:rPr>
                <w:rFonts w:ascii="Arial" w:cs="Arial" w:eastAsia="Arial" w:hAnsi="Arial"/>
                <w:sz w:val="16"/>
                <w:szCs w:val="16"/>
                <w:color w:val="auto"/>
              </w:rPr>
              <w:t>Net income</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39"/>
              <w:spacing w:after="0"/>
              <w:rPr>
                <w:sz w:val="20"/>
                <w:szCs w:val="20"/>
                <w:color w:val="auto"/>
              </w:rPr>
            </w:pPr>
            <w:r>
              <w:rPr>
                <w:rFonts w:ascii="Arial" w:cs="Arial" w:eastAsia="Arial" w:hAnsi="Arial"/>
                <w:sz w:val="16"/>
                <w:szCs w:val="16"/>
                <w:color w:val="auto"/>
              </w:rPr>
              <w:t>4,064</w:t>
            </w:r>
          </w:p>
        </w:tc>
        <w:tc>
          <w:tcPr>
            <w:tcW w:w="220" w:type="dxa"/>
            <w:vAlign w:val="bottom"/>
          </w:tcPr>
          <w:p>
            <w:pPr>
              <w:spacing w:after="0"/>
              <w:rPr>
                <w:sz w:val="22"/>
                <w:szCs w:val="22"/>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39"/>
              <w:spacing w:after="0"/>
              <w:rPr>
                <w:sz w:val="20"/>
                <w:szCs w:val="20"/>
                <w:color w:val="auto"/>
              </w:rPr>
            </w:pPr>
            <w:r>
              <w:rPr>
                <w:rFonts w:ascii="Arial" w:cs="Arial" w:eastAsia="Arial" w:hAnsi="Arial"/>
                <w:sz w:val="16"/>
                <w:szCs w:val="16"/>
                <w:color w:val="auto"/>
              </w:rPr>
              <w:t>8,296</w:t>
            </w:r>
          </w:p>
        </w:tc>
      </w:tr>
      <w:tr>
        <w:trPr>
          <w:trHeight w:val="280"/>
        </w:trPr>
        <w:tc>
          <w:tcPr>
            <w:tcW w:w="78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60"/>
        </w:trPr>
        <w:tc>
          <w:tcPr>
            <w:tcW w:w="7880" w:type="dxa"/>
            <w:vAlign w:val="bottom"/>
            <w:gridSpan w:val="2"/>
          </w:tcPr>
          <w:p>
            <w:pPr>
              <w:ind w:left="28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22"/>
                <w:szCs w:val="22"/>
                <w:color w:val="auto"/>
              </w:rPr>
            </w:pPr>
          </w:p>
        </w:tc>
        <w:tc>
          <w:tcPr>
            <w:tcW w:w="1340" w:type="dxa"/>
            <w:vAlign w:val="bottom"/>
          </w:tcPr>
          <w:p>
            <w:pPr>
              <w:jc w:val="right"/>
              <w:ind w:right="239"/>
              <w:spacing w:after="0"/>
              <w:rPr>
                <w:sz w:val="20"/>
                <w:szCs w:val="20"/>
                <w:color w:val="auto"/>
              </w:rPr>
            </w:pPr>
            <w:r>
              <w:rPr>
                <w:rFonts w:ascii="Arial" w:cs="Arial" w:eastAsia="Arial" w:hAnsi="Arial"/>
                <w:sz w:val="16"/>
                <w:szCs w:val="16"/>
                <w:color w:val="auto"/>
              </w:rPr>
              <w:t>3,786</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40" w:type="dxa"/>
            <w:vAlign w:val="bottom"/>
          </w:tcPr>
          <w:p>
            <w:pPr>
              <w:jc w:val="right"/>
              <w:ind w:right="239"/>
              <w:spacing w:after="0"/>
              <w:rPr>
                <w:sz w:val="20"/>
                <w:szCs w:val="20"/>
                <w:color w:val="auto"/>
              </w:rPr>
            </w:pPr>
            <w:r>
              <w:rPr>
                <w:rFonts w:ascii="Arial" w:cs="Arial" w:eastAsia="Arial" w:hAnsi="Arial"/>
                <w:sz w:val="16"/>
                <w:szCs w:val="16"/>
                <w:color w:val="auto"/>
              </w:rPr>
              <w:t>4,193</w:t>
            </w:r>
          </w:p>
        </w:tc>
      </w:tr>
      <w:tr>
        <w:trPr>
          <w:trHeight w:val="280"/>
        </w:trPr>
        <w:tc>
          <w:tcPr>
            <w:tcW w:w="78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LIFO expense</w:t>
            </w:r>
          </w:p>
        </w:tc>
        <w:tc>
          <w:tcPr>
            <w:tcW w:w="3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844</w:t>
            </w: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1,193</w:t>
            </w:r>
          </w:p>
        </w:tc>
      </w:tr>
      <w:tr>
        <w:trPr>
          <w:trHeight w:val="260"/>
        </w:trPr>
        <w:tc>
          <w:tcPr>
            <w:tcW w:w="7880" w:type="dxa"/>
            <w:vAlign w:val="bottom"/>
            <w:gridSpan w:val="2"/>
          </w:tcPr>
          <w:p>
            <w:pPr>
              <w:ind w:left="280"/>
              <w:spacing w:after="0"/>
              <w:rPr>
                <w:sz w:val="20"/>
                <w:szCs w:val="20"/>
                <w:color w:val="auto"/>
              </w:rPr>
            </w:pPr>
            <w:r>
              <w:rPr>
                <w:rFonts w:ascii="Arial" w:cs="Arial" w:eastAsia="Arial" w:hAnsi="Arial"/>
                <w:sz w:val="16"/>
                <w:szCs w:val="16"/>
                <w:color w:val="auto"/>
              </w:rPr>
              <w:t>Asset impairment</w:t>
            </w:r>
          </w:p>
        </w:tc>
        <w:tc>
          <w:tcPr>
            <w:tcW w:w="320" w:type="dxa"/>
            <w:vAlign w:val="bottom"/>
          </w:tcPr>
          <w:p>
            <w:pPr>
              <w:spacing w:after="0"/>
              <w:rPr>
                <w:sz w:val="22"/>
                <w:szCs w:val="22"/>
                <w:color w:val="auto"/>
              </w:rPr>
            </w:pPr>
          </w:p>
        </w:tc>
        <w:tc>
          <w:tcPr>
            <w:tcW w:w="156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340" w:type="dxa"/>
            <w:vAlign w:val="bottom"/>
          </w:tcPr>
          <w:p>
            <w:pPr>
              <w:jc w:val="right"/>
              <w:ind w:right="239"/>
              <w:spacing w:after="0"/>
              <w:rPr>
                <w:sz w:val="20"/>
                <w:szCs w:val="20"/>
                <w:color w:val="auto"/>
              </w:rPr>
            </w:pPr>
            <w:r>
              <w:rPr>
                <w:rFonts w:ascii="Arial" w:cs="Arial" w:eastAsia="Arial" w:hAnsi="Arial"/>
                <w:sz w:val="16"/>
                <w:szCs w:val="16"/>
                <w:color w:val="auto"/>
              </w:rPr>
              <w:t>605</w:t>
            </w:r>
          </w:p>
        </w:tc>
      </w:tr>
      <w:tr>
        <w:trPr>
          <w:trHeight w:val="280"/>
        </w:trPr>
        <w:tc>
          <w:tcPr>
            <w:tcW w:w="78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Stock-based compensation</w:t>
            </w:r>
          </w:p>
        </w:tc>
        <w:tc>
          <w:tcPr>
            <w:tcW w:w="3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863</w:t>
            </w: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1,001</w:t>
            </w:r>
          </w:p>
        </w:tc>
      </w:tr>
      <w:tr>
        <w:trPr>
          <w:trHeight w:val="260"/>
        </w:trPr>
        <w:tc>
          <w:tcPr>
            <w:tcW w:w="7880" w:type="dxa"/>
            <w:vAlign w:val="bottom"/>
            <w:gridSpan w:val="2"/>
          </w:tcPr>
          <w:p>
            <w:pPr>
              <w:ind w:left="280"/>
              <w:spacing w:after="0"/>
              <w:rPr>
                <w:sz w:val="20"/>
                <w:szCs w:val="20"/>
                <w:color w:val="auto"/>
              </w:rPr>
            </w:pPr>
            <w:r>
              <w:rPr>
                <w:rFonts w:ascii="Arial" w:cs="Arial" w:eastAsia="Arial" w:hAnsi="Arial"/>
                <w:sz w:val="16"/>
                <w:szCs w:val="16"/>
                <w:color w:val="auto"/>
              </w:rPr>
              <w:t>Deferred income taxes including valuation allowance</w:t>
            </w:r>
          </w:p>
        </w:tc>
        <w:tc>
          <w:tcPr>
            <w:tcW w:w="320" w:type="dxa"/>
            <w:vAlign w:val="bottom"/>
          </w:tcPr>
          <w:p>
            <w:pPr>
              <w:spacing w:after="0"/>
              <w:rPr>
                <w:sz w:val="22"/>
                <w:szCs w:val="22"/>
                <w:color w:val="auto"/>
              </w:rPr>
            </w:pPr>
          </w:p>
        </w:tc>
        <w:tc>
          <w:tcPr>
            <w:tcW w:w="1340" w:type="dxa"/>
            <w:vAlign w:val="bottom"/>
          </w:tcPr>
          <w:p>
            <w:pPr>
              <w:jc w:val="right"/>
              <w:ind w:right="179"/>
              <w:spacing w:after="0"/>
              <w:rPr>
                <w:sz w:val="20"/>
                <w:szCs w:val="20"/>
                <w:color w:val="auto"/>
              </w:rPr>
            </w:pPr>
            <w:r>
              <w:rPr>
                <w:rFonts w:ascii="Arial" w:cs="Arial" w:eastAsia="Arial" w:hAnsi="Arial"/>
                <w:sz w:val="16"/>
                <w:szCs w:val="16"/>
                <w:color w:val="auto"/>
              </w:rPr>
              <w:t>(753)</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40" w:type="dxa"/>
            <w:vAlign w:val="bottom"/>
          </w:tcPr>
          <w:p>
            <w:pPr>
              <w:jc w:val="right"/>
              <w:ind w:right="239"/>
              <w:spacing w:after="0"/>
              <w:rPr>
                <w:sz w:val="20"/>
                <w:szCs w:val="20"/>
                <w:color w:val="auto"/>
              </w:rPr>
            </w:pPr>
            <w:r>
              <w:rPr>
                <w:rFonts w:ascii="Arial" w:cs="Arial" w:eastAsia="Arial" w:hAnsi="Arial"/>
                <w:sz w:val="16"/>
                <w:szCs w:val="16"/>
                <w:color w:val="auto"/>
              </w:rPr>
              <w:t>874</w:t>
            </w:r>
          </w:p>
        </w:tc>
      </w:tr>
      <w:tr>
        <w:trPr>
          <w:trHeight w:val="280"/>
        </w:trPr>
        <w:tc>
          <w:tcPr>
            <w:tcW w:w="78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Postretirement benefit income and deferred compensation expenses</w:t>
            </w:r>
          </w:p>
        </w:tc>
        <w:tc>
          <w:tcPr>
            <w:tcW w:w="3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510</w:t>
            </w: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1,034</w:t>
            </w:r>
          </w:p>
        </w:tc>
      </w:tr>
      <w:tr>
        <w:trPr>
          <w:trHeight w:val="260"/>
        </w:trPr>
        <w:tc>
          <w:tcPr>
            <w:tcW w:w="7880" w:type="dxa"/>
            <w:vAlign w:val="bottom"/>
            <w:gridSpan w:val="2"/>
          </w:tcPr>
          <w:p>
            <w:pPr>
              <w:ind w:left="280"/>
              <w:spacing w:after="0"/>
              <w:rPr>
                <w:sz w:val="20"/>
                <w:szCs w:val="20"/>
                <w:color w:val="auto"/>
              </w:rPr>
            </w:pPr>
            <w:r>
              <w:rPr>
                <w:rFonts w:ascii="Arial" w:cs="Arial" w:eastAsia="Arial" w:hAnsi="Arial"/>
                <w:sz w:val="16"/>
                <w:szCs w:val="16"/>
                <w:color w:val="auto"/>
              </w:rPr>
              <w:t>Provision for doubtful accounts</w:t>
            </w:r>
          </w:p>
        </w:tc>
        <w:tc>
          <w:tcPr>
            <w:tcW w:w="320" w:type="dxa"/>
            <w:vAlign w:val="bottom"/>
          </w:tcPr>
          <w:p>
            <w:pPr>
              <w:spacing w:after="0"/>
              <w:rPr>
                <w:sz w:val="22"/>
                <w:szCs w:val="22"/>
                <w:color w:val="auto"/>
              </w:rPr>
            </w:pPr>
          </w:p>
        </w:tc>
        <w:tc>
          <w:tcPr>
            <w:tcW w:w="1340" w:type="dxa"/>
            <w:vAlign w:val="bottom"/>
          </w:tcPr>
          <w:p>
            <w:pPr>
              <w:jc w:val="right"/>
              <w:ind w:right="239"/>
              <w:spacing w:after="0"/>
              <w:rPr>
                <w:sz w:val="20"/>
                <w:szCs w:val="20"/>
                <w:color w:val="auto"/>
              </w:rPr>
            </w:pPr>
            <w:r>
              <w:rPr>
                <w:rFonts w:ascii="Arial" w:cs="Arial" w:eastAsia="Arial" w:hAnsi="Arial"/>
                <w:sz w:val="16"/>
                <w:szCs w:val="16"/>
                <w:color w:val="auto"/>
              </w:rPr>
              <w:t>28</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40" w:type="dxa"/>
            <w:vAlign w:val="bottom"/>
          </w:tcPr>
          <w:p>
            <w:pPr>
              <w:jc w:val="right"/>
              <w:ind w:right="239"/>
              <w:spacing w:after="0"/>
              <w:rPr>
                <w:sz w:val="20"/>
                <w:szCs w:val="20"/>
                <w:color w:val="auto"/>
              </w:rPr>
            </w:pPr>
            <w:r>
              <w:rPr>
                <w:rFonts w:ascii="Arial" w:cs="Arial" w:eastAsia="Arial" w:hAnsi="Arial"/>
                <w:sz w:val="16"/>
                <w:szCs w:val="16"/>
                <w:color w:val="auto"/>
              </w:rPr>
              <w:t>5</w:t>
            </w:r>
          </w:p>
        </w:tc>
      </w:tr>
      <w:tr>
        <w:trPr>
          <w:trHeight w:val="280"/>
        </w:trPr>
        <w:tc>
          <w:tcPr>
            <w:tcW w:w="78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Increase in cash surrender value of life insurance policies</w:t>
            </w:r>
          </w:p>
        </w:tc>
        <w:tc>
          <w:tcPr>
            <w:tcW w:w="3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(523)</w:t>
            </w: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(617)</w:t>
            </w:r>
          </w:p>
        </w:tc>
      </w:tr>
      <w:tr>
        <w:trPr>
          <w:trHeight w:val="260"/>
        </w:trPr>
        <w:tc>
          <w:tcPr>
            <w:tcW w:w="7880" w:type="dxa"/>
            <w:vAlign w:val="bottom"/>
            <w:gridSpan w:val="2"/>
          </w:tcPr>
          <w:p>
            <w:pPr>
              <w:ind w:left="280"/>
              <w:spacing w:after="0"/>
              <w:rPr>
                <w:sz w:val="20"/>
                <w:szCs w:val="20"/>
                <w:color w:val="auto"/>
              </w:rPr>
            </w:pPr>
            <w:r>
              <w:rPr>
                <w:rFonts w:ascii="Arial" w:cs="Arial" w:eastAsia="Arial" w:hAnsi="Arial"/>
                <w:sz w:val="16"/>
                <w:szCs w:val="16"/>
                <w:color w:val="auto"/>
              </w:rPr>
              <w:t>Loss (gain) on sale or disposal of property</w:t>
            </w:r>
          </w:p>
        </w:tc>
        <w:tc>
          <w:tcPr>
            <w:tcW w:w="320" w:type="dxa"/>
            <w:vAlign w:val="bottom"/>
          </w:tcPr>
          <w:p>
            <w:pPr>
              <w:spacing w:after="0"/>
              <w:rPr>
                <w:sz w:val="22"/>
                <w:szCs w:val="22"/>
                <w:color w:val="auto"/>
              </w:rPr>
            </w:pPr>
          </w:p>
        </w:tc>
        <w:tc>
          <w:tcPr>
            <w:tcW w:w="1340" w:type="dxa"/>
            <w:vAlign w:val="bottom"/>
          </w:tcPr>
          <w:p>
            <w:pPr>
              <w:jc w:val="right"/>
              <w:ind w:right="239"/>
              <w:spacing w:after="0"/>
              <w:rPr>
                <w:sz w:val="20"/>
                <w:szCs w:val="20"/>
                <w:color w:val="auto"/>
              </w:rPr>
            </w:pPr>
            <w:r>
              <w:rPr>
                <w:rFonts w:ascii="Arial" w:cs="Arial" w:eastAsia="Arial" w:hAnsi="Arial"/>
                <w:sz w:val="16"/>
                <w:szCs w:val="16"/>
                <w:color w:val="auto"/>
              </w:rPr>
              <w:t>20</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40" w:type="dxa"/>
            <w:vAlign w:val="bottom"/>
          </w:tcPr>
          <w:p>
            <w:pPr>
              <w:jc w:val="right"/>
              <w:ind w:right="199"/>
              <w:spacing w:after="0"/>
              <w:rPr>
                <w:sz w:val="20"/>
                <w:szCs w:val="20"/>
                <w:color w:val="auto"/>
              </w:rPr>
            </w:pPr>
            <w:r>
              <w:rPr>
                <w:rFonts w:ascii="Arial" w:cs="Arial" w:eastAsia="Arial" w:hAnsi="Arial"/>
                <w:sz w:val="16"/>
                <w:szCs w:val="16"/>
                <w:color w:val="auto"/>
              </w:rPr>
              <w:t>(867)</w:t>
            </w:r>
          </w:p>
        </w:tc>
      </w:tr>
      <w:tr>
        <w:trPr>
          <w:trHeight w:val="280"/>
        </w:trPr>
        <w:tc>
          <w:tcPr>
            <w:tcW w:w="78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Gain on life insurance</w:t>
            </w:r>
          </w:p>
        </w:tc>
        <w:tc>
          <w:tcPr>
            <w:tcW w:w="3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(281)</w:t>
            </w: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(372)</w:t>
            </w:r>
          </w:p>
        </w:tc>
      </w:tr>
      <w:tr>
        <w:trPr>
          <w:trHeight w:val="260"/>
        </w:trPr>
        <w:tc>
          <w:tcPr>
            <w:tcW w:w="7880" w:type="dxa"/>
            <w:vAlign w:val="bottom"/>
            <w:gridSpan w:val="2"/>
          </w:tcPr>
          <w:p>
            <w:pPr>
              <w:ind w:left="280"/>
              <w:spacing w:after="0"/>
              <w:rPr>
                <w:sz w:val="20"/>
                <w:szCs w:val="20"/>
                <w:color w:val="auto"/>
              </w:rPr>
            </w:pPr>
            <w:r>
              <w:rPr>
                <w:rFonts w:ascii="Arial" w:cs="Arial" w:eastAsia="Arial" w:hAnsi="Arial"/>
                <w:sz w:val="16"/>
                <w:szCs w:val="16"/>
                <w:color w:val="auto"/>
              </w:rPr>
              <w:t>Other</w:t>
            </w:r>
          </w:p>
        </w:tc>
        <w:tc>
          <w:tcPr>
            <w:tcW w:w="320" w:type="dxa"/>
            <w:vAlign w:val="bottom"/>
          </w:tcPr>
          <w:p>
            <w:pPr>
              <w:spacing w:after="0"/>
              <w:rPr>
                <w:sz w:val="22"/>
                <w:szCs w:val="22"/>
                <w:color w:val="auto"/>
              </w:rPr>
            </w:pPr>
          </w:p>
        </w:tc>
        <w:tc>
          <w:tcPr>
            <w:tcW w:w="1340" w:type="dxa"/>
            <w:vAlign w:val="bottom"/>
          </w:tcPr>
          <w:p>
            <w:pPr>
              <w:jc w:val="right"/>
              <w:ind w:right="239"/>
              <w:spacing w:after="0"/>
              <w:rPr>
                <w:sz w:val="20"/>
                <w:szCs w:val="20"/>
                <w:color w:val="auto"/>
              </w:rPr>
            </w:pPr>
            <w:r>
              <w:rPr>
                <w:rFonts w:ascii="Arial" w:cs="Arial" w:eastAsia="Arial" w:hAnsi="Arial"/>
                <w:sz w:val="16"/>
                <w:szCs w:val="16"/>
                <w:color w:val="auto"/>
              </w:rPr>
              <w:t>579</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40" w:type="dxa"/>
            <w:vAlign w:val="bottom"/>
          </w:tcPr>
          <w:p>
            <w:pPr>
              <w:jc w:val="right"/>
              <w:ind w:right="239"/>
              <w:spacing w:after="0"/>
              <w:rPr>
                <w:sz w:val="20"/>
                <w:szCs w:val="20"/>
                <w:color w:val="auto"/>
              </w:rPr>
            </w:pPr>
            <w:r>
              <w:rPr>
                <w:rFonts w:ascii="Arial" w:cs="Arial" w:eastAsia="Arial" w:hAnsi="Arial"/>
                <w:sz w:val="16"/>
                <w:szCs w:val="16"/>
                <w:color w:val="auto"/>
              </w:rPr>
              <w:t>90</w:t>
            </w:r>
          </w:p>
        </w:tc>
      </w:tr>
      <w:tr>
        <w:trPr>
          <w:trHeight w:val="280"/>
        </w:trPr>
        <w:tc>
          <w:tcPr>
            <w:tcW w:w="78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Change in assets and liabilities:</w:t>
            </w:r>
          </w:p>
        </w:tc>
        <w:tc>
          <w:tcPr>
            <w:tcW w:w="3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60"/>
        </w:trPr>
        <w:tc>
          <w:tcPr>
            <w:tcW w:w="7880" w:type="dxa"/>
            <w:vAlign w:val="bottom"/>
            <w:gridSpan w:val="2"/>
          </w:tcPr>
          <w:p>
            <w:pPr>
              <w:ind w:left="280"/>
              <w:spacing w:after="0"/>
              <w:rPr>
                <w:sz w:val="20"/>
                <w:szCs w:val="20"/>
                <w:color w:val="auto"/>
              </w:rPr>
            </w:pPr>
            <w:r>
              <w:rPr>
                <w:rFonts w:ascii="Arial" w:cs="Arial" w:eastAsia="Arial" w:hAnsi="Arial"/>
                <w:sz w:val="16"/>
                <w:szCs w:val="16"/>
                <w:color w:val="auto"/>
              </w:rPr>
              <w:t>Inventories</w:t>
            </w:r>
          </w:p>
        </w:tc>
        <w:tc>
          <w:tcPr>
            <w:tcW w:w="320" w:type="dxa"/>
            <w:vAlign w:val="bottom"/>
          </w:tcPr>
          <w:p>
            <w:pPr>
              <w:spacing w:after="0"/>
              <w:rPr>
                <w:sz w:val="22"/>
                <w:szCs w:val="22"/>
                <w:color w:val="auto"/>
              </w:rPr>
            </w:pPr>
          </w:p>
        </w:tc>
        <w:tc>
          <w:tcPr>
            <w:tcW w:w="1340" w:type="dxa"/>
            <w:vAlign w:val="bottom"/>
          </w:tcPr>
          <w:p>
            <w:pPr>
              <w:jc w:val="right"/>
              <w:ind w:right="179"/>
              <w:spacing w:after="0"/>
              <w:rPr>
                <w:sz w:val="20"/>
                <w:szCs w:val="20"/>
                <w:color w:val="auto"/>
              </w:rPr>
            </w:pPr>
            <w:r>
              <w:rPr>
                <w:rFonts w:ascii="Arial" w:cs="Arial" w:eastAsia="Arial" w:hAnsi="Arial"/>
                <w:sz w:val="16"/>
                <w:szCs w:val="16"/>
                <w:color w:val="auto"/>
              </w:rPr>
              <w:t>(1,283)</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40" w:type="dxa"/>
            <w:vAlign w:val="bottom"/>
          </w:tcPr>
          <w:p>
            <w:pPr>
              <w:jc w:val="right"/>
              <w:ind w:right="199"/>
              <w:spacing w:after="0"/>
              <w:rPr>
                <w:sz w:val="20"/>
                <w:szCs w:val="20"/>
                <w:color w:val="auto"/>
              </w:rPr>
            </w:pPr>
            <w:r>
              <w:rPr>
                <w:rFonts w:ascii="Arial" w:cs="Arial" w:eastAsia="Arial" w:hAnsi="Arial"/>
                <w:sz w:val="16"/>
                <w:szCs w:val="16"/>
                <w:color w:val="auto"/>
              </w:rPr>
              <w:t>(30,091)</w:t>
            </w:r>
          </w:p>
        </w:tc>
      </w:tr>
      <w:tr>
        <w:trPr>
          <w:trHeight w:val="280"/>
        </w:trPr>
        <w:tc>
          <w:tcPr>
            <w:tcW w:w="78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Receivables and prepaid assets</w:t>
            </w:r>
          </w:p>
        </w:tc>
        <w:tc>
          <w:tcPr>
            <w:tcW w:w="3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1,893</w:t>
            </w: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2,609</w:t>
            </w:r>
          </w:p>
        </w:tc>
      </w:tr>
      <w:tr>
        <w:trPr>
          <w:trHeight w:val="260"/>
        </w:trPr>
        <w:tc>
          <w:tcPr>
            <w:tcW w:w="7880" w:type="dxa"/>
            <w:vAlign w:val="bottom"/>
            <w:gridSpan w:val="2"/>
          </w:tcPr>
          <w:p>
            <w:pPr>
              <w:ind w:left="260"/>
              <w:spacing w:after="0"/>
              <w:rPr>
                <w:sz w:val="20"/>
                <w:szCs w:val="20"/>
                <w:color w:val="auto"/>
              </w:rPr>
            </w:pPr>
            <w:r>
              <w:rPr>
                <w:rFonts w:ascii="Arial" w:cs="Arial" w:eastAsia="Arial" w:hAnsi="Arial"/>
                <w:sz w:val="16"/>
                <w:szCs w:val="16"/>
                <w:color w:val="auto"/>
              </w:rPr>
              <w:t>Income taxes and unrecognized tax benefits</w:t>
            </w:r>
          </w:p>
        </w:tc>
        <w:tc>
          <w:tcPr>
            <w:tcW w:w="320" w:type="dxa"/>
            <w:vAlign w:val="bottom"/>
          </w:tcPr>
          <w:p>
            <w:pPr>
              <w:spacing w:after="0"/>
              <w:rPr>
                <w:sz w:val="22"/>
                <w:szCs w:val="22"/>
                <w:color w:val="auto"/>
              </w:rPr>
            </w:pPr>
          </w:p>
        </w:tc>
        <w:tc>
          <w:tcPr>
            <w:tcW w:w="1340" w:type="dxa"/>
            <w:vAlign w:val="bottom"/>
          </w:tcPr>
          <w:p>
            <w:pPr>
              <w:jc w:val="right"/>
              <w:ind w:right="239"/>
              <w:spacing w:after="0"/>
              <w:rPr>
                <w:sz w:val="20"/>
                <w:szCs w:val="20"/>
                <w:color w:val="auto"/>
              </w:rPr>
            </w:pPr>
            <w:r>
              <w:rPr>
                <w:rFonts w:ascii="Arial" w:cs="Arial" w:eastAsia="Arial" w:hAnsi="Arial"/>
                <w:sz w:val="16"/>
                <w:szCs w:val="16"/>
                <w:color w:val="auto"/>
              </w:rPr>
              <w:t>105</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40" w:type="dxa"/>
            <w:vAlign w:val="bottom"/>
          </w:tcPr>
          <w:p>
            <w:pPr>
              <w:jc w:val="right"/>
              <w:ind w:right="199"/>
              <w:spacing w:after="0"/>
              <w:rPr>
                <w:sz w:val="20"/>
                <w:szCs w:val="20"/>
                <w:color w:val="auto"/>
              </w:rPr>
            </w:pPr>
            <w:r>
              <w:rPr>
                <w:rFonts w:ascii="Arial" w:cs="Arial" w:eastAsia="Arial" w:hAnsi="Arial"/>
                <w:sz w:val="16"/>
                <w:szCs w:val="16"/>
                <w:color w:val="auto"/>
              </w:rPr>
              <w:t>(747)</w:t>
            </w:r>
          </w:p>
        </w:tc>
      </w:tr>
      <w:tr>
        <w:trPr>
          <w:trHeight w:val="280"/>
        </w:trPr>
        <w:tc>
          <w:tcPr>
            <w:tcW w:w="78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Accounts payable and accrued expenses</w:t>
            </w:r>
          </w:p>
        </w:tc>
        <w:tc>
          <w:tcPr>
            <w:tcW w:w="3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4,950</w:t>
            </w: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1,523</w:t>
            </w:r>
          </w:p>
        </w:tc>
      </w:tr>
      <w:tr>
        <w:trPr>
          <w:trHeight w:val="264"/>
        </w:trPr>
        <w:tc>
          <w:tcPr>
            <w:tcW w:w="788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Postretirement and deferred compensation benefits</w:t>
            </w:r>
          </w:p>
        </w:tc>
        <w:tc>
          <w:tcPr>
            <w:tcW w:w="3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(3,053)</w:t>
            </w:r>
          </w:p>
        </w:tc>
        <w:tc>
          <w:tcPr>
            <w:tcW w:w="2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(2,792)</w:t>
            </w:r>
          </w:p>
        </w:tc>
      </w:tr>
      <w:tr>
        <w:trPr>
          <w:trHeight w:val="250"/>
        </w:trPr>
        <w:tc>
          <w:tcPr>
            <w:tcW w:w="78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cash provided by (used in) operating activities</w:t>
            </w:r>
          </w:p>
        </w:tc>
        <w:tc>
          <w:tcPr>
            <w:tcW w:w="3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11,749</w:t>
            </w:r>
          </w:p>
        </w:tc>
        <w:tc>
          <w:tcPr>
            <w:tcW w:w="2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(14,063)</w:t>
            </w:r>
          </w:p>
        </w:tc>
      </w:tr>
      <w:tr>
        <w:trPr>
          <w:trHeight w:val="284"/>
        </w:trPr>
        <w:tc>
          <w:tcPr>
            <w:tcW w:w="7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70"/>
        </w:trPr>
        <w:tc>
          <w:tcPr>
            <w:tcW w:w="78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Investing activities:</w:t>
            </w:r>
          </w:p>
        </w:tc>
        <w:tc>
          <w:tcPr>
            <w:tcW w:w="3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60"/>
        </w:trPr>
        <w:tc>
          <w:tcPr>
            <w:tcW w:w="7880" w:type="dxa"/>
            <w:vAlign w:val="bottom"/>
            <w:gridSpan w:val="2"/>
          </w:tcPr>
          <w:p>
            <w:pPr>
              <w:ind w:left="280"/>
              <w:spacing w:after="0"/>
              <w:rPr>
                <w:sz w:val="20"/>
                <w:szCs w:val="20"/>
                <w:color w:val="auto"/>
              </w:rPr>
            </w:pPr>
            <w:r>
              <w:rPr>
                <w:rFonts w:ascii="Arial" w:cs="Arial" w:eastAsia="Arial" w:hAnsi="Arial"/>
                <w:sz w:val="16"/>
                <w:szCs w:val="16"/>
                <w:color w:val="auto"/>
              </w:rPr>
              <w:t>Proceeds from the sale of investments, at par</w:t>
            </w:r>
          </w:p>
        </w:tc>
        <w:tc>
          <w:tcPr>
            <w:tcW w:w="320" w:type="dxa"/>
            <w:vAlign w:val="bottom"/>
          </w:tcPr>
          <w:p>
            <w:pPr>
              <w:spacing w:after="0"/>
              <w:rPr>
                <w:sz w:val="22"/>
                <w:szCs w:val="22"/>
                <w:color w:val="auto"/>
              </w:rPr>
            </w:pPr>
          </w:p>
        </w:tc>
        <w:tc>
          <w:tcPr>
            <w:tcW w:w="1340" w:type="dxa"/>
            <w:vAlign w:val="bottom"/>
          </w:tcPr>
          <w:p>
            <w:pPr>
              <w:jc w:val="right"/>
              <w:ind w:right="239"/>
              <w:spacing w:after="0"/>
              <w:rPr>
                <w:sz w:val="20"/>
                <w:szCs w:val="20"/>
                <w:color w:val="auto"/>
              </w:rPr>
            </w:pPr>
            <w:r>
              <w:rPr>
                <w:rFonts w:ascii="Arial" w:cs="Arial" w:eastAsia="Arial" w:hAnsi="Arial"/>
                <w:sz w:val="16"/>
                <w:szCs w:val="16"/>
                <w:color w:val="auto"/>
              </w:rPr>
              <w:t>750</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40" w:type="dxa"/>
            <w:vAlign w:val="bottom"/>
          </w:tcPr>
          <w:p>
            <w:pPr>
              <w:jc w:val="right"/>
              <w:ind w:right="239"/>
              <w:spacing w:after="0"/>
              <w:rPr>
                <w:sz w:val="20"/>
                <w:szCs w:val="20"/>
                <w:color w:val="auto"/>
              </w:rPr>
            </w:pPr>
            <w:r>
              <w:rPr>
                <w:rFonts w:ascii="Arial" w:cs="Arial" w:eastAsia="Arial" w:hAnsi="Arial"/>
                <w:sz w:val="16"/>
                <w:szCs w:val="16"/>
                <w:color w:val="auto"/>
              </w:rPr>
              <w:t>6,450</w:t>
            </w:r>
          </w:p>
        </w:tc>
      </w:tr>
      <w:tr>
        <w:trPr>
          <w:trHeight w:val="280"/>
        </w:trPr>
        <w:tc>
          <w:tcPr>
            <w:tcW w:w="78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Proceeds from life insurance</w:t>
            </w:r>
          </w:p>
        </w:tc>
        <w:tc>
          <w:tcPr>
            <w:tcW w:w="3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1,404</w:t>
            </w: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659</w:t>
            </w:r>
          </w:p>
        </w:tc>
      </w:tr>
      <w:tr>
        <w:trPr>
          <w:trHeight w:val="260"/>
        </w:trPr>
        <w:tc>
          <w:tcPr>
            <w:tcW w:w="7880" w:type="dxa"/>
            <w:vAlign w:val="bottom"/>
            <w:gridSpan w:val="2"/>
          </w:tcPr>
          <w:p>
            <w:pPr>
              <w:ind w:left="280"/>
              <w:spacing w:after="0"/>
              <w:rPr>
                <w:sz w:val="20"/>
                <w:szCs w:val="20"/>
                <w:color w:val="auto"/>
              </w:rPr>
            </w:pPr>
            <w:r>
              <w:rPr>
                <w:rFonts w:ascii="Arial" w:cs="Arial" w:eastAsia="Arial" w:hAnsi="Arial"/>
                <w:sz w:val="16"/>
                <w:szCs w:val="16"/>
                <w:color w:val="auto"/>
              </w:rPr>
              <w:t>Purchases of property and equipment</w:t>
            </w:r>
          </w:p>
        </w:tc>
        <w:tc>
          <w:tcPr>
            <w:tcW w:w="320" w:type="dxa"/>
            <w:vAlign w:val="bottom"/>
          </w:tcPr>
          <w:p>
            <w:pPr>
              <w:spacing w:after="0"/>
              <w:rPr>
                <w:sz w:val="22"/>
                <w:szCs w:val="22"/>
                <w:color w:val="auto"/>
              </w:rPr>
            </w:pPr>
          </w:p>
        </w:tc>
        <w:tc>
          <w:tcPr>
            <w:tcW w:w="1340" w:type="dxa"/>
            <w:vAlign w:val="bottom"/>
          </w:tcPr>
          <w:p>
            <w:pPr>
              <w:jc w:val="right"/>
              <w:ind w:right="179"/>
              <w:spacing w:after="0"/>
              <w:rPr>
                <w:sz w:val="20"/>
                <w:szCs w:val="20"/>
                <w:color w:val="auto"/>
              </w:rPr>
            </w:pPr>
            <w:r>
              <w:rPr>
                <w:rFonts w:ascii="Arial" w:cs="Arial" w:eastAsia="Arial" w:hAnsi="Arial"/>
                <w:sz w:val="16"/>
                <w:szCs w:val="16"/>
                <w:color w:val="auto"/>
              </w:rPr>
              <w:t>(1,527)</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40" w:type="dxa"/>
            <w:vAlign w:val="bottom"/>
          </w:tcPr>
          <w:p>
            <w:pPr>
              <w:jc w:val="right"/>
              <w:ind w:right="199"/>
              <w:spacing w:after="0"/>
              <w:rPr>
                <w:sz w:val="20"/>
                <w:szCs w:val="20"/>
                <w:color w:val="auto"/>
              </w:rPr>
            </w:pPr>
            <w:r>
              <w:rPr>
                <w:rFonts w:ascii="Arial" w:cs="Arial" w:eastAsia="Arial" w:hAnsi="Arial"/>
                <w:sz w:val="16"/>
                <w:szCs w:val="16"/>
                <w:color w:val="auto"/>
              </w:rPr>
              <w:t>(1,590)</w:t>
            </w:r>
          </w:p>
        </w:tc>
      </w:tr>
      <w:tr>
        <w:trPr>
          <w:trHeight w:val="280"/>
        </w:trPr>
        <w:tc>
          <w:tcPr>
            <w:tcW w:w="78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Proceeds from the sale of property</w:t>
            </w:r>
          </w:p>
        </w:tc>
        <w:tc>
          <w:tcPr>
            <w:tcW w:w="3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16</w:t>
            </w: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4,009</w:t>
            </w:r>
          </w:p>
        </w:tc>
      </w:tr>
      <w:tr>
        <w:trPr>
          <w:trHeight w:val="260"/>
        </w:trPr>
        <w:tc>
          <w:tcPr>
            <w:tcW w:w="7880" w:type="dxa"/>
            <w:vAlign w:val="bottom"/>
            <w:gridSpan w:val="2"/>
          </w:tcPr>
          <w:p>
            <w:pPr>
              <w:ind w:left="280"/>
              <w:spacing w:after="0"/>
              <w:rPr>
                <w:sz w:val="20"/>
                <w:szCs w:val="20"/>
                <w:color w:val="auto"/>
              </w:rPr>
            </w:pPr>
            <w:r>
              <w:rPr>
                <w:rFonts w:ascii="Arial" w:cs="Arial" w:eastAsia="Arial" w:hAnsi="Arial"/>
                <w:sz w:val="16"/>
                <w:szCs w:val="16"/>
                <w:color w:val="auto"/>
              </w:rPr>
              <w:t>Cash paid for acquisition, net of cash acquired</w:t>
            </w:r>
          </w:p>
        </w:tc>
        <w:tc>
          <w:tcPr>
            <w:tcW w:w="320" w:type="dxa"/>
            <w:vAlign w:val="bottom"/>
          </w:tcPr>
          <w:p>
            <w:pPr>
              <w:spacing w:after="0"/>
              <w:rPr>
                <w:sz w:val="22"/>
                <w:szCs w:val="22"/>
                <w:color w:val="auto"/>
              </w:rPr>
            </w:pPr>
          </w:p>
        </w:tc>
        <w:tc>
          <w:tcPr>
            <w:tcW w:w="156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340" w:type="dxa"/>
            <w:vAlign w:val="bottom"/>
          </w:tcPr>
          <w:p>
            <w:pPr>
              <w:jc w:val="right"/>
              <w:ind w:right="199"/>
              <w:spacing w:after="0"/>
              <w:rPr>
                <w:sz w:val="20"/>
                <w:szCs w:val="20"/>
                <w:color w:val="auto"/>
              </w:rPr>
            </w:pPr>
            <w:r>
              <w:rPr>
                <w:rFonts w:ascii="Arial" w:cs="Arial" w:eastAsia="Arial" w:hAnsi="Arial"/>
                <w:sz w:val="16"/>
                <w:szCs w:val="16"/>
                <w:color w:val="auto"/>
              </w:rPr>
              <w:t>(4,694)</w:t>
            </w:r>
          </w:p>
        </w:tc>
      </w:tr>
      <w:tr>
        <w:trPr>
          <w:trHeight w:val="273"/>
        </w:trPr>
        <w:tc>
          <w:tcPr>
            <w:tcW w:w="78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(558)</w:t>
            </w:r>
          </w:p>
        </w:tc>
        <w:tc>
          <w:tcPr>
            <w:tcW w:w="2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(410)</w:t>
            </w:r>
          </w:p>
        </w:tc>
      </w:tr>
      <w:tr>
        <w:trPr>
          <w:trHeight w:val="250"/>
        </w:trPr>
        <w:tc>
          <w:tcPr>
            <w:tcW w:w="78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Net cash provided by investing activities</w:t>
            </w:r>
          </w:p>
        </w:tc>
        <w:tc>
          <w:tcPr>
            <w:tcW w:w="3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85</w:t>
            </w:r>
          </w:p>
        </w:tc>
        <w:tc>
          <w:tcPr>
            <w:tcW w:w="2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4,424</w:t>
            </w:r>
          </w:p>
        </w:tc>
      </w:tr>
      <w:tr>
        <w:trPr>
          <w:trHeight w:val="284"/>
        </w:trPr>
        <w:tc>
          <w:tcPr>
            <w:tcW w:w="7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60"/>
        </w:trPr>
        <w:tc>
          <w:tcPr>
            <w:tcW w:w="7880" w:type="dxa"/>
            <w:vAlign w:val="bottom"/>
            <w:gridSpan w:val="2"/>
          </w:tcPr>
          <w:p>
            <w:pPr>
              <w:ind w:left="40"/>
              <w:spacing w:after="0"/>
              <w:rPr>
                <w:sz w:val="20"/>
                <w:szCs w:val="20"/>
                <w:color w:val="auto"/>
              </w:rPr>
            </w:pPr>
            <w:r>
              <w:rPr>
                <w:rFonts w:ascii="Arial" w:cs="Arial" w:eastAsia="Arial" w:hAnsi="Arial"/>
                <w:sz w:val="16"/>
                <w:szCs w:val="16"/>
                <w:color w:val="auto"/>
              </w:rPr>
              <w:t>Financing activities:</w:t>
            </w:r>
          </w:p>
        </w:tc>
        <w:tc>
          <w:tcPr>
            <w:tcW w:w="3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80"/>
        </w:trPr>
        <w:tc>
          <w:tcPr>
            <w:tcW w:w="78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Payments for purchase of common stock</w:t>
            </w:r>
          </w:p>
        </w:tc>
        <w:tc>
          <w:tcPr>
            <w:tcW w:w="3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(343)</w:t>
            </w: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(89)</w:t>
            </w:r>
          </w:p>
        </w:tc>
      </w:tr>
      <w:tr>
        <w:trPr>
          <w:trHeight w:val="260"/>
        </w:trPr>
        <w:tc>
          <w:tcPr>
            <w:tcW w:w="7880" w:type="dxa"/>
            <w:vAlign w:val="bottom"/>
            <w:gridSpan w:val="2"/>
          </w:tcPr>
          <w:p>
            <w:pPr>
              <w:ind w:left="280"/>
              <w:spacing w:after="0"/>
              <w:rPr>
                <w:sz w:val="20"/>
                <w:szCs w:val="20"/>
                <w:color w:val="auto"/>
              </w:rPr>
            </w:pPr>
            <w:r>
              <w:rPr>
                <w:rFonts w:ascii="Arial" w:cs="Arial" w:eastAsia="Arial" w:hAnsi="Arial"/>
                <w:sz w:val="16"/>
                <w:szCs w:val="16"/>
                <w:color w:val="auto"/>
              </w:rPr>
              <w:t>Proceeds from exercises of stock options</w:t>
            </w:r>
          </w:p>
        </w:tc>
        <w:tc>
          <w:tcPr>
            <w:tcW w:w="320" w:type="dxa"/>
            <w:vAlign w:val="bottom"/>
          </w:tcPr>
          <w:p>
            <w:pPr>
              <w:spacing w:after="0"/>
              <w:rPr>
                <w:sz w:val="22"/>
                <w:szCs w:val="22"/>
                <w:color w:val="auto"/>
              </w:rPr>
            </w:pPr>
          </w:p>
        </w:tc>
        <w:tc>
          <w:tcPr>
            <w:tcW w:w="156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340" w:type="dxa"/>
            <w:vAlign w:val="bottom"/>
          </w:tcPr>
          <w:p>
            <w:pPr>
              <w:jc w:val="right"/>
              <w:ind w:right="239"/>
              <w:spacing w:after="0"/>
              <w:rPr>
                <w:sz w:val="20"/>
                <w:szCs w:val="20"/>
                <w:color w:val="auto"/>
              </w:rPr>
            </w:pPr>
            <w:r>
              <w:rPr>
                <w:rFonts w:ascii="Arial" w:cs="Arial" w:eastAsia="Arial" w:hAnsi="Arial"/>
                <w:sz w:val="16"/>
                <w:szCs w:val="16"/>
                <w:color w:val="auto"/>
              </w:rPr>
              <w:t>83</w:t>
            </w:r>
          </w:p>
        </w:tc>
      </w:tr>
      <w:tr>
        <w:trPr>
          <w:trHeight w:val="273"/>
        </w:trPr>
        <w:tc>
          <w:tcPr>
            <w:tcW w:w="78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33</w:t>
            </w:r>
          </w:p>
        </w:tc>
        <w:tc>
          <w:tcPr>
            <w:tcW w:w="2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184</w:t>
            </w:r>
          </w:p>
        </w:tc>
      </w:tr>
      <w:tr>
        <w:trPr>
          <w:trHeight w:val="250"/>
        </w:trPr>
        <w:tc>
          <w:tcPr>
            <w:tcW w:w="78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Net cash (used in) provided by financing activities</w:t>
            </w:r>
          </w:p>
        </w:tc>
        <w:tc>
          <w:tcPr>
            <w:tcW w:w="3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(310)</w:t>
            </w:r>
          </w:p>
        </w:tc>
        <w:tc>
          <w:tcPr>
            <w:tcW w:w="2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178</w:t>
            </w:r>
          </w:p>
        </w:tc>
      </w:tr>
      <w:tr>
        <w:trPr>
          <w:trHeight w:val="284"/>
        </w:trPr>
        <w:tc>
          <w:tcPr>
            <w:tcW w:w="7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60"/>
        </w:trPr>
        <w:tc>
          <w:tcPr>
            <w:tcW w:w="7880" w:type="dxa"/>
            <w:vAlign w:val="bottom"/>
            <w:gridSpan w:val="2"/>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320" w:type="dxa"/>
            <w:vAlign w:val="bottom"/>
          </w:tcPr>
          <w:p>
            <w:pPr>
              <w:spacing w:after="0"/>
              <w:rPr>
                <w:sz w:val="22"/>
                <w:szCs w:val="22"/>
                <w:color w:val="auto"/>
              </w:rPr>
            </w:pPr>
          </w:p>
        </w:tc>
        <w:tc>
          <w:tcPr>
            <w:tcW w:w="1340" w:type="dxa"/>
            <w:vAlign w:val="bottom"/>
          </w:tcPr>
          <w:p>
            <w:pPr>
              <w:jc w:val="right"/>
              <w:ind w:right="239"/>
              <w:spacing w:after="0"/>
              <w:rPr>
                <w:sz w:val="20"/>
                <w:szCs w:val="20"/>
                <w:color w:val="auto"/>
              </w:rPr>
            </w:pPr>
            <w:r>
              <w:rPr>
                <w:rFonts w:ascii="Arial" w:cs="Arial" w:eastAsia="Arial" w:hAnsi="Arial"/>
                <w:sz w:val="16"/>
                <w:szCs w:val="16"/>
                <w:color w:val="auto"/>
              </w:rPr>
              <w:t>11,524</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40" w:type="dxa"/>
            <w:vAlign w:val="bottom"/>
          </w:tcPr>
          <w:p>
            <w:pPr>
              <w:jc w:val="right"/>
              <w:ind w:right="199"/>
              <w:spacing w:after="0"/>
              <w:rPr>
                <w:sz w:val="20"/>
                <w:szCs w:val="20"/>
                <w:color w:val="auto"/>
              </w:rPr>
            </w:pPr>
            <w:r>
              <w:rPr>
                <w:rFonts w:ascii="Arial" w:cs="Arial" w:eastAsia="Arial" w:hAnsi="Arial"/>
                <w:sz w:val="16"/>
                <w:szCs w:val="16"/>
                <w:color w:val="auto"/>
              </w:rPr>
              <w:t>(9,461)</w:t>
            </w:r>
          </w:p>
        </w:tc>
      </w:tr>
      <w:tr>
        <w:trPr>
          <w:trHeight w:val="273"/>
        </w:trPr>
        <w:tc>
          <w:tcPr>
            <w:tcW w:w="78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3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69,307</w:t>
            </w:r>
          </w:p>
        </w:tc>
        <w:tc>
          <w:tcPr>
            <w:tcW w:w="2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74,691</w:t>
            </w:r>
          </w:p>
        </w:tc>
      </w:tr>
      <w:tr>
        <w:trPr>
          <w:trHeight w:val="280"/>
        </w:trPr>
        <w:tc>
          <w:tcPr>
            <w:tcW w:w="78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80,831</w:t>
            </w:r>
          </w:p>
        </w:tc>
        <w:tc>
          <w:tcPr>
            <w:tcW w:w="2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65,230</w:t>
            </w:r>
          </w:p>
        </w:tc>
      </w:tr>
      <w:tr>
        <w:trPr>
          <w:trHeight w:val="267"/>
        </w:trPr>
        <w:tc>
          <w:tcPr>
            <w:tcW w:w="7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60"/>
        </w:trPr>
        <w:tc>
          <w:tcPr>
            <w:tcW w:w="7880" w:type="dxa"/>
            <w:vAlign w:val="bottom"/>
            <w:gridSpan w:val="2"/>
          </w:tcPr>
          <w:p>
            <w:pPr>
              <w:ind w:left="40"/>
              <w:spacing w:after="0"/>
              <w:rPr>
                <w:sz w:val="20"/>
                <w:szCs w:val="20"/>
                <w:color w:val="auto"/>
              </w:rPr>
            </w:pPr>
            <w:r>
              <w:rPr>
                <w:rFonts w:ascii="Arial" w:cs="Arial" w:eastAsia="Arial" w:hAnsi="Arial"/>
                <w:sz w:val="16"/>
                <w:szCs w:val="16"/>
                <w:color w:val="auto"/>
              </w:rPr>
              <w:t>Supplemental cash flow disclosure:</w:t>
            </w:r>
          </w:p>
        </w:tc>
        <w:tc>
          <w:tcPr>
            <w:tcW w:w="3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80"/>
        </w:trPr>
        <w:tc>
          <w:tcPr>
            <w:tcW w:w="78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Income taxes paid</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115</w:t>
            </w: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1,638</w:t>
            </w:r>
          </w:p>
        </w:tc>
      </w:tr>
    </w:tbl>
    <w:p>
      <w:pPr>
        <w:sectPr>
          <w:pgSz w:w="11900" w:h="16838" w:orient="portrait"/>
          <w:cols w:equalWidth="0" w:num="1">
            <w:col w:w="11420"/>
          </w:cols>
          <w:pgMar w:left="240" w:top="576"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Deliveries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gridSpan w:val="3"/>
          </w:tcPr>
          <w:p>
            <w:pPr>
              <w:ind w:left="1060"/>
              <w:spacing w:after="0"/>
              <w:rPr>
                <w:sz w:val="20"/>
                <w:szCs w:val="20"/>
                <w:color w:val="auto"/>
              </w:rPr>
            </w:pPr>
            <w:r>
              <w:rPr>
                <w:rFonts w:ascii="Arial" w:cs="Arial" w:eastAsia="Arial" w:hAnsi="Arial"/>
                <w:sz w:val="16"/>
                <w:szCs w:val="16"/>
                <w:b w:val="1"/>
                <w:bCs w:val="1"/>
                <w:color w:val="auto"/>
              </w:rPr>
              <w:t>Quarter Ended</w:t>
            </w:r>
          </w:p>
        </w:tc>
        <w:tc>
          <w:tcPr>
            <w:tcW w:w="18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r>
      <w:tr>
        <w:trPr>
          <w:trHeight w:val="198"/>
        </w:trPr>
        <w:tc>
          <w:tcPr>
            <w:tcW w:w="2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jc w:val="right"/>
              <w:ind w:right="539"/>
              <w:spacing w:after="0"/>
              <w:rPr>
                <w:sz w:val="20"/>
                <w:szCs w:val="20"/>
                <w:color w:val="auto"/>
              </w:rPr>
            </w:pPr>
            <w:r>
              <w:rPr>
                <w:rFonts w:ascii="Arial" w:cs="Arial" w:eastAsia="Arial" w:hAnsi="Arial"/>
                <w:sz w:val="16"/>
                <w:szCs w:val="16"/>
                <w:b w:val="1"/>
                <w:bCs w:val="1"/>
                <w:color w:val="auto"/>
              </w:rPr>
              <w:t>Increase</w:t>
            </w:r>
          </w:p>
        </w:tc>
        <w:tc>
          <w:tcPr>
            <w:tcW w:w="1380" w:type="dxa"/>
            <w:vAlign w:val="bottom"/>
          </w:tcPr>
          <w:p>
            <w:pPr>
              <w:jc w:val="right"/>
              <w:ind w:right="579"/>
              <w:spacing w:after="0"/>
              <w:rPr>
                <w:sz w:val="20"/>
                <w:szCs w:val="20"/>
                <w:color w:val="auto"/>
              </w:rPr>
            </w:pPr>
            <w:r>
              <w:rPr>
                <w:rFonts w:ascii="Arial" w:cs="Arial" w:eastAsia="Arial" w:hAnsi="Arial"/>
                <w:sz w:val="16"/>
                <w:szCs w:val="16"/>
                <w:b w:val="1"/>
                <w:bCs w:val="1"/>
                <w:color w:val="auto"/>
              </w:rPr>
              <w:t>%</w:t>
            </w:r>
          </w:p>
        </w:tc>
      </w:tr>
      <w:tr>
        <w:trPr>
          <w:trHeight w:val="228"/>
        </w:trPr>
        <w:tc>
          <w:tcPr>
            <w:tcW w:w="23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units)</w:t>
            </w:r>
          </w:p>
        </w:tc>
        <w:tc>
          <w:tcPr>
            <w:tcW w:w="100" w:type="dxa"/>
            <w:vAlign w:val="bottom"/>
            <w:tcBorders>
              <w:bottom w:val="single" w:sz="8" w:color="CCEEFF"/>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May 26, 2012</w:t>
            </w: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May 28, 2011</w:t>
            </w: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(Decrease)</w:t>
            </w:r>
          </w:p>
        </w:tc>
        <w:tc>
          <w:tcPr>
            <w:tcW w:w="13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Change</w:t>
            </w:r>
          </w:p>
        </w:tc>
      </w:tr>
      <w:tr>
        <w:trPr>
          <w:trHeight w:val="257"/>
        </w:trPr>
        <w:tc>
          <w:tcPr>
            <w:tcW w:w="24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Class A gas</w:t>
            </w:r>
          </w:p>
        </w:tc>
        <w:tc>
          <w:tcPr>
            <w:tcW w:w="190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rPr>
              <w:t>429</w:t>
            </w:r>
          </w:p>
        </w:tc>
        <w:tc>
          <w:tcPr>
            <w:tcW w:w="8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33.5%</w:t>
            </w:r>
          </w:p>
        </w:tc>
        <w:tc>
          <w:tcPr>
            <w:tcW w:w="100" w:type="dxa"/>
            <w:vAlign w:val="bottom"/>
            <w:shd w:val="clear" w:color="auto" w:fill="CCEEFF"/>
          </w:tcPr>
          <w:p>
            <w:pPr>
              <w:spacing w:after="0"/>
              <w:rPr>
                <w:sz w:val="22"/>
                <w:szCs w:val="22"/>
                <w:color w:val="auto"/>
              </w:rPr>
            </w:pPr>
          </w:p>
        </w:tc>
        <w:tc>
          <w:tcPr>
            <w:tcW w:w="192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rPr>
              <w:t>425</w:t>
            </w:r>
          </w:p>
        </w:tc>
        <w:tc>
          <w:tcPr>
            <w:tcW w:w="8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33.1%</w:t>
            </w:r>
          </w:p>
        </w:tc>
        <w:tc>
          <w:tcPr>
            <w:tcW w:w="100" w:type="dxa"/>
            <w:vAlign w:val="bottom"/>
            <w:shd w:val="clear" w:color="auto" w:fill="CCEEFF"/>
          </w:tcPr>
          <w:p>
            <w:pPr>
              <w:spacing w:after="0"/>
              <w:rPr>
                <w:sz w:val="22"/>
                <w:szCs w:val="22"/>
                <w:color w:val="auto"/>
              </w:rPr>
            </w:pPr>
          </w:p>
        </w:tc>
        <w:tc>
          <w:tcPr>
            <w:tcW w:w="18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4</w:t>
            </w:r>
          </w:p>
        </w:tc>
        <w:tc>
          <w:tcPr>
            <w:tcW w:w="1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0.9 %</w:t>
            </w:r>
          </w:p>
        </w:tc>
      </w:tr>
      <w:tr>
        <w:trPr>
          <w:trHeight w:val="264"/>
        </w:trPr>
        <w:tc>
          <w:tcPr>
            <w:tcW w:w="24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Class A diesel</w:t>
            </w:r>
          </w:p>
        </w:tc>
        <w:tc>
          <w:tcPr>
            <w:tcW w:w="190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color w:val="auto"/>
              </w:rPr>
              <w:t>234</w:t>
            </w:r>
          </w:p>
        </w:tc>
        <w:tc>
          <w:tcPr>
            <w:tcW w:w="8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18.3%</w:t>
            </w:r>
          </w:p>
        </w:tc>
        <w:tc>
          <w:tcPr>
            <w:tcW w:w="100" w:type="dxa"/>
            <w:vAlign w:val="bottom"/>
            <w:tcBorders>
              <w:bottom w:val="single" w:sz="8" w:color="CCEEFF"/>
            </w:tcBorders>
          </w:tcPr>
          <w:p>
            <w:pPr>
              <w:spacing w:after="0"/>
              <w:rPr>
                <w:sz w:val="22"/>
                <w:szCs w:val="22"/>
                <w:color w:val="auto"/>
              </w:rPr>
            </w:pPr>
          </w:p>
        </w:tc>
        <w:tc>
          <w:tcPr>
            <w:tcW w:w="192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color w:val="auto"/>
              </w:rPr>
              <w:t>204</w:t>
            </w:r>
          </w:p>
        </w:tc>
        <w:tc>
          <w:tcPr>
            <w:tcW w:w="8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15.9%</w:t>
            </w:r>
          </w:p>
        </w:tc>
        <w:tc>
          <w:tcPr>
            <w:tcW w:w="100" w:type="dxa"/>
            <w:vAlign w:val="bottom"/>
            <w:tcBorders>
              <w:bottom w:val="single" w:sz="8" w:color="CCEEFF"/>
            </w:tcBorders>
          </w:tcPr>
          <w:p>
            <w:pPr>
              <w:spacing w:after="0"/>
              <w:rPr>
                <w:sz w:val="22"/>
                <w:szCs w:val="22"/>
                <w:color w:val="auto"/>
              </w:rPr>
            </w:pPr>
          </w:p>
        </w:tc>
        <w:tc>
          <w:tcPr>
            <w:tcW w:w="18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30</w:t>
            </w:r>
          </w:p>
        </w:tc>
        <w:tc>
          <w:tcPr>
            <w:tcW w:w="1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14.7 %</w:t>
            </w:r>
          </w:p>
        </w:tc>
      </w:tr>
      <w:tr>
        <w:trPr>
          <w:trHeight w:val="257"/>
        </w:trPr>
        <w:tc>
          <w:tcPr>
            <w:tcW w:w="24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Total Class A</w:t>
            </w:r>
          </w:p>
        </w:tc>
        <w:tc>
          <w:tcPr>
            <w:tcW w:w="190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rPr>
              <w:t>663</w:t>
            </w:r>
          </w:p>
        </w:tc>
        <w:tc>
          <w:tcPr>
            <w:tcW w:w="8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51.8%</w:t>
            </w:r>
          </w:p>
        </w:tc>
        <w:tc>
          <w:tcPr>
            <w:tcW w:w="100" w:type="dxa"/>
            <w:vAlign w:val="bottom"/>
            <w:shd w:val="clear" w:color="auto" w:fill="CCEEFF"/>
          </w:tcPr>
          <w:p>
            <w:pPr>
              <w:spacing w:after="0"/>
              <w:rPr>
                <w:sz w:val="22"/>
                <w:szCs w:val="22"/>
                <w:color w:val="auto"/>
              </w:rPr>
            </w:pPr>
          </w:p>
        </w:tc>
        <w:tc>
          <w:tcPr>
            <w:tcW w:w="192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rPr>
              <w:t>629</w:t>
            </w:r>
          </w:p>
        </w:tc>
        <w:tc>
          <w:tcPr>
            <w:tcW w:w="8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49.0%</w:t>
            </w:r>
          </w:p>
        </w:tc>
        <w:tc>
          <w:tcPr>
            <w:tcW w:w="100" w:type="dxa"/>
            <w:vAlign w:val="bottom"/>
            <w:shd w:val="clear" w:color="auto" w:fill="CCEEFF"/>
          </w:tcPr>
          <w:p>
            <w:pPr>
              <w:spacing w:after="0"/>
              <w:rPr>
                <w:sz w:val="22"/>
                <w:szCs w:val="22"/>
                <w:color w:val="auto"/>
              </w:rPr>
            </w:pPr>
          </w:p>
        </w:tc>
        <w:tc>
          <w:tcPr>
            <w:tcW w:w="18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34</w:t>
            </w:r>
          </w:p>
        </w:tc>
        <w:tc>
          <w:tcPr>
            <w:tcW w:w="1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5.4 %</w:t>
            </w:r>
          </w:p>
        </w:tc>
      </w:tr>
      <w:tr>
        <w:trPr>
          <w:trHeight w:val="260"/>
        </w:trPr>
        <w:tc>
          <w:tcPr>
            <w:tcW w:w="2480" w:type="dxa"/>
            <w:vAlign w:val="bottom"/>
            <w:gridSpan w:val="2"/>
          </w:tcPr>
          <w:p>
            <w:pPr>
              <w:ind w:left="40"/>
              <w:spacing w:after="0"/>
              <w:rPr>
                <w:sz w:val="20"/>
                <w:szCs w:val="20"/>
                <w:color w:val="auto"/>
              </w:rPr>
            </w:pPr>
            <w:r>
              <w:rPr>
                <w:rFonts w:ascii="Arial" w:cs="Arial" w:eastAsia="Arial" w:hAnsi="Arial"/>
                <w:sz w:val="16"/>
                <w:szCs w:val="16"/>
                <w:color w:val="auto"/>
              </w:rPr>
              <w:t>Class B</w:t>
            </w:r>
          </w:p>
        </w:tc>
        <w:tc>
          <w:tcPr>
            <w:tcW w:w="1900" w:type="dxa"/>
            <w:vAlign w:val="bottom"/>
          </w:tcPr>
          <w:p>
            <w:pPr>
              <w:jc w:val="right"/>
              <w:ind w:right="659"/>
              <w:spacing w:after="0"/>
              <w:rPr>
                <w:sz w:val="20"/>
                <w:szCs w:val="20"/>
                <w:color w:val="auto"/>
              </w:rPr>
            </w:pPr>
            <w:r>
              <w:rPr>
                <w:rFonts w:ascii="Arial" w:cs="Arial" w:eastAsia="Arial" w:hAnsi="Arial"/>
                <w:sz w:val="16"/>
                <w:szCs w:val="16"/>
                <w:color w:val="auto"/>
              </w:rPr>
              <w:t>87</w:t>
            </w:r>
          </w:p>
        </w:tc>
        <w:tc>
          <w:tcPr>
            <w:tcW w:w="860" w:type="dxa"/>
            <w:vAlign w:val="bottom"/>
          </w:tcPr>
          <w:p>
            <w:pPr>
              <w:jc w:val="right"/>
              <w:ind w:right="199"/>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22"/>
                <w:szCs w:val="22"/>
                <w:color w:val="auto"/>
              </w:rPr>
            </w:pPr>
          </w:p>
        </w:tc>
        <w:tc>
          <w:tcPr>
            <w:tcW w:w="1920" w:type="dxa"/>
            <w:vAlign w:val="bottom"/>
          </w:tcPr>
          <w:p>
            <w:pPr>
              <w:jc w:val="right"/>
              <w:ind w:right="659"/>
              <w:spacing w:after="0"/>
              <w:rPr>
                <w:sz w:val="20"/>
                <w:szCs w:val="20"/>
                <w:color w:val="auto"/>
              </w:rPr>
            </w:pPr>
            <w:r>
              <w:rPr>
                <w:rFonts w:ascii="Arial" w:cs="Arial" w:eastAsia="Arial" w:hAnsi="Arial"/>
                <w:sz w:val="16"/>
                <w:szCs w:val="16"/>
                <w:color w:val="auto"/>
              </w:rPr>
              <w:t>1</w:t>
            </w:r>
          </w:p>
        </w:tc>
        <w:tc>
          <w:tcPr>
            <w:tcW w:w="860" w:type="dxa"/>
            <w:vAlign w:val="bottom"/>
          </w:tcPr>
          <w:p>
            <w:pPr>
              <w:jc w:val="right"/>
              <w:ind w:right="199"/>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2"/>
                <w:szCs w:val="22"/>
                <w:color w:val="auto"/>
              </w:rPr>
            </w:pPr>
          </w:p>
        </w:tc>
        <w:tc>
          <w:tcPr>
            <w:tcW w:w="1820" w:type="dxa"/>
            <w:vAlign w:val="bottom"/>
          </w:tcPr>
          <w:p>
            <w:pPr>
              <w:jc w:val="right"/>
              <w:ind w:right="339"/>
              <w:spacing w:after="0"/>
              <w:rPr>
                <w:sz w:val="20"/>
                <w:szCs w:val="20"/>
                <w:color w:val="auto"/>
              </w:rPr>
            </w:pPr>
            <w:r>
              <w:rPr>
                <w:rFonts w:ascii="Arial" w:cs="Arial" w:eastAsia="Arial" w:hAnsi="Arial"/>
                <w:sz w:val="16"/>
                <w:szCs w:val="16"/>
                <w:color w:val="auto"/>
              </w:rPr>
              <w:t>86</w:t>
            </w:r>
          </w:p>
        </w:tc>
        <w:tc>
          <w:tcPr>
            <w:tcW w:w="1380" w:type="dxa"/>
            <w:vAlign w:val="bottom"/>
          </w:tcPr>
          <w:p>
            <w:pPr>
              <w:jc w:val="right"/>
              <w:ind w:right="399"/>
              <w:spacing w:after="0"/>
              <w:rPr>
                <w:sz w:val="20"/>
                <w:szCs w:val="20"/>
                <w:color w:val="auto"/>
              </w:rPr>
            </w:pPr>
            <w:r>
              <w:rPr>
                <w:rFonts w:ascii="Arial" w:cs="Arial" w:eastAsia="Arial" w:hAnsi="Arial"/>
                <w:sz w:val="16"/>
                <w:szCs w:val="16"/>
                <w:color w:val="auto"/>
              </w:rPr>
              <w:t>NMF</w:t>
            </w:r>
          </w:p>
        </w:tc>
      </w:tr>
      <w:tr>
        <w:trPr>
          <w:trHeight w:val="273"/>
        </w:trPr>
        <w:tc>
          <w:tcPr>
            <w:tcW w:w="24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Class C</w:t>
            </w:r>
          </w:p>
        </w:tc>
        <w:tc>
          <w:tcPr>
            <w:tcW w:w="190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6"/>
                <w:szCs w:val="16"/>
                <w:color w:val="auto"/>
              </w:rPr>
              <w:t>530</w:t>
            </w:r>
          </w:p>
        </w:tc>
        <w:tc>
          <w:tcPr>
            <w:tcW w:w="8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41.4%</w:t>
            </w:r>
          </w:p>
        </w:tc>
        <w:tc>
          <w:tcPr>
            <w:tcW w:w="100" w:type="dxa"/>
            <w:vAlign w:val="bottom"/>
            <w:shd w:val="clear" w:color="auto" w:fill="CCEEFF"/>
          </w:tcPr>
          <w:p>
            <w:pPr>
              <w:spacing w:after="0"/>
              <w:rPr>
                <w:sz w:val="23"/>
                <w:szCs w:val="23"/>
                <w:color w:val="auto"/>
              </w:rPr>
            </w:pPr>
          </w:p>
        </w:tc>
        <w:tc>
          <w:tcPr>
            <w:tcW w:w="192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6"/>
                <w:szCs w:val="16"/>
                <w:color w:val="auto"/>
              </w:rPr>
              <w:t>653</w:t>
            </w:r>
          </w:p>
        </w:tc>
        <w:tc>
          <w:tcPr>
            <w:tcW w:w="8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50.9%</w:t>
            </w:r>
          </w:p>
        </w:tc>
        <w:tc>
          <w:tcPr>
            <w:tcW w:w="100" w:type="dxa"/>
            <w:vAlign w:val="bottom"/>
            <w:shd w:val="clear" w:color="auto" w:fill="CCEEFF"/>
          </w:tcPr>
          <w:p>
            <w:pPr>
              <w:spacing w:after="0"/>
              <w:rPr>
                <w:sz w:val="23"/>
                <w:szCs w:val="23"/>
                <w:color w:val="auto"/>
              </w:rPr>
            </w:pPr>
          </w:p>
        </w:tc>
        <w:tc>
          <w:tcPr>
            <w:tcW w:w="182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(123)</w:t>
            </w:r>
          </w:p>
        </w:tc>
        <w:tc>
          <w:tcPr>
            <w:tcW w:w="1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(18.8)%</w:t>
            </w:r>
          </w:p>
        </w:tc>
      </w:tr>
      <w:tr>
        <w:trPr>
          <w:trHeight w:val="280"/>
        </w:trPr>
        <w:tc>
          <w:tcPr>
            <w:tcW w:w="24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Total motor homes</w:t>
            </w:r>
          </w:p>
        </w:tc>
        <w:tc>
          <w:tcPr>
            <w:tcW w:w="190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color w:val="auto"/>
              </w:rPr>
              <w:t>1,280</w:t>
            </w:r>
          </w:p>
        </w:tc>
        <w:tc>
          <w:tcPr>
            <w:tcW w:w="8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tcPr>
          <w:p>
            <w:pPr>
              <w:spacing w:after="0"/>
              <w:rPr>
                <w:sz w:val="24"/>
                <w:szCs w:val="24"/>
                <w:color w:val="auto"/>
              </w:rPr>
            </w:pPr>
          </w:p>
        </w:tc>
        <w:tc>
          <w:tcPr>
            <w:tcW w:w="192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color w:val="auto"/>
              </w:rPr>
              <w:t>1,283</w:t>
            </w:r>
          </w:p>
        </w:tc>
        <w:tc>
          <w:tcPr>
            <w:tcW w:w="8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tcPr>
          <w:p>
            <w:pPr>
              <w:spacing w:after="0"/>
              <w:rPr>
                <w:sz w:val="24"/>
                <w:szCs w:val="24"/>
                <w:color w:val="auto"/>
              </w:rPr>
            </w:pPr>
          </w:p>
        </w:tc>
        <w:tc>
          <w:tcPr>
            <w:tcW w:w="18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(3)</w:t>
            </w:r>
          </w:p>
        </w:tc>
        <w:tc>
          <w:tcPr>
            <w:tcW w:w="1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(0.2)%</w:t>
            </w:r>
          </w:p>
        </w:tc>
      </w:tr>
      <w:tr>
        <w:trPr>
          <w:trHeight w:val="200"/>
        </w:trPr>
        <w:tc>
          <w:tcPr>
            <w:tcW w:w="2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60"/>
        </w:trPr>
        <w:tc>
          <w:tcPr>
            <w:tcW w:w="2480" w:type="dxa"/>
            <w:vAlign w:val="bottom"/>
            <w:gridSpan w:val="2"/>
          </w:tcPr>
          <w:p>
            <w:pPr>
              <w:ind w:left="40"/>
              <w:spacing w:after="0"/>
              <w:rPr>
                <w:sz w:val="20"/>
                <w:szCs w:val="20"/>
                <w:color w:val="auto"/>
              </w:rPr>
            </w:pPr>
            <w:r>
              <w:rPr>
                <w:rFonts w:ascii="Arial" w:cs="Arial" w:eastAsia="Arial" w:hAnsi="Arial"/>
                <w:sz w:val="16"/>
                <w:szCs w:val="16"/>
                <w:color w:val="auto"/>
              </w:rPr>
              <w:t>Fifth wheel</w:t>
            </w:r>
          </w:p>
        </w:tc>
        <w:tc>
          <w:tcPr>
            <w:tcW w:w="1900" w:type="dxa"/>
            <w:vAlign w:val="bottom"/>
          </w:tcPr>
          <w:p>
            <w:pPr>
              <w:jc w:val="right"/>
              <w:ind w:right="659"/>
              <w:spacing w:after="0"/>
              <w:rPr>
                <w:sz w:val="20"/>
                <w:szCs w:val="20"/>
                <w:color w:val="auto"/>
              </w:rPr>
            </w:pPr>
            <w:r>
              <w:rPr>
                <w:rFonts w:ascii="Arial" w:cs="Arial" w:eastAsia="Arial" w:hAnsi="Arial"/>
                <w:sz w:val="16"/>
                <w:szCs w:val="16"/>
                <w:color w:val="auto"/>
              </w:rPr>
              <w:t>289</w:t>
            </w:r>
          </w:p>
        </w:tc>
        <w:tc>
          <w:tcPr>
            <w:tcW w:w="860" w:type="dxa"/>
            <w:vAlign w:val="bottom"/>
          </w:tcPr>
          <w:p>
            <w:pPr>
              <w:jc w:val="right"/>
              <w:ind w:right="199"/>
              <w:spacing w:after="0"/>
              <w:rPr>
                <w:sz w:val="20"/>
                <w:szCs w:val="20"/>
                <w:color w:val="auto"/>
              </w:rPr>
            </w:pPr>
            <w:r>
              <w:rPr>
                <w:rFonts w:ascii="Arial" w:cs="Arial" w:eastAsia="Arial" w:hAnsi="Arial"/>
                <w:sz w:val="16"/>
                <w:szCs w:val="16"/>
                <w:color w:val="auto"/>
              </w:rPr>
              <w:t>44.7%</w:t>
            </w:r>
          </w:p>
        </w:tc>
        <w:tc>
          <w:tcPr>
            <w:tcW w:w="100" w:type="dxa"/>
            <w:vAlign w:val="bottom"/>
          </w:tcPr>
          <w:p>
            <w:pPr>
              <w:spacing w:after="0"/>
              <w:rPr>
                <w:sz w:val="22"/>
                <w:szCs w:val="22"/>
                <w:color w:val="auto"/>
              </w:rPr>
            </w:pPr>
          </w:p>
        </w:tc>
        <w:tc>
          <w:tcPr>
            <w:tcW w:w="1920" w:type="dxa"/>
            <w:vAlign w:val="bottom"/>
          </w:tcPr>
          <w:p>
            <w:pPr>
              <w:jc w:val="right"/>
              <w:ind w:right="659"/>
              <w:spacing w:after="0"/>
              <w:rPr>
                <w:sz w:val="20"/>
                <w:szCs w:val="20"/>
                <w:color w:val="auto"/>
              </w:rPr>
            </w:pPr>
            <w:r>
              <w:rPr>
                <w:rFonts w:ascii="Arial" w:cs="Arial" w:eastAsia="Arial" w:hAnsi="Arial"/>
                <w:sz w:val="16"/>
                <w:szCs w:val="16"/>
                <w:color w:val="auto"/>
              </w:rPr>
              <w:t>94</w:t>
            </w:r>
          </w:p>
        </w:tc>
        <w:tc>
          <w:tcPr>
            <w:tcW w:w="860" w:type="dxa"/>
            <w:vAlign w:val="bottom"/>
          </w:tcPr>
          <w:p>
            <w:pPr>
              <w:jc w:val="right"/>
              <w:ind w:right="199"/>
              <w:spacing w:after="0"/>
              <w:rPr>
                <w:sz w:val="20"/>
                <w:szCs w:val="20"/>
                <w:color w:val="auto"/>
              </w:rPr>
            </w:pPr>
            <w:r>
              <w:rPr>
                <w:rFonts w:ascii="Arial" w:cs="Arial" w:eastAsia="Arial" w:hAnsi="Arial"/>
                <w:sz w:val="16"/>
                <w:szCs w:val="16"/>
                <w:color w:val="auto"/>
              </w:rPr>
              <w:t>28.8%</w:t>
            </w:r>
          </w:p>
        </w:tc>
        <w:tc>
          <w:tcPr>
            <w:tcW w:w="100" w:type="dxa"/>
            <w:vAlign w:val="bottom"/>
          </w:tcPr>
          <w:p>
            <w:pPr>
              <w:spacing w:after="0"/>
              <w:rPr>
                <w:sz w:val="22"/>
                <w:szCs w:val="22"/>
                <w:color w:val="auto"/>
              </w:rPr>
            </w:pPr>
          </w:p>
        </w:tc>
        <w:tc>
          <w:tcPr>
            <w:tcW w:w="1820" w:type="dxa"/>
            <w:vAlign w:val="bottom"/>
          </w:tcPr>
          <w:p>
            <w:pPr>
              <w:jc w:val="right"/>
              <w:ind w:right="339"/>
              <w:spacing w:after="0"/>
              <w:rPr>
                <w:sz w:val="20"/>
                <w:szCs w:val="20"/>
                <w:color w:val="auto"/>
              </w:rPr>
            </w:pPr>
            <w:r>
              <w:rPr>
                <w:rFonts w:ascii="Arial" w:cs="Arial" w:eastAsia="Arial" w:hAnsi="Arial"/>
                <w:sz w:val="16"/>
                <w:szCs w:val="16"/>
                <w:color w:val="auto"/>
              </w:rPr>
              <w:t>195</w:t>
            </w:r>
          </w:p>
        </w:tc>
        <w:tc>
          <w:tcPr>
            <w:tcW w:w="1380" w:type="dxa"/>
            <w:vAlign w:val="bottom"/>
          </w:tcPr>
          <w:p>
            <w:pPr>
              <w:jc w:val="right"/>
              <w:ind w:right="199"/>
              <w:spacing w:after="0"/>
              <w:rPr>
                <w:sz w:val="20"/>
                <w:szCs w:val="20"/>
                <w:color w:val="auto"/>
              </w:rPr>
            </w:pPr>
            <w:r>
              <w:rPr>
                <w:rFonts w:ascii="Arial" w:cs="Arial" w:eastAsia="Arial" w:hAnsi="Arial"/>
                <w:sz w:val="16"/>
                <w:szCs w:val="16"/>
                <w:color w:val="auto"/>
              </w:rPr>
              <w:t>207.4 %</w:t>
            </w:r>
          </w:p>
        </w:tc>
      </w:tr>
      <w:tr>
        <w:trPr>
          <w:trHeight w:val="273"/>
        </w:trPr>
        <w:tc>
          <w:tcPr>
            <w:tcW w:w="24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Travel trailer</w:t>
            </w:r>
          </w:p>
        </w:tc>
        <w:tc>
          <w:tcPr>
            <w:tcW w:w="190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6"/>
                <w:szCs w:val="16"/>
                <w:color w:val="auto"/>
              </w:rPr>
              <w:t>357</w:t>
            </w:r>
          </w:p>
        </w:tc>
        <w:tc>
          <w:tcPr>
            <w:tcW w:w="8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55.3%</w:t>
            </w:r>
          </w:p>
        </w:tc>
        <w:tc>
          <w:tcPr>
            <w:tcW w:w="100" w:type="dxa"/>
            <w:vAlign w:val="bottom"/>
            <w:shd w:val="clear" w:color="auto" w:fill="CCEEFF"/>
          </w:tcPr>
          <w:p>
            <w:pPr>
              <w:spacing w:after="0"/>
              <w:rPr>
                <w:sz w:val="23"/>
                <w:szCs w:val="23"/>
                <w:color w:val="auto"/>
              </w:rPr>
            </w:pPr>
          </w:p>
        </w:tc>
        <w:tc>
          <w:tcPr>
            <w:tcW w:w="192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6"/>
                <w:szCs w:val="16"/>
                <w:color w:val="auto"/>
              </w:rPr>
              <w:t>232</w:t>
            </w:r>
          </w:p>
        </w:tc>
        <w:tc>
          <w:tcPr>
            <w:tcW w:w="8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71.2%</w:t>
            </w:r>
          </w:p>
        </w:tc>
        <w:tc>
          <w:tcPr>
            <w:tcW w:w="100" w:type="dxa"/>
            <w:vAlign w:val="bottom"/>
            <w:shd w:val="clear" w:color="auto" w:fill="CCEEFF"/>
          </w:tcPr>
          <w:p>
            <w:pPr>
              <w:spacing w:after="0"/>
              <w:rPr>
                <w:sz w:val="23"/>
                <w:szCs w:val="23"/>
                <w:color w:val="auto"/>
              </w:rPr>
            </w:pPr>
          </w:p>
        </w:tc>
        <w:tc>
          <w:tcPr>
            <w:tcW w:w="18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125</w:t>
            </w:r>
          </w:p>
        </w:tc>
        <w:tc>
          <w:tcPr>
            <w:tcW w:w="1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53.9 %</w:t>
            </w:r>
          </w:p>
        </w:tc>
      </w:tr>
      <w:tr>
        <w:trPr>
          <w:trHeight w:val="240"/>
        </w:trPr>
        <w:tc>
          <w:tcPr>
            <w:tcW w:w="2480" w:type="dxa"/>
            <w:vAlign w:val="bottom"/>
            <w:gridSpan w:val="2"/>
          </w:tcPr>
          <w:p>
            <w:pPr>
              <w:ind w:left="40"/>
              <w:spacing w:after="0"/>
              <w:rPr>
                <w:sz w:val="20"/>
                <w:szCs w:val="20"/>
                <w:color w:val="auto"/>
              </w:rPr>
            </w:pPr>
            <w:r>
              <w:rPr>
                <w:rFonts w:ascii="Arial" w:cs="Arial" w:eastAsia="Arial" w:hAnsi="Arial"/>
                <w:sz w:val="16"/>
                <w:szCs w:val="16"/>
                <w:color w:val="auto"/>
              </w:rPr>
              <w:t>Total towables</w:t>
            </w:r>
          </w:p>
        </w:tc>
        <w:tc>
          <w:tcPr>
            <w:tcW w:w="190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color w:val="auto"/>
              </w:rPr>
              <w:t>646</w:t>
            </w:r>
          </w:p>
        </w:tc>
        <w:tc>
          <w:tcPr>
            <w:tcW w:w="8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0"/>
                <w:szCs w:val="20"/>
                <w:color w:val="auto"/>
              </w:rPr>
            </w:pPr>
          </w:p>
        </w:tc>
        <w:tc>
          <w:tcPr>
            <w:tcW w:w="192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color w:val="auto"/>
              </w:rPr>
              <w:t>326</w:t>
            </w:r>
          </w:p>
        </w:tc>
        <w:tc>
          <w:tcPr>
            <w:tcW w:w="8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0"/>
                <w:szCs w:val="20"/>
                <w:color w:val="auto"/>
              </w:rPr>
            </w:pPr>
          </w:p>
        </w:tc>
        <w:tc>
          <w:tcPr>
            <w:tcW w:w="18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320</w:t>
            </w:r>
          </w:p>
        </w:tc>
        <w:tc>
          <w:tcPr>
            <w:tcW w:w="1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98.2 %</w:t>
            </w:r>
          </w:p>
        </w:tc>
      </w:tr>
      <w:tr>
        <w:trPr>
          <w:trHeight w:val="20"/>
        </w:trPr>
        <w:tc>
          <w:tcPr>
            <w:tcW w:w="2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3"/>
          </w:tcPr>
          <w:p>
            <w:pPr>
              <w:ind w:left="440"/>
              <w:spacing w:after="0"/>
              <w:rPr>
                <w:sz w:val="20"/>
                <w:szCs w:val="20"/>
                <w:color w:val="auto"/>
              </w:rPr>
            </w:pPr>
            <w:r>
              <w:rPr>
                <w:rFonts w:ascii="Arial" w:cs="Arial" w:eastAsia="Arial" w:hAnsi="Arial"/>
                <w:sz w:val="16"/>
                <w:szCs w:val="16"/>
                <w:b w:val="1"/>
                <w:bCs w:val="1"/>
                <w:color w:val="auto"/>
              </w:rPr>
              <w:t>Nine Months Ended</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r>
      <w:tr>
        <w:trPr>
          <w:trHeight w:val="198"/>
        </w:trPr>
        <w:tc>
          <w:tcPr>
            <w:tcW w:w="2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80" w:type="dxa"/>
            <w:vAlign w:val="bottom"/>
          </w:tcPr>
          <w:p>
            <w:pPr>
              <w:jc w:val="right"/>
              <w:ind w:right="579"/>
              <w:spacing w:after="0"/>
              <w:rPr>
                <w:sz w:val="20"/>
                <w:szCs w:val="20"/>
                <w:color w:val="auto"/>
              </w:rPr>
            </w:pPr>
            <w:r>
              <w:rPr>
                <w:rFonts w:ascii="Arial" w:cs="Arial" w:eastAsia="Arial" w:hAnsi="Arial"/>
                <w:sz w:val="16"/>
                <w:szCs w:val="16"/>
                <w:b w:val="1"/>
                <w:bCs w:val="1"/>
                <w:color w:val="auto"/>
              </w:rPr>
              <w:t>%</w:t>
            </w:r>
          </w:p>
        </w:tc>
      </w:tr>
      <w:tr>
        <w:trPr>
          <w:trHeight w:val="228"/>
        </w:trPr>
        <w:tc>
          <w:tcPr>
            <w:tcW w:w="238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units)</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May 26, 2012</w:t>
            </w: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May 28, 2011</w:t>
            </w: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2"/>
          </w:tcPr>
          <w:p>
            <w:pPr>
              <w:jc w:val="right"/>
              <w:ind w:right="239"/>
              <w:spacing w:after="0"/>
              <w:rPr>
                <w:sz w:val="20"/>
                <w:szCs w:val="20"/>
                <w:color w:val="auto"/>
              </w:rPr>
            </w:pPr>
            <w:r>
              <w:rPr>
                <w:rFonts w:ascii="Arial" w:cs="Arial" w:eastAsia="Arial" w:hAnsi="Arial"/>
                <w:sz w:val="16"/>
                <w:szCs w:val="16"/>
                <w:b w:val="1"/>
                <w:bCs w:val="1"/>
                <w:color w:val="auto"/>
              </w:rPr>
              <w:t>Increase(Decrease)</w:t>
            </w:r>
          </w:p>
        </w:tc>
        <w:tc>
          <w:tcPr>
            <w:tcW w:w="12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Change</w:t>
            </w:r>
          </w:p>
        </w:tc>
      </w:tr>
      <w:tr>
        <w:trPr>
          <w:trHeight w:val="257"/>
        </w:trPr>
        <w:tc>
          <w:tcPr>
            <w:tcW w:w="23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Class A gas</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rPr>
              <w:t>1,163</w:t>
            </w:r>
          </w:p>
        </w:tc>
        <w:tc>
          <w:tcPr>
            <w:tcW w:w="8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35.0%</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rPr>
              <w:t>1,145</w:t>
            </w:r>
          </w:p>
        </w:tc>
        <w:tc>
          <w:tcPr>
            <w:tcW w:w="8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34.6%</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76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18</w:t>
            </w:r>
          </w:p>
        </w:tc>
        <w:tc>
          <w:tcPr>
            <w:tcW w:w="12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1.6 %</w:t>
            </w:r>
          </w:p>
        </w:tc>
      </w:tr>
      <w:tr>
        <w:trPr>
          <w:trHeight w:val="264"/>
        </w:trPr>
        <w:tc>
          <w:tcPr>
            <w:tcW w:w="23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Class A diesel</w:t>
            </w: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color w:val="auto"/>
              </w:rPr>
              <w:t>701</w:t>
            </w:r>
          </w:p>
        </w:tc>
        <w:tc>
          <w:tcPr>
            <w:tcW w:w="8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21.1%</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color w:val="auto"/>
              </w:rPr>
              <w:t>692</w:t>
            </w:r>
          </w:p>
        </w:tc>
        <w:tc>
          <w:tcPr>
            <w:tcW w:w="8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20.9%</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9</w:t>
            </w:r>
          </w:p>
        </w:tc>
        <w:tc>
          <w:tcPr>
            <w:tcW w:w="12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1.3 %</w:t>
            </w:r>
          </w:p>
        </w:tc>
      </w:tr>
      <w:tr>
        <w:trPr>
          <w:trHeight w:val="257"/>
        </w:trPr>
        <w:tc>
          <w:tcPr>
            <w:tcW w:w="23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Total Class A</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rPr>
              <w:t>1,864</w:t>
            </w:r>
          </w:p>
        </w:tc>
        <w:tc>
          <w:tcPr>
            <w:tcW w:w="8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56.1%</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rPr>
              <w:t>1,837</w:t>
            </w:r>
          </w:p>
        </w:tc>
        <w:tc>
          <w:tcPr>
            <w:tcW w:w="8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55.5%</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76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27</w:t>
            </w:r>
          </w:p>
        </w:tc>
        <w:tc>
          <w:tcPr>
            <w:tcW w:w="12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1.5 %</w:t>
            </w:r>
          </w:p>
        </w:tc>
      </w:tr>
      <w:tr>
        <w:trPr>
          <w:trHeight w:val="260"/>
        </w:trPr>
        <w:tc>
          <w:tcPr>
            <w:tcW w:w="2380" w:type="dxa"/>
            <w:vAlign w:val="bottom"/>
            <w:gridSpan w:val="2"/>
          </w:tcPr>
          <w:p>
            <w:pPr>
              <w:ind w:left="40"/>
              <w:spacing w:after="0"/>
              <w:rPr>
                <w:sz w:val="20"/>
                <w:szCs w:val="20"/>
                <w:color w:val="auto"/>
              </w:rPr>
            </w:pPr>
            <w:r>
              <w:rPr>
                <w:rFonts w:ascii="Arial" w:cs="Arial" w:eastAsia="Arial" w:hAnsi="Arial"/>
                <w:sz w:val="16"/>
                <w:szCs w:val="16"/>
                <w:color w:val="auto"/>
              </w:rPr>
              <w:t>Class B</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560" w:type="dxa"/>
            <w:vAlign w:val="bottom"/>
          </w:tcPr>
          <w:p>
            <w:pPr>
              <w:jc w:val="right"/>
              <w:ind w:right="659"/>
              <w:spacing w:after="0"/>
              <w:rPr>
                <w:sz w:val="20"/>
                <w:szCs w:val="20"/>
                <w:color w:val="auto"/>
              </w:rPr>
            </w:pPr>
            <w:r>
              <w:rPr>
                <w:rFonts w:ascii="Arial" w:cs="Arial" w:eastAsia="Arial" w:hAnsi="Arial"/>
                <w:sz w:val="16"/>
                <w:szCs w:val="16"/>
                <w:color w:val="auto"/>
              </w:rPr>
              <w:t>215</w:t>
            </w:r>
          </w:p>
        </w:tc>
        <w:tc>
          <w:tcPr>
            <w:tcW w:w="860" w:type="dxa"/>
            <w:vAlign w:val="bottom"/>
          </w:tcPr>
          <w:p>
            <w:pPr>
              <w:jc w:val="right"/>
              <w:ind w:right="199"/>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500" w:type="dxa"/>
            <w:vAlign w:val="bottom"/>
          </w:tcPr>
          <w:p>
            <w:pPr>
              <w:jc w:val="right"/>
              <w:ind w:right="659"/>
              <w:spacing w:after="0"/>
              <w:rPr>
                <w:sz w:val="20"/>
                <w:szCs w:val="20"/>
                <w:color w:val="auto"/>
              </w:rPr>
            </w:pPr>
            <w:r>
              <w:rPr>
                <w:rFonts w:ascii="Arial" w:cs="Arial" w:eastAsia="Arial" w:hAnsi="Arial"/>
                <w:sz w:val="16"/>
                <w:szCs w:val="16"/>
                <w:color w:val="auto"/>
              </w:rPr>
              <w:t>2</w:t>
            </w:r>
          </w:p>
        </w:tc>
        <w:tc>
          <w:tcPr>
            <w:tcW w:w="860" w:type="dxa"/>
            <w:vAlign w:val="bottom"/>
          </w:tcPr>
          <w:p>
            <w:pPr>
              <w:jc w:val="right"/>
              <w:ind w:right="199"/>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60" w:type="dxa"/>
            <w:vAlign w:val="bottom"/>
          </w:tcPr>
          <w:p>
            <w:pPr>
              <w:jc w:val="right"/>
              <w:ind w:right="439"/>
              <w:spacing w:after="0"/>
              <w:rPr>
                <w:sz w:val="20"/>
                <w:szCs w:val="20"/>
                <w:color w:val="auto"/>
              </w:rPr>
            </w:pPr>
            <w:r>
              <w:rPr>
                <w:rFonts w:ascii="Arial" w:cs="Arial" w:eastAsia="Arial" w:hAnsi="Arial"/>
                <w:sz w:val="16"/>
                <w:szCs w:val="16"/>
                <w:color w:val="auto"/>
              </w:rPr>
              <w:t>213</w:t>
            </w:r>
          </w:p>
        </w:tc>
        <w:tc>
          <w:tcPr>
            <w:tcW w:w="1280" w:type="dxa"/>
            <w:vAlign w:val="bottom"/>
          </w:tcPr>
          <w:p>
            <w:pPr>
              <w:jc w:val="right"/>
              <w:ind w:right="399"/>
              <w:spacing w:after="0"/>
              <w:rPr>
                <w:sz w:val="20"/>
                <w:szCs w:val="20"/>
                <w:color w:val="auto"/>
              </w:rPr>
            </w:pPr>
            <w:r>
              <w:rPr>
                <w:rFonts w:ascii="Arial" w:cs="Arial" w:eastAsia="Arial" w:hAnsi="Arial"/>
                <w:sz w:val="16"/>
                <w:szCs w:val="16"/>
                <w:color w:val="auto"/>
              </w:rPr>
              <w:t>NMF</w:t>
            </w:r>
          </w:p>
        </w:tc>
      </w:tr>
      <w:tr>
        <w:trPr>
          <w:trHeight w:val="273"/>
        </w:trPr>
        <w:tc>
          <w:tcPr>
            <w:tcW w:w="23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Class C</w:t>
            </w: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6"/>
                <w:szCs w:val="16"/>
                <w:color w:val="auto"/>
              </w:rPr>
              <w:t>1,242</w:t>
            </w:r>
          </w:p>
        </w:tc>
        <w:tc>
          <w:tcPr>
            <w:tcW w:w="8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37.4%</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6"/>
                <w:szCs w:val="16"/>
                <w:color w:val="auto"/>
              </w:rPr>
              <w:t>1,468</w:t>
            </w:r>
          </w:p>
        </w:tc>
        <w:tc>
          <w:tcPr>
            <w:tcW w:w="8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44.4%</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76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rPr>
              <w:t>(226)</w:t>
            </w:r>
          </w:p>
        </w:tc>
        <w:tc>
          <w:tcPr>
            <w:tcW w:w="12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(15.4)%</w:t>
            </w:r>
          </w:p>
        </w:tc>
      </w:tr>
      <w:tr>
        <w:trPr>
          <w:trHeight w:val="280"/>
        </w:trPr>
        <w:tc>
          <w:tcPr>
            <w:tcW w:w="23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Total motor homes</w:t>
            </w: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color w:val="auto"/>
              </w:rPr>
              <w:t>3,321</w:t>
            </w:r>
          </w:p>
        </w:tc>
        <w:tc>
          <w:tcPr>
            <w:tcW w:w="8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color w:val="auto"/>
              </w:rPr>
              <w:t>3,307</w:t>
            </w:r>
          </w:p>
        </w:tc>
        <w:tc>
          <w:tcPr>
            <w:tcW w:w="8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14</w:t>
            </w:r>
          </w:p>
        </w:tc>
        <w:tc>
          <w:tcPr>
            <w:tcW w:w="12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0.4 %</w:t>
            </w:r>
          </w:p>
        </w:tc>
      </w:tr>
      <w:tr>
        <w:trPr>
          <w:trHeight w:val="200"/>
        </w:trPr>
        <w:tc>
          <w:tcPr>
            <w:tcW w:w="2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60"/>
        </w:trPr>
        <w:tc>
          <w:tcPr>
            <w:tcW w:w="2380" w:type="dxa"/>
            <w:vAlign w:val="bottom"/>
            <w:gridSpan w:val="2"/>
          </w:tcPr>
          <w:p>
            <w:pPr>
              <w:ind w:left="40"/>
              <w:spacing w:after="0"/>
              <w:rPr>
                <w:sz w:val="20"/>
                <w:szCs w:val="20"/>
                <w:color w:val="auto"/>
              </w:rPr>
            </w:pPr>
            <w:r>
              <w:rPr>
                <w:rFonts w:ascii="Arial" w:cs="Arial" w:eastAsia="Arial" w:hAnsi="Arial"/>
                <w:sz w:val="16"/>
                <w:szCs w:val="16"/>
                <w:color w:val="auto"/>
              </w:rPr>
              <w:t>Fifth wheel</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560" w:type="dxa"/>
            <w:vAlign w:val="bottom"/>
          </w:tcPr>
          <w:p>
            <w:pPr>
              <w:jc w:val="right"/>
              <w:ind w:right="659"/>
              <w:spacing w:after="0"/>
              <w:rPr>
                <w:sz w:val="20"/>
                <w:szCs w:val="20"/>
                <w:color w:val="auto"/>
              </w:rPr>
            </w:pPr>
            <w:r>
              <w:rPr>
                <w:rFonts w:ascii="Arial" w:cs="Arial" w:eastAsia="Arial" w:hAnsi="Arial"/>
                <w:sz w:val="16"/>
                <w:szCs w:val="16"/>
                <w:color w:val="auto"/>
              </w:rPr>
              <w:t>715</w:t>
            </w:r>
          </w:p>
        </w:tc>
        <w:tc>
          <w:tcPr>
            <w:tcW w:w="860" w:type="dxa"/>
            <w:vAlign w:val="bottom"/>
          </w:tcPr>
          <w:p>
            <w:pPr>
              <w:jc w:val="right"/>
              <w:ind w:right="199"/>
              <w:spacing w:after="0"/>
              <w:rPr>
                <w:sz w:val="20"/>
                <w:szCs w:val="20"/>
                <w:color w:val="auto"/>
              </w:rPr>
            </w:pPr>
            <w:r>
              <w:rPr>
                <w:rFonts w:ascii="Arial" w:cs="Arial" w:eastAsia="Arial" w:hAnsi="Arial"/>
                <w:sz w:val="16"/>
                <w:szCs w:val="16"/>
                <w:color w:val="auto"/>
              </w:rPr>
              <w:t>43.5%</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500" w:type="dxa"/>
            <w:vAlign w:val="bottom"/>
          </w:tcPr>
          <w:p>
            <w:pPr>
              <w:jc w:val="right"/>
              <w:ind w:right="659"/>
              <w:spacing w:after="0"/>
              <w:rPr>
                <w:sz w:val="20"/>
                <w:szCs w:val="20"/>
                <w:color w:val="auto"/>
              </w:rPr>
            </w:pPr>
            <w:r>
              <w:rPr>
                <w:rFonts w:ascii="Arial" w:cs="Arial" w:eastAsia="Arial" w:hAnsi="Arial"/>
                <w:sz w:val="16"/>
                <w:szCs w:val="16"/>
                <w:color w:val="auto"/>
              </w:rPr>
              <w:t>115</w:t>
            </w:r>
          </w:p>
        </w:tc>
        <w:tc>
          <w:tcPr>
            <w:tcW w:w="860" w:type="dxa"/>
            <w:vAlign w:val="bottom"/>
          </w:tcPr>
          <w:p>
            <w:pPr>
              <w:jc w:val="right"/>
              <w:ind w:right="199"/>
              <w:spacing w:after="0"/>
              <w:rPr>
                <w:sz w:val="20"/>
                <w:szCs w:val="20"/>
                <w:color w:val="auto"/>
              </w:rPr>
            </w:pPr>
            <w:r>
              <w:rPr>
                <w:rFonts w:ascii="Arial" w:cs="Arial" w:eastAsia="Arial" w:hAnsi="Arial"/>
                <w:sz w:val="16"/>
                <w:szCs w:val="16"/>
                <w:color w:val="auto"/>
              </w:rPr>
              <w:t>28.0%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60" w:type="dxa"/>
            <w:vAlign w:val="bottom"/>
          </w:tcPr>
          <w:p>
            <w:pPr>
              <w:jc w:val="right"/>
              <w:ind w:right="439"/>
              <w:spacing w:after="0"/>
              <w:rPr>
                <w:sz w:val="20"/>
                <w:szCs w:val="20"/>
                <w:color w:val="auto"/>
              </w:rPr>
            </w:pPr>
            <w:r>
              <w:rPr>
                <w:rFonts w:ascii="Arial" w:cs="Arial" w:eastAsia="Arial" w:hAnsi="Arial"/>
                <w:sz w:val="16"/>
                <w:szCs w:val="16"/>
                <w:color w:val="auto"/>
              </w:rPr>
              <w:t>600</w:t>
            </w:r>
          </w:p>
        </w:tc>
        <w:tc>
          <w:tcPr>
            <w:tcW w:w="1280" w:type="dxa"/>
            <w:vAlign w:val="bottom"/>
          </w:tcPr>
          <w:p>
            <w:pPr>
              <w:jc w:val="right"/>
              <w:ind w:right="199"/>
              <w:spacing w:after="0"/>
              <w:rPr>
                <w:sz w:val="20"/>
                <w:szCs w:val="20"/>
                <w:color w:val="auto"/>
              </w:rPr>
            </w:pPr>
            <w:r>
              <w:rPr>
                <w:rFonts w:ascii="Arial" w:cs="Arial" w:eastAsia="Arial" w:hAnsi="Arial"/>
                <w:sz w:val="16"/>
                <w:szCs w:val="16"/>
                <w:color w:val="auto"/>
              </w:rPr>
              <w:t>521.7 %</w:t>
            </w:r>
          </w:p>
        </w:tc>
      </w:tr>
      <w:tr>
        <w:trPr>
          <w:trHeight w:val="273"/>
        </w:trPr>
        <w:tc>
          <w:tcPr>
            <w:tcW w:w="23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Travel trailer</w:t>
            </w: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6"/>
                <w:szCs w:val="16"/>
                <w:color w:val="auto"/>
              </w:rPr>
              <w:t>928</w:t>
            </w:r>
          </w:p>
        </w:tc>
        <w:tc>
          <w:tcPr>
            <w:tcW w:w="8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56.5%</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6"/>
                <w:szCs w:val="16"/>
                <w:color w:val="auto"/>
              </w:rPr>
              <w:t>296</w:t>
            </w:r>
          </w:p>
        </w:tc>
        <w:tc>
          <w:tcPr>
            <w:tcW w:w="8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72.0%</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760" w:type="dxa"/>
            <w:vAlign w:val="bottom"/>
            <w:tcBorders>
              <w:bottom w:val="single" w:sz="8" w:color="auto"/>
            </w:tcBorders>
            <w:shd w:val="clear" w:color="auto" w:fill="CCEEFF"/>
          </w:tcPr>
          <w:p>
            <w:pPr>
              <w:jc w:val="right"/>
              <w:ind w:right="439"/>
              <w:spacing w:after="0"/>
              <w:rPr>
                <w:sz w:val="20"/>
                <w:szCs w:val="20"/>
                <w:color w:val="auto"/>
              </w:rPr>
            </w:pPr>
            <w:r>
              <w:rPr>
                <w:rFonts w:ascii="Arial" w:cs="Arial" w:eastAsia="Arial" w:hAnsi="Arial"/>
                <w:sz w:val="16"/>
                <w:szCs w:val="16"/>
                <w:color w:val="auto"/>
              </w:rPr>
              <w:t>632</w:t>
            </w:r>
          </w:p>
        </w:tc>
        <w:tc>
          <w:tcPr>
            <w:tcW w:w="12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213.5 %</w:t>
            </w:r>
          </w:p>
        </w:tc>
      </w:tr>
      <w:tr>
        <w:trPr>
          <w:trHeight w:val="240"/>
        </w:trPr>
        <w:tc>
          <w:tcPr>
            <w:tcW w:w="2380" w:type="dxa"/>
            <w:vAlign w:val="bottom"/>
            <w:gridSpan w:val="2"/>
          </w:tcPr>
          <w:p>
            <w:pPr>
              <w:ind w:left="40"/>
              <w:spacing w:after="0"/>
              <w:rPr>
                <w:sz w:val="20"/>
                <w:szCs w:val="20"/>
                <w:color w:val="auto"/>
              </w:rPr>
            </w:pPr>
            <w:r>
              <w:rPr>
                <w:rFonts w:ascii="Arial" w:cs="Arial" w:eastAsia="Arial" w:hAnsi="Arial"/>
                <w:sz w:val="16"/>
                <w:szCs w:val="16"/>
                <w:color w:val="auto"/>
              </w:rPr>
              <w:t>Total towables</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color w:val="auto"/>
              </w:rPr>
              <w:t>1,643</w:t>
            </w:r>
          </w:p>
        </w:tc>
        <w:tc>
          <w:tcPr>
            <w:tcW w:w="8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color w:val="auto"/>
              </w:rPr>
              <w:t>411</w:t>
            </w:r>
          </w:p>
        </w:tc>
        <w:tc>
          <w:tcPr>
            <w:tcW w:w="8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1,232</w:t>
            </w:r>
          </w:p>
        </w:tc>
        <w:tc>
          <w:tcPr>
            <w:tcW w:w="12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299.8 %</w:t>
            </w:r>
          </w:p>
        </w:tc>
      </w:tr>
      <w:tr>
        <w:trPr>
          <w:trHeight w:val="20"/>
        </w:trPr>
        <w:tc>
          <w:tcPr>
            <w:tcW w:w="2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Borders>
              <w:bottom w:val="single" w:sz="8" w:color="auto"/>
            </w:tcBorders>
            <w:gridSpan w:val="2"/>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416"/>
        </w:trPr>
        <w:tc>
          <w:tcPr>
            <w:tcW w:w="2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880" w:type="dxa"/>
            <w:vAlign w:val="bottom"/>
            <w:gridSpan w:val="4"/>
          </w:tcPr>
          <w:p>
            <w:pPr>
              <w:jc w:val="right"/>
              <w:ind w:right="659"/>
              <w:spacing w:after="0"/>
              <w:rPr>
                <w:sz w:val="20"/>
                <w:szCs w:val="20"/>
                <w:color w:val="auto"/>
              </w:rPr>
            </w:pPr>
            <w:r>
              <w:rPr>
                <w:rFonts w:ascii="Arial" w:cs="Arial" w:eastAsia="Arial" w:hAnsi="Arial"/>
                <w:sz w:val="18"/>
                <w:szCs w:val="18"/>
                <w:b w:val="1"/>
                <w:bCs w:val="1"/>
                <w:color w:val="auto"/>
              </w:rPr>
              <w:t>Unaudited Backlog</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99"/>
        </w:trPr>
        <w:tc>
          <w:tcPr>
            <w:tcW w:w="2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As Of</w:t>
            </w: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198"/>
        </w:trPr>
        <w:tc>
          <w:tcPr>
            <w:tcW w:w="2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80" w:type="dxa"/>
            <w:vAlign w:val="bottom"/>
          </w:tcPr>
          <w:p>
            <w:pPr>
              <w:jc w:val="right"/>
              <w:ind w:right="519"/>
              <w:spacing w:after="0"/>
              <w:rPr>
                <w:sz w:val="20"/>
                <w:szCs w:val="20"/>
                <w:color w:val="auto"/>
              </w:rPr>
            </w:pPr>
            <w:r>
              <w:rPr>
                <w:rFonts w:ascii="Arial" w:cs="Arial" w:eastAsia="Arial" w:hAnsi="Arial"/>
                <w:sz w:val="16"/>
                <w:szCs w:val="16"/>
                <w:b w:val="1"/>
                <w:bCs w:val="1"/>
                <w:color w:val="auto"/>
              </w:rPr>
              <w:t>%</w:t>
            </w:r>
          </w:p>
        </w:tc>
      </w:tr>
      <w:tr>
        <w:trPr>
          <w:trHeight w:val="228"/>
        </w:trPr>
        <w:tc>
          <w:tcPr>
            <w:tcW w:w="23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units)</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May 26, 2012</w:t>
            </w: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May 28, 2011</w:t>
            </w: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Increase(Decrease)</w:t>
            </w:r>
          </w:p>
        </w:tc>
        <w:tc>
          <w:tcPr>
            <w:tcW w:w="12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Change</w:t>
            </w:r>
          </w:p>
        </w:tc>
      </w:tr>
      <w:tr>
        <w:trPr>
          <w:trHeight w:val="257"/>
        </w:trPr>
        <w:tc>
          <w:tcPr>
            <w:tcW w:w="23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Class A gas</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479</w:t>
            </w:r>
          </w:p>
        </w:tc>
        <w:tc>
          <w:tcPr>
            <w:tcW w:w="8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38.7%</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187</w:t>
            </w:r>
          </w:p>
        </w:tc>
        <w:tc>
          <w:tcPr>
            <w:tcW w:w="8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29.1%</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76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292</w:t>
            </w:r>
          </w:p>
        </w:tc>
        <w:tc>
          <w:tcPr>
            <w:tcW w:w="1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156.1 %</w:t>
            </w:r>
          </w:p>
        </w:tc>
      </w:tr>
      <w:tr>
        <w:trPr>
          <w:trHeight w:val="264"/>
        </w:trPr>
        <w:tc>
          <w:tcPr>
            <w:tcW w:w="23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Class A diesel</w:t>
            </w: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color w:val="auto"/>
              </w:rPr>
              <w:t>257</w:t>
            </w:r>
          </w:p>
        </w:tc>
        <w:tc>
          <w:tcPr>
            <w:tcW w:w="8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20.8%</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color w:val="auto"/>
              </w:rPr>
              <w:t>113</w:t>
            </w:r>
          </w:p>
        </w:tc>
        <w:tc>
          <w:tcPr>
            <w:tcW w:w="8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17.6%</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144</w:t>
            </w:r>
          </w:p>
        </w:tc>
        <w:tc>
          <w:tcPr>
            <w:tcW w:w="1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127.4 %</w:t>
            </w:r>
          </w:p>
        </w:tc>
      </w:tr>
      <w:tr>
        <w:trPr>
          <w:trHeight w:val="257"/>
        </w:trPr>
        <w:tc>
          <w:tcPr>
            <w:tcW w:w="23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Total Class A</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736</w:t>
            </w:r>
          </w:p>
        </w:tc>
        <w:tc>
          <w:tcPr>
            <w:tcW w:w="8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59.5%</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300</w:t>
            </w:r>
          </w:p>
        </w:tc>
        <w:tc>
          <w:tcPr>
            <w:tcW w:w="8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46.7%</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76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436</w:t>
            </w:r>
          </w:p>
        </w:tc>
        <w:tc>
          <w:tcPr>
            <w:tcW w:w="1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145.3 %</w:t>
            </w:r>
          </w:p>
        </w:tc>
      </w:tr>
      <w:tr>
        <w:trPr>
          <w:trHeight w:val="260"/>
        </w:trPr>
        <w:tc>
          <w:tcPr>
            <w:tcW w:w="2380" w:type="dxa"/>
            <w:vAlign w:val="bottom"/>
            <w:gridSpan w:val="2"/>
          </w:tcPr>
          <w:p>
            <w:pPr>
              <w:ind w:left="40"/>
              <w:spacing w:after="0"/>
              <w:rPr>
                <w:sz w:val="20"/>
                <w:szCs w:val="20"/>
                <w:color w:val="auto"/>
              </w:rPr>
            </w:pPr>
            <w:r>
              <w:rPr>
                <w:rFonts w:ascii="Arial" w:cs="Arial" w:eastAsia="Arial" w:hAnsi="Arial"/>
                <w:sz w:val="16"/>
                <w:szCs w:val="16"/>
                <w:color w:val="auto"/>
              </w:rPr>
              <w:t>Class B</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560" w:type="dxa"/>
            <w:vAlign w:val="bottom"/>
          </w:tcPr>
          <w:p>
            <w:pPr>
              <w:jc w:val="right"/>
              <w:ind w:right="639"/>
              <w:spacing w:after="0"/>
              <w:rPr>
                <w:sz w:val="20"/>
                <w:szCs w:val="20"/>
                <w:color w:val="auto"/>
              </w:rPr>
            </w:pPr>
            <w:r>
              <w:rPr>
                <w:rFonts w:ascii="Arial" w:cs="Arial" w:eastAsia="Arial" w:hAnsi="Arial"/>
                <w:sz w:val="16"/>
                <w:szCs w:val="16"/>
                <w:color w:val="auto"/>
              </w:rPr>
              <w:t>120</w:t>
            </w:r>
          </w:p>
        </w:tc>
        <w:tc>
          <w:tcPr>
            <w:tcW w:w="860" w:type="dxa"/>
            <w:vAlign w:val="bottom"/>
          </w:tcPr>
          <w:p>
            <w:pPr>
              <w:jc w:val="right"/>
              <w:ind w:right="199"/>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500" w:type="dxa"/>
            <w:vAlign w:val="bottom"/>
          </w:tcPr>
          <w:p>
            <w:pPr>
              <w:jc w:val="right"/>
              <w:ind w:right="639"/>
              <w:spacing w:after="0"/>
              <w:rPr>
                <w:sz w:val="20"/>
                <w:szCs w:val="20"/>
                <w:color w:val="auto"/>
              </w:rPr>
            </w:pPr>
            <w:r>
              <w:rPr>
                <w:rFonts w:ascii="Arial" w:cs="Arial" w:eastAsia="Arial" w:hAnsi="Arial"/>
                <w:sz w:val="16"/>
                <w:szCs w:val="16"/>
                <w:color w:val="auto"/>
              </w:rPr>
              <w:t>130</w:t>
            </w:r>
          </w:p>
        </w:tc>
        <w:tc>
          <w:tcPr>
            <w:tcW w:w="860" w:type="dxa"/>
            <w:vAlign w:val="bottom"/>
          </w:tcPr>
          <w:p>
            <w:pPr>
              <w:jc w:val="right"/>
              <w:ind w:right="179"/>
              <w:spacing w:after="0"/>
              <w:rPr>
                <w:sz w:val="20"/>
                <w:szCs w:val="20"/>
                <w:color w:val="auto"/>
              </w:rPr>
            </w:pPr>
            <w:r>
              <w:rPr>
                <w:rFonts w:ascii="Arial" w:cs="Arial" w:eastAsia="Arial" w:hAnsi="Arial"/>
                <w:sz w:val="16"/>
                <w:szCs w:val="16"/>
                <w:color w:val="auto"/>
              </w:rPr>
              <w:t>20.2%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60" w:type="dxa"/>
            <w:vAlign w:val="bottom"/>
          </w:tcPr>
          <w:p>
            <w:pPr>
              <w:jc w:val="right"/>
              <w:ind w:right="359"/>
              <w:spacing w:after="0"/>
              <w:rPr>
                <w:sz w:val="20"/>
                <w:szCs w:val="20"/>
                <w:color w:val="auto"/>
              </w:rPr>
            </w:pPr>
            <w:r>
              <w:rPr>
                <w:rFonts w:ascii="Arial" w:cs="Arial" w:eastAsia="Arial" w:hAnsi="Arial"/>
                <w:sz w:val="16"/>
                <w:szCs w:val="16"/>
                <w:color w:val="auto"/>
              </w:rPr>
              <w:t>(10)</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(7.7)%</w:t>
            </w:r>
          </w:p>
        </w:tc>
      </w:tr>
      <w:tr>
        <w:trPr>
          <w:trHeight w:val="273"/>
        </w:trPr>
        <w:tc>
          <w:tcPr>
            <w:tcW w:w="23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Class C</w:t>
            </w:r>
          </w:p>
        </w:tc>
        <w:tc>
          <w:tcPr>
            <w:tcW w:w="6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color w:val="auto"/>
              </w:rPr>
              <w:t>381</w:t>
            </w:r>
          </w:p>
        </w:tc>
        <w:tc>
          <w:tcPr>
            <w:tcW w:w="8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30.8%</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color w:val="auto"/>
              </w:rPr>
              <w:t>212</w:t>
            </w:r>
          </w:p>
        </w:tc>
        <w:tc>
          <w:tcPr>
            <w:tcW w:w="8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33.0%</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76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169</w:t>
            </w:r>
          </w:p>
        </w:tc>
        <w:tc>
          <w:tcPr>
            <w:tcW w:w="1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79.7 %</w:t>
            </w:r>
          </w:p>
        </w:tc>
      </w:tr>
      <w:tr>
        <w:trPr>
          <w:trHeight w:val="283"/>
        </w:trPr>
        <w:tc>
          <w:tcPr>
            <w:tcW w:w="23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Total motor home backlog</w:t>
            </w:r>
            <w:r>
              <w:rPr>
                <w:rFonts w:ascii="Arial" w:cs="Arial" w:eastAsia="Arial" w:hAnsi="Arial"/>
                <w:sz w:val="21"/>
                <w:szCs w:val="21"/>
                <w:color w:val="auto"/>
                <w:vertAlign w:val="superscript"/>
              </w:rPr>
              <w:t>(1)</w:t>
            </w: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color w:val="auto"/>
              </w:rPr>
              <w:t>1,237</w:t>
            </w:r>
          </w:p>
        </w:tc>
        <w:tc>
          <w:tcPr>
            <w:tcW w:w="8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color w:val="auto"/>
              </w:rPr>
              <w:t>642</w:t>
            </w:r>
          </w:p>
        </w:tc>
        <w:tc>
          <w:tcPr>
            <w:tcW w:w="8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595</w:t>
            </w:r>
          </w:p>
        </w:tc>
        <w:tc>
          <w:tcPr>
            <w:tcW w:w="1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92.7 %</w:t>
            </w:r>
          </w:p>
        </w:tc>
      </w:tr>
      <w:tr>
        <w:trPr>
          <w:trHeight w:val="197"/>
        </w:trPr>
        <w:tc>
          <w:tcPr>
            <w:tcW w:w="2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60"/>
        </w:trPr>
        <w:tc>
          <w:tcPr>
            <w:tcW w:w="2380" w:type="dxa"/>
            <w:vAlign w:val="bottom"/>
            <w:gridSpan w:val="2"/>
          </w:tcPr>
          <w:p>
            <w:pPr>
              <w:ind w:left="40"/>
              <w:spacing w:after="0"/>
              <w:rPr>
                <w:sz w:val="20"/>
                <w:szCs w:val="20"/>
                <w:color w:val="auto"/>
              </w:rPr>
            </w:pPr>
            <w:r>
              <w:rPr>
                <w:rFonts w:ascii="Arial" w:cs="Arial" w:eastAsia="Arial" w:hAnsi="Arial"/>
                <w:sz w:val="16"/>
                <w:szCs w:val="16"/>
                <w:color w:val="auto"/>
              </w:rPr>
              <w:t>Fifth wheel</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560" w:type="dxa"/>
            <w:vAlign w:val="bottom"/>
          </w:tcPr>
          <w:p>
            <w:pPr>
              <w:jc w:val="right"/>
              <w:ind w:right="639"/>
              <w:spacing w:after="0"/>
              <w:rPr>
                <w:sz w:val="20"/>
                <w:szCs w:val="20"/>
                <w:color w:val="auto"/>
              </w:rPr>
            </w:pPr>
            <w:r>
              <w:rPr>
                <w:rFonts w:ascii="Arial" w:cs="Arial" w:eastAsia="Arial" w:hAnsi="Arial"/>
                <w:sz w:val="16"/>
                <w:szCs w:val="16"/>
                <w:color w:val="auto"/>
              </w:rPr>
              <w:t>204</w:t>
            </w:r>
          </w:p>
        </w:tc>
        <w:tc>
          <w:tcPr>
            <w:tcW w:w="860" w:type="dxa"/>
            <w:vAlign w:val="bottom"/>
          </w:tcPr>
          <w:p>
            <w:pPr>
              <w:jc w:val="right"/>
              <w:ind w:right="199"/>
              <w:spacing w:after="0"/>
              <w:rPr>
                <w:sz w:val="20"/>
                <w:szCs w:val="20"/>
                <w:color w:val="auto"/>
              </w:rPr>
            </w:pPr>
            <w:r>
              <w:rPr>
                <w:rFonts w:ascii="Arial" w:cs="Arial" w:eastAsia="Arial" w:hAnsi="Arial"/>
                <w:sz w:val="16"/>
                <w:szCs w:val="16"/>
                <w:color w:val="auto"/>
              </w:rPr>
              <w:t>40.4%</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500" w:type="dxa"/>
            <w:vAlign w:val="bottom"/>
          </w:tcPr>
          <w:p>
            <w:pPr>
              <w:jc w:val="right"/>
              <w:ind w:right="639"/>
              <w:spacing w:after="0"/>
              <w:rPr>
                <w:sz w:val="20"/>
                <w:szCs w:val="20"/>
                <w:color w:val="auto"/>
              </w:rPr>
            </w:pPr>
            <w:r>
              <w:rPr>
                <w:rFonts w:ascii="Arial" w:cs="Arial" w:eastAsia="Arial" w:hAnsi="Arial"/>
                <w:sz w:val="16"/>
                <w:szCs w:val="16"/>
                <w:color w:val="auto"/>
              </w:rPr>
              <w:t>46</w:t>
            </w:r>
          </w:p>
        </w:tc>
        <w:tc>
          <w:tcPr>
            <w:tcW w:w="860" w:type="dxa"/>
            <w:vAlign w:val="bottom"/>
          </w:tcPr>
          <w:p>
            <w:pPr>
              <w:jc w:val="right"/>
              <w:ind w:right="179"/>
              <w:spacing w:after="0"/>
              <w:rPr>
                <w:sz w:val="20"/>
                <w:szCs w:val="20"/>
                <w:color w:val="auto"/>
              </w:rPr>
            </w:pPr>
            <w:r>
              <w:rPr>
                <w:rFonts w:ascii="Arial" w:cs="Arial" w:eastAsia="Arial" w:hAnsi="Arial"/>
                <w:sz w:val="16"/>
                <w:szCs w:val="16"/>
                <w:color w:val="auto"/>
              </w:rPr>
              <w:t>28.0%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60" w:type="dxa"/>
            <w:vAlign w:val="bottom"/>
          </w:tcPr>
          <w:p>
            <w:pPr>
              <w:jc w:val="right"/>
              <w:ind w:right="419"/>
              <w:spacing w:after="0"/>
              <w:rPr>
                <w:sz w:val="20"/>
                <w:szCs w:val="20"/>
                <w:color w:val="auto"/>
              </w:rPr>
            </w:pPr>
            <w:r>
              <w:rPr>
                <w:rFonts w:ascii="Arial" w:cs="Arial" w:eastAsia="Arial" w:hAnsi="Arial"/>
                <w:sz w:val="16"/>
                <w:szCs w:val="16"/>
                <w:color w:val="auto"/>
              </w:rPr>
              <w:t>158</w:t>
            </w:r>
          </w:p>
        </w:tc>
        <w:tc>
          <w:tcPr>
            <w:tcW w:w="1280" w:type="dxa"/>
            <w:vAlign w:val="bottom"/>
          </w:tcPr>
          <w:p>
            <w:pPr>
              <w:jc w:val="right"/>
              <w:ind w:right="99"/>
              <w:spacing w:after="0"/>
              <w:rPr>
                <w:sz w:val="20"/>
                <w:szCs w:val="20"/>
                <w:color w:val="auto"/>
              </w:rPr>
            </w:pPr>
            <w:r>
              <w:rPr>
                <w:rFonts w:ascii="Arial" w:cs="Arial" w:eastAsia="Arial" w:hAnsi="Arial"/>
                <w:sz w:val="16"/>
                <w:szCs w:val="16"/>
                <w:color w:val="auto"/>
              </w:rPr>
              <w:t>343.5 %</w:t>
            </w:r>
          </w:p>
        </w:tc>
      </w:tr>
      <w:tr>
        <w:trPr>
          <w:trHeight w:val="273"/>
        </w:trPr>
        <w:tc>
          <w:tcPr>
            <w:tcW w:w="23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Travel trailer</w:t>
            </w:r>
          </w:p>
        </w:tc>
        <w:tc>
          <w:tcPr>
            <w:tcW w:w="6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color w:val="auto"/>
              </w:rPr>
              <w:t>301</w:t>
            </w:r>
          </w:p>
        </w:tc>
        <w:tc>
          <w:tcPr>
            <w:tcW w:w="8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59.6%</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color w:val="auto"/>
              </w:rPr>
              <w:t>118</w:t>
            </w:r>
          </w:p>
        </w:tc>
        <w:tc>
          <w:tcPr>
            <w:tcW w:w="8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72.0%</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76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183</w:t>
            </w:r>
          </w:p>
        </w:tc>
        <w:tc>
          <w:tcPr>
            <w:tcW w:w="1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155.1 %</w:t>
            </w:r>
          </w:p>
        </w:tc>
      </w:tr>
      <w:tr>
        <w:trPr>
          <w:trHeight w:val="283"/>
        </w:trPr>
        <w:tc>
          <w:tcPr>
            <w:tcW w:w="23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Total towable backlog</w:t>
            </w:r>
            <w:r>
              <w:rPr>
                <w:rFonts w:ascii="Arial" w:cs="Arial" w:eastAsia="Arial" w:hAnsi="Arial"/>
                <w:sz w:val="21"/>
                <w:szCs w:val="21"/>
                <w:color w:val="auto"/>
                <w:vertAlign w:val="superscript"/>
              </w:rPr>
              <w:t>(1)</w:t>
            </w: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color w:val="auto"/>
              </w:rPr>
              <w:t>505</w:t>
            </w:r>
          </w:p>
        </w:tc>
        <w:tc>
          <w:tcPr>
            <w:tcW w:w="8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color w:val="auto"/>
              </w:rPr>
              <w:t>164</w:t>
            </w:r>
          </w:p>
        </w:tc>
        <w:tc>
          <w:tcPr>
            <w:tcW w:w="8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341</w:t>
            </w:r>
          </w:p>
        </w:tc>
        <w:tc>
          <w:tcPr>
            <w:tcW w:w="1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207.9 %</w:t>
            </w:r>
          </w:p>
        </w:tc>
      </w:tr>
      <w:tr>
        <w:trPr>
          <w:trHeight w:val="197"/>
        </w:trPr>
        <w:tc>
          <w:tcPr>
            <w:tcW w:w="234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40"/>
        </w:trPr>
        <w:tc>
          <w:tcPr>
            <w:tcW w:w="4380" w:type="dxa"/>
            <w:vAlign w:val="bottom"/>
            <w:gridSpan w:val="6"/>
          </w:tcPr>
          <w:p>
            <w:pPr>
              <w:ind w:left="40"/>
              <w:spacing w:after="0"/>
              <w:rPr>
                <w:sz w:val="20"/>
                <w:szCs w:val="20"/>
                <w:color w:val="auto"/>
              </w:rPr>
            </w:pPr>
            <w:r>
              <w:rPr>
                <w:rFonts w:ascii="Arial" w:cs="Arial" w:eastAsia="Arial" w:hAnsi="Arial"/>
                <w:sz w:val="16"/>
                <w:szCs w:val="16"/>
                <w:color w:val="auto"/>
              </w:rPr>
              <w:t>Approximate backlog revenue in thousands:</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80"/>
        </w:trPr>
        <w:tc>
          <w:tcPr>
            <w:tcW w:w="23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Motor homes</w:t>
            </w:r>
          </w:p>
        </w:tc>
        <w:tc>
          <w:tcPr>
            <w:tcW w:w="44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131,418</w:t>
            </w:r>
          </w:p>
        </w:tc>
        <w:tc>
          <w:tcPr>
            <w:tcW w:w="138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61,924</w:t>
            </w: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69,494</w:t>
            </w:r>
          </w:p>
        </w:tc>
        <w:tc>
          <w:tcPr>
            <w:tcW w:w="1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112.2 %</w:t>
            </w:r>
          </w:p>
        </w:tc>
      </w:tr>
      <w:tr>
        <w:trPr>
          <w:trHeight w:val="251"/>
        </w:trPr>
        <w:tc>
          <w:tcPr>
            <w:tcW w:w="2380" w:type="dxa"/>
            <w:vAlign w:val="bottom"/>
            <w:gridSpan w:val="2"/>
          </w:tcPr>
          <w:p>
            <w:pPr>
              <w:ind w:left="40"/>
              <w:spacing w:after="0"/>
              <w:rPr>
                <w:sz w:val="20"/>
                <w:szCs w:val="20"/>
                <w:color w:val="auto"/>
              </w:rPr>
            </w:pPr>
            <w:r>
              <w:rPr>
                <w:rFonts w:ascii="Arial" w:cs="Arial" w:eastAsia="Arial" w:hAnsi="Arial"/>
                <w:sz w:val="16"/>
                <w:szCs w:val="16"/>
                <w:color w:val="auto"/>
              </w:rPr>
              <w:t>Towables</w:t>
            </w:r>
          </w:p>
        </w:tc>
        <w:tc>
          <w:tcPr>
            <w:tcW w:w="44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639"/>
              <w:spacing w:after="0"/>
              <w:rPr>
                <w:sz w:val="20"/>
                <w:szCs w:val="20"/>
                <w:color w:val="auto"/>
              </w:rPr>
            </w:pPr>
            <w:r>
              <w:rPr>
                <w:rFonts w:ascii="Arial" w:cs="Arial" w:eastAsia="Arial" w:hAnsi="Arial"/>
                <w:sz w:val="16"/>
                <w:szCs w:val="16"/>
                <w:color w:val="auto"/>
              </w:rPr>
              <w:t>12,487</w:t>
            </w:r>
          </w:p>
        </w:tc>
        <w:tc>
          <w:tcPr>
            <w:tcW w:w="138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639"/>
              <w:spacing w:after="0"/>
              <w:rPr>
                <w:sz w:val="20"/>
                <w:szCs w:val="20"/>
                <w:color w:val="auto"/>
              </w:rPr>
            </w:pPr>
            <w:r>
              <w:rPr>
                <w:rFonts w:ascii="Arial" w:cs="Arial" w:eastAsia="Arial" w:hAnsi="Arial"/>
                <w:sz w:val="16"/>
                <w:szCs w:val="16"/>
                <w:color w:val="auto"/>
              </w:rPr>
              <w:t>3,532</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760" w:type="dxa"/>
            <w:vAlign w:val="bottom"/>
          </w:tcPr>
          <w:p>
            <w:pPr>
              <w:jc w:val="right"/>
              <w:ind w:right="419"/>
              <w:spacing w:after="0"/>
              <w:rPr>
                <w:sz w:val="20"/>
                <w:szCs w:val="20"/>
                <w:color w:val="auto"/>
              </w:rPr>
            </w:pPr>
            <w:r>
              <w:rPr>
                <w:rFonts w:ascii="Arial" w:cs="Arial" w:eastAsia="Arial" w:hAnsi="Arial"/>
                <w:sz w:val="16"/>
                <w:szCs w:val="16"/>
                <w:color w:val="auto"/>
              </w:rPr>
              <w:t>8,955</w:t>
            </w:r>
          </w:p>
        </w:tc>
        <w:tc>
          <w:tcPr>
            <w:tcW w:w="1280" w:type="dxa"/>
            <w:vAlign w:val="bottom"/>
          </w:tcPr>
          <w:p>
            <w:pPr>
              <w:jc w:val="right"/>
              <w:ind w:right="99"/>
              <w:spacing w:after="0"/>
              <w:rPr>
                <w:sz w:val="20"/>
                <w:szCs w:val="20"/>
                <w:color w:val="auto"/>
              </w:rPr>
            </w:pPr>
            <w:r>
              <w:rPr>
                <w:rFonts w:ascii="Arial" w:cs="Arial" w:eastAsia="Arial" w:hAnsi="Arial"/>
                <w:sz w:val="16"/>
                <w:szCs w:val="16"/>
                <w:color w:val="auto"/>
              </w:rPr>
              <w:t>253.5 %</w:t>
            </w:r>
          </w:p>
        </w:tc>
      </w:tr>
    </w:tbl>
    <w:p>
      <w:pPr>
        <w:spacing w:after="0" w:line="257" w:lineRule="exact"/>
        <w:rPr>
          <w:sz w:val="20"/>
          <w:szCs w:val="20"/>
          <w:color w:val="auto"/>
        </w:rPr>
      </w:pPr>
    </w:p>
    <w:p>
      <w:pPr>
        <w:ind w:left="40" w:right="260" w:hanging="5"/>
        <w:spacing w:after="0" w:line="230" w:lineRule="auto"/>
        <w:tabs>
          <w:tab w:leader="none" w:pos="229" w:val="left"/>
        </w:tabs>
        <w:numPr>
          <w:ilvl w:val="0"/>
          <w:numId w:val="3"/>
        </w:numPr>
        <w:rPr>
          <w:rFonts w:ascii="Arial" w:cs="Arial" w:eastAsia="Arial" w:hAnsi="Arial"/>
          <w:sz w:val="13"/>
          <w:szCs w:val="13"/>
          <w:color w:val="auto"/>
        </w:rPr>
      </w:pPr>
      <w:r>
        <w:rPr>
          <w:rFonts w:ascii="Arial" w:cs="Arial" w:eastAsia="Arial" w:hAnsi="Arial"/>
          <w:sz w:val="13"/>
          <w:szCs w:val="13"/>
          <w:color w:val="auto"/>
        </w:rPr>
        <w:t>We include in our backlog all accepted purchase orders from dealers to be shipped within the next six months. Orders in backlog can be canceled or postponed at the option of the purchaser at any time without penalty and, therefore, backlog may not necessarily be an accurate measure of future sales.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Dealer Inventory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3"/>
          </w:tcPr>
          <w:p>
            <w:pPr>
              <w:jc w:val="right"/>
              <w:ind w:right="1379"/>
              <w:spacing w:after="0"/>
              <w:rPr>
                <w:sz w:val="20"/>
                <w:szCs w:val="20"/>
                <w:color w:val="auto"/>
              </w:rPr>
            </w:pPr>
            <w:r>
              <w:rPr>
                <w:rFonts w:ascii="Arial" w:cs="Arial" w:eastAsia="Arial" w:hAnsi="Arial"/>
                <w:sz w:val="16"/>
                <w:szCs w:val="16"/>
                <w:b w:val="1"/>
                <w:bCs w:val="1"/>
                <w:color w:val="auto"/>
              </w:rPr>
              <w:t>As Of</w:t>
            </w:r>
          </w:p>
        </w:tc>
        <w:tc>
          <w:tcPr>
            <w:tcW w:w="1580" w:type="dxa"/>
            <w:vAlign w:val="bottom"/>
            <w:tcBorders>
              <w:bottom w:val="single" w:sz="8" w:color="auto"/>
            </w:tcBorders>
          </w:tcPr>
          <w:p>
            <w:pPr>
              <w:spacing w:after="0"/>
              <w:rPr>
                <w:sz w:val="19"/>
                <w:szCs w:val="19"/>
                <w:color w:val="auto"/>
              </w:rPr>
            </w:pPr>
          </w:p>
        </w:tc>
      </w:tr>
      <w:tr>
        <w:trPr>
          <w:trHeight w:val="198"/>
        </w:trPr>
        <w:tc>
          <w:tcPr>
            <w:tcW w:w="4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2"/>
          </w:tcPr>
          <w:p>
            <w:pPr>
              <w:ind w:left="440"/>
              <w:spacing w:after="0"/>
              <w:rPr>
                <w:sz w:val="20"/>
                <w:szCs w:val="20"/>
                <w:color w:val="auto"/>
              </w:rPr>
            </w:pPr>
            <w:r>
              <w:rPr>
                <w:rFonts w:ascii="Arial" w:cs="Arial" w:eastAsia="Arial" w:hAnsi="Arial"/>
                <w:sz w:val="16"/>
                <w:szCs w:val="16"/>
                <w:b w:val="1"/>
                <w:bCs w:val="1"/>
                <w:color w:val="auto"/>
              </w:rPr>
              <w:t>May 26,</w:t>
            </w:r>
          </w:p>
        </w:tc>
        <w:tc>
          <w:tcPr>
            <w:tcW w:w="1420" w:type="dxa"/>
            <w:vAlign w:val="bottom"/>
          </w:tcPr>
          <w:p>
            <w:pPr>
              <w:jc w:val="right"/>
              <w:ind w:right="299"/>
              <w:spacing w:after="0"/>
              <w:rPr>
                <w:sz w:val="20"/>
                <w:szCs w:val="20"/>
                <w:color w:val="auto"/>
              </w:rPr>
            </w:pPr>
            <w:r>
              <w:rPr>
                <w:rFonts w:ascii="Arial" w:cs="Arial" w:eastAsia="Arial" w:hAnsi="Arial"/>
                <w:sz w:val="16"/>
                <w:szCs w:val="16"/>
                <w:b w:val="1"/>
                <w:bCs w:val="1"/>
                <w:color w:val="auto"/>
              </w:rPr>
              <w:t>May 28,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right"/>
              <w:ind w:right="399"/>
              <w:spacing w:after="0"/>
              <w:rPr>
                <w:sz w:val="20"/>
                <w:szCs w:val="20"/>
                <w:color w:val="auto"/>
              </w:rPr>
            </w:pPr>
            <w:r>
              <w:rPr>
                <w:rFonts w:ascii="Arial" w:cs="Arial" w:eastAsia="Arial" w:hAnsi="Arial"/>
                <w:sz w:val="16"/>
                <w:szCs w:val="16"/>
                <w:b w:val="1"/>
                <w:bCs w:val="1"/>
                <w:color w:val="auto"/>
              </w:rPr>
              <w:t>(Decrease)</w:t>
            </w:r>
          </w:p>
        </w:tc>
        <w:tc>
          <w:tcPr>
            <w:tcW w:w="1580" w:type="dxa"/>
            <w:vAlign w:val="bottom"/>
          </w:tcPr>
          <w:p>
            <w:pPr>
              <w:jc w:val="right"/>
              <w:ind w:right="679"/>
              <w:spacing w:after="0"/>
              <w:rPr>
                <w:sz w:val="20"/>
                <w:szCs w:val="20"/>
                <w:color w:val="auto"/>
              </w:rPr>
            </w:pPr>
            <w:r>
              <w:rPr>
                <w:rFonts w:ascii="Arial" w:cs="Arial" w:eastAsia="Arial" w:hAnsi="Arial"/>
                <w:sz w:val="16"/>
                <w:szCs w:val="16"/>
                <w:b w:val="1"/>
                <w:bCs w:val="1"/>
                <w:color w:val="auto"/>
              </w:rPr>
              <w:t>%</w:t>
            </w:r>
          </w:p>
        </w:tc>
      </w:tr>
      <w:tr>
        <w:trPr>
          <w:trHeight w:val="228"/>
        </w:trPr>
        <w:tc>
          <w:tcPr>
            <w:tcW w:w="47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units)</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2012</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2011</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Increase</w:t>
            </w:r>
          </w:p>
        </w:tc>
        <w:tc>
          <w:tcPr>
            <w:tcW w:w="15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Change</w:t>
            </w:r>
          </w:p>
        </w:tc>
      </w:tr>
      <w:tr>
        <w:trPr>
          <w:trHeight w:val="257"/>
        </w:trPr>
        <w:tc>
          <w:tcPr>
            <w:tcW w:w="48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Motor homes</w:t>
            </w:r>
          </w:p>
        </w:tc>
        <w:tc>
          <w:tcPr>
            <w:tcW w:w="15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1,940</w:t>
            </w:r>
          </w:p>
        </w:tc>
        <w:tc>
          <w:tcPr>
            <w:tcW w:w="10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2,068</w:t>
            </w:r>
          </w:p>
        </w:tc>
        <w:tc>
          <w:tcPr>
            <w:tcW w:w="1920" w:type="dxa"/>
            <w:vAlign w:val="bottom"/>
            <w:gridSpan w:val="3"/>
            <w:shd w:val="clear" w:color="auto" w:fill="CCEEFF"/>
          </w:tcPr>
          <w:p>
            <w:pPr>
              <w:jc w:val="right"/>
              <w:ind w:right="359"/>
              <w:spacing w:after="0"/>
              <w:rPr>
                <w:sz w:val="20"/>
                <w:szCs w:val="20"/>
                <w:color w:val="auto"/>
              </w:rPr>
            </w:pPr>
            <w:r>
              <w:rPr>
                <w:rFonts w:ascii="Arial" w:cs="Arial" w:eastAsia="Arial" w:hAnsi="Arial"/>
                <w:sz w:val="16"/>
                <w:szCs w:val="16"/>
                <w:color w:val="auto"/>
              </w:rPr>
              <w:t>(128)</w:t>
            </w:r>
          </w:p>
        </w:tc>
        <w:tc>
          <w:tcPr>
            <w:tcW w:w="15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(6.2)%</w:t>
            </w:r>
          </w:p>
        </w:tc>
      </w:tr>
      <w:tr>
        <w:trPr>
          <w:trHeight w:val="251"/>
        </w:trPr>
        <w:tc>
          <w:tcPr>
            <w:tcW w:w="4880" w:type="dxa"/>
            <w:vAlign w:val="bottom"/>
            <w:gridSpan w:val="2"/>
          </w:tcPr>
          <w:p>
            <w:pPr>
              <w:ind w:left="40"/>
              <w:spacing w:after="0"/>
              <w:rPr>
                <w:sz w:val="20"/>
                <w:szCs w:val="20"/>
                <w:color w:val="auto"/>
              </w:rPr>
            </w:pPr>
            <w:r>
              <w:rPr>
                <w:rFonts w:ascii="Arial" w:cs="Arial" w:eastAsia="Arial" w:hAnsi="Arial"/>
                <w:sz w:val="16"/>
                <w:szCs w:val="16"/>
                <w:color w:val="auto"/>
              </w:rPr>
              <w:t>Towables</w:t>
            </w: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1,370</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1,028</w:t>
            </w:r>
          </w:p>
        </w:tc>
        <w:tc>
          <w:tcPr>
            <w:tcW w:w="1920" w:type="dxa"/>
            <w:vAlign w:val="bottom"/>
            <w:gridSpan w:val="3"/>
          </w:tcPr>
          <w:p>
            <w:pPr>
              <w:jc w:val="right"/>
              <w:ind w:right="419"/>
              <w:spacing w:after="0"/>
              <w:rPr>
                <w:sz w:val="20"/>
                <w:szCs w:val="20"/>
                <w:color w:val="auto"/>
              </w:rPr>
            </w:pPr>
            <w:r>
              <w:rPr>
                <w:rFonts w:ascii="Arial" w:cs="Arial" w:eastAsia="Arial" w:hAnsi="Arial"/>
                <w:sz w:val="16"/>
                <w:szCs w:val="16"/>
                <w:color w:val="auto"/>
              </w:rPr>
              <w:t>342</w:t>
            </w:r>
          </w:p>
        </w:tc>
        <w:tc>
          <w:tcPr>
            <w:tcW w:w="1580" w:type="dxa"/>
            <w:vAlign w:val="bottom"/>
          </w:tcPr>
          <w:p>
            <w:pPr>
              <w:jc w:val="right"/>
              <w:ind w:right="199"/>
              <w:spacing w:after="0"/>
              <w:rPr>
                <w:sz w:val="20"/>
                <w:szCs w:val="20"/>
                <w:color w:val="auto"/>
              </w:rPr>
            </w:pPr>
            <w:r>
              <w:rPr>
                <w:rFonts w:ascii="Arial" w:cs="Arial" w:eastAsia="Arial" w:hAnsi="Arial"/>
                <w:sz w:val="16"/>
                <w:szCs w:val="16"/>
                <w:color w:val="auto"/>
              </w:rPr>
              <w:t>33.3 %</w:t>
            </w:r>
          </w:p>
        </w:tc>
      </w:tr>
    </w:tbl>
    <w:p>
      <w:pPr>
        <w:spacing w:after="0" w:line="1" w:lineRule="exact"/>
        <w:rPr>
          <w:sz w:val="20"/>
          <w:szCs w:val="20"/>
          <w:color w:val="auto"/>
        </w:rPr>
      </w:pPr>
    </w:p>
    <w:sectPr>
      <w:pgSz w:w="11900" w:h="16838" w:orient="portrait"/>
      <w:cols w:equalWidth="0" w:num="1">
        <w:col w:w="11420"/>
      </w:cols>
      <w:pgMar w:left="240" w:top="576" w:right="239" w:bottom="703"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2019-12-09T08:53:58Z</dcterms:created>
  <dcterms:modified xsi:type="dcterms:W3CDTF">2019-12-09T08:53:58Z</dcterms:modified>
</cp:coreProperties>
</file>