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4"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7"/>
          <w:szCs w:val="17"/>
          <w:color w:val="auto"/>
        </w:rPr>
        <w:t>WASHINGTON, D.C. 20549</w:t>
      </w:r>
    </w:p>
    <w:p>
      <w:pPr>
        <w:spacing w:after="0" w:line="366"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0" w:lineRule="exact"/>
        <w:rPr>
          <w:sz w:val="24"/>
          <w:szCs w:val="24"/>
          <w:color w:val="auto"/>
        </w:rPr>
      </w:pPr>
    </w:p>
    <w:p>
      <w:pPr>
        <w:ind w:left="200"/>
        <w:spacing w:after="0"/>
        <w:rPr>
          <w:sz w:val="24"/>
          <w:szCs w:val="24"/>
          <w:color w:val="auto"/>
        </w:rPr>
      </w:pPr>
      <w:r>
        <w:rPr>
          <w:rFonts w:ascii="Courier New" w:cs="Courier New" w:eastAsia="Courier New" w:hAnsi="Courier New"/>
          <w:sz w:val="17"/>
          <w:szCs w:val="17"/>
          <w:color w:val="auto"/>
        </w:rPr>
        <w:t>XQUARTERLY REPORT PURSUANT TO SECTION 13 OR 15(d) OF THE SECURITIES</w:t>
      </w:r>
    </w:p>
    <w:p>
      <w:pPr>
        <w:spacing w:after="0" w:line="33"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EXCHANGE ACT OF 1934</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160" w:type="dxa"/>
            <w:vAlign w:val="bottom"/>
            <w:gridSpan w:val="2"/>
          </w:tcPr>
          <w:p>
            <w:pPr>
              <w:spacing w:after="0"/>
              <w:rPr>
                <w:sz w:val="20"/>
                <w:szCs w:val="20"/>
                <w:color w:val="auto"/>
              </w:rPr>
            </w:pPr>
            <w:r>
              <w:rPr>
                <w:rFonts w:ascii="Courier New" w:cs="Courier New" w:eastAsia="Courier New" w:hAnsi="Courier New"/>
                <w:sz w:val="17"/>
                <w:szCs w:val="17"/>
                <w:color w:val="auto"/>
              </w:rPr>
              <w:t>For the quarterly period ended</w:t>
            </w:r>
          </w:p>
        </w:tc>
        <w:tc>
          <w:tcPr>
            <w:tcW w:w="4900" w:type="dxa"/>
            <w:vAlign w:val="bottom"/>
          </w:tcPr>
          <w:p>
            <w:pPr>
              <w:jc w:val="right"/>
              <w:ind w:right="2055"/>
              <w:spacing w:after="0"/>
              <w:rPr>
                <w:sz w:val="20"/>
                <w:szCs w:val="20"/>
                <w:color w:val="auto"/>
              </w:rPr>
            </w:pPr>
            <w:r>
              <w:rPr>
                <w:rFonts w:ascii="Courier New" w:cs="Courier New" w:eastAsia="Courier New" w:hAnsi="Courier New"/>
                <w:sz w:val="17"/>
                <w:szCs w:val="17"/>
                <w:color w:val="auto"/>
              </w:rPr>
              <w:t>March 1, 1997</w:t>
            </w:r>
          </w:p>
        </w:tc>
        <w:tc>
          <w:tcPr>
            <w:tcW w:w="0" w:type="dxa"/>
            <w:vAlign w:val="bottom"/>
          </w:tcPr>
          <w:p>
            <w:pPr>
              <w:spacing w:after="0"/>
              <w:rPr>
                <w:sz w:val="1"/>
                <w:szCs w:val="1"/>
                <w:color w:val="auto"/>
              </w:rPr>
            </w:pPr>
          </w:p>
        </w:tc>
      </w:tr>
      <w:tr>
        <w:trPr>
          <w:trHeight w:val="286"/>
        </w:trPr>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900" w:type="dxa"/>
            <w:vAlign w:val="bottom"/>
          </w:tcPr>
          <w:p>
            <w:pPr>
              <w:jc w:val="right"/>
              <w:ind w:right="3795"/>
              <w:spacing w:after="0"/>
              <w:rPr>
                <w:sz w:val="20"/>
                <w:szCs w:val="20"/>
                <w:color w:val="auto"/>
              </w:rPr>
            </w:pPr>
            <w:r>
              <w:rPr>
                <w:rFonts w:ascii="Courier New" w:cs="Courier New" w:eastAsia="Courier New" w:hAnsi="Courier New"/>
                <w:sz w:val="17"/>
                <w:szCs w:val="17"/>
                <w:color w:val="auto"/>
              </w:rPr>
              <w:t>OR</w:t>
            </w:r>
          </w:p>
        </w:tc>
        <w:tc>
          <w:tcPr>
            <w:tcW w:w="0" w:type="dxa"/>
            <w:vAlign w:val="bottom"/>
          </w:tcPr>
          <w:p>
            <w:pPr>
              <w:spacing w:after="0"/>
              <w:rPr>
                <w:sz w:val="1"/>
                <w:szCs w:val="1"/>
                <w:color w:val="auto"/>
              </w:rPr>
            </w:pPr>
          </w:p>
        </w:tc>
      </w:tr>
      <w:tr>
        <w:trPr>
          <w:trHeight w:val="303"/>
        </w:trPr>
        <w:tc>
          <w:tcPr>
            <w:tcW w:w="820" w:type="dxa"/>
            <w:vAlign w:val="bottom"/>
            <w:vMerge w:val="restart"/>
          </w:tcPr>
          <w:p>
            <w:pPr>
              <w:spacing w:after="0"/>
              <w:rPr>
                <w:sz w:val="20"/>
                <w:szCs w:val="20"/>
                <w:color w:val="auto"/>
              </w:rPr>
            </w:pPr>
            <w:r>
              <w:rPr>
                <w:rFonts w:ascii="Courier New" w:cs="Courier New" w:eastAsia="Courier New" w:hAnsi="Courier New"/>
                <w:sz w:val="17"/>
                <w:szCs w:val="17"/>
                <w:color w:val="auto"/>
              </w:rPr>
              <w:t>- -----</w:t>
            </w:r>
          </w:p>
        </w:tc>
        <w:tc>
          <w:tcPr>
            <w:tcW w:w="72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TRANSITION REPORT PURSUANT TO SECTION 13 OR 15(d) OF THE SECURITIES</w:t>
            </w:r>
          </w:p>
        </w:tc>
        <w:tc>
          <w:tcPr>
            <w:tcW w:w="0" w:type="dxa"/>
            <w:vAlign w:val="bottom"/>
          </w:tcPr>
          <w:p>
            <w:pPr>
              <w:spacing w:after="0"/>
              <w:rPr>
                <w:sz w:val="1"/>
                <w:szCs w:val="1"/>
                <w:color w:val="auto"/>
              </w:rPr>
            </w:pPr>
          </w:p>
        </w:tc>
      </w:tr>
      <w:tr>
        <w:trPr>
          <w:trHeight w:val="286"/>
        </w:trPr>
        <w:tc>
          <w:tcPr>
            <w:tcW w:w="820" w:type="dxa"/>
            <w:vAlign w:val="bottom"/>
            <w:vMerge w:val="continue"/>
          </w:tcPr>
          <w:p>
            <w:pPr>
              <w:spacing w:after="0"/>
              <w:rPr>
                <w:sz w:val="24"/>
                <w:szCs w:val="24"/>
                <w:color w:val="auto"/>
              </w:rPr>
            </w:pPr>
          </w:p>
        </w:tc>
        <w:tc>
          <w:tcPr>
            <w:tcW w:w="2340" w:type="dxa"/>
            <w:vAlign w:val="bottom"/>
          </w:tcPr>
          <w:p>
            <w:pPr>
              <w:ind w:left="300"/>
              <w:spacing w:after="0"/>
              <w:rPr>
                <w:sz w:val="20"/>
                <w:szCs w:val="20"/>
                <w:color w:val="auto"/>
              </w:rPr>
            </w:pPr>
            <w:r>
              <w:rPr>
                <w:rFonts w:ascii="Courier New" w:cs="Courier New" w:eastAsia="Courier New" w:hAnsi="Courier New"/>
                <w:sz w:val="17"/>
                <w:szCs w:val="17"/>
                <w:color w:val="auto"/>
                <w:w w:val="98"/>
              </w:rPr>
              <w:t>EXCHANGE ACT OF 1934</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transition period from _____________________ to _______________________</w:t>
      </w:r>
    </w:p>
    <w:p>
      <w:pPr>
        <w:spacing w:after="0" w:line="200" w:lineRule="exact"/>
        <w:rPr>
          <w:sz w:val="24"/>
          <w:szCs w:val="24"/>
          <w:color w:val="auto"/>
        </w:rPr>
      </w:pPr>
    </w:p>
    <w:p>
      <w:pPr>
        <w:spacing w:after="0"/>
        <w:tabs>
          <w:tab w:leader="none" w:pos="2440" w:val="left"/>
        </w:tabs>
        <w:rPr>
          <w:sz w:val="20"/>
          <w:szCs w:val="20"/>
          <w:color w:val="auto"/>
        </w:rPr>
      </w:pPr>
      <w:r>
        <w:rPr>
          <w:rFonts w:ascii="Courier New" w:cs="Courier New" w:eastAsia="Courier New" w:hAnsi="Courier New"/>
          <w:sz w:val="17"/>
          <w:szCs w:val="17"/>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1180" w:type="dxa"/>
            <w:vAlign w:val="bottom"/>
          </w:tcPr>
          <w:p>
            <w:pPr>
              <w:spacing w:after="0"/>
              <w:rPr>
                <w:sz w:val="17"/>
                <w:szCs w:val="17"/>
                <w:color w:val="auto"/>
              </w:rPr>
            </w:pPr>
          </w:p>
        </w:tc>
        <w:tc>
          <w:tcPr>
            <w:tcW w:w="3460" w:type="dxa"/>
            <w:vAlign w:val="bottom"/>
          </w:tcPr>
          <w:p>
            <w:pPr>
              <w:ind w:left="160"/>
              <w:spacing w:after="0"/>
              <w:rPr>
                <w:sz w:val="20"/>
                <w:szCs w:val="20"/>
                <w:color w:val="auto"/>
              </w:rPr>
            </w:pPr>
            <w:r>
              <w:rPr>
                <w:rFonts w:ascii="Courier New" w:cs="Courier New" w:eastAsia="Courier New" w:hAnsi="Courier New"/>
                <w:sz w:val="17"/>
                <w:szCs w:val="17"/>
                <w:color w:val="auto"/>
              </w:rPr>
              <w:t>IOWA</w:t>
            </w:r>
          </w:p>
        </w:tc>
        <w:tc>
          <w:tcPr>
            <w:tcW w:w="35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42-0803978</w:t>
            </w:r>
          </w:p>
        </w:tc>
      </w:tr>
      <w:tr>
        <w:trPr>
          <w:trHeight w:val="196"/>
        </w:trPr>
        <w:tc>
          <w:tcPr>
            <w:tcW w:w="4640" w:type="dxa"/>
            <w:vAlign w:val="bottom"/>
            <w:gridSpan w:val="2"/>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3520" w:type="dxa"/>
            <w:vAlign w:val="bottom"/>
          </w:tcPr>
          <w:p>
            <w:pPr>
              <w:jc w:val="center"/>
              <w:ind w:left="1195"/>
              <w:spacing w:after="0"/>
              <w:rPr>
                <w:sz w:val="20"/>
                <w:szCs w:val="20"/>
                <w:color w:val="auto"/>
              </w:rPr>
            </w:pPr>
            <w:r>
              <w:rPr>
                <w:rFonts w:ascii="Courier New" w:cs="Courier New" w:eastAsia="Courier New" w:hAnsi="Courier New"/>
                <w:sz w:val="17"/>
                <w:szCs w:val="17"/>
                <w:color w:val="auto"/>
              </w:rPr>
              <w:t>(I.R.S. Employer</w:t>
            </w:r>
          </w:p>
        </w:tc>
      </w:tr>
      <w:tr>
        <w:trPr>
          <w:trHeight w:val="286"/>
        </w:trPr>
        <w:tc>
          <w:tcPr>
            <w:tcW w:w="4640" w:type="dxa"/>
            <w:vAlign w:val="bottom"/>
            <w:gridSpan w:val="2"/>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3520" w:type="dxa"/>
            <w:vAlign w:val="bottom"/>
          </w:tcPr>
          <w:p>
            <w:pPr>
              <w:jc w:val="center"/>
              <w:ind w:left="1295"/>
              <w:spacing w:after="0"/>
              <w:rPr>
                <w:sz w:val="20"/>
                <w:szCs w:val="20"/>
                <w:color w:val="auto"/>
              </w:rPr>
            </w:pPr>
            <w:r>
              <w:rPr>
                <w:rFonts w:ascii="Courier New" w:cs="Courier New" w:eastAsia="Courier New" w:hAnsi="Courier New"/>
                <w:sz w:val="17"/>
                <w:szCs w:val="17"/>
                <w:color w:val="auto"/>
              </w:rPr>
              <w:t>Identification No.)</w:t>
            </w:r>
          </w:p>
        </w:tc>
      </w:tr>
      <w:tr>
        <w:trPr>
          <w:trHeight w:val="303"/>
        </w:trPr>
        <w:tc>
          <w:tcPr>
            <w:tcW w:w="4640" w:type="dxa"/>
            <w:vAlign w:val="bottom"/>
            <w:gridSpan w:val="2"/>
          </w:tcPr>
          <w:p>
            <w:pPr>
              <w:spacing w:after="0"/>
              <w:rPr>
                <w:sz w:val="20"/>
                <w:szCs w:val="20"/>
                <w:color w:val="auto"/>
              </w:rPr>
            </w:pPr>
            <w:r>
              <w:rPr>
                <w:rFonts w:ascii="Courier New" w:cs="Courier New" w:eastAsia="Courier New" w:hAnsi="Courier New"/>
                <w:sz w:val="17"/>
                <w:szCs w:val="17"/>
                <w:color w:val="auto"/>
              </w:rPr>
              <w:t>P. O. Box 152, Forest City, Iowa</w:t>
            </w:r>
          </w:p>
        </w:tc>
        <w:tc>
          <w:tcPr>
            <w:tcW w:w="3520" w:type="dxa"/>
            <w:vAlign w:val="bottom"/>
          </w:tcPr>
          <w:p>
            <w:pPr>
              <w:jc w:val="right"/>
              <w:ind w:right="715"/>
              <w:spacing w:after="0"/>
              <w:rPr>
                <w:sz w:val="20"/>
                <w:szCs w:val="20"/>
                <w:color w:val="auto"/>
              </w:rPr>
            </w:pPr>
            <w:r>
              <w:rPr>
                <w:rFonts w:ascii="Courier New" w:cs="Courier New" w:eastAsia="Courier New" w:hAnsi="Courier New"/>
                <w:sz w:val="17"/>
                <w:szCs w:val="17"/>
                <w:color w:val="auto"/>
              </w:rPr>
              <w:t>50436</w:t>
            </w:r>
          </w:p>
        </w:tc>
      </w:tr>
      <w:tr>
        <w:trPr>
          <w:trHeight w:val="286"/>
        </w:trPr>
        <w:tc>
          <w:tcPr>
            <w:tcW w:w="118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3460" w:type="dxa"/>
            <w:vAlign w:val="bottom"/>
          </w:tcPr>
          <w:p>
            <w:pPr>
              <w:ind w:left="40"/>
              <w:spacing w:after="0"/>
              <w:rPr>
                <w:sz w:val="20"/>
                <w:szCs w:val="20"/>
                <w:color w:val="auto"/>
              </w:rPr>
            </w:pPr>
            <w:r>
              <w:rPr>
                <w:rFonts w:ascii="Courier New" w:cs="Courier New" w:eastAsia="Courier New" w:hAnsi="Courier New"/>
                <w:sz w:val="17"/>
                <w:szCs w:val="17"/>
                <w:color w:val="auto"/>
              </w:rPr>
              <w:t>principal executive offices)</w:t>
            </w:r>
          </w:p>
        </w:tc>
        <w:tc>
          <w:tcPr>
            <w:tcW w:w="3520" w:type="dxa"/>
            <w:vAlign w:val="bottom"/>
          </w:tcPr>
          <w:p>
            <w:pPr>
              <w:ind w:left="2000"/>
              <w:spacing w:after="0"/>
              <w:rPr>
                <w:sz w:val="20"/>
                <w:szCs w:val="20"/>
                <w:color w:val="auto"/>
              </w:rPr>
            </w:pPr>
            <w:r>
              <w:rPr>
                <w:rFonts w:ascii="Courier New" w:cs="Courier New" w:eastAsia="Courier New" w:hAnsi="Courier New"/>
                <w:sz w:val="17"/>
                <w:szCs w:val="17"/>
                <w:color w:val="auto"/>
              </w:rPr>
              <w:t>(Zip Code)</w:t>
            </w:r>
          </w:p>
        </w:tc>
      </w:tr>
      <w:tr>
        <w:trPr>
          <w:trHeight w:val="392"/>
        </w:trPr>
        <w:tc>
          <w:tcPr>
            <w:tcW w:w="8160" w:type="dxa"/>
            <w:vAlign w:val="bottom"/>
            <w:gridSpan w:val="3"/>
          </w:tcPr>
          <w:p>
            <w:pPr>
              <w:spacing w:after="0"/>
              <w:rPr>
                <w:sz w:val="20"/>
                <w:szCs w:val="20"/>
                <w:color w:val="auto"/>
              </w:rPr>
            </w:pPr>
            <w:r>
              <w:rPr>
                <w:rFonts w:ascii="Courier New" w:cs="Courier New" w:eastAsia="Courier New" w:hAnsi="Courier New"/>
                <w:sz w:val="17"/>
                <w:szCs w:val="17"/>
                <w:color w:val="auto"/>
              </w:rPr>
              <w:t>Registrant's telephone number, including area code:  (515) 582-3535</w:t>
            </w:r>
          </w:p>
        </w:tc>
      </w:tr>
      <w:tr>
        <w:trPr>
          <w:trHeight w:val="303"/>
        </w:trPr>
        <w:tc>
          <w:tcPr>
            <w:tcW w:w="118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69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check mark whether the registrant (1) has filed all reports required</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to be filed</w:t>
            </w:r>
          </w:p>
        </w:tc>
        <w:tc>
          <w:tcPr>
            <w:tcW w:w="69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by Section 13 or 15(d) of the Securities Exchange Act of 1934 during</w:t>
            </w:r>
          </w:p>
        </w:tc>
      </w:tr>
      <w:tr>
        <w:trPr>
          <w:trHeight w:val="196"/>
        </w:trPr>
        <w:tc>
          <w:tcPr>
            <w:tcW w:w="8160" w:type="dxa"/>
            <w:vAlign w:val="bottom"/>
            <w:gridSpan w:val="3"/>
          </w:tcPr>
          <w:p>
            <w:pPr>
              <w:spacing w:after="0"/>
              <w:rPr>
                <w:sz w:val="20"/>
                <w:szCs w:val="20"/>
                <w:color w:val="auto"/>
              </w:rPr>
            </w:pPr>
            <w:r>
              <w:rPr>
                <w:rFonts w:ascii="Courier New" w:cs="Courier New" w:eastAsia="Courier New" w:hAnsi="Courier New"/>
                <w:sz w:val="17"/>
                <w:szCs w:val="17"/>
                <w:color w:val="auto"/>
              </w:rPr>
              <w:t>the preceding 12 months (or for such shorter period that the registrant was</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6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file such reports), and (2) has been subject to such filing</w:t>
            </w:r>
          </w:p>
        </w:tc>
      </w:tr>
      <w:tr>
        <w:trPr>
          <w:trHeight w:val="286"/>
        </w:trPr>
        <w:tc>
          <w:tcPr>
            <w:tcW w:w="4640" w:type="dxa"/>
            <w:vAlign w:val="bottom"/>
            <w:gridSpan w:val="2"/>
          </w:tcPr>
          <w:p>
            <w:pPr>
              <w:spacing w:after="0"/>
              <w:rPr>
                <w:sz w:val="20"/>
                <w:szCs w:val="20"/>
                <w:color w:val="auto"/>
              </w:rPr>
            </w:pPr>
            <w:r>
              <w:rPr>
                <w:rFonts w:ascii="Courier New" w:cs="Courier New" w:eastAsia="Courier New" w:hAnsi="Courier New"/>
                <w:sz w:val="17"/>
                <w:szCs w:val="17"/>
                <w:color w:val="auto"/>
              </w:rPr>
              <w:t>requirements for the past 90 days. Yes __X__</w:t>
            </w:r>
          </w:p>
        </w:tc>
        <w:tc>
          <w:tcPr>
            <w:tcW w:w="3520" w:type="dxa"/>
            <w:vAlign w:val="bottom"/>
          </w:tcPr>
          <w:p>
            <w:pPr>
              <w:ind w:left="160"/>
              <w:spacing w:after="0"/>
              <w:rPr>
                <w:sz w:val="20"/>
                <w:szCs w:val="20"/>
                <w:color w:val="auto"/>
              </w:rPr>
            </w:pPr>
            <w:r>
              <w:rPr>
                <w:rFonts w:ascii="Courier New" w:cs="Courier New" w:eastAsia="Courier New" w:hAnsi="Courier New"/>
                <w:sz w:val="17"/>
                <w:szCs w:val="17"/>
                <w:color w:val="auto"/>
              </w:rPr>
              <w:t>No ____.</w:t>
            </w:r>
          </w:p>
        </w:tc>
      </w:tr>
    </w:tbl>
    <w:p>
      <w:pPr>
        <w:spacing w:after="0" w:line="107" w:lineRule="exact"/>
        <w:rPr>
          <w:sz w:val="24"/>
          <w:szCs w:val="24"/>
          <w:color w:val="auto"/>
        </w:rPr>
      </w:pPr>
    </w:p>
    <w:p>
      <w:pPr>
        <w:jc w:val="both"/>
        <w:ind w:right="2360"/>
        <w:spacing w:after="0" w:line="360" w:lineRule="auto"/>
        <w:rPr>
          <w:sz w:val="20"/>
          <w:szCs w:val="20"/>
          <w:color w:val="auto"/>
        </w:rPr>
      </w:pPr>
      <w:r>
        <w:rPr>
          <w:rFonts w:ascii="Courier New" w:cs="Courier New" w:eastAsia="Courier New" w:hAnsi="Courier New"/>
          <w:sz w:val="17"/>
          <w:szCs w:val="17"/>
          <w:color w:val="auto"/>
        </w:rPr>
        <w:t>There were 25,453,179 shares of $.50 par value common stock outstanding on April 9, 1997.</w:t>
      </w:r>
    </w:p>
    <w:p>
      <w:pPr>
        <w:spacing w:after="0" w:line="200" w:lineRule="exact"/>
        <w:rPr>
          <w:sz w:val="24"/>
          <w:szCs w:val="24"/>
          <w:color w:val="auto"/>
        </w:rPr>
      </w:pPr>
    </w:p>
    <w:p>
      <w:pPr>
        <w:spacing w:after="0" w:line="399" w:lineRule="exact"/>
        <w:rPr>
          <w:sz w:val="24"/>
          <w:szCs w:val="24"/>
          <w:color w:val="auto"/>
        </w:rPr>
      </w:pPr>
    </w:p>
    <w:tbl>
      <w:tblPr>
        <w:tblLayout w:type="fixed"/>
        <w:tblInd w:w="32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7760" w:type="dxa"/>
            <w:vAlign w:val="bottom"/>
          </w:tcPr>
          <w:p>
            <w:pPr>
              <w:ind w:left="560"/>
              <w:spacing w:after="0"/>
              <w:rPr>
                <w:sz w:val="20"/>
                <w:szCs w:val="20"/>
                <w:color w:val="auto"/>
              </w:rPr>
            </w:pPr>
            <w:r>
              <w:rPr>
                <w:rFonts w:ascii="Courier New" w:cs="Courier New" w:eastAsia="Courier New" w:hAnsi="Courier New"/>
                <w:sz w:val="17"/>
                <w:szCs w:val="17"/>
                <w:color w:val="auto"/>
              </w:rPr>
              <w:t>WINNEBAGO INDUSTRIES, INC. AND SUBSIDIARIES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7760" w:type="dxa"/>
            <w:vAlign w:val="bottom"/>
          </w:tcPr>
          <w:p>
            <w:pPr>
              <w:ind w:left="1280"/>
              <w:spacing w:after="0"/>
              <w:rPr>
                <w:sz w:val="20"/>
                <w:szCs w:val="20"/>
                <w:color w:val="auto"/>
              </w:rPr>
            </w:pPr>
            <w:r>
              <w:rPr>
                <w:rFonts w:ascii="Courier New" w:cs="Courier New" w:eastAsia="Courier New" w:hAnsi="Courier New"/>
                <w:sz w:val="17"/>
                <w:szCs w:val="17"/>
                <w:color w:val="auto"/>
              </w:rPr>
              <w:t>INDEX TO REPORT ON FORM 10-Q</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380" w:type="dxa"/>
            <w:vAlign w:val="bottom"/>
            <w:gridSpan w:val="3"/>
          </w:tcPr>
          <w:p>
            <w:pPr>
              <w:ind w:left="260"/>
              <w:spacing w:after="0"/>
              <w:rPr>
                <w:sz w:val="20"/>
                <w:szCs w:val="20"/>
                <w:color w:val="auto"/>
              </w:rPr>
            </w:pPr>
            <w:r>
              <w:rPr>
                <w:rFonts w:ascii="Courier New" w:cs="Courier New" w:eastAsia="Courier New" w:hAnsi="Courier New"/>
                <w:sz w:val="17"/>
                <w:szCs w:val="17"/>
                <w:color w:val="auto"/>
                <w:w w:val="97"/>
              </w:rPr>
              <w:t>Page Number</w:t>
            </w: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380" w:type="dxa"/>
            <w:vAlign w:val="bottom"/>
            <w:gridSpan w:val="3"/>
          </w:tcPr>
          <w:p>
            <w:pPr>
              <w:jc w:val="center"/>
              <w:ind w:left="175"/>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FINANCIAL INFORMATION:  (Interim period information unaudited)</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Consolidated Balance Sheets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220" w:type="dxa"/>
            <w:vAlign w:val="bottom"/>
          </w:tcPr>
          <w:p>
            <w:pPr>
              <w:jc w:val="center"/>
              <w:spacing w:after="0"/>
              <w:rPr>
                <w:sz w:val="20"/>
                <w:szCs w:val="20"/>
                <w:color w:val="auto"/>
              </w:rPr>
            </w:pPr>
            <w:r>
              <w:rPr>
                <w:rFonts w:ascii="Courier New" w:cs="Courier New" w:eastAsia="Courier New" w:hAnsi="Courier New"/>
                <w:sz w:val="17"/>
                <w:szCs w:val="17"/>
                <w:color w:val="auto"/>
                <w:w w:val="97"/>
              </w:rPr>
              <w:t>&amp;</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Unaudited Consolidated Statements of Operations</w:t>
            </w:r>
          </w:p>
        </w:tc>
        <w:tc>
          <w:tcPr>
            <w:tcW w:w="70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17"/>
                <w:szCs w:val="17"/>
                <w:color w:val="auto"/>
                <w:w w:val="97"/>
              </w:rPr>
              <w:t>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Unaudited Consolidated Condensed Statements of Cash Flows</w:t>
            </w:r>
          </w:p>
        </w:tc>
        <w:tc>
          <w:tcPr>
            <w:tcW w:w="70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17"/>
                <w:szCs w:val="17"/>
                <w:color w:val="auto"/>
                <w:w w:val="97"/>
              </w:rPr>
              <w:t>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20" w:type="dxa"/>
            <w:vAlign w:val="bottom"/>
          </w:tcPr>
          <w:p>
            <w:pPr>
              <w:jc w:val="center"/>
              <w:spacing w:after="0"/>
              <w:rPr>
                <w:sz w:val="20"/>
                <w:szCs w:val="20"/>
                <w:color w:val="auto"/>
              </w:rPr>
            </w:pPr>
            <w:r>
              <w:rPr>
                <w:rFonts w:ascii="Courier New" w:cs="Courier New" w:eastAsia="Courier New" w:hAnsi="Courier New"/>
                <w:sz w:val="17"/>
                <w:szCs w:val="17"/>
                <w:color w:val="auto"/>
                <w:w w:val="97"/>
              </w:rPr>
              <w:t>&amp;</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303"/>
        </w:trPr>
        <w:tc>
          <w:tcPr>
            <w:tcW w:w="1060" w:type="dxa"/>
            <w:vAlign w:val="bottom"/>
          </w:tcPr>
          <w:p>
            <w:pPr>
              <w:spacing w:after="0"/>
              <w:rPr>
                <w:sz w:val="24"/>
                <w:szCs w:val="24"/>
                <w:color w:val="auto"/>
              </w:rPr>
            </w:pP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Management's Discussion and Analysis of Financial Condition and Results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2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7760" w:type="dxa"/>
            <w:vAlign w:val="bottom"/>
          </w:tcPr>
          <w:p>
            <w:pPr>
              <w:ind w:left="560"/>
              <w:spacing w:after="0"/>
              <w:rPr>
                <w:sz w:val="20"/>
                <w:szCs w:val="20"/>
                <w:color w:val="auto"/>
              </w:rPr>
            </w:pPr>
            <w:r>
              <w:rPr>
                <w:rFonts w:ascii="Courier New" w:cs="Courier New" w:eastAsia="Courier New" w:hAnsi="Courier New"/>
                <w:sz w:val="17"/>
                <w:szCs w:val="17"/>
                <w:color w:val="auto"/>
              </w:rPr>
              <w:t>of Operations</w:t>
            </w:r>
          </w:p>
        </w:tc>
        <w:tc>
          <w:tcPr>
            <w:tcW w:w="7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7760" w:type="dxa"/>
            <w:vAlign w:val="bottom"/>
          </w:tcPr>
          <w:p>
            <w:pPr>
              <w:ind w:left="260"/>
              <w:spacing w:after="0"/>
              <w:rPr>
                <w:sz w:val="20"/>
                <w:szCs w:val="20"/>
                <w:color w:val="auto"/>
              </w:rPr>
            </w:pPr>
            <w:r>
              <w:rPr>
                <w:rFonts w:ascii="Courier New" w:cs="Courier New" w:eastAsia="Courier New" w:hAnsi="Courier New"/>
                <w:sz w:val="17"/>
                <w:szCs w:val="17"/>
                <w:color w:val="auto"/>
              </w:rPr>
              <w:t>OTHER INFORMATION</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4"/>
          <w:szCs w:val="24"/>
          <w:color w:val="auto"/>
        </w:rPr>
      </w:pPr>
    </w:p>
    <w:p>
      <w:pPr>
        <w:spacing w:after="0" w:line="392" w:lineRule="exact"/>
        <w:rPr>
          <w:sz w:val="24"/>
          <w:szCs w:val="24"/>
          <w:color w:val="auto"/>
        </w:rPr>
      </w:pPr>
    </w:p>
    <w:p>
      <w:pPr>
        <w:jc w:val="center"/>
        <w:ind w:right="224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34" w:lineRule="exact"/>
        <w:rPr>
          <w:sz w:val="24"/>
          <w:szCs w:val="24"/>
          <w:color w:val="auto"/>
        </w:rPr>
      </w:pPr>
    </w:p>
    <w:p>
      <w:pPr>
        <w:jc w:val="center"/>
        <w:ind w:right="2240"/>
        <w:spacing w:after="0"/>
        <w:rPr>
          <w:sz w:val="20"/>
          <w:szCs w:val="20"/>
          <w:color w:val="auto"/>
        </w:rPr>
      </w:pPr>
      <w:r>
        <w:rPr>
          <w:rFonts w:ascii="Courier New" w:cs="Courier New" w:eastAsia="Courier New" w:hAnsi="Courier New"/>
          <w:sz w:val="17"/>
          <w:szCs w:val="17"/>
          <w:color w:val="auto"/>
        </w:rPr>
        <w:t>CONSOLIDATED BALANCE SHEETS</w:t>
      </w:r>
    </w:p>
    <w:p>
      <w:pPr>
        <w:sectPr>
          <w:pgSz w:w="11900" w:h="16838" w:orient="portrait"/>
          <w:cols w:equalWidth="0" w:num="1">
            <w:col w:w="10520"/>
          </w:cols>
          <w:pgMar w:left="240" w:top="609" w:right="1139" w:bottom="0" w:gutter="0" w:footer="0" w:header="0"/>
        </w:sectPr>
      </w:pPr>
    </w:p>
    <w:bookmarkStart w:id="1" w:name="page2"/>
    <w:bookmarkEnd w:id="1"/>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76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44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MARCH 1,</w:t>
            </w:r>
          </w:p>
        </w:tc>
        <w:tc>
          <w:tcPr>
            <w:tcW w:w="1180" w:type="dxa"/>
            <w:vAlign w:val="bottom"/>
            <w:gridSpan w:val="2"/>
            <w:vMerge w:val="restart"/>
          </w:tcPr>
          <w:p>
            <w:pPr>
              <w:ind w:left="160"/>
              <w:spacing w:after="0"/>
              <w:rPr>
                <w:sz w:val="20"/>
                <w:szCs w:val="20"/>
                <w:color w:val="auto"/>
              </w:rPr>
            </w:pPr>
            <w:r>
              <w:rPr>
                <w:rFonts w:ascii="Courier New" w:cs="Courier New" w:eastAsia="Courier New" w:hAnsi="Courier New"/>
                <w:sz w:val="17"/>
                <w:szCs w:val="17"/>
                <w:color w:val="auto"/>
                <w:w w:val="97"/>
              </w:rPr>
              <w:t>AUGUST 31,</w:t>
            </w:r>
          </w:p>
        </w:tc>
        <w:tc>
          <w:tcPr>
            <w:tcW w:w="0" w:type="dxa"/>
            <w:vAlign w:val="bottom"/>
          </w:tcPr>
          <w:p>
            <w:pPr>
              <w:spacing w:after="0"/>
              <w:rPr>
                <w:sz w:val="1"/>
                <w:szCs w:val="1"/>
                <w:color w:val="auto"/>
              </w:rPr>
            </w:pPr>
          </w:p>
        </w:tc>
      </w:tr>
      <w:tr>
        <w:trPr>
          <w:trHeight w:val="107"/>
        </w:trPr>
        <w:tc>
          <w:tcPr>
            <w:tcW w:w="5760" w:type="dxa"/>
            <w:vAlign w:val="bottom"/>
            <w:vMerge w:val="restart"/>
          </w:tcPr>
          <w:p>
            <w:pPr>
              <w:ind w:left="2360"/>
              <w:spacing w:after="0"/>
              <w:rPr>
                <w:sz w:val="20"/>
                <w:szCs w:val="20"/>
                <w:color w:val="auto"/>
              </w:rPr>
            </w:pPr>
            <w:r>
              <w:rPr>
                <w:rFonts w:ascii="Courier New" w:cs="Courier New" w:eastAsia="Courier New" w:hAnsi="Courier New"/>
                <w:sz w:val="17"/>
                <w:szCs w:val="17"/>
                <w:color w:val="auto"/>
              </w:rPr>
              <w:t>ASSETS</w:t>
            </w:r>
          </w:p>
        </w:tc>
        <w:tc>
          <w:tcPr>
            <w:tcW w:w="14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14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44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$ 34,910</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797</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Marketable securities</w:t>
            </w:r>
          </w:p>
        </w:tc>
        <w:tc>
          <w:tcPr>
            <w:tcW w:w="14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4,316</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w:t>
            </w:r>
          </w:p>
        </w:tc>
        <w:tc>
          <w:tcPr>
            <w:tcW w:w="144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36,948</w:t>
            </w:r>
          </w:p>
        </w:tc>
        <w:tc>
          <w:tcPr>
            <w:tcW w:w="260" w:type="dxa"/>
            <w:vAlign w:val="bottom"/>
          </w:tcPr>
          <w:p>
            <w:pPr>
              <w:spacing w:after="0"/>
              <w:rPr>
                <w:sz w:val="17"/>
                <w:szCs w:val="17"/>
                <w:color w:val="auto"/>
              </w:rPr>
            </w:pPr>
          </w:p>
        </w:tc>
        <w:tc>
          <w:tcPr>
            <w:tcW w:w="9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30,029</w:t>
            </w:r>
          </w:p>
        </w:tc>
        <w:tc>
          <w:tcPr>
            <w:tcW w:w="0" w:type="dxa"/>
            <w:vAlign w:val="bottom"/>
          </w:tcPr>
          <w:p>
            <w:pPr>
              <w:spacing w:after="0"/>
              <w:rPr>
                <w:sz w:val="1"/>
                <w:szCs w:val="1"/>
                <w:color w:val="auto"/>
              </w:rPr>
            </w:pPr>
          </w:p>
        </w:tc>
      </w:tr>
      <w:tr>
        <w:trPr>
          <w:trHeight w:val="196"/>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accounts ($1,815 and $702, respectively)</w:t>
            </w:r>
          </w:p>
        </w:tc>
        <w:tc>
          <w:tcPr>
            <w:tcW w:w="1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Dealer financing receivables less allowance</w:t>
            </w:r>
          </w:p>
        </w:tc>
        <w:tc>
          <w:tcPr>
            <w:tcW w:w="144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12,696</w:t>
            </w:r>
          </w:p>
        </w:tc>
        <w:tc>
          <w:tcPr>
            <w:tcW w:w="260" w:type="dxa"/>
            <w:vAlign w:val="bottom"/>
          </w:tcPr>
          <w:p>
            <w:pPr>
              <w:spacing w:after="0"/>
              <w:rPr>
                <w:sz w:val="17"/>
                <w:szCs w:val="17"/>
                <w:color w:val="auto"/>
              </w:rPr>
            </w:pPr>
          </w:p>
        </w:tc>
        <w:tc>
          <w:tcPr>
            <w:tcW w:w="9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11,491</w:t>
            </w:r>
          </w:p>
        </w:tc>
        <w:tc>
          <w:tcPr>
            <w:tcW w:w="0" w:type="dxa"/>
            <w:vAlign w:val="bottom"/>
          </w:tcPr>
          <w:p>
            <w:pPr>
              <w:spacing w:after="0"/>
              <w:rPr>
                <w:sz w:val="1"/>
                <w:szCs w:val="1"/>
                <w:color w:val="auto"/>
              </w:rPr>
            </w:pPr>
          </w:p>
        </w:tc>
      </w:tr>
      <w:tr>
        <w:trPr>
          <w:trHeight w:val="196"/>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for doubtful accounts ($208 and $197, respectively)</w:t>
            </w:r>
          </w:p>
        </w:tc>
        <w:tc>
          <w:tcPr>
            <w:tcW w:w="1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47,749</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63,103</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3,212</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3,253</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6,343</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6,343</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Current assets of discontinued operations</w:t>
            </w:r>
          </w:p>
        </w:tc>
        <w:tc>
          <w:tcPr>
            <w:tcW w:w="14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7,285</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141,858</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126,617</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w:t>
            </w:r>
          </w:p>
        </w:tc>
        <w:tc>
          <w:tcPr>
            <w:tcW w:w="144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1,500</w:t>
            </w:r>
          </w:p>
        </w:tc>
        <w:tc>
          <w:tcPr>
            <w:tcW w:w="260" w:type="dxa"/>
            <w:vAlign w:val="bottom"/>
          </w:tcPr>
          <w:p>
            <w:pPr>
              <w:spacing w:after="0"/>
              <w:rPr>
                <w:sz w:val="24"/>
                <w:szCs w:val="24"/>
                <w:color w:val="auto"/>
              </w:rPr>
            </w:pPr>
          </w:p>
        </w:tc>
        <w:tc>
          <w:tcPr>
            <w:tcW w:w="9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1,501</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44,019</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43,952</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66,930</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67,456</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7,757</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7,878</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76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Less accumulated depreciation</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120,206</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120,787</w:t>
            </w:r>
          </w:p>
        </w:tc>
        <w:tc>
          <w:tcPr>
            <w:tcW w:w="0" w:type="dxa"/>
            <w:vAlign w:val="bottom"/>
          </w:tcPr>
          <w:p>
            <w:pPr>
              <w:spacing w:after="0"/>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82,100</w:t>
            </w:r>
          </w:p>
        </w:tc>
        <w:tc>
          <w:tcPr>
            <w:tcW w:w="2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80,858</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ind w:left="520"/>
              <w:spacing w:after="0"/>
              <w:rPr>
                <w:sz w:val="20"/>
                <w:szCs w:val="20"/>
                <w:color w:val="auto"/>
              </w:rPr>
            </w:pPr>
            <w:r>
              <w:rPr>
                <w:rFonts w:ascii="Courier New" w:cs="Courier New" w:eastAsia="Courier New" w:hAnsi="Courier New"/>
                <w:sz w:val="17"/>
                <w:szCs w:val="17"/>
                <w:color w:val="auto"/>
              </w:rPr>
              <w:t>Total property and equipment, net</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38,106</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39,929</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LONG-TERM NOTES RECEIVABLE, less allowances</w:t>
            </w:r>
          </w:p>
        </w:tc>
        <w:tc>
          <w:tcPr>
            <w:tcW w:w="144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3,875</w:t>
            </w:r>
          </w:p>
        </w:tc>
        <w:tc>
          <w:tcPr>
            <w:tcW w:w="260" w:type="dxa"/>
            <w:vAlign w:val="bottom"/>
          </w:tcPr>
          <w:p>
            <w:pPr>
              <w:spacing w:after="0"/>
              <w:rPr>
                <w:sz w:val="24"/>
                <w:szCs w:val="24"/>
                <w:color w:val="auto"/>
              </w:rPr>
            </w:pPr>
          </w:p>
        </w:tc>
        <w:tc>
          <w:tcPr>
            <w:tcW w:w="9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3,918</w:t>
            </w:r>
          </w:p>
        </w:tc>
        <w:tc>
          <w:tcPr>
            <w:tcW w:w="0" w:type="dxa"/>
            <w:vAlign w:val="bottom"/>
          </w:tcPr>
          <w:p>
            <w:pPr>
              <w:spacing w:after="0"/>
              <w:rPr>
                <w:sz w:val="1"/>
                <w:szCs w:val="1"/>
                <w:color w:val="auto"/>
              </w:rPr>
            </w:pPr>
          </w:p>
        </w:tc>
      </w:tr>
      <w:tr>
        <w:trPr>
          <w:trHeight w:val="196"/>
        </w:trPr>
        <w:tc>
          <w:tcPr>
            <w:tcW w:w="5760" w:type="dxa"/>
            <w:vAlign w:val="bottom"/>
          </w:tcPr>
          <w:p>
            <w:pPr>
              <w:ind w:left="420"/>
              <w:spacing w:after="0"/>
              <w:rPr>
                <w:sz w:val="20"/>
                <w:szCs w:val="20"/>
                <w:color w:val="auto"/>
              </w:rPr>
            </w:pPr>
            <w:r>
              <w:rPr>
                <w:rFonts w:ascii="Courier New" w:cs="Courier New" w:eastAsia="Courier New" w:hAnsi="Courier New"/>
                <w:sz w:val="17"/>
                <w:szCs w:val="17"/>
                <w:color w:val="auto"/>
              </w:rPr>
              <w:t>($997 and $797, respectively)</w:t>
            </w:r>
          </w:p>
        </w:tc>
        <w:tc>
          <w:tcPr>
            <w:tcW w:w="1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INVESTMENT IN LIFE INSURANCE</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16,993</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16,821</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DEFERRED INCOME TAXES, NET</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14,548</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14,548</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3,704</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3,906</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LONG-TERM ASSETS OF DISCONTINUED OPERATIONS</w:t>
            </w:r>
          </w:p>
        </w:tc>
        <w:tc>
          <w:tcPr>
            <w:tcW w:w="14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14,857</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$219,084</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$220,596</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3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BALANCE SHEETS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MARCH 1,</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AUGUST 31,</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2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7600" w:type="dxa"/>
            <w:vAlign w:val="bottom"/>
          </w:tcPr>
          <w:p>
            <w:pPr>
              <w:spacing w:after="0"/>
              <w:rPr>
                <w:sz w:val="24"/>
                <w:szCs w:val="24"/>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(Unaudited)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6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154</w:t>
            </w:r>
          </w:p>
        </w:tc>
        <w:tc>
          <w:tcPr>
            <w:tcW w:w="122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  1,866</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Current maturities of long-term debt</w:t>
            </w:r>
          </w:p>
        </w:tc>
        <w:tc>
          <w:tcPr>
            <w:tcW w:w="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Accounts payable, trade</w:t>
            </w:r>
          </w:p>
        </w:tc>
        <w:tc>
          <w:tcPr>
            <w:tcW w:w="32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20,933</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20,232</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Current liabilities of discontinued operations</w:t>
            </w:r>
          </w:p>
        </w:tc>
        <w:tc>
          <w:tcPr>
            <w:tcW w:w="32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17,532</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Provision for loss on disposal of electronic component assembly segment</w:t>
            </w:r>
          </w:p>
        </w:tc>
        <w:tc>
          <w:tcPr>
            <w:tcW w:w="32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4,074</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Income tax payable</w:t>
            </w:r>
          </w:p>
        </w:tc>
        <w:tc>
          <w:tcPr>
            <w:tcW w:w="32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6,476</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320" w:type="dxa"/>
            <w:vAlign w:val="bottom"/>
          </w:tcPr>
          <w:p>
            <w:pPr>
              <w:spacing w:after="0"/>
              <w:rPr>
                <w:sz w:val="17"/>
                <w:szCs w:val="17"/>
                <w:color w:val="auto"/>
              </w:rPr>
            </w:pP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2,688</w:t>
            </w:r>
          </w:p>
        </w:tc>
        <w:tc>
          <w:tcPr>
            <w:tcW w:w="122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2,947</w:t>
            </w:r>
          </w:p>
        </w:tc>
        <w:tc>
          <w:tcPr>
            <w:tcW w:w="0" w:type="dxa"/>
            <w:vAlign w:val="bottom"/>
          </w:tcPr>
          <w:p>
            <w:pPr>
              <w:spacing w:after="0"/>
              <w:rPr>
                <w:sz w:val="1"/>
                <w:szCs w:val="1"/>
                <w:color w:val="auto"/>
              </w:rPr>
            </w:pPr>
          </w:p>
        </w:tc>
      </w:tr>
      <w:tr>
        <w:trPr>
          <w:trHeight w:val="196"/>
        </w:trPr>
        <w:tc>
          <w:tcPr>
            <w:tcW w:w="7600" w:type="dxa"/>
            <w:vAlign w:val="bottom"/>
          </w:tcPr>
          <w:p>
            <w:pPr>
              <w:ind w:left="520"/>
              <w:spacing w:after="0"/>
              <w:rPr>
                <w:sz w:val="20"/>
                <w:szCs w:val="20"/>
                <w:color w:val="auto"/>
              </w:rPr>
            </w:pPr>
            <w:r>
              <w:rPr>
                <w:rFonts w:ascii="Courier New" w:cs="Courier New" w:eastAsia="Courier New" w:hAnsi="Courier New"/>
                <w:sz w:val="17"/>
                <w:szCs w:val="17"/>
                <w:color w:val="auto"/>
              </w:rPr>
              <w:t>Insurance</w:t>
            </w: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520"/>
              <w:spacing w:after="0"/>
              <w:rPr>
                <w:sz w:val="20"/>
                <w:szCs w:val="20"/>
                <w:color w:val="auto"/>
              </w:rPr>
            </w:pPr>
            <w:r>
              <w:rPr>
                <w:rFonts w:ascii="Courier New" w:cs="Courier New" w:eastAsia="Courier New" w:hAnsi="Courier New"/>
                <w:sz w:val="17"/>
                <w:szCs w:val="17"/>
                <w:color w:val="auto"/>
              </w:rPr>
              <w:t>Product warranties</w:t>
            </w:r>
          </w:p>
        </w:tc>
        <w:tc>
          <w:tcPr>
            <w:tcW w:w="32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3,386</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3,489</w:t>
            </w:r>
          </w:p>
        </w:tc>
        <w:tc>
          <w:tcPr>
            <w:tcW w:w="0" w:type="dxa"/>
            <w:vAlign w:val="bottom"/>
          </w:tcPr>
          <w:p>
            <w:pPr>
              <w:spacing w:after="0"/>
              <w:rPr>
                <w:sz w:val="1"/>
                <w:szCs w:val="1"/>
                <w:color w:val="auto"/>
              </w:rPr>
            </w:pPr>
          </w:p>
        </w:tc>
      </w:tr>
      <w:tr>
        <w:trPr>
          <w:trHeight w:val="196"/>
        </w:trPr>
        <w:tc>
          <w:tcPr>
            <w:tcW w:w="7600" w:type="dxa"/>
            <w:vAlign w:val="bottom"/>
          </w:tcPr>
          <w:p>
            <w:pPr>
              <w:ind w:left="520"/>
              <w:spacing w:after="0"/>
              <w:rPr>
                <w:sz w:val="20"/>
                <w:szCs w:val="20"/>
                <w:color w:val="auto"/>
              </w:rPr>
            </w:pPr>
            <w:r>
              <w:rPr>
                <w:rFonts w:ascii="Courier New" w:cs="Courier New" w:eastAsia="Courier New" w:hAnsi="Courier New"/>
                <w:sz w:val="17"/>
                <w:szCs w:val="17"/>
                <w:color w:val="auto"/>
              </w:rPr>
              <w:t>Vacation liability</w:t>
            </w:r>
          </w:p>
        </w:tc>
        <w:tc>
          <w:tcPr>
            <w:tcW w:w="32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2,832</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3,116</w:t>
            </w:r>
          </w:p>
        </w:tc>
        <w:tc>
          <w:tcPr>
            <w:tcW w:w="0" w:type="dxa"/>
            <w:vAlign w:val="bottom"/>
          </w:tcPr>
          <w:p>
            <w:pPr>
              <w:spacing w:after="0"/>
              <w:rPr>
                <w:sz w:val="1"/>
                <w:szCs w:val="1"/>
                <w:color w:val="auto"/>
              </w:rPr>
            </w:pPr>
          </w:p>
        </w:tc>
      </w:tr>
      <w:tr>
        <w:trPr>
          <w:trHeight w:val="196"/>
        </w:trPr>
        <w:tc>
          <w:tcPr>
            <w:tcW w:w="7600" w:type="dxa"/>
            <w:vAlign w:val="bottom"/>
          </w:tcPr>
          <w:p>
            <w:pPr>
              <w:ind w:left="520"/>
              <w:spacing w:after="0"/>
              <w:rPr>
                <w:sz w:val="20"/>
                <w:szCs w:val="20"/>
                <w:color w:val="auto"/>
              </w:rPr>
            </w:pPr>
            <w:r>
              <w:rPr>
                <w:rFonts w:ascii="Courier New" w:cs="Courier New" w:eastAsia="Courier New" w:hAnsi="Courier New"/>
                <w:sz w:val="17"/>
                <w:szCs w:val="17"/>
                <w:color w:val="auto"/>
              </w:rPr>
              <w:t>Promotional</w:t>
            </w:r>
          </w:p>
        </w:tc>
        <w:tc>
          <w:tcPr>
            <w:tcW w:w="32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4,419</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2,193</w:t>
            </w:r>
          </w:p>
        </w:tc>
        <w:tc>
          <w:tcPr>
            <w:tcW w:w="0" w:type="dxa"/>
            <w:vAlign w:val="bottom"/>
          </w:tcPr>
          <w:p>
            <w:pPr>
              <w:spacing w:after="0"/>
              <w:rPr>
                <w:sz w:val="1"/>
                <w:szCs w:val="1"/>
                <w:color w:val="auto"/>
              </w:rPr>
            </w:pPr>
          </w:p>
        </w:tc>
      </w:tr>
      <w:tr>
        <w:trPr>
          <w:trHeight w:val="286"/>
        </w:trPr>
        <w:tc>
          <w:tcPr>
            <w:tcW w:w="76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24"/>
                <w:szCs w:val="24"/>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10,362</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9,013</w:t>
            </w:r>
          </w:p>
        </w:tc>
        <w:tc>
          <w:tcPr>
            <w:tcW w:w="0" w:type="dxa"/>
            <w:vAlign w:val="bottom"/>
          </w:tcPr>
          <w:p>
            <w:pPr>
              <w:spacing w:after="0"/>
              <w:rPr>
                <w:sz w:val="1"/>
                <w:szCs w:val="1"/>
                <w:color w:val="auto"/>
              </w:rPr>
            </w:pPr>
          </w:p>
        </w:tc>
      </w:tr>
    </w:tbl>
    <w:p>
      <w:pPr>
        <w:sectPr>
          <w:pgSz w:w="11900" w:h="16882" w:orient="portrait"/>
          <w:cols w:equalWidth="0" w:num="1">
            <w:col w:w="10219"/>
          </w:cols>
          <w:pgMar w:left="240" w:top="11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ind w:left="820"/>
              <w:spacing w:after="0"/>
              <w:rPr>
                <w:sz w:val="20"/>
                <w:szCs w:val="20"/>
                <w:color w:val="auto"/>
              </w:rPr>
            </w:pPr>
            <w:r>
              <w:rPr>
                <w:rFonts w:ascii="Courier New" w:cs="Courier New" w:eastAsia="Courier New" w:hAnsi="Courier New"/>
                <w:sz w:val="17"/>
                <w:szCs w:val="17"/>
                <w:color w:val="auto"/>
              </w:rPr>
              <w:t>Total current liabilities</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51,250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64,462</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1,496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1,692</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POSTRETIREMENT HEALTH CARE AND DEFERRED</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47,631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46,937</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MINORITY INTEREST IN DISCONTINUED OPERATIONS</w:t>
            </w:r>
          </w:p>
        </w:tc>
        <w:tc>
          <w:tcPr>
            <w:tcW w:w="244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2,194</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Capital stock, common, par value $.50; authorized</w:t>
            </w:r>
          </w:p>
        </w:tc>
        <w:tc>
          <w:tcPr>
            <w:tcW w:w="244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12,923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12,920</w:t>
            </w:r>
          </w:p>
        </w:tc>
        <w:tc>
          <w:tcPr>
            <w:tcW w:w="0" w:type="dxa"/>
            <w:vAlign w:val="bottom"/>
          </w:tcPr>
          <w:p>
            <w:pPr>
              <w:spacing w:after="0"/>
              <w:rPr>
                <w:sz w:val="1"/>
                <w:szCs w:val="1"/>
                <w:color w:val="auto"/>
              </w:rPr>
            </w:pPr>
          </w:p>
        </w:tc>
      </w:tr>
      <w:tr>
        <w:trPr>
          <w:trHeight w:val="196"/>
        </w:trPr>
        <w:tc>
          <w:tcPr>
            <w:tcW w:w="6380" w:type="dxa"/>
            <w:vAlign w:val="bottom"/>
          </w:tcPr>
          <w:p>
            <w:pPr>
              <w:ind w:left="320"/>
              <w:spacing w:after="0"/>
              <w:rPr>
                <w:sz w:val="20"/>
                <w:szCs w:val="20"/>
                <w:color w:val="auto"/>
              </w:rPr>
            </w:pPr>
            <w:r>
              <w:rPr>
                <w:rFonts w:ascii="Courier New" w:cs="Courier New" w:eastAsia="Courier New" w:hAnsi="Courier New"/>
                <w:sz w:val="17"/>
                <w:szCs w:val="17"/>
                <w:color w:val="auto"/>
              </w:rPr>
              <w:t>60,000,000 shares</w:t>
            </w:r>
          </w:p>
        </w:tc>
        <w:tc>
          <w:tcPr>
            <w:tcW w:w="24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23,203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23,723</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Reinvested earnings</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87,182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74,221</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Less treasury stock, at cost</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123,308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110,864</w:t>
            </w: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4,601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5,553</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118,707</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105,311</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$219,084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$220,596</w:t>
            </w:r>
          </w:p>
        </w:tc>
        <w:tc>
          <w:tcPr>
            <w:tcW w:w="0" w:type="dxa"/>
            <w:vAlign w:val="bottom"/>
          </w:tcPr>
          <w:p>
            <w:pPr>
              <w:spacing w:after="0"/>
              <w:rPr>
                <w:sz w:val="1"/>
                <w:szCs w:val="1"/>
                <w:color w:val="auto"/>
              </w:rPr>
            </w:pPr>
          </w:p>
        </w:tc>
      </w:tr>
      <w:tr>
        <w:trPr>
          <w:trHeight w:val="286"/>
        </w:trPr>
        <w:tc>
          <w:tcPr>
            <w:tcW w:w="6380" w:type="dxa"/>
            <w:vAlign w:val="bottom"/>
          </w:tcPr>
          <w:p>
            <w:pPr>
              <w:spacing w:after="0"/>
              <w:rPr>
                <w:sz w:val="24"/>
                <w:szCs w:val="24"/>
                <w:color w:val="auto"/>
              </w:rPr>
            </w:pPr>
          </w:p>
        </w:tc>
        <w:tc>
          <w:tcPr>
            <w:tcW w:w="24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3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UNAUDITED CONSOLIDATED STATEMENTS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THIRTEEN</w:t>
            </w:r>
          </w:p>
        </w:tc>
        <w:tc>
          <w:tcPr>
            <w:tcW w:w="1060" w:type="dxa"/>
            <w:vAlign w:val="bottom"/>
          </w:tcPr>
          <w:p>
            <w:pPr>
              <w:spacing w:after="0"/>
              <w:rPr>
                <w:sz w:val="24"/>
                <w:szCs w:val="24"/>
                <w:color w:val="auto"/>
              </w:rPr>
            </w:pP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TWENTY-SIX</w:t>
            </w:r>
          </w:p>
        </w:tc>
        <w:tc>
          <w:tcPr>
            <w:tcW w:w="1360" w:type="dxa"/>
            <w:vAlign w:val="bottom"/>
          </w:tcPr>
          <w:p>
            <w:pPr>
              <w:ind w:left="140"/>
              <w:spacing w:after="0"/>
              <w:rPr>
                <w:sz w:val="20"/>
                <w:szCs w:val="20"/>
                <w:color w:val="auto"/>
              </w:rPr>
            </w:pPr>
            <w:r>
              <w:rPr>
                <w:rFonts w:ascii="Courier New" w:cs="Courier New" w:eastAsia="Courier New" w:hAnsi="Courier New"/>
                <w:sz w:val="17"/>
                <w:szCs w:val="17"/>
                <w:color w:val="auto"/>
                <w:w w:val="98"/>
              </w:rPr>
              <w:t>TWENTY-SEVEN</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960" w:type="dxa"/>
            <w:vAlign w:val="bottom"/>
            <w:gridSpan w:val="2"/>
          </w:tcPr>
          <w:p>
            <w:pPr>
              <w:jc w:val="right"/>
              <w:ind w:right="775"/>
              <w:spacing w:after="0"/>
              <w:rPr>
                <w:sz w:val="20"/>
                <w:szCs w:val="20"/>
                <w:color w:val="auto"/>
              </w:rPr>
            </w:pPr>
            <w:r>
              <w:rPr>
                <w:rFonts w:ascii="Courier New" w:cs="Courier New" w:eastAsia="Courier New" w:hAnsi="Courier New"/>
                <w:sz w:val="17"/>
                <w:szCs w:val="17"/>
                <w:color w:val="auto"/>
              </w:rPr>
              <w:t>WEEKS ENDED</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WEEKS ENDED</w:t>
            </w:r>
          </w:p>
        </w:tc>
        <w:tc>
          <w:tcPr>
            <w:tcW w:w="1360" w:type="dxa"/>
            <w:vAlign w:val="bottom"/>
          </w:tcPr>
          <w:p>
            <w:pPr>
              <w:ind w:left="140"/>
              <w:spacing w:after="0"/>
              <w:rPr>
                <w:sz w:val="20"/>
                <w:szCs w:val="20"/>
                <w:color w:val="auto"/>
              </w:rPr>
            </w:pPr>
            <w:r>
              <w:rPr>
                <w:rFonts w:ascii="Courier New" w:cs="Courier New" w:eastAsia="Courier New" w:hAnsi="Courier New"/>
                <w:sz w:val="17"/>
                <w:szCs w:val="17"/>
                <w:color w:val="auto"/>
              </w:rPr>
              <w:t>WEEKS ENDED</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bscript"/>
              </w:rPr>
              <w:t>March1,</w:t>
            </w:r>
          </w:p>
        </w:tc>
        <w:tc>
          <w:tcPr>
            <w:tcW w:w="10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March 2,</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March 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March 2,</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90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1996</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4"/>
                <w:szCs w:val="24"/>
                <w:color w:val="auto"/>
              </w:rPr>
            </w:pP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$ 105,702</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$ 106,161</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$ 219,594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$ 219,896</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95,503</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92,639</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194,316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190,405</w:t>
            </w:r>
          </w:p>
        </w:tc>
        <w:tc>
          <w:tcPr>
            <w:tcW w:w="0" w:type="dxa"/>
            <w:vAlign w:val="bottom"/>
          </w:tcPr>
          <w:p>
            <w:pPr>
              <w:spacing w:after="0"/>
              <w:rPr>
                <w:sz w:val="1"/>
                <w:szCs w:val="1"/>
                <w:color w:val="auto"/>
              </w:rPr>
            </w:pPr>
          </w:p>
        </w:tc>
      </w:tr>
      <w:tr>
        <w:trPr>
          <w:trHeight w:val="196"/>
        </w:trPr>
        <w:tc>
          <w:tcPr>
            <w:tcW w:w="566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Gross profit</w:t>
            </w:r>
          </w:p>
        </w:tc>
        <w:tc>
          <w:tcPr>
            <w:tcW w:w="1900" w:type="dxa"/>
            <w:vAlign w:val="bottom"/>
            <w:vMerge w:val="restart"/>
          </w:tcPr>
          <w:p>
            <w:pPr>
              <w:jc w:val="right"/>
              <w:ind w:right="536"/>
              <w:spacing w:after="0"/>
              <w:rPr>
                <w:sz w:val="20"/>
                <w:szCs w:val="20"/>
                <w:color w:val="auto"/>
              </w:rPr>
            </w:pPr>
            <w:r>
              <w:rPr>
                <w:rFonts w:ascii="Courier New" w:cs="Courier New" w:eastAsia="Courier New" w:hAnsi="Courier New"/>
                <w:sz w:val="17"/>
                <w:szCs w:val="17"/>
                <w:color w:val="auto"/>
                <w:w w:val="72"/>
              </w:rPr>
              <w:t>---------</w:t>
            </w:r>
            <w:r>
              <w:rPr>
                <w:rFonts w:ascii="Courier New" w:cs="Courier New" w:eastAsia="Courier New" w:hAnsi="Courier New"/>
                <w:sz w:val="34"/>
                <w:szCs w:val="34"/>
                <w:color w:val="auto"/>
                <w:w w:val="72"/>
                <w:vertAlign w:val="subscript"/>
              </w:rPr>
              <w:t>10,199</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13,522</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25,278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29,491</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4"/>
                <w:szCs w:val="24"/>
                <w:color w:val="auto"/>
              </w:rPr>
            </w:pP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900" w:type="dxa"/>
            <w:vAlign w:val="bottom"/>
            <w:vMerge w:val="restart"/>
          </w:tcPr>
          <w:p>
            <w:pPr>
              <w:jc w:val="right"/>
              <w:ind w:right="536"/>
              <w:spacing w:after="0"/>
              <w:rPr>
                <w:sz w:val="20"/>
                <w:szCs w:val="20"/>
                <w:color w:val="auto"/>
              </w:rPr>
            </w:pPr>
            <w:r>
              <w:rPr>
                <w:rFonts w:ascii="Courier New" w:cs="Courier New" w:eastAsia="Courier New" w:hAnsi="Courier New"/>
                <w:sz w:val="17"/>
                <w:szCs w:val="17"/>
                <w:color w:val="auto"/>
              </w:rPr>
              <w:t>6,663</w:t>
            </w:r>
          </w:p>
        </w:tc>
        <w:tc>
          <w:tcPr>
            <w:tcW w:w="10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5,139</w:t>
            </w:r>
          </w:p>
        </w:tc>
        <w:tc>
          <w:tcPr>
            <w:tcW w:w="154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13,001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11,578</w:t>
            </w:r>
          </w:p>
        </w:tc>
        <w:tc>
          <w:tcPr>
            <w:tcW w:w="0" w:type="dxa"/>
            <w:vAlign w:val="bottom"/>
          </w:tcPr>
          <w:p>
            <w:pPr>
              <w:spacing w:after="0"/>
              <w:rPr>
                <w:sz w:val="1"/>
                <w:szCs w:val="1"/>
                <w:color w:val="auto"/>
              </w:rPr>
            </w:pPr>
          </w:p>
        </w:tc>
      </w:tr>
      <w:tr>
        <w:trPr>
          <w:trHeight w:val="196"/>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Selling and delivery</w:t>
            </w:r>
          </w:p>
        </w:tc>
        <w:tc>
          <w:tcPr>
            <w:tcW w:w="1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General and administrative</w:t>
            </w: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6,866</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5,510</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11,751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11,073</w:t>
            </w:r>
          </w:p>
        </w:tc>
        <w:tc>
          <w:tcPr>
            <w:tcW w:w="0" w:type="dxa"/>
            <w:vAlign w:val="bottom"/>
          </w:tcPr>
          <w:p>
            <w:pPr>
              <w:spacing w:after="0"/>
              <w:rPr>
                <w:sz w:val="1"/>
                <w:szCs w:val="1"/>
                <w:color w:val="auto"/>
              </w:rPr>
            </w:pPr>
          </w:p>
        </w:tc>
      </w:tr>
      <w:tr>
        <w:trPr>
          <w:trHeight w:val="196"/>
        </w:trPr>
        <w:tc>
          <w:tcPr>
            <w:tcW w:w="566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Total operating expenses</w:t>
            </w:r>
          </w:p>
        </w:tc>
        <w:tc>
          <w:tcPr>
            <w:tcW w:w="1900" w:type="dxa"/>
            <w:vAlign w:val="bottom"/>
            <w:vMerge w:val="restart"/>
          </w:tcPr>
          <w:p>
            <w:pPr>
              <w:jc w:val="right"/>
              <w:ind w:right="536"/>
              <w:spacing w:after="0"/>
              <w:rPr>
                <w:sz w:val="20"/>
                <w:szCs w:val="20"/>
                <w:color w:val="auto"/>
              </w:rPr>
            </w:pPr>
            <w:r>
              <w:rPr>
                <w:rFonts w:ascii="Courier New" w:cs="Courier New" w:eastAsia="Courier New" w:hAnsi="Courier New"/>
                <w:sz w:val="17"/>
                <w:szCs w:val="17"/>
                <w:color w:val="auto"/>
                <w:w w:val="72"/>
              </w:rPr>
              <w:t>---------</w:t>
            </w:r>
            <w:r>
              <w:rPr>
                <w:rFonts w:ascii="Courier New" w:cs="Courier New" w:eastAsia="Courier New" w:hAnsi="Courier New"/>
                <w:sz w:val="34"/>
                <w:szCs w:val="34"/>
                <w:color w:val="auto"/>
                <w:w w:val="72"/>
                <w:vertAlign w:val="subscript"/>
              </w:rPr>
              <w:t>13,529</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10,649</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24,752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22,651</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4"/>
                <w:szCs w:val="24"/>
                <w:color w:val="auto"/>
              </w:rPr>
            </w:pP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Operating (loss) income</w:t>
            </w:r>
          </w:p>
        </w:tc>
        <w:tc>
          <w:tcPr>
            <w:tcW w:w="190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(3,330)</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2,873</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6,840</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Financial income</w:t>
            </w: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745</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384</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1,114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707</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4"/>
                <w:szCs w:val="24"/>
                <w:color w:val="auto"/>
              </w:rPr>
            </w:pP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Pre-tax (loss) income from continuing operations</w:t>
            </w:r>
          </w:p>
        </w:tc>
        <w:tc>
          <w:tcPr>
            <w:tcW w:w="190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(2,585)</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3,257</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1,640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7,547</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Provision for taxes</w:t>
            </w: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1,089</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1,059</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2,608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2,677</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4"/>
                <w:szCs w:val="24"/>
                <w:color w:val="auto"/>
              </w:rPr>
            </w:pPr>
          </w:p>
        </w:tc>
        <w:tc>
          <w:tcPr>
            <w:tcW w:w="190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(Loss) income from continuing operations</w:t>
            </w:r>
          </w:p>
        </w:tc>
        <w:tc>
          <w:tcPr>
            <w:tcW w:w="190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(3,674)</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2,198</w:t>
            </w:r>
          </w:p>
        </w:tc>
        <w:tc>
          <w:tcPr>
            <w:tcW w:w="15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(968)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4,870</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Income from discontinued Cycle-Sat operations</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(less applicable income tax provisions of $17 and</w:t>
            </w:r>
          </w:p>
        </w:tc>
        <w:tc>
          <w:tcPr>
            <w:tcW w:w="1900" w:type="dxa"/>
            <w:vAlign w:val="bottom"/>
            <w:vMerge w:val="restart"/>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40</w:t>
            </w:r>
          </w:p>
        </w:tc>
        <w:tc>
          <w:tcPr>
            <w:tcW w:w="154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358</w:t>
            </w:r>
          </w:p>
        </w:tc>
        <w:tc>
          <w:tcPr>
            <w:tcW w:w="0" w:type="dxa"/>
            <w:vAlign w:val="bottom"/>
          </w:tcPr>
          <w:p>
            <w:pPr>
              <w:spacing w:after="0"/>
              <w:rPr>
                <w:sz w:val="1"/>
                <w:szCs w:val="1"/>
                <w:color w:val="auto"/>
              </w:rPr>
            </w:pPr>
          </w:p>
        </w:tc>
      </w:tr>
      <w:tr>
        <w:trPr>
          <w:trHeight w:val="286"/>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$157, respectively)</w:t>
            </w:r>
          </w:p>
        </w:tc>
        <w:tc>
          <w:tcPr>
            <w:tcW w:w="19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Gain from sale of discontinued Cycle-Sat subsidiary</w:t>
      </w:r>
    </w:p>
    <w:p>
      <w:pPr>
        <w:spacing w:after="0" w:line="3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(includes a loss on operations of 160 less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applicable income tax credits of $123 and a</w:t>
      </w:r>
    </w:p>
    <w:p>
      <w:pPr>
        <w:sectPr>
          <w:pgSz w:w="11900" w:h="16838" w:orient="portrait"/>
          <w:cols w:equalWidth="0" w:num="1">
            <w:col w:w="11520"/>
          </w:cols>
          <w:pgMar w:left="240" w:top="112" w:right="139" w:bottom="0" w:gutter="0" w:footer="0" w:header="0"/>
        </w:sectPr>
      </w:pPr>
    </w:p>
    <w:bookmarkStart w:id="3" w:name="page4"/>
    <w:bookmarkEnd w:id="3"/>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gain on disposal of $16,632 less income taxes</w:t>
            </w:r>
          </w:p>
        </w:tc>
        <w:tc>
          <w:tcPr>
            <w:tcW w:w="760" w:type="dxa"/>
            <w:vAlign w:val="bottom"/>
          </w:tcPr>
          <w:p>
            <w:pPr>
              <w:spacing w:after="0"/>
              <w:rPr>
                <w:sz w:val="17"/>
                <w:szCs w:val="17"/>
                <w:color w:val="auto"/>
              </w:rPr>
            </w:pPr>
          </w:p>
        </w:tc>
        <w:tc>
          <w:tcPr>
            <w:tcW w:w="1080" w:type="dxa"/>
            <w:vAlign w:val="bottom"/>
            <w:vMerge w:val="restart"/>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16,472</w:t>
            </w:r>
          </w:p>
        </w:tc>
        <w:tc>
          <w:tcPr>
            <w:tcW w:w="460" w:type="dxa"/>
            <w:vAlign w:val="bottom"/>
          </w:tcPr>
          <w:p>
            <w:pPr>
              <w:spacing w:after="0"/>
              <w:rPr>
                <w:sz w:val="17"/>
                <w:szCs w:val="17"/>
                <w:color w:val="auto"/>
              </w:rPr>
            </w:pPr>
          </w:p>
        </w:tc>
        <w:tc>
          <w:tcPr>
            <w:tcW w:w="7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of $13,462)</w:t>
            </w:r>
          </w:p>
        </w:tc>
        <w:tc>
          <w:tcPr>
            <w:tcW w:w="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460" w:type="dxa"/>
            <w:vAlign w:val="bottom"/>
          </w:tcPr>
          <w:p>
            <w:pPr>
              <w:spacing w:after="0"/>
              <w:rPr>
                <w:sz w:val="24"/>
                <w:szCs w:val="24"/>
                <w:color w:val="auto"/>
              </w:rPr>
            </w:pPr>
          </w:p>
        </w:tc>
        <w:tc>
          <w:tcPr>
            <w:tcW w:w="18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(loss) income</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(3,674)</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2,238</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15,504</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5,228</w:t>
            </w:r>
          </w:p>
        </w:tc>
        <w:tc>
          <w:tcPr>
            <w:tcW w:w="0" w:type="dxa"/>
            <w:vAlign w:val="bottom"/>
          </w:tcPr>
          <w:p>
            <w:pPr>
              <w:spacing w:after="0"/>
              <w:rPr>
                <w:sz w:val="1"/>
                <w:szCs w:val="1"/>
                <w:color w:val="auto"/>
              </w:rPr>
            </w:pPr>
          </w:p>
        </w:tc>
      </w:tr>
      <w:tr>
        <w:trPr>
          <w:trHeight w:val="286"/>
        </w:trPr>
        <w:tc>
          <w:tcPr>
            <w:tcW w:w="5460" w:type="dxa"/>
            <w:vAlign w:val="bottom"/>
          </w:tcPr>
          <w:p>
            <w:pPr>
              <w:spacing w:after="0"/>
              <w:rPr>
                <w:sz w:val="24"/>
                <w:szCs w:val="24"/>
                <w:color w:val="auto"/>
              </w:rPr>
            </w:pPr>
          </w:p>
        </w:tc>
        <w:tc>
          <w:tcPr>
            <w:tcW w:w="18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(loss) income per common share:</w:t>
            </w:r>
          </w:p>
        </w:tc>
        <w:tc>
          <w:tcPr>
            <w:tcW w:w="7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(.15)</w:t>
            </w:r>
          </w:p>
        </w:tc>
        <w:tc>
          <w:tcPr>
            <w:tcW w:w="4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.09</w:t>
            </w:r>
          </w:p>
        </w:tc>
        <w:tc>
          <w:tcPr>
            <w:tcW w:w="4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(.04)</w:t>
            </w:r>
          </w:p>
        </w:tc>
        <w:tc>
          <w:tcPr>
            <w:tcW w:w="4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Continuing operations</w:t>
            </w:r>
          </w:p>
        </w:tc>
        <w:tc>
          <w:tcPr>
            <w:tcW w:w="7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Discontinued operations</w:t>
            </w:r>
          </w:p>
        </w:tc>
        <w:tc>
          <w:tcPr>
            <w:tcW w:w="76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c>
          <w:tcPr>
            <w:tcW w:w="0" w:type="dxa"/>
            <w:vAlign w:val="bottom"/>
          </w:tcPr>
          <w:p>
            <w:pPr>
              <w:spacing w:after="0"/>
              <w:rPr>
                <w:sz w:val="1"/>
                <w:szCs w:val="1"/>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Gain from sale of Cycle-Sat</w:t>
            </w:r>
          </w:p>
        </w:tc>
        <w:tc>
          <w:tcPr>
            <w:tcW w:w="76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.65</w:t>
            </w:r>
          </w:p>
        </w:tc>
        <w:tc>
          <w:tcPr>
            <w:tcW w:w="460" w:type="dxa"/>
            <w:vAlign w:val="bottom"/>
          </w:tcPr>
          <w:p>
            <w:pPr>
              <w:spacing w:after="0"/>
              <w:rPr>
                <w:sz w:val="17"/>
                <w:szCs w:val="17"/>
                <w:color w:val="auto"/>
              </w:rPr>
            </w:pPr>
          </w:p>
        </w:tc>
        <w:tc>
          <w:tcPr>
            <w:tcW w:w="7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460" w:type="dxa"/>
            <w:vAlign w:val="bottom"/>
            <w:vMerge w:val="restart"/>
          </w:tcPr>
          <w:p>
            <w:pPr>
              <w:spacing w:after="0"/>
              <w:rPr>
                <w:sz w:val="20"/>
                <w:szCs w:val="20"/>
                <w:color w:val="auto"/>
              </w:rPr>
            </w:pPr>
            <w:r>
              <w:rPr>
                <w:rFonts w:ascii="Courier New" w:cs="Courier New" w:eastAsia="Courier New" w:hAnsi="Courier New"/>
                <w:sz w:val="17"/>
                <w:szCs w:val="17"/>
                <w:color w:val="auto"/>
              </w:rPr>
              <w:t>Net (loss) income</w:t>
            </w:r>
          </w:p>
        </w:tc>
        <w:tc>
          <w:tcPr>
            <w:tcW w:w="18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.09</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.61</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0" w:type="dxa"/>
            <w:vAlign w:val="bottom"/>
          </w:tcPr>
          <w:p>
            <w:pPr>
              <w:spacing w:after="0"/>
              <w:rPr>
                <w:sz w:val="1"/>
                <w:szCs w:val="1"/>
                <w:color w:val="auto"/>
              </w:rPr>
            </w:pPr>
          </w:p>
        </w:tc>
      </w:tr>
      <w:tr>
        <w:trPr>
          <w:trHeight w:val="286"/>
        </w:trPr>
        <w:tc>
          <w:tcPr>
            <w:tcW w:w="5460" w:type="dxa"/>
            <w:vAlign w:val="bottom"/>
          </w:tcPr>
          <w:p>
            <w:pPr>
              <w:spacing w:after="0"/>
              <w:rPr>
                <w:sz w:val="24"/>
                <w:szCs w:val="24"/>
                <w:color w:val="auto"/>
              </w:rPr>
            </w:pPr>
          </w:p>
        </w:tc>
        <w:tc>
          <w:tcPr>
            <w:tcW w:w="18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shares of common stock</w:t>
            </w:r>
          </w:p>
        </w:tc>
        <w:tc>
          <w:tcPr>
            <w:tcW w:w="760" w:type="dxa"/>
            <w:vAlign w:val="bottom"/>
          </w:tcPr>
          <w:p>
            <w:pPr>
              <w:spacing w:after="0"/>
              <w:rPr>
                <w:sz w:val="17"/>
                <w:szCs w:val="17"/>
                <w:color w:val="auto"/>
              </w:rPr>
            </w:pP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25,431</w:t>
            </w:r>
          </w:p>
        </w:tc>
        <w:tc>
          <w:tcPr>
            <w:tcW w:w="460" w:type="dxa"/>
            <w:vAlign w:val="bottom"/>
          </w:tcPr>
          <w:p>
            <w:pPr>
              <w:spacing w:after="0"/>
              <w:rPr>
                <w:sz w:val="17"/>
                <w:szCs w:val="17"/>
                <w:color w:val="auto"/>
              </w:rPr>
            </w:pPr>
          </w:p>
        </w:tc>
        <w:tc>
          <w:tcPr>
            <w:tcW w:w="9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25,346</w:t>
            </w:r>
          </w:p>
        </w:tc>
        <w:tc>
          <w:tcPr>
            <w:tcW w:w="460" w:type="dxa"/>
            <w:vAlign w:val="bottom"/>
          </w:tcPr>
          <w:p>
            <w:pPr>
              <w:spacing w:after="0"/>
              <w:rPr>
                <w:sz w:val="17"/>
                <w:szCs w:val="17"/>
                <w:color w:val="auto"/>
              </w:rPr>
            </w:pP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25,405</w:t>
            </w:r>
          </w:p>
        </w:tc>
        <w:tc>
          <w:tcPr>
            <w:tcW w:w="4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25,346</w:t>
            </w:r>
          </w:p>
        </w:tc>
        <w:tc>
          <w:tcPr>
            <w:tcW w:w="0" w:type="dxa"/>
            <w:vAlign w:val="bottom"/>
          </w:tcPr>
          <w:p>
            <w:pPr>
              <w:spacing w:after="0"/>
              <w:rPr>
                <w:sz w:val="1"/>
                <w:szCs w:val="1"/>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460" w:type="dxa"/>
            <w:vAlign w:val="bottom"/>
          </w:tcPr>
          <w:p>
            <w:pPr>
              <w:spacing w:after="0"/>
              <w:rPr>
                <w:sz w:val="24"/>
                <w:szCs w:val="24"/>
                <w:color w:val="auto"/>
              </w:rPr>
            </w:pPr>
          </w:p>
        </w:tc>
        <w:tc>
          <w:tcPr>
            <w:tcW w:w="18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34"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UNAUDITED CONSOLIDATED CONDENSED STATEMENTS OF CASH FLOWS</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Dollars in thousands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(decrease) in cash and cash equivalents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Pr>
          <w:p>
            <w:pPr>
              <w:spacing w:after="0"/>
              <w:rPr>
                <w:sz w:val="17"/>
                <w:szCs w:val="17"/>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7"/>
                <w:szCs w:val="17"/>
                <w:color w:val="auto"/>
              </w:rPr>
              <w:t>TWENTY-SIX</w:t>
            </w:r>
          </w:p>
        </w:tc>
        <w:tc>
          <w:tcPr>
            <w:tcW w:w="1440" w:type="dxa"/>
            <w:vAlign w:val="bottom"/>
          </w:tcPr>
          <w:p>
            <w:pPr>
              <w:ind w:left="220"/>
              <w:spacing w:after="0"/>
              <w:rPr>
                <w:sz w:val="20"/>
                <w:szCs w:val="20"/>
                <w:color w:val="auto"/>
              </w:rPr>
            </w:pPr>
            <w:r>
              <w:rPr>
                <w:rFonts w:ascii="Courier New" w:cs="Courier New" w:eastAsia="Courier New" w:hAnsi="Courier New"/>
                <w:sz w:val="17"/>
                <w:szCs w:val="17"/>
                <w:color w:val="auto"/>
                <w:w w:val="98"/>
              </w:rPr>
              <w:t>TWENTY-SEVEN</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7"/>
                <w:szCs w:val="17"/>
                <w:color w:val="auto"/>
              </w:rPr>
              <w:t>WEEKS ENDED</w:t>
            </w:r>
          </w:p>
        </w:tc>
        <w:tc>
          <w:tcPr>
            <w:tcW w:w="1440" w:type="dxa"/>
            <w:vAlign w:val="bottom"/>
          </w:tcPr>
          <w:p>
            <w:pPr>
              <w:ind w:left="220"/>
              <w:spacing w:after="0"/>
              <w:rPr>
                <w:sz w:val="20"/>
                <w:szCs w:val="20"/>
                <w:color w:val="auto"/>
              </w:rPr>
            </w:pPr>
            <w:r>
              <w:rPr>
                <w:rFonts w:ascii="Courier New" w:cs="Courier New" w:eastAsia="Courier New" w:hAnsi="Courier New"/>
                <w:sz w:val="17"/>
                <w:szCs w:val="17"/>
                <w:color w:val="auto"/>
              </w:rPr>
              <w:t>WEEKS ENDED</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ind w:left="135"/>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March 1,</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March 2,</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4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1997</w:t>
            </w: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86"/>
        </w:trPr>
        <w:tc>
          <w:tcPr>
            <w:tcW w:w="678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ind w:left="135"/>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03"/>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48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$ 15,504</w:t>
            </w:r>
          </w:p>
        </w:tc>
        <w:tc>
          <w:tcPr>
            <w:tcW w:w="144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  5,228</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Courier New" w:cs="Courier New" w:eastAsia="Courier New" w:hAnsi="Courier New"/>
                <w:sz w:val="17"/>
                <w:szCs w:val="17"/>
                <w:color w:val="auto"/>
              </w:rPr>
              <w:t>to net cash from operating activities:</w:t>
            </w:r>
          </w:p>
        </w:tc>
        <w:tc>
          <w:tcPr>
            <w:tcW w:w="148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(29,811)</w:t>
            </w:r>
          </w:p>
        </w:tc>
        <w:tc>
          <w:tcPr>
            <w:tcW w:w="1440" w:type="dxa"/>
            <w:vAlign w:val="bottom"/>
            <w:vMerge w:val="restart"/>
          </w:tcPr>
          <w:p>
            <w:pPr>
              <w:jc w:val="center"/>
              <w:ind w:left="115"/>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Pre-tax gain on sale of Cycle-Sat subsidiary</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3,826</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3,318</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Realized and unrealized gains on investments, net</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(137)</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(149)</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Investments in trading securities</w:t>
            </w:r>
          </w:p>
        </w:tc>
        <w:tc>
          <w:tcPr>
            <w:tcW w:w="14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(3,157)</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trading securities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4,453</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1,737</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1,616</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146</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Courier New" w:cs="Courier New" w:eastAsia="Courier New" w:hAnsi="Courier New"/>
                <w:sz w:val="17"/>
                <w:szCs w:val="17"/>
                <w:color w:val="auto"/>
              </w:rPr>
              <w:t>Change in assets and liabilities:</w:t>
            </w:r>
          </w:p>
        </w:tc>
        <w:tc>
          <w:tcPr>
            <w:tcW w:w="148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(7,533)</w:t>
            </w:r>
          </w:p>
        </w:tc>
        <w:tc>
          <w:tcPr>
            <w:tcW w:w="144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1,523</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(Increase) decrease in accounts receivable</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Decrease (increase) in inventories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15,354</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(4,846)</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Increase in accounts payable and accrued expenses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4,950</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9,679</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Increase in postretirement benefits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694</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1,549</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(2,194)</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(1,269)</w:t>
            </w:r>
          </w:p>
        </w:tc>
        <w:tc>
          <w:tcPr>
            <w:tcW w:w="0" w:type="dxa"/>
            <w:vAlign w:val="bottom"/>
          </w:tcPr>
          <w:p>
            <w:pPr>
              <w:spacing w:after="0"/>
              <w:rPr>
                <w:sz w:val="1"/>
                <w:szCs w:val="1"/>
                <w:color w:val="auto"/>
              </w:rPr>
            </w:pPr>
          </w:p>
        </w:tc>
      </w:tr>
      <w:tr>
        <w:trPr>
          <w:trHeight w:val="196"/>
        </w:trPr>
        <w:tc>
          <w:tcPr>
            <w:tcW w:w="6780" w:type="dxa"/>
            <w:vAlign w:val="bottom"/>
            <w:vMerge w:val="restart"/>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6,722</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13,759</w:t>
            </w:r>
          </w:p>
        </w:tc>
        <w:tc>
          <w:tcPr>
            <w:tcW w:w="0" w:type="dxa"/>
            <w:vAlign w:val="bottom"/>
          </w:tcPr>
          <w:p>
            <w:pPr>
              <w:spacing w:after="0"/>
              <w:rPr>
                <w:sz w:val="1"/>
                <w:szCs w:val="1"/>
                <w:color w:val="auto"/>
              </w:rPr>
            </w:pPr>
          </w:p>
        </w:tc>
      </w:tr>
      <w:tr>
        <w:trPr>
          <w:trHeight w:val="286"/>
        </w:trPr>
        <w:tc>
          <w:tcPr>
            <w:tcW w:w="6780" w:type="dxa"/>
            <w:vAlign w:val="bottom"/>
          </w:tcPr>
          <w:p>
            <w:pPr>
              <w:spacing w:after="0"/>
              <w:rPr>
                <w:sz w:val="24"/>
                <w:szCs w:val="24"/>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provided (used) by investing activities:</w:t>
            </w:r>
          </w:p>
        </w:tc>
        <w:tc>
          <w:tcPr>
            <w:tcW w:w="148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55,883</w:t>
            </w:r>
          </w:p>
        </w:tc>
        <w:tc>
          <w:tcPr>
            <w:tcW w:w="1440" w:type="dxa"/>
            <w:vAlign w:val="bottom"/>
            <w:vMerge w:val="restart"/>
          </w:tcPr>
          <w:p>
            <w:pPr>
              <w:jc w:val="center"/>
              <w:ind w:left="115"/>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Gross proceeds from the sale of Cycle-Sat subsidiary</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Payment to minority shareholder for sale of Cycle-Sat</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(7,160)</w:t>
            </w:r>
          </w:p>
        </w:tc>
        <w:tc>
          <w:tcPr>
            <w:tcW w:w="1440" w:type="dxa"/>
            <w:vAlign w:val="bottom"/>
          </w:tcPr>
          <w:p>
            <w:pPr>
              <w:jc w:val="center"/>
              <w:ind w:left="115"/>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Purchases of property and equipment</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(2,039)</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(3,636)</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Investments in dealer receivables</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(21,695)</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(20,022)</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Collections of dealer receivables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20,078</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19,601</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(440)</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(500)</w:t>
            </w:r>
          </w:p>
        </w:tc>
        <w:tc>
          <w:tcPr>
            <w:tcW w:w="0" w:type="dxa"/>
            <w:vAlign w:val="bottom"/>
          </w:tcPr>
          <w:p>
            <w:pPr>
              <w:spacing w:after="0"/>
              <w:rPr>
                <w:sz w:val="1"/>
                <w:szCs w:val="1"/>
                <w:color w:val="auto"/>
              </w:rPr>
            </w:pPr>
          </w:p>
        </w:tc>
      </w:tr>
      <w:tr>
        <w:trPr>
          <w:trHeight w:val="196"/>
        </w:trPr>
        <w:tc>
          <w:tcPr>
            <w:tcW w:w="6780" w:type="dxa"/>
            <w:vAlign w:val="bottom"/>
            <w:vMerge w:val="restart"/>
          </w:tcPr>
          <w:p>
            <w:pPr>
              <w:spacing w:after="0"/>
              <w:rPr>
                <w:sz w:val="20"/>
                <w:szCs w:val="20"/>
                <w:color w:val="auto"/>
              </w:rPr>
            </w:pPr>
            <w:r>
              <w:rPr>
                <w:rFonts w:ascii="Courier New" w:cs="Courier New" w:eastAsia="Courier New" w:hAnsi="Courier New"/>
                <w:sz w:val="17"/>
                <w:szCs w:val="17"/>
                <w:color w:val="auto"/>
              </w:rPr>
              <w:t>Net cash provided (used) by investing activities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44,627</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(4,557)</w:t>
            </w:r>
          </w:p>
        </w:tc>
        <w:tc>
          <w:tcPr>
            <w:tcW w:w="0" w:type="dxa"/>
            <w:vAlign w:val="bottom"/>
          </w:tcPr>
          <w:p>
            <w:pPr>
              <w:spacing w:after="0"/>
              <w:rPr>
                <w:sz w:val="1"/>
                <w:szCs w:val="1"/>
                <w:color w:val="auto"/>
              </w:rPr>
            </w:pPr>
          </w:p>
        </w:tc>
      </w:tr>
      <w:tr>
        <w:trPr>
          <w:trHeight w:val="286"/>
        </w:trPr>
        <w:tc>
          <w:tcPr>
            <w:tcW w:w="6780" w:type="dxa"/>
            <w:vAlign w:val="bottom"/>
          </w:tcPr>
          <w:p>
            <w:pPr>
              <w:spacing w:after="0"/>
              <w:rPr>
                <w:sz w:val="24"/>
                <w:szCs w:val="24"/>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used by financing activities and capital transactions:</w:t>
            </w:r>
          </w:p>
        </w:tc>
        <w:tc>
          <w:tcPr>
            <w:tcW w:w="148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(13,220)</w:t>
            </w:r>
          </w:p>
        </w:tc>
        <w:tc>
          <w:tcPr>
            <w:tcW w:w="1440" w:type="dxa"/>
            <w:vAlign w:val="bottom"/>
            <w:vMerge w:val="restart"/>
          </w:tcPr>
          <w:p>
            <w:pPr>
              <w:jc w:val="center"/>
              <w:ind w:left="115"/>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Payment of long-term debt of discontinued operation</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Payments of long-term debt and capital leases</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(1,908)</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(646)</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Payment of cash dividends</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(2,542)</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(2,534)</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434</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76</w:t>
            </w:r>
          </w:p>
        </w:tc>
        <w:tc>
          <w:tcPr>
            <w:tcW w:w="0" w:type="dxa"/>
            <w:vAlign w:val="bottom"/>
          </w:tcPr>
          <w:p>
            <w:pPr>
              <w:spacing w:after="0"/>
              <w:rPr>
                <w:sz w:val="1"/>
                <w:szCs w:val="1"/>
                <w:color w:val="auto"/>
              </w:rPr>
            </w:pPr>
          </w:p>
        </w:tc>
      </w:tr>
      <w:tr>
        <w:trPr>
          <w:trHeight w:val="286"/>
        </w:trPr>
        <w:tc>
          <w:tcPr>
            <w:tcW w:w="6780" w:type="dxa"/>
            <w:vAlign w:val="bottom"/>
            <w:vMerge w:val="restart"/>
          </w:tcPr>
          <w:p>
            <w:pPr>
              <w:spacing w:after="0"/>
              <w:rPr>
                <w:sz w:val="20"/>
                <w:szCs w:val="20"/>
                <w:color w:val="auto"/>
              </w:rPr>
            </w:pPr>
            <w:r>
              <w:rPr>
                <w:rFonts w:ascii="Courier New" w:cs="Courier New" w:eastAsia="Courier New" w:hAnsi="Courier New"/>
                <w:sz w:val="17"/>
                <w:szCs w:val="17"/>
                <w:color w:val="auto"/>
              </w:rPr>
              <w:t>Net cash used by financing activities and</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6780" w:type="dxa"/>
            <w:vAlign w:val="bottom"/>
            <w:vMerge w:val="continue"/>
          </w:tcPr>
          <w:p>
            <w:pPr>
              <w:spacing w:after="0"/>
              <w:rPr>
                <w:sz w:val="9"/>
                <w:szCs w:val="9"/>
                <w:color w:val="auto"/>
              </w:rPr>
            </w:pPr>
          </w:p>
        </w:tc>
        <w:tc>
          <w:tcPr>
            <w:tcW w:w="148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(17,236)</w:t>
            </w:r>
          </w:p>
        </w:tc>
        <w:tc>
          <w:tcPr>
            <w:tcW w:w="14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(3,104)</w:t>
            </w:r>
          </w:p>
        </w:tc>
        <w:tc>
          <w:tcPr>
            <w:tcW w:w="0" w:type="dxa"/>
            <w:vAlign w:val="bottom"/>
          </w:tcPr>
          <w:p>
            <w:pPr>
              <w:spacing w:after="0"/>
              <w:rPr>
                <w:sz w:val="1"/>
                <w:szCs w:val="1"/>
                <w:color w:val="auto"/>
              </w:rPr>
            </w:pPr>
          </w:p>
        </w:tc>
      </w:tr>
      <w:tr>
        <w:trPr>
          <w:trHeight w:val="196"/>
        </w:trPr>
        <w:tc>
          <w:tcPr>
            <w:tcW w:w="6780" w:type="dxa"/>
            <w:vAlign w:val="bottom"/>
          </w:tcPr>
          <w:p>
            <w:pPr>
              <w:ind w:left="320"/>
              <w:spacing w:after="0"/>
              <w:rPr>
                <w:sz w:val="20"/>
                <w:szCs w:val="20"/>
                <w:color w:val="auto"/>
              </w:rPr>
            </w:pPr>
            <w:r>
              <w:rPr>
                <w:rFonts w:ascii="Courier New" w:cs="Courier New" w:eastAsia="Courier New" w:hAnsi="Courier New"/>
                <w:sz w:val="17"/>
                <w:szCs w:val="17"/>
                <w:color w:val="auto"/>
              </w:rPr>
              <w:t>capital transactions</w:t>
            </w:r>
          </w:p>
        </w:tc>
        <w:tc>
          <w:tcPr>
            <w:tcW w:w="1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vMerge w:val="restart"/>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6780" w:type="dxa"/>
            <w:vAlign w:val="bottom"/>
            <w:vMerge w:val="continue"/>
          </w:tcPr>
          <w:p>
            <w:pPr>
              <w:spacing w:after="0"/>
              <w:rPr>
                <w:sz w:val="24"/>
                <w:szCs w:val="24"/>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34,113</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6,098</w:t>
            </w:r>
          </w:p>
        </w:tc>
        <w:tc>
          <w:tcPr>
            <w:tcW w:w="0" w:type="dxa"/>
            <w:vAlign w:val="bottom"/>
          </w:tcPr>
          <w:p>
            <w:pPr>
              <w:spacing w:after="0"/>
              <w:rPr>
                <w:sz w:val="1"/>
                <w:szCs w:val="1"/>
                <w:color w:val="auto"/>
              </w:rPr>
            </w:pPr>
          </w:p>
        </w:tc>
      </w:tr>
    </w:tbl>
    <w:p>
      <w:pPr>
        <w:sectPr>
          <w:pgSz w:w="11900" w:h="16882" w:orient="portrait"/>
          <w:cols w:equalWidth="0" w:num="1">
            <w:col w:w="11440"/>
          </w:cols>
          <w:pgMar w:left="240" w:top="112" w:right="21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797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8,508</w:t>
            </w:r>
          </w:p>
        </w:tc>
      </w:tr>
      <w:tr>
        <w:trPr>
          <w:trHeight w:val="286"/>
        </w:trPr>
        <w:tc>
          <w:tcPr>
            <w:tcW w:w="700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03"/>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$ 34,910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$ 14,606</w:t>
            </w:r>
          </w:p>
        </w:tc>
      </w:tr>
      <w:tr>
        <w:trPr>
          <w:trHeight w:val="286"/>
        </w:trPr>
        <w:tc>
          <w:tcPr>
            <w:tcW w:w="700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00" w:type="dxa"/>
            <w:vAlign w:val="bottom"/>
          </w:tcPr>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3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p>
      <w:pPr>
        <w:spacing w:after="0" w:line="170" w:lineRule="exact"/>
        <w:rPr>
          <w:sz w:val="20"/>
          <w:szCs w:val="20"/>
          <w:color w:val="auto"/>
        </w:rPr>
      </w:pPr>
    </w:p>
    <w:p>
      <w:pPr>
        <w:ind w:left="720" w:right="2159" w:hanging="715"/>
        <w:spacing w:after="0" w:line="259" w:lineRule="auto"/>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opinion of management, the accompanying unaudited consolidated condensed financial statements contain all adjustments, consisting of normal recurring accruals, necessary to present fairly the consolidated financial position as of March 1, 1997, the consolidated results of operations for the 26 and 13 weeks ended March 1, 1997 and the 27 and 13 weeks ended March 2, 1996, and the consolidated cash flows for the 26 weeks ended March 1, 1997 and the 27 weeks ended March 2, 1996. The results of operations for the 26 weeks ended March 1, 1997, are not necessarily indicative of the results to be expected for the full year.</w:t>
      </w:r>
    </w:p>
    <w:p>
      <w:pPr>
        <w:spacing w:after="0" w:line="91" w:lineRule="exact"/>
        <w:rPr>
          <w:rFonts w:ascii="Courier New" w:cs="Courier New" w:eastAsia="Courier New" w:hAnsi="Courier New"/>
          <w:sz w:val="17"/>
          <w:szCs w:val="17"/>
          <w:color w:val="auto"/>
        </w:rPr>
      </w:pPr>
    </w:p>
    <w:p>
      <w:pPr>
        <w:ind w:left="720" w:right="2159" w:hanging="715"/>
        <w:spacing w:after="0" w:line="302" w:lineRule="auto"/>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are valued at the lower of cost or market, with cost being determined under the last-in, first-out (LIFO) method and market defined as net realizable value.</w:t>
      </w:r>
    </w:p>
    <w:p>
      <w:pPr>
        <w:spacing w:after="0" w:line="5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Inventories are composed of the following (dollars in thousands):</w:t>
      </w:r>
    </w:p>
    <w:p>
      <w:pPr>
        <w:spacing w:after="0" w:line="200"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w w:val="97"/>
              </w:rPr>
              <w:t>March 1,</w:t>
            </w:r>
          </w:p>
        </w:tc>
        <w:tc>
          <w:tcPr>
            <w:tcW w:w="46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August 31,</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1997</w:t>
            </w:r>
          </w:p>
        </w:tc>
        <w:tc>
          <w:tcPr>
            <w:tcW w:w="46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86"/>
        </w:trPr>
        <w:tc>
          <w:tcPr>
            <w:tcW w:w="2900" w:type="dxa"/>
            <w:vAlign w:val="bottom"/>
          </w:tcPr>
          <w:p>
            <w:pPr>
              <w:spacing w:after="0"/>
              <w:rPr>
                <w:sz w:val="24"/>
                <w:szCs w:val="24"/>
                <w:color w:val="auto"/>
              </w:rPr>
            </w:pPr>
          </w:p>
        </w:tc>
        <w:tc>
          <w:tcPr>
            <w:tcW w:w="20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2900" w:type="dxa"/>
            <w:vAlign w:val="bottom"/>
          </w:tcPr>
          <w:p>
            <w:pPr>
              <w:spacing w:after="0"/>
              <w:rPr>
                <w:sz w:val="20"/>
                <w:szCs w:val="20"/>
                <w:color w:val="auto"/>
              </w:rPr>
            </w:pPr>
            <w:r>
              <w:rPr>
                <w:rFonts w:ascii="Courier New" w:cs="Courier New" w:eastAsia="Courier New" w:hAnsi="Courier New"/>
                <w:sz w:val="17"/>
                <w:szCs w:val="17"/>
                <w:color w:val="auto"/>
              </w:rPr>
              <w:t>Finished</w:t>
            </w:r>
          </w:p>
        </w:tc>
        <w:tc>
          <w:tcPr>
            <w:tcW w:w="66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w:t>
            </w:r>
          </w:p>
        </w:tc>
        <w:tc>
          <w:tcPr>
            <w:tcW w:w="134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17,704</w:t>
            </w:r>
          </w:p>
        </w:tc>
        <w:tc>
          <w:tcPr>
            <w:tcW w:w="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28,228</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Courier New" w:cs="Courier New" w:eastAsia="Courier New" w:hAnsi="Courier New"/>
                <w:sz w:val="17"/>
                <w:szCs w:val="17"/>
                <w:color w:val="auto"/>
              </w:rPr>
              <w:t>goods....................</w:t>
            </w:r>
          </w:p>
        </w:tc>
        <w:tc>
          <w:tcPr>
            <w:tcW w:w="6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66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15,622</w:t>
            </w:r>
          </w:p>
        </w:tc>
        <w:tc>
          <w:tcPr>
            <w:tcW w:w="46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13,915</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66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31,450</w:t>
            </w:r>
          </w:p>
        </w:tc>
        <w:tc>
          <w:tcPr>
            <w:tcW w:w="46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37,537</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660" w:type="dxa"/>
            <w:vAlign w:val="bottom"/>
          </w:tcPr>
          <w:p>
            <w:pPr>
              <w:ind w:left="360"/>
              <w:spacing w:after="0"/>
              <w:rPr>
                <w:sz w:val="20"/>
                <w:szCs w:val="20"/>
                <w:color w:val="auto"/>
              </w:rPr>
            </w:pPr>
            <w:r>
              <w:rPr>
                <w:rFonts w:ascii="Courier New" w:cs="Courier New" w:eastAsia="Courier New" w:hAnsi="Courier New"/>
                <w:sz w:val="5"/>
                <w:szCs w:val="5"/>
                <w:color w:val="auto"/>
                <w:w w:val="77"/>
              </w:rPr>
              <w:t>------------</w:t>
            </w:r>
          </w:p>
        </w:tc>
        <w:tc>
          <w:tcPr>
            <w:tcW w:w="134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64,776</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2900" w:type="dxa"/>
            <w:vAlign w:val="bottom"/>
            <w:vMerge w:val="restart"/>
          </w:tcPr>
          <w:p>
            <w:pPr>
              <w:spacing w:after="0"/>
              <w:rPr>
                <w:sz w:val="20"/>
                <w:szCs w:val="20"/>
                <w:color w:val="auto"/>
              </w:rPr>
            </w:pPr>
            <w:r>
              <w:rPr>
                <w:rFonts w:ascii="Courier New" w:cs="Courier New" w:eastAsia="Courier New" w:hAnsi="Courier New"/>
                <w:sz w:val="17"/>
                <w:szCs w:val="17"/>
                <w:color w:val="auto"/>
              </w:rPr>
              <w:t>LIFO</w:t>
            </w:r>
          </w:p>
        </w:tc>
        <w:tc>
          <w:tcPr>
            <w:tcW w:w="6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79,680</w:t>
            </w:r>
          </w:p>
        </w:tc>
        <w:tc>
          <w:tcPr>
            <w:tcW w:w="0" w:type="dxa"/>
            <w:vAlign w:val="bottom"/>
          </w:tcPr>
          <w:p>
            <w:pPr>
              <w:spacing w:after="0"/>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(17,027)</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(16,577)</w:t>
            </w:r>
          </w:p>
        </w:tc>
        <w:tc>
          <w:tcPr>
            <w:tcW w:w="0" w:type="dxa"/>
            <w:vAlign w:val="bottom"/>
          </w:tcPr>
          <w:p>
            <w:pPr>
              <w:spacing w:after="0"/>
              <w:rPr>
                <w:sz w:val="1"/>
                <w:szCs w:val="1"/>
                <w:color w:val="auto"/>
              </w:rPr>
            </w:pPr>
          </w:p>
        </w:tc>
      </w:tr>
      <w:tr>
        <w:trPr>
          <w:trHeight w:val="286"/>
        </w:trPr>
        <w:tc>
          <w:tcPr>
            <w:tcW w:w="2900" w:type="dxa"/>
            <w:vAlign w:val="bottom"/>
          </w:tcPr>
          <w:p>
            <w:pPr>
              <w:spacing w:after="0"/>
              <w:rPr>
                <w:sz w:val="20"/>
                <w:szCs w:val="20"/>
                <w:color w:val="auto"/>
              </w:rPr>
            </w:pPr>
            <w:r>
              <w:rPr>
                <w:rFonts w:ascii="Courier New" w:cs="Courier New" w:eastAsia="Courier New" w:hAnsi="Courier New"/>
                <w:sz w:val="17"/>
                <w:szCs w:val="17"/>
                <w:color w:val="auto"/>
              </w:rPr>
              <w:t>reserve..................</w:t>
            </w:r>
          </w:p>
        </w:tc>
        <w:tc>
          <w:tcPr>
            <w:tcW w:w="2000" w:type="dxa"/>
            <w:vAlign w:val="bottom"/>
            <w:gridSpan w:val="2"/>
            <w:vMerge w:val="restart"/>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290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47,749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63,103</w:t>
            </w:r>
          </w:p>
        </w:tc>
        <w:tc>
          <w:tcPr>
            <w:tcW w:w="0" w:type="dxa"/>
            <w:vAlign w:val="bottom"/>
          </w:tcPr>
          <w:p>
            <w:pPr>
              <w:spacing w:after="0"/>
              <w:rPr>
                <w:sz w:val="1"/>
                <w:szCs w:val="1"/>
                <w:color w:val="auto"/>
              </w:rPr>
            </w:pPr>
          </w:p>
        </w:tc>
      </w:tr>
      <w:tr>
        <w:trPr>
          <w:trHeight w:val="286"/>
        </w:trPr>
        <w:tc>
          <w:tcPr>
            <w:tcW w:w="2900" w:type="dxa"/>
            <w:vAlign w:val="bottom"/>
          </w:tcPr>
          <w:p>
            <w:pPr>
              <w:spacing w:after="0"/>
              <w:rPr>
                <w:sz w:val="24"/>
                <w:szCs w:val="24"/>
                <w:color w:val="auto"/>
              </w:rPr>
            </w:pPr>
          </w:p>
        </w:tc>
        <w:tc>
          <w:tcPr>
            <w:tcW w:w="20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2059" w:hanging="715"/>
        <w:spacing w:after="0" w:line="248" w:lineRule="auto"/>
        <w:tabs>
          <w:tab w:leader="none" w:pos="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through March 31, 1998, and continues during successive one-year periods unless either party provides at least</w:t>
      </w:r>
    </w:p>
    <w:p>
      <w:pPr>
        <w:spacing w:after="0" w:line="4" w:lineRule="exact"/>
        <w:rPr>
          <w:rFonts w:ascii="Courier New" w:cs="Courier New" w:eastAsia="Courier New" w:hAnsi="Courier New"/>
          <w:sz w:val="17"/>
          <w:szCs w:val="17"/>
          <w:color w:val="auto"/>
        </w:rPr>
      </w:pPr>
    </w:p>
    <w:p>
      <w:pPr>
        <w:ind w:left="720" w:right="2059"/>
        <w:spacing w:after="0" w:line="27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90-days' notice prior to the end of the one-year period to the other party that they wish to terminate the line of credit. The agreement also contains certain restrictive covenants including maintenance of minimum net worth, working capital and current ratio. As of March 1, 1997, the Company was in compliance with these covenants. There were no outstanding borrowings under the line of credit at March 1, 1997 or August 31, 1996.</w:t>
      </w:r>
    </w:p>
    <w:p>
      <w:pPr>
        <w:spacing w:after="0" w:line="79" w:lineRule="exact"/>
        <w:rPr>
          <w:rFonts w:ascii="Courier New" w:cs="Courier New" w:eastAsia="Courier New" w:hAnsi="Courier New"/>
          <w:sz w:val="17"/>
          <w:szCs w:val="17"/>
          <w:color w:val="auto"/>
        </w:rPr>
      </w:pPr>
    </w:p>
    <w:p>
      <w:pPr>
        <w:ind w:left="720" w:right="2059" w:hanging="715"/>
        <w:spacing w:after="0" w:line="255" w:lineRule="auto"/>
        <w:tabs>
          <w:tab w:leader="none" w:pos="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$150,954,000 and $129,135,000 under repurchase agreements with lending institutions as of March 1, 1997 and August 31, 1996, respectively. Included in these contingent liabilities as of March 1, 1997 and August 31, 1996 are approximately $34,278,000 and $33,216,000, respectively, of certain dealer receivables subject to recourse agreements with NationsCredit and Green Tree Financial Corporation.</w:t>
      </w:r>
    </w:p>
    <w:p>
      <w:pPr>
        <w:spacing w:after="0" w:line="95" w:lineRule="exact"/>
        <w:rPr>
          <w:rFonts w:ascii="Courier New" w:cs="Courier New" w:eastAsia="Courier New" w:hAnsi="Courier New"/>
          <w:sz w:val="17"/>
          <w:szCs w:val="17"/>
          <w:color w:val="auto"/>
        </w:rPr>
      </w:pPr>
    </w:p>
    <w:p>
      <w:pPr>
        <w:ind w:left="720" w:right="2259" w:hanging="715"/>
        <w:spacing w:after="0" w:line="360" w:lineRule="auto"/>
        <w:tabs>
          <w:tab w:leader="none" w:pos="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year-to-date the Company paid cash for the following (dollars in thousands):</w:t>
      </w:r>
    </w:p>
    <w:p>
      <w:pPr>
        <w:sectPr>
          <w:pgSz w:w="11900" w:h="16838" w:orient="portrait"/>
          <w:cols w:equalWidth="0" w:num="1">
            <w:col w:w="10219"/>
          </w:cols>
          <w:pgMar w:left="240" w:top="308" w:right="1440" w:bottom="0" w:gutter="0" w:footer="0" w:header="0"/>
        </w:sectPr>
      </w:pPr>
    </w:p>
    <w:p>
      <w:pPr>
        <w:spacing w:after="0" w:line="1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Twenty-Six</w:t>
      </w:r>
    </w:p>
    <w:p>
      <w:pPr>
        <w:spacing w:after="0" w:line="3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Weeks Ended</w:t>
      </w:r>
    </w:p>
    <w:p>
      <w:pPr>
        <w:spacing w:after="0" w:line="1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March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Twenty-Seven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Weeks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March 2,</w:t>
      </w:r>
    </w:p>
    <w:p>
      <w:pPr>
        <w:sectPr>
          <w:pgSz w:w="11900" w:h="16838" w:orient="portrait"/>
          <w:cols w:equalWidth="0" w:num="2">
            <w:col w:w="4900" w:space="400"/>
            <w:col w:w="4919"/>
          </w:cols>
          <w:pgMar w:left="240" w:top="308" w:right="1440" w:bottom="0" w:gutter="0" w:footer="0" w:header="0"/>
          <w:type w:val="continuous"/>
        </w:sectPr>
      </w:pPr>
    </w:p>
    <w:bookmarkStart w:id="5" w:name="page6"/>
    <w:bookmarkEnd w:id="5"/>
    <w:p>
      <w:pPr>
        <w:spacing w:after="0" w:line="78" w:lineRule="exact"/>
        <w:rPr>
          <w:sz w:val="20"/>
          <w:szCs w:val="20"/>
          <w:color w:val="auto"/>
        </w:rPr>
      </w:pPr>
    </w:p>
    <w:tbl>
      <w:tblPr>
        <w:tblLayout w:type="fixed"/>
        <w:tblInd w:w="194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1997</w:t>
            </w:r>
          </w:p>
        </w:tc>
        <w:tc>
          <w:tcPr>
            <w:tcW w:w="560" w:type="dxa"/>
            <w:vAlign w:val="bottom"/>
          </w:tcPr>
          <w:p>
            <w:pPr>
              <w:spacing w:after="0"/>
              <w:rPr>
                <w:sz w:val="17"/>
                <w:szCs w:val="17"/>
                <w:color w:val="auto"/>
              </w:rPr>
            </w:pPr>
          </w:p>
        </w:tc>
        <w:tc>
          <w:tcPr>
            <w:tcW w:w="7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6"/>
        </w:trPr>
        <w:tc>
          <w:tcPr>
            <w:tcW w:w="1540" w:type="dxa"/>
            <w:vAlign w:val="bottom"/>
            <w:vMerge w:val="restart"/>
          </w:tcPr>
          <w:p>
            <w:pPr>
              <w:spacing w:after="0"/>
              <w:rPr>
                <w:sz w:val="20"/>
                <w:szCs w:val="20"/>
                <w:color w:val="auto"/>
              </w:rPr>
            </w:pPr>
            <w:r>
              <w:rPr>
                <w:rFonts w:ascii="Courier New" w:cs="Courier New" w:eastAsia="Courier New" w:hAnsi="Courier New"/>
                <w:sz w:val="17"/>
                <w:szCs w:val="17"/>
                <w:color w:val="auto"/>
              </w:rPr>
              <w:t>Interest</w:t>
            </w: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154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978</w:t>
            </w: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560" w:type="dxa"/>
            <w:vAlign w:val="bottom"/>
          </w:tcPr>
          <w:p>
            <w:pPr>
              <w:spacing w:after="0"/>
              <w:rPr>
                <w:sz w:val="24"/>
                <w:szCs w:val="24"/>
                <w:color w:val="auto"/>
              </w:rPr>
            </w:pPr>
          </w:p>
        </w:tc>
        <w:tc>
          <w:tcPr>
            <w:tcW w:w="10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10,175</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2159" w:hanging="715"/>
        <w:spacing w:after="0" w:line="282" w:lineRule="auto"/>
        <w:tabs>
          <w:tab w:leader="none" w:pos="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as a result of the continuing sluggish RV market conditions in central Europe, decided to close the rental and retail operations of its subsidiary, Winnebago Industries Europe GmbH (WIE), located in Kirkel, Germany. The 13 and 26 weeks ended March 1, 1997 were negatively impacted by charges aggregating $5 million as a result of this decision. The $5 million of charges are principally reflected in cost of goods sold, selling expenses and general and administrative expenses.</w:t>
      </w:r>
    </w:p>
    <w:p>
      <w:pPr>
        <w:spacing w:after="0" w:line="200" w:lineRule="exact"/>
        <w:rPr>
          <w:sz w:val="20"/>
          <w:szCs w:val="20"/>
          <w:color w:val="auto"/>
        </w:rPr>
      </w:pPr>
    </w:p>
    <w:p>
      <w:pPr>
        <w:spacing w:after="0" w:line="27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spacing w:after="0" w:line="3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0" w:lineRule="exact"/>
        <w:rPr>
          <w:sz w:val="20"/>
          <w:szCs w:val="20"/>
          <w:color w:val="auto"/>
        </w:rPr>
      </w:pPr>
    </w:p>
    <w:p>
      <w:pPr>
        <w:ind w:right="2459"/>
        <w:spacing w:after="0" w:line="360" w:lineRule="auto"/>
        <w:rPr>
          <w:sz w:val="20"/>
          <w:szCs w:val="20"/>
          <w:color w:val="auto"/>
        </w:rPr>
      </w:pPr>
      <w:r>
        <w:rPr>
          <w:rFonts w:ascii="Courier New" w:cs="Courier New" w:eastAsia="Courier New" w:hAnsi="Courier New"/>
          <w:sz w:val="17"/>
          <w:szCs w:val="17"/>
          <w:color w:val="auto"/>
        </w:rPr>
        <w:t>Thirteen Weeks Ended March 1, 1997 Compared to Thirteen Weeks Ended March 2, 1996.</w:t>
      </w:r>
    </w:p>
    <w:p>
      <w:pPr>
        <w:spacing w:after="0" w:line="11" w:lineRule="exact"/>
        <w:rPr>
          <w:sz w:val="20"/>
          <w:szCs w:val="20"/>
          <w:color w:val="auto"/>
        </w:rPr>
      </w:pPr>
    </w:p>
    <w:p>
      <w:pPr>
        <w:ind w:right="2159"/>
        <w:spacing w:after="0" w:line="261" w:lineRule="auto"/>
        <w:rPr>
          <w:sz w:val="20"/>
          <w:szCs w:val="20"/>
          <w:color w:val="auto"/>
        </w:rPr>
      </w:pPr>
      <w:r>
        <w:rPr>
          <w:rFonts w:ascii="Courier New" w:cs="Courier New" w:eastAsia="Courier New" w:hAnsi="Courier New"/>
          <w:sz w:val="17"/>
          <w:szCs w:val="17"/>
          <w:color w:val="auto"/>
        </w:rPr>
        <w:t>Net revenues for the 13 weeks ended March 1, 1997 were $105,702,000, a decrease of $459,000, or 0.4 percent from the 13 week period ended March 2, 1996. Motor home shipments (Classes A and C) were 1,828 units, a decrease of 40 units, or 2.1 percent, during the second quarter of fiscal 1997 compared to the second quarter of fiscal 1996. Even though the Company did record a negative impact to the financial statements for its German subsidiary, WIE, during the second quarter of fiscal 1997, the long-term outlook for the motor home sales domestically appears favorable.</w:t>
      </w:r>
    </w:p>
    <w:p>
      <w:pPr>
        <w:spacing w:after="0" w:line="90" w:lineRule="exact"/>
        <w:rPr>
          <w:sz w:val="20"/>
          <w:szCs w:val="20"/>
          <w:color w:val="auto"/>
        </w:rPr>
      </w:pPr>
    </w:p>
    <w:p>
      <w:pPr>
        <w:ind w:right="2259"/>
        <w:spacing w:after="0" w:line="273" w:lineRule="auto"/>
        <w:rPr>
          <w:sz w:val="20"/>
          <w:szCs w:val="20"/>
          <w:color w:val="auto"/>
        </w:rPr>
      </w:pPr>
      <w:r>
        <w:rPr>
          <w:rFonts w:ascii="Courier New" w:cs="Courier New" w:eastAsia="Courier New" w:hAnsi="Courier New"/>
          <w:sz w:val="17"/>
          <w:szCs w:val="17"/>
          <w:color w:val="auto"/>
        </w:rPr>
        <w:t>Gross profit, as a percent of net revenues, was 9.6 percent for the 13 weeks ended March 1, 1997 compared to 12.7 percent for the 13 weeks ended March 2, 1996. This decrease can be attributed primarily to reductions in valuations of the units and parts inventories at WIE and by an increase in discount programs to sell specific units into the U.S. marketplace.</w:t>
      </w:r>
    </w:p>
    <w:p>
      <w:pPr>
        <w:spacing w:after="0" w:line="82" w:lineRule="exact"/>
        <w:rPr>
          <w:sz w:val="20"/>
          <w:szCs w:val="20"/>
          <w:color w:val="auto"/>
        </w:rPr>
      </w:pPr>
    </w:p>
    <w:p>
      <w:pPr>
        <w:ind w:right="2259"/>
        <w:spacing w:after="0" w:line="283" w:lineRule="auto"/>
        <w:rPr>
          <w:sz w:val="20"/>
          <w:szCs w:val="20"/>
          <w:color w:val="auto"/>
        </w:rPr>
      </w:pPr>
      <w:r>
        <w:rPr>
          <w:rFonts w:ascii="Courier New" w:cs="Courier New" w:eastAsia="Courier New" w:hAnsi="Courier New"/>
          <w:sz w:val="17"/>
          <w:szCs w:val="17"/>
          <w:color w:val="auto"/>
        </w:rPr>
        <w:t>Selling and delivery expenses were $6,663,000 or 6.3 percent of net revenues during the second quarter of fiscal 1997 compared to $5,139,000 or 4.8 percent of net revenues during the second quarter of fiscal 1996. The increases in dollars and percentage is due to increases in product promotional expenses.</w:t>
      </w:r>
    </w:p>
    <w:p>
      <w:pPr>
        <w:spacing w:after="0" w:line="73" w:lineRule="exact"/>
        <w:rPr>
          <w:sz w:val="20"/>
          <w:szCs w:val="20"/>
          <w:color w:val="auto"/>
        </w:rPr>
      </w:pPr>
    </w:p>
    <w:p>
      <w:pPr>
        <w:ind w:right="2159"/>
        <w:spacing w:after="0" w:line="259" w:lineRule="auto"/>
        <w:rPr>
          <w:sz w:val="20"/>
          <w:szCs w:val="20"/>
          <w:color w:val="auto"/>
        </w:rPr>
      </w:pPr>
      <w:r>
        <w:rPr>
          <w:rFonts w:ascii="Courier New" w:cs="Courier New" w:eastAsia="Courier New" w:hAnsi="Courier New"/>
          <w:sz w:val="17"/>
          <w:szCs w:val="17"/>
          <w:color w:val="auto"/>
        </w:rPr>
        <w:t>General and administrative expenses increased by $1,356,000 to $6,866,000 comparing the 13 weeks ended March 1, 1997 to the 13 weeks ended March 2, 1996 and increased as a percentage of net revenues to 6.5 percent from 5.2 percent. The increases in dollars and percentage were caused primarily by the increases in legal reserves at WIE and the Company, an increase in the allowance for doubtful receivables at WIE and an increase in the bad debt reserve at the Company's finance subsidiary, Winnebago Acceptance Corporation (WAC), partially offsetting these increases was a reduction in the Company's product liability reserve.</w:t>
      </w:r>
    </w:p>
    <w:p>
      <w:pPr>
        <w:spacing w:after="0" w:line="92" w:lineRule="exact"/>
        <w:rPr>
          <w:sz w:val="20"/>
          <w:szCs w:val="20"/>
          <w:color w:val="auto"/>
        </w:rPr>
      </w:pPr>
    </w:p>
    <w:p>
      <w:pPr>
        <w:ind w:right="2159"/>
        <w:spacing w:after="0" w:line="259" w:lineRule="auto"/>
        <w:rPr>
          <w:sz w:val="20"/>
          <w:szCs w:val="20"/>
          <w:color w:val="auto"/>
        </w:rPr>
      </w:pPr>
      <w:r>
        <w:rPr>
          <w:rFonts w:ascii="Courier New" w:cs="Courier New" w:eastAsia="Courier New" w:hAnsi="Courier New"/>
          <w:sz w:val="17"/>
          <w:szCs w:val="17"/>
          <w:color w:val="auto"/>
        </w:rPr>
        <w:t>The Company had net financial income of $745,000 for the second quarter of fiscal 1997 compared to net financial income of $384,000 for the comparable quarter of fiscal 1996. During the 13 weeks ended March 1, 1997, the Company recorded $636,000 of interest income, gains of $93,000 in foreign currency transactions and $16,000 of realized and unrealized gains in its trading securities portfolio. During the 13 weeks ended March 2, 1996, the Company recorded $228,000 of interest income, $188,000 of realized and unrealized gains in its trading securities portfolio and losses of $32,000 in foreign currency transactions.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13 weeks ended March 1, 1997, the Company had pre-tax income from</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domestic continuing operations of $3,115,000 and a pre-tax loss from WIE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$5,700,000, of which $5,000,000 was due to the Company's decision to close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rental and retail operations of WIE (See Note 6). The $5,700,000 pre-tax loss of</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WIE is considered an operating loss of a foreign subsidiary that does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qualify for a tax deduction, therefore, the Company was required to record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taxes of $1,089,000 resulting in a consolidated net loss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$3,674,000 or $.15 per share. For the comparable period of fiscal 1996,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had pre-tax income of $3,257,000 from continuing operations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taxes of $1,059,000 resulting in income from continuing operations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$2,198,000 and income from discontinued Cycle-Sat operations of $40,000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income tax provisions of $17,000) resulting in net income of $2,238,000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$.09 per share.</w:t>
      </w:r>
    </w:p>
    <w:p>
      <w:pPr>
        <w:spacing w:after="0" w:line="170" w:lineRule="exact"/>
        <w:rPr>
          <w:sz w:val="20"/>
          <w:szCs w:val="20"/>
          <w:color w:val="auto"/>
        </w:rPr>
      </w:pPr>
    </w:p>
    <w:p>
      <w:pPr>
        <w:jc w:val="both"/>
        <w:ind w:right="2159"/>
        <w:spacing w:after="0" w:line="360" w:lineRule="auto"/>
        <w:rPr>
          <w:sz w:val="20"/>
          <w:szCs w:val="20"/>
          <w:color w:val="auto"/>
        </w:rPr>
      </w:pPr>
      <w:r>
        <w:rPr>
          <w:rFonts w:ascii="Courier New" w:cs="Courier New" w:eastAsia="Courier New" w:hAnsi="Courier New"/>
          <w:sz w:val="17"/>
          <w:szCs w:val="17"/>
          <w:color w:val="auto"/>
        </w:rPr>
        <w:t>Twenty-Six Weeks Ended March 1, 1997 Compared to Twenty-Seven Weeks Ended March 2, 1996</w:t>
      </w:r>
    </w:p>
    <w:p>
      <w:pPr>
        <w:spacing w:after="0" w:line="11" w:lineRule="exact"/>
        <w:rPr>
          <w:sz w:val="20"/>
          <w:szCs w:val="20"/>
          <w:color w:val="auto"/>
        </w:rPr>
      </w:pPr>
    </w:p>
    <w:p>
      <w:pPr>
        <w:jc w:val="both"/>
        <w:ind w:right="2159"/>
        <w:spacing w:after="0" w:line="283" w:lineRule="auto"/>
        <w:rPr>
          <w:sz w:val="20"/>
          <w:szCs w:val="20"/>
          <w:color w:val="auto"/>
        </w:rPr>
      </w:pPr>
      <w:r>
        <w:rPr>
          <w:rFonts w:ascii="Courier New" w:cs="Courier New" w:eastAsia="Courier New" w:hAnsi="Courier New"/>
          <w:sz w:val="17"/>
          <w:szCs w:val="17"/>
          <w:color w:val="auto"/>
        </w:rPr>
        <w:t>Net revenues for the 26 weeks ended March 1, 1997 were $219,594,000, a decrease of $302,000, or 0.1 percent from the 27 week period ended March 2, 1996. Motor home shipments (Classes A and C) were 3,786 units, a decrease of 146 units, or 3.7 percent, during the 26 weeks ended March 1, 1997 when compared to the 27</w:t>
      </w:r>
    </w:p>
    <w:p>
      <w:pPr>
        <w:sectPr>
          <w:pgSz w:w="11900" w:h="16916" w:orient="portrait"/>
          <w:cols w:equalWidth="0" w:num="1">
            <w:col w:w="10219"/>
          </w:cols>
          <w:pgMar w:left="240" w:top="112" w:right="1440" w:bottom="0" w:gutter="0" w:footer="0" w:header="0"/>
        </w:sectPr>
      </w:pPr>
    </w:p>
    <w:bookmarkStart w:id="6" w:name="page7"/>
    <w:bookmarkEnd w:id="6"/>
    <w:p>
      <w:pPr>
        <w:jc w:val="both"/>
        <w:ind w:right="2459"/>
        <w:spacing w:after="0" w:line="302" w:lineRule="auto"/>
        <w:rPr>
          <w:sz w:val="20"/>
          <w:szCs w:val="20"/>
          <w:color w:val="auto"/>
        </w:rPr>
      </w:pPr>
      <w:r>
        <w:rPr>
          <w:rFonts w:ascii="Courier New" w:cs="Courier New" w:eastAsia="Courier New" w:hAnsi="Courier New"/>
          <w:sz w:val="17"/>
          <w:szCs w:val="17"/>
          <w:color w:val="auto"/>
        </w:rPr>
        <w:t>weeks ended March 2, 1996. Even though motor home shipments decreased by 3.7 percent, net revenues remained relatively constant due to an increase in the average motor home sales price when comparing the two periods.</w:t>
      </w:r>
    </w:p>
    <w:p>
      <w:pPr>
        <w:spacing w:after="0" w:line="58" w:lineRule="exact"/>
        <w:rPr>
          <w:sz w:val="20"/>
          <w:szCs w:val="20"/>
          <w:color w:val="auto"/>
        </w:rPr>
      </w:pPr>
    </w:p>
    <w:p>
      <w:pPr>
        <w:ind w:right="2259"/>
        <w:spacing w:after="0" w:line="273" w:lineRule="auto"/>
        <w:rPr>
          <w:sz w:val="20"/>
          <w:szCs w:val="20"/>
          <w:color w:val="auto"/>
        </w:rPr>
      </w:pPr>
      <w:r>
        <w:rPr>
          <w:rFonts w:ascii="Courier New" w:cs="Courier New" w:eastAsia="Courier New" w:hAnsi="Courier New"/>
          <w:sz w:val="17"/>
          <w:szCs w:val="17"/>
          <w:color w:val="auto"/>
        </w:rPr>
        <w:t>Gross profit, as a percent of net revenues, was 11.5 percent for the 26 weeks ended March 1, 1997 compared to 13.4 percent for the 27 weeks ended March 2, 1996. This decrease can be attributed primarily to reductions in valuations of the units and parts inventories at WIE and by an increase in discount programs to sell specific units into the U.S. marketplace.</w:t>
      </w:r>
    </w:p>
    <w:p>
      <w:pPr>
        <w:spacing w:after="0" w:line="82" w:lineRule="exact"/>
        <w:rPr>
          <w:sz w:val="20"/>
          <w:szCs w:val="20"/>
          <w:color w:val="auto"/>
        </w:rPr>
      </w:pPr>
    </w:p>
    <w:p>
      <w:pPr>
        <w:ind w:right="2159"/>
        <w:spacing w:after="0" w:line="283" w:lineRule="auto"/>
        <w:rPr>
          <w:sz w:val="20"/>
          <w:szCs w:val="20"/>
          <w:color w:val="auto"/>
        </w:rPr>
      </w:pPr>
      <w:r>
        <w:rPr>
          <w:rFonts w:ascii="Courier New" w:cs="Courier New" w:eastAsia="Courier New" w:hAnsi="Courier New"/>
          <w:sz w:val="17"/>
          <w:szCs w:val="17"/>
          <w:color w:val="auto"/>
        </w:rPr>
        <w:t>Selling and delivery expenses were $13,001,000 or 5.9 percent of net revenues during the 26 weeks ended March 1, 1997 compared to $11,578,000, or 5.3 percent of net revenues during the 27 weeks ended March 2, 1996. The increases in dollars and percentage is due to increases in product promotional expenses.</w:t>
      </w:r>
    </w:p>
    <w:p>
      <w:pPr>
        <w:spacing w:after="0" w:line="73"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7"/>
          <w:szCs w:val="17"/>
          <w:color w:val="auto"/>
        </w:rPr>
        <w:t>General and administrative expenses increased by $678,000 to $11,751,000 when comparing the 26 weeks ended March 1, 1997 to the 27 weeks ended March 2, 1996. Also, the percentage increased to 5.4 percent of net revenues from 5.0 percent of net revenues when comparing the same periods. The increases in dollars and percentage were caused primarily by the increases in legal reserves at WIE and the Company, an increase in the allowance for doubtful receivables at WIE and an increase in the bad debt reserve at the Company's finance subsidiary, WAC, partially offsetting these increases was a reduction in the Company's product liability reserve.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had net financial income of $1,114,000 for the first half of fiscal</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compared to net financial income of $707,000 for the comparable period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1996. During the 26 weeks ended March 1, 1997, the Company recorded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$945,000 of interest income, $137,000 of realized and unrealized gains in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trading securities portfolio and $32,000 of gains in foreign currency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During the 27 weeks ended March 2, 1996, the Company recorded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$482,000 of interest income, $148,000 of realized and unrealized gains in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trading securities portfolio and $77,000 of gains in foreign currency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w:t>
      </w:r>
    </w:p>
    <w:p>
      <w:pPr>
        <w:spacing w:after="0" w:line="170"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7"/>
          <w:szCs w:val="17"/>
          <w:color w:val="auto"/>
        </w:rPr>
        <w:t>For the 26 weeks ended March 1, 1997, the Company had pre-tax income from domestic continuing operations of $7,440,000 and a pre-tax loss from WIE of $5,800,000 of which $5,000,000 was due to the write down of selected assets caused by excess inventory buildup and the Company's decision to close the rental and retail operations of WIE (See Note 6). The $5,800,000 pre-tax loss of WIE is considered an operating loss of a foreign subsidiary that does not qualify for a tax deduction, therefore, the Company was required to record a provision for taxes of $2,608,000 resulting in a loss from continuing operations of $968,000 or $.04 per share.</w:t>
      </w:r>
    </w:p>
    <w:p>
      <w:pPr>
        <w:spacing w:after="0" w:line="92" w:lineRule="exact"/>
        <w:rPr>
          <w:sz w:val="20"/>
          <w:szCs w:val="20"/>
          <w:color w:val="auto"/>
        </w:rPr>
      </w:pPr>
    </w:p>
    <w:p>
      <w:pPr>
        <w:jc w:val="both"/>
        <w:ind w:right="2159"/>
        <w:spacing w:after="0" w:line="302" w:lineRule="auto"/>
        <w:rPr>
          <w:sz w:val="20"/>
          <w:szCs w:val="20"/>
          <w:color w:val="auto"/>
        </w:rPr>
      </w:pPr>
      <w:r>
        <w:rPr>
          <w:rFonts w:ascii="Courier New" w:cs="Courier New" w:eastAsia="Courier New" w:hAnsi="Courier New"/>
          <w:sz w:val="17"/>
          <w:szCs w:val="17"/>
          <w:color w:val="auto"/>
        </w:rPr>
        <w:t>For the 26 weeks ended March 1, 1997, the Company recorded a gain from the sale of the discontinued Cycle-Sat subsidiary of $16,472,000 (net of income taxes of $13,462,000), or $.65 per share.</w:t>
      </w:r>
    </w:p>
    <w:p>
      <w:pPr>
        <w:spacing w:after="0" w:line="58" w:lineRule="exact"/>
        <w:rPr>
          <w:sz w:val="20"/>
          <w:szCs w:val="20"/>
          <w:color w:val="auto"/>
        </w:rPr>
      </w:pPr>
    </w:p>
    <w:p>
      <w:pPr>
        <w:ind w:right="2259"/>
        <w:spacing w:after="0" w:line="302" w:lineRule="auto"/>
        <w:rPr>
          <w:sz w:val="20"/>
          <w:szCs w:val="20"/>
          <w:color w:val="auto"/>
        </w:rPr>
      </w:pPr>
      <w:r>
        <w:rPr>
          <w:rFonts w:ascii="Courier New" w:cs="Courier New" w:eastAsia="Courier New" w:hAnsi="Courier New"/>
          <w:sz w:val="17"/>
          <w:szCs w:val="17"/>
          <w:color w:val="auto"/>
        </w:rPr>
        <w:t>For the 27 weeks ended March 2, 1996, the Company reported income from discontinued Cycle-Sat operations of $358,000 (net of income tax provisions of $157,000), or $.01 per share.</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26 weeks ended March 1, 1997, the Company had net income of</w:t>
      </w:r>
    </w:p>
    <w:p>
      <w:pPr>
        <w:spacing w:after="0" w:line="34" w:lineRule="exact"/>
        <w:rPr>
          <w:sz w:val="20"/>
          <w:szCs w:val="20"/>
          <w:color w:val="auto"/>
        </w:rPr>
      </w:pPr>
    </w:p>
    <w:p>
      <w:pPr>
        <w:ind w:right="2359"/>
        <w:spacing w:after="0" w:line="323" w:lineRule="auto"/>
        <w:rPr>
          <w:sz w:val="20"/>
          <w:szCs w:val="20"/>
          <w:color w:val="auto"/>
        </w:rPr>
      </w:pPr>
      <w:r>
        <w:rPr>
          <w:rFonts w:ascii="Courier New" w:cs="Courier New" w:eastAsia="Courier New" w:hAnsi="Courier New"/>
          <w:sz w:val="17"/>
          <w:szCs w:val="17"/>
          <w:color w:val="auto"/>
        </w:rPr>
        <w:t>$15,504,000, or $.61 per share, compared to $5,228,000, or $.21 per share for the 27 weeks ended March 2, 1996.</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FINANCIAL CONDITION</w:t>
      </w:r>
    </w:p>
    <w:p>
      <w:pPr>
        <w:spacing w:after="0" w:line="200" w:lineRule="exact"/>
        <w:rPr>
          <w:sz w:val="20"/>
          <w:szCs w:val="20"/>
          <w:color w:val="auto"/>
        </w:rPr>
      </w:pPr>
    </w:p>
    <w:p>
      <w:pPr>
        <w:ind w:right="2059"/>
        <w:spacing w:after="0" w:line="302" w:lineRule="auto"/>
        <w:rPr>
          <w:sz w:val="20"/>
          <w:szCs w:val="20"/>
          <w:color w:val="auto"/>
        </w:rPr>
      </w:pPr>
      <w:r>
        <w:rPr>
          <w:rFonts w:ascii="Courier New" w:cs="Courier New" w:eastAsia="Courier New" w:hAnsi="Courier New"/>
          <w:sz w:val="17"/>
          <w:szCs w:val="17"/>
          <w:color w:val="auto"/>
        </w:rPr>
        <w:t>The Company meets its working capital and capital equipment requirements and cash requirements of subsidiaries with funds generated internally and funds from agreements with financial institutions.</w:t>
      </w:r>
    </w:p>
    <w:p>
      <w:pPr>
        <w:spacing w:after="0" w:line="58" w:lineRule="exact"/>
        <w:rPr>
          <w:sz w:val="20"/>
          <w:szCs w:val="20"/>
          <w:color w:val="auto"/>
        </w:rPr>
      </w:pPr>
    </w:p>
    <w:p>
      <w:pPr>
        <w:ind w:right="2059"/>
        <w:spacing w:after="0" w:line="267" w:lineRule="auto"/>
        <w:rPr>
          <w:sz w:val="20"/>
          <w:szCs w:val="20"/>
          <w:color w:val="auto"/>
        </w:rPr>
      </w:pPr>
      <w:r>
        <w:rPr>
          <w:rFonts w:ascii="Courier New" w:cs="Courier New" w:eastAsia="Courier New" w:hAnsi="Courier New"/>
          <w:sz w:val="17"/>
          <w:szCs w:val="17"/>
          <w:color w:val="auto"/>
        </w:rPr>
        <w:t>At March 1, 1997, working capital was $90,608,000, an increase of $28,453,000 from the amount at August 31, 1996. The increase in the Company's working capital was caused primarily by proceeds from the sale of the Cycle-Sat subsidiary. The Company's principal sources and uses of cash during the 26 weeks ended March 1, 1997 are set forth in the unaudited consolidated condensed statement of cash flows for that period.</w:t>
      </w:r>
    </w:p>
    <w:p>
      <w:pPr>
        <w:spacing w:after="0" w:line="88" w:lineRule="exact"/>
        <w:rPr>
          <w:sz w:val="20"/>
          <w:szCs w:val="20"/>
          <w:color w:val="auto"/>
        </w:rPr>
      </w:pPr>
    </w:p>
    <w:p>
      <w:pPr>
        <w:ind w:right="2159"/>
        <w:spacing w:after="0" w:line="273" w:lineRule="auto"/>
        <w:rPr>
          <w:sz w:val="20"/>
          <w:szCs w:val="20"/>
          <w:color w:val="auto"/>
        </w:rPr>
      </w:pPr>
      <w:r>
        <w:rPr>
          <w:rFonts w:ascii="Courier New" w:cs="Courier New" w:eastAsia="Courier New" w:hAnsi="Courier New"/>
          <w:sz w:val="17"/>
          <w:szCs w:val="17"/>
          <w:color w:val="auto"/>
        </w:rPr>
        <w:t>Principal known demands at March 1, 1997 on the Company's liquid assets for the remainder of fiscal 1997 include approximately $8,000,000 of income taxes partially due to the gain on the sale of Cycle-Sat, $3,500,000 of capital expenditures (primarily equipment replacement) and $2,500,000 of cash dividends declared by the Board of Directors on March 20, 1997 (payable July 7, 1997).</w:t>
      </w:r>
    </w:p>
    <w:p>
      <w:pPr>
        <w:spacing w:after="0" w:line="82" w:lineRule="exact"/>
        <w:rPr>
          <w:sz w:val="20"/>
          <w:szCs w:val="20"/>
          <w:color w:val="auto"/>
        </w:rPr>
      </w:pPr>
    </w:p>
    <w:p>
      <w:pPr>
        <w:ind w:right="2159"/>
        <w:spacing w:after="0" w:line="302" w:lineRule="auto"/>
        <w:rPr>
          <w:sz w:val="20"/>
          <w:szCs w:val="20"/>
          <w:color w:val="auto"/>
        </w:rPr>
      </w:pPr>
      <w:r>
        <w:rPr>
          <w:rFonts w:ascii="Courier New" w:cs="Courier New" w:eastAsia="Courier New" w:hAnsi="Courier New"/>
          <w:sz w:val="17"/>
          <w:szCs w:val="17"/>
          <w:color w:val="auto"/>
        </w:rPr>
        <w:t>Management currently expects its cash on hand, funds from operations and borrowings available under existing credit facilities to be sufficient to cover both short-term and long-term operating requirements.</w:t>
      </w:r>
    </w:p>
    <w:p>
      <w:pPr>
        <w:spacing w:after="0" w:line="25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II</w:t>
        <w:tab/>
        <w:t>Other Information</w:t>
      </w:r>
    </w:p>
    <w:p>
      <w:pPr>
        <w:sectPr>
          <w:pgSz w:w="11900" w:h="16838" w:orient="portrait"/>
          <w:cols w:equalWidth="0" w:num="1">
            <w:col w:w="10219"/>
          </w:cols>
          <w:pgMar w:left="240" w:top="112" w:right="1440" w:bottom="0" w:gutter="0" w:footer="0" w:header="0"/>
        </w:sectPr>
      </w:pPr>
    </w:p>
    <w:bookmarkStart w:id="7" w:name="page8"/>
    <w:bookmarkEnd w:id="7"/>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ind w:left="1440" w:hanging="517"/>
        <w:spacing w:after="0"/>
        <w:tabs>
          <w:tab w:leader="none" w:pos="14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shareholders was held December 18, 1996.</w:t>
      </w:r>
    </w:p>
    <w:p>
      <w:pPr>
        <w:spacing w:after="0" w:line="199" w:lineRule="exact"/>
        <w:rPr>
          <w:rFonts w:ascii="Courier New" w:cs="Courier New" w:eastAsia="Courier New" w:hAnsi="Courier New"/>
          <w:sz w:val="17"/>
          <w:szCs w:val="17"/>
          <w:color w:val="auto"/>
        </w:rPr>
      </w:pPr>
    </w:p>
    <w:p>
      <w:pPr>
        <w:ind w:left="1440" w:right="2159" w:hanging="517"/>
        <w:spacing w:after="0" w:line="302" w:lineRule="auto"/>
        <w:tabs>
          <w:tab w:leader="none" w:pos="14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eight directors was the only shareholder business transacted at the annual meeting. The breakdown of the votes was as follows*:</w:t>
      </w:r>
    </w:p>
    <w:p>
      <w:pPr>
        <w:spacing w:after="0" w:line="58"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2340" w:type="dxa"/>
            <w:vAlign w:val="bottom"/>
          </w:tcPr>
          <w:p>
            <w:pPr>
              <w:spacing w:after="0"/>
              <w:rPr>
                <w:sz w:val="17"/>
                <w:szCs w:val="17"/>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7"/>
                <w:szCs w:val="17"/>
                <w:color w:val="auto"/>
              </w:rPr>
              <w:t>VOTES CAST</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VOTES CAST</w:t>
            </w:r>
          </w:p>
        </w:tc>
        <w:tc>
          <w:tcPr>
            <w:tcW w:w="1260" w:type="dxa"/>
            <w:vAlign w:val="bottom"/>
          </w:tcPr>
          <w:p>
            <w:pPr>
              <w:jc w:val="center"/>
              <w:ind w:left="275"/>
              <w:spacing w:after="0"/>
              <w:rPr>
                <w:sz w:val="20"/>
                <w:szCs w:val="20"/>
                <w:color w:val="auto"/>
              </w:rPr>
            </w:pPr>
            <w:r>
              <w:rPr>
                <w:rFonts w:ascii="Courier New" w:cs="Courier New" w:eastAsia="Courier New" w:hAnsi="Courier New"/>
                <w:sz w:val="17"/>
                <w:szCs w:val="17"/>
                <w:color w:val="auto"/>
                <w:w w:val="97"/>
              </w:rPr>
              <w:t>VOTES</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68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AGAINST</w:t>
            </w:r>
          </w:p>
        </w:tc>
        <w:tc>
          <w:tcPr>
            <w:tcW w:w="1260" w:type="dxa"/>
            <w:vAlign w:val="bottom"/>
          </w:tcPr>
          <w:p>
            <w:pPr>
              <w:jc w:val="center"/>
              <w:ind w:left="255"/>
              <w:spacing w:after="0"/>
              <w:rPr>
                <w:sz w:val="20"/>
                <w:szCs w:val="20"/>
                <w:color w:val="auto"/>
              </w:rPr>
            </w:pPr>
            <w:r>
              <w:rPr>
                <w:rFonts w:ascii="Courier New" w:cs="Courier New" w:eastAsia="Courier New" w:hAnsi="Courier New"/>
                <w:sz w:val="17"/>
                <w:szCs w:val="17"/>
                <w:color w:val="auto"/>
              </w:rPr>
              <w:t>ABSTAINED</w:t>
            </w:r>
          </w:p>
        </w:tc>
        <w:tc>
          <w:tcPr>
            <w:tcW w:w="0" w:type="dxa"/>
            <w:vAlign w:val="bottom"/>
          </w:tcPr>
          <w:p>
            <w:pPr>
              <w:spacing w:after="0"/>
              <w:rPr>
                <w:sz w:val="1"/>
                <w:szCs w:val="1"/>
                <w:color w:val="auto"/>
              </w:rPr>
            </w:pPr>
          </w:p>
        </w:tc>
      </w:tr>
      <w:tr>
        <w:trPr>
          <w:trHeight w:val="196"/>
        </w:trPr>
        <w:tc>
          <w:tcPr>
            <w:tcW w:w="2340" w:type="dxa"/>
            <w:vAlign w:val="bottom"/>
            <w:vMerge w:val="restart"/>
          </w:tcPr>
          <w:p>
            <w:pPr>
              <w:spacing w:after="0"/>
              <w:rPr>
                <w:sz w:val="20"/>
                <w:szCs w:val="20"/>
                <w:color w:val="auto"/>
              </w:rPr>
            </w:pPr>
            <w:r>
              <w:rPr>
                <w:rFonts w:ascii="Courier New" w:cs="Courier New" w:eastAsia="Courier New" w:hAnsi="Courier New"/>
                <w:sz w:val="17"/>
                <w:szCs w:val="17"/>
                <w:color w:val="auto"/>
              </w:rPr>
              <w:t>Gerald E. Boman</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196"/>
        </w:trPr>
        <w:tc>
          <w:tcPr>
            <w:tcW w:w="2340" w:type="dxa"/>
            <w:vAlign w:val="bottom"/>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21,048,736</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316,120</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Jerry N. Currie</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21,150,466</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214,390</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20,913,994</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450,862</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John V. Hanson</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20,909,784</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455,072</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Gerald C. Kitch</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21,147,556</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217,300</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Joseph M. Shuster</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21,163,439</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201,417</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Courier New" w:cs="Courier New" w:eastAsia="Courier New" w:hAnsi="Courier New"/>
                <w:sz w:val="17"/>
                <w:szCs w:val="17"/>
                <w:color w:val="auto"/>
              </w:rPr>
              <w:t>Frederick M. Zimmerman</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21,164,839</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200,017</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r>
        <w:trPr>
          <w:trHeight w:val="286"/>
        </w:trPr>
        <w:tc>
          <w:tcPr>
            <w:tcW w:w="2340" w:type="dxa"/>
            <w:vAlign w:val="bottom"/>
          </w:tcPr>
          <w:p>
            <w:pPr>
              <w:spacing w:after="0"/>
              <w:rPr>
                <w:sz w:val="20"/>
                <w:szCs w:val="20"/>
                <w:color w:val="auto"/>
              </w:rPr>
            </w:pPr>
            <w:r>
              <w:rPr>
                <w:rFonts w:ascii="Courier New" w:cs="Courier New" w:eastAsia="Courier New" w:hAnsi="Courier New"/>
                <w:sz w:val="17"/>
                <w:szCs w:val="17"/>
                <w:color w:val="auto"/>
              </w:rPr>
              <w:t>Francis L. Zrostlik</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w w:val="99"/>
              </w:rPr>
              <w:t>21,153,863</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210,993</w:t>
            </w:r>
          </w:p>
        </w:tc>
        <w:tc>
          <w:tcPr>
            <w:tcW w:w="1260" w:type="dxa"/>
            <w:vAlign w:val="bottom"/>
          </w:tcPr>
          <w:p>
            <w:pPr>
              <w:jc w:val="center"/>
              <w:ind w:left="55"/>
              <w:spacing w:after="0"/>
              <w:rPr>
                <w:sz w:val="20"/>
                <w:szCs w:val="20"/>
                <w:color w:val="auto"/>
              </w:rPr>
            </w:pPr>
            <w:r>
              <w:rPr>
                <w:rFonts w:ascii="Courier New" w:cs="Courier New" w:eastAsia="Courier New" w:hAnsi="Courier New"/>
                <w:sz w:val="17"/>
                <w:szCs w:val="17"/>
                <w:color w:val="auto"/>
              </w:rPr>
              <w:t>195,061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939" w:firstLine="923"/>
        <w:spacing w:after="0" w:line="519" w:lineRule="auto"/>
        <w:tabs>
          <w:tab w:leader="none" w:pos="112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broker non-votes. Item 6 Exhibits and Reports on Form 8-K</w:t>
      </w: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 See Exhibit Index on page 12.</w:t>
      </w:r>
    </w:p>
    <w:p>
      <w:pPr>
        <w:spacing w:after="0" w:line="199"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filed a current report on Form 8-K on December 4, 1996.</w:t>
      </w:r>
    </w:p>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jc w:val="both"/>
        <w:ind w:right="2859"/>
        <w:spacing w:after="0" w:line="302"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WINNEBAGO INDUSTRIES, INC.</w:t>
      </w:r>
    </w:p>
    <w:p>
      <w:pPr>
        <w:spacing w:after="0" w:line="3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April 10, 1997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Fred G. Dohrmann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Fred G. Dohrmann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Chairman of the Board and Chief</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Executive Officer</w:t>
      </w:r>
    </w:p>
    <w:p>
      <w:pPr>
        <w:spacing w:after="0" w:line="200" w:lineRule="exact"/>
        <w:rPr>
          <w:sz w:val="20"/>
          <w:szCs w:val="20"/>
          <w:color w:val="auto"/>
        </w:rPr>
      </w:pPr>
    </w:p>
    <w:p>
      <w:pPr>
        <w:sectPr>
          <w:pgSz w:w="11900" w:h="16838" w:orient="portrait"/>
          <w:cols w:equalWidth="0" w:num="3">
            <w:col w:w="420" w:space="200"/>
            <w:col w:w="2640" w:space="720"/>
            <w:col w:w="6239"/>
          </w:cols>
          <w:pgMar w:left="240" w:top="112" w:right="1440"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April 10, 1997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Edwin F. Barker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Edwin F. Barker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200" w:lineRule="exact"/>
        <w:rPr>
          <w:sz w:val="20"/>
          <w:szCs w:val="20"/>
          <w:color w:val="auto"/>
        </w:rPr>
      </w:pPr>
    </w:p>
    <w:p>
      <w:pPr>
        <w:sectPr>
          <w:pgSz w:w="11900" w:h="16838" w:orient="portrait"/>
          <w:cols w:equalWidth="0" w:num="3">
            <w:col w:w="420" w:space="200"/>
            <w:col w:w="2640" w:space="720"/>
            <w:col w:w="6239"/>
          </w:cols>
          <w:pgMar w:left="240" w:top="112"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EHIBIT INDEX</w:t>
      </w:r>
    </w:p>
    <w:p>
      <w:pPr>
        <w:spacing w:after="0" w:line="3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Amended by-laws of the Registrant.</w:t>
      </w:r>
    </w:p>
    <w:p>
      <w:pPr>
        <w:spacing w:after="0" w:line="21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ectPr>
          <w:pgSz w:w="11900" w:h="16838" w:orient="portrait"/>
          <w:cols w:equalWidth="0" w:num="1">
            <w:col w:w="10219"/>
          </w:cols>
          <w:pgMar w:left="240" w:top="112" w:right="1440" w:bottom="1440" w:gutter="0" w:footer="0" w:header="0"/>
          <w:type w:val="continuous"/>
        </w:sectPr>
      </w:pPr>
    </w:p>
    <w:bookmarkStart w:id="8" w:name="page9"/>
    <w:bookmarkEnd w:id="8"/>
    <w:p>
      <w:pPr>
        <w:jc w:val="center"/>
        <w:ind w:right="1959"/>
        <w:spacing w:after="0"/>
        <w:rPr>
          <w:sz w:val="20"/>
          <w:szCs w:val="20"/>
          <w:color w:val="auto"/>
        </w:rPr>
      </w:pPr>
      <w:r>
        <w:rPr>
          <w:rFonts w:ascii="Courier New" w:cs="Courier New" w:eastAsia="Courier New" w:hAnsi="Courier New"/>
          <w:sz w:val="17"/>
          <w:szCs w:val="17"/>
          <w:color w:val="auto"/>
        </w:rPr>
        <w:t>BY-LAWS</w:t>
      </w:r>
    </w:p>
    <w:p>
      <w:pPr>
        <w:spacing w:after="0" w:line="3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OF</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WINNEBAGO INDUSTRIES, INC.</w:t>
      </w:r>
    </w:p>
    <w:p>
      <w:pPr>
        <w:spacing w:after="0" w:line="17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AS AMENDED</w:t>
      </w:r>
    </w:p>
    <w:p>
      <w:pPr>
        <w:spacing w:after="0" w:line="200" w:lineRule="exact"/>
        <w:rPr>
          <w:sz w:val="20"/>
          <w:szCs w:val="20"/>
          <w:color w:val="auto"/>
        </w:rPr>
      </w:pPr>
    </w:p>
    <w:p>
      <w:pPr>
        <w:spacing w:after="0" w:line="392"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ARTICLE I. OFFICES</w:t>
      </w:r>
    </w:p>
    <w:p>
      <w:pPr>
        <w:spacing w:after="0" w:line="200" w:lineRule="exact"/>
        <w:rPr>
          <w:sz w:val="20"/>
          <w:szCs w:val="20"/>
          <w:color w:val="auto"/>
        </w:rPr>
      </w:pPr>
    </w:p>
    <w:p>
      <w:pPr>
        <w:ind w:right="2159" w:firstLine="918"/>
        <w:spacing w:after="0" w:line="360" w:lineRule="auto"/>
        <w:rPr>
          <w:sz w:val="20"/>
          <w:szCs w:val="20"/>
          <w:color w:val="auto"/>
        </w:rPr>
      </w:pPr>
      <w:r>
        <w:rPr>
          <w:rFonts w:ascii="Courier New" w:cs="Courier New" w:eastAsia="Courier New" w:hAnsi="Courier New"/>
          <w:sz w:val="17"/>
          <w:szCs w:val="17"/>
          <w:color w:val="auto"/>
        </w:rPr>
        <w:t>The principal office of the Corporation in the State of Iowa, shall be located in the City of Forest City, County of Winnebago, State of Iowa.</w:t>
      </w:r>
    </w:p>
    <w:p>
      <w:pPr>
        <w:spacing w:after="0" w:line="11" w:lineRule="exact"/>
        <w:rPr>
          <w:sz w:val="20"/>
          <w:szCs w:val="20"/>
          <w:color w:val="auto"/>
        </w:rPr>
      </w:pPr>
    </w:p>
    <w:p>
      <w:pPr>
        <w:ind w:right="2059" w:firstLine="918"/>
        <w:spacing w:after="0" w:line="302" w:lineRule="auto"/>
        <w:rPr>
          <w:sz w:val="20"/>
          <w:szCs w:val="20"/>
          <w:color w:val="auto"/>
        </w:rPr>
      </w:pPr>
      <w:r>
        <w:rPr>
          <w:rFonts w:ascii="Courier New" w:cs="Courier New" w:eastAsia="Courier New" w:hAnsi="Courier New"/>
          <w:sz w:val="17"/>
          <w:szCs w:val="17"/>
          <w:color w:val="auto"/>
        </w:rPr>
        <w:t>The Corporation may have such other offices, either within or without of the State of Iowa, as the Board of Directors may designate or as the business of the Corporation may require from time to time.</w:t>
      </w:r>
    </w:p>
    <w:p>
      <w:pPr>
        <w:spacing w:after="0" w:line="58"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ARTICLE II. SHAREHOLDERS</w:t>
      </w:r>
    </w:p>
    <w:p>
      <w:pPr>
        <w:spacing w:after="0" w:line="20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Annual Meeting</w:t>
      </w:r>
    </w:p>
    <w:p>
      <w:pPr>
        <w:spacing w:after="0" w:line="200" w:lineRule="exact"/>
        <w:rPr>
          <w:sz w:val="20"/>
          <w:szCs w:val="20"/>
          <w:color w:val="auto"/>
        </w:rPr>
      </w:pPr>
    </w:p>
    <w:p>
      <w:pPr>
        <w:ind w:right="2059" w:firstLine="918"/>
        <w:spacing w:after="0" w:line="263" w:lineRule="auto"/>
        <w:rPr>
          <w:sz w:val="20"/>
          <w:szCs w:val="20"/>
          <w:color w:val="auto"/>
        </w:rPr>
      </w:pPr>
      <w:r>
        <w:rPr>
          <w:rFonts w:ascii="Courier New" w:cs="Courier New" w:eastAsia="Courier New" w:hAnsi="Courier New"/>
          <w:sz w:val="17"/>
          <w:szCs w:val="17"/>
          <w:color w:val="auto"/>
        </w:rPr>
        <w:t>The Annual Meeting of the Shareholders shall be held on a date in the month of December of each year, commencing with the December, 1987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92"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ARTICLE III. BOARD OF DIRECTORS</w:t>
      </w:r>
    </w:p>
    <w:p>
      <w:pPr>
        <w:spacing w:after="0" w:line="20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General Powers</w:t>
      </w:r>
    </w:p>
    <w:p>
      <w:pPr>
        <w:spacing w:after="0" w:line="200" w:lineRule="exact"/>
        <w:rPr>
          <w:sz w:val="20"/>
          <w:szCs w:val="20"/>
          <w:color w:val="auto"/>
        </w:rPr>
      </w:pPr>
    </w:p>
    <w:p>
      <w:pPr>
        <w:ind w:right="2359" w:firstLine="918"/>
        <w:spacing w:after="0" w:line="360" w:lineRule="auto"/>
        <w:rPr>
          <w:sz w:val="20"/>
          <w:szCs w:val="20"/>
          <w:color w:val="auto"/>
        </w:rPr>
      </w:pPr>
      <w:r>
        <w:rPr>
          <w:rFonts w:ascii="Courier New" w:cs="Courier New" w:eastAsia="Courier New" w:hAnsi="Courier New"/>
          <w:sz w:val="17"/>
          <w:szCs w:val="17"/>
          <w:color w:val="auto"/>
        </w:rPr>
        <w:t>The business and affairs of this Corporation shall be managed by its Board of Directors.</w:t>
      </w:r>
    </w:p>
    <w:p>
      <w:pPr>
        <w:spacing w:after="0" w:line="1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Number, Tenure and Qualifications</w:t>
      </w:r>
    </w:p>
    <w:p>
      <w:pPr>
        <w:spacing w:after="0" w:line="200" w:lineRule="exact"/>
        <w:rPr>
          <w:sz w:val="20"/>
          <w:szCs w:val="20"/>
          <w:color w:val="auto"/>
        </w:rPr>
      </w:pPr>
    </w:p>
    <w:p>
      <w:pPr>
        <w:ind w:right="2259" w:firstLine="918"/>
        <w:spacing w:after="0" w:line="267" w:lineRule="auto"/>
        <w:rPr>
          <w:sz w:val="20"/>
          <w:szCs w:val="20"/>
          <w:color w:val="auto"/>
        </w:rPr>
      </w:pPr>
      <w:r>
        <w:rPr>
          <w:rFonts w:ascii="Courier New" w:cs="Courier New" w:eastAsia="Courier New" w:hAnsi="Courier New"/>
          <w:sz w:val="17"/>
          <w:szCs w:val="17"/>
          <w:color w:val="auto"/>
        </w:rPr>
        <w:t>The number of directors constituting the Board of Directors of the Corporation shall be ten (10) until increased or decreased by proper amendment thereto. Each director shall hold office until the next annual meeting of the shareholders and until his successor shall have been elected and qualified. Directors need not be residents of the State of Iowa nor shareholders of the Corporation.</w:t>
      </w:r>
    </w:p>
    <w:p>
      <w:pPr>
        <w:spacing w:after="0" w:line="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3.</w:t>
      </w:r>
      <w:r>
        <w:rPr>
          <w:sz w:val="20"/>
          <w:szCs w:val="20"/>
          <w:color w:val="auto"/>
        </w:rPr>
        <w:tab/>
      </w:r>
      <w:r>
        <w:rPr>
          <w:rFonts w:ascii="Courier New" w:cs="Courier New" w:eastAsia="Courier New" w:hAnsi="Courier New"/>
          <w:sz w:val="16"/>
          <w:szCs w:val="16"/>
          <w:color w:val="auto"/>
        </w:rPr>
        <w:t>Regular Meetings</w:t>
      </w:r>
    </w:p>
    <w:p>
      <w:pPr>
        <w:spacing w:after="0" w:line="200" w:lineRule="exact"/>
        <w:rPr>
          <w:sz w:val="20"/>
          <w:szCs w:val="20"/>
          <w:color w:val="auto"/>
        </w:rPr>
      </w:pPr>
    </w:p>
    <w:p>
      <w:pPr>
        <w:ind w:right="2159" w:firstLine="918"/>
        <w:spacing w:after="0" w:line="267" w:lineRule="auto"/>
        <w:rPr>
          <w:sz w:val="20"/>
          <w:szCs w:val="20"/>
          <w:color w:val="auto"/>
        </w:rPr>
      </w:pPr>
      <w:r>
        <w:rPr>
          <w:rFonts w:ascii="Courier New" w:cs="Courier New" w:eastAsia="Courier New" w:hAnsi="Courier New"/>
          <w:sz w:val="17"/>
          <w:szCs w:val="17"/>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4.</w:t>
      </w:r>
      <w:r>
        <w:rPr>
          <w:sz w:val="20"/>
          <w:szCs w:val="20"/>
          <w:color w:val="auto"/>
        </w:rPr>
        <w:tab/>
      </w:r>
      <w:r>
        <w:rPr>
          <w:rFonts w:ascii="Courier New" w:cs="Courier New" w:eastAsia="Courier New" w:hAnsi="Courier New"/>
          <w:sz w:val="16"/>
          <w:szCs w:val="16"/>
          <w:color w:val="auto"/>
        </w:rPr>
        <w:t>Special Meetings</w:t>
      </w:r>
    </w:p>
    <w:p>
      <w:pPr>
        <w:spacing w:after="0" w:line="200" w:lineRule="exact"/>
        <w:rPr>
          <w:sz w:val="20"/>
          <w:szCs w:val="20"/>
          <w:color w:val="auto"/>
        </w:rPr>
      </w:pPr>
    </w:p>
    <w:p>
      <w:pPr>
        <w:jc w:val="both"/>
        <w:ind w:right="2059" w:firstLine="918"/>
        <w:spacing w:after="0" w:line="267" w:lineRule="auto"/>
        <w:rPr>
          <w:sz w:val="20"/>
          <w:szCs w:val="20"/>
          <w:color w:val="auto"/>
        </w:rPr>
      </w:pPr>
      <w:r>
        <w:rPr>
          <w:rFonts w:ascii="Courier New" w:cs="Courier New" w:eastAsia="Courier New" w:hAnsi="Courier New"/>
          <w:sz w:val="17"/>
          <w:szCs w:val="17"/>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5.</w:t>
      </w:r>
      <w:r>
        <w:rPr>
          <w:sz w:val="20"/>
          <w:szCs w:val="20"/>
          <w:color w:val="auto"/>
        </w:rPr>
        <w:tab/>
      </w:r>
      <w:r>
        <w:rPr>
          <w:rFonts w:ascii="Courier New" w:cs="Courier New" w:eastAsia="Courier New" w:hAnsi="Courier New"/>
          <w:sz w:val="16"/>
          <w:szCs w:val="16"/>
          <w:color w:val="auto"/>
        </w:rPr>
        <w:t>Notice of Meetings</w:t>
      </w:r>
    </w:p>
    <w:p>
      <w:pPr>
        <w:spacing w:after="0" w:line="200" w:lineRule="exact"/>
        <w:rPr>
          <w:sz w:val="20"/>
          <w:szCs w:val="20"/>
          <w:color w:val="auto"/>
        </w:rPr>
      </w:pPr>
    </w:p>
    <w:p>
      <w:pPr>
        <w:ind w:right="2059" w:firstLine="918"/>
        <w:spacing w:after="0" w:line="271" w:lineRule="auto"/>
        <w:rPr>
          <w:sz w:val="20"/>
          <w:szCs w:val="20"/>
          <w:color w:val="auto"/>
        </w:rPr>
      </w:pPr>
      <w:r>
        <w:rPr>
          <w:rFonts w:ascii="Courier New" w:cs="Courier New" w:eastAsia="Courier New" w:hAnsi="Courier New"/>
          <w:sz w:val="16"/>
          <w:szCs w:val="16"/>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7"/>
          <w:szCs w:val="17"/>
          <w:color w:val="auto"/>
        </w:rPr>
        <w:t>Committees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The Board of Directors may, by resolution adopted by a majority of the</w:t>
      </w:r>
    </w:p>
    <w:p>
      <w:pPr>
        <w:sectPr>
          <w:pgSz w:w="11900" w:h="16838" w:orient="portrait"/>
          <w:cols w:equalWidth="0" w:num="1">
            <w:col w:w="10219"/>
          </w:cols>
          <w:pgMar w:left="240" w:top="504" w:right="1440" w:bottom="0" w:gutter="0" w:footer="0" w:header="0"/>
        </w:sectPr>
      </w:pPr>
    </w:p>
    <w:bookmarkStart w:id="9" w:name="page10"/>
    <w:bookmarkEnd w:id="9"/>
    <w:p>
      <w:pPr>
        <w:ind w:right="2159"/>
        <w:spacing w:after="0" w:line="261" w:lineRule="auto"/>
        <w:rPr>
          <w:sz w:val="20"/>
          <w:szCs w:val="20"/>
          <w:color w:val="auto"/>
        </w:rPr>
      </w:pPr>
      <w:r>
        <w:rPr>
          <w:rFonts w:ascii="Courier New" w:cs="Courier New" w:eastAsia="Courier New" w:hAnsi="Courier New"/>
          <w:sz w:val="17"/>
          <w:szCs w:val="17"/>
          <w:color w:val="auto"/>
        </w:rPr>
        <w:t>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9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ARTICLE IV. OFFICERS</w:t>
      </w:r>
    </w:p>
    <w:p>
      <w:pPr>
        <w:spacing w:after="0" w:line="20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Number</w:t>
      </w:r>
    </w:p>
    <w:p>
      <w:pPr>
        <w:spacing w:after="0" w:line="200" w:lineRule="exact"/>
        <w:rPr>
          <w:sz w:val="20"/>
          <w:szCs w:val="20"/>
          <w:color w:val="auto"/>
        </w:rPr>
      </w:pPr>
    </w:p>
    <w:p>
      <w:pPr>
        <w:ind w:right="2059" w:firstLine="918"/>
        <w:spacing w:after="0" w:line="273" w:lineRule="auto"/>
        <w:rPr>
          <w:sz w:val="20"/>
          <w:szCs w:val="20"/>
          <w:color w:val="auto"/>
        </w:rPr>
      </w:pPr>
      <w:r>
        <w:rPr>
          <w:rFonts w:ascii="Courier New" w:cs="Courier New" w:eastAsia="Courier New" w:hAnsi="Courier New"/>
          <w:sz w:val="17"/>
          <w:szCs w:val="17"/>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8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Election and Term of Office</w:t>
      </w:r>
    </w:p>
    <w:p>
      <w:pPr>
        <w:spacing w:after="0" w:line="200" w:lineRule="exact"/>
        <w:rPr>
          <w:sz w:val="20"/>
          <w:szCs w:val="20"/>
          <w:color w:val="auto"/>
        </w:rPr>
      </w:pPr>
    </w:p>
    <w:p>
      <w:pPr>
        <w:ind w:right="2059" w:firstLine="918"/>
        <w:spacing w:after="0" w:line="257" w:lineRule="auto"/>
        <w:rPr>
          <w:sz w:val="20"/>
          <w:szCs w:val="20"/>
          <w:color w:val="auto"/>
        </w:rPr>
      </w:pPr>
      <w:r>
        <w:rPr>
          <w:rFonts w:ascii="Courier New" w:cs="Courier New" w:eastAsia="Courier New" w:hAnsi="Courier New"/>
          <w:sz w:val="17"/>
          <w:szCs w:val="17"/>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ARTICLE V. FISCAL YEAR</w:t>
      </w:r>
    </w:p>
    <w:p>
      <w:pPr>
        <w:spacing w:after="0" w:line="200" w:lineRule="exact"/>
        <w:rPr>
          <w:sz w:val="20"/>
          <w:szCs w:val="20"/>
          <w:color w:val="auto"/>
        </w:rPr>
      </w:pPr>
    </w:p>
    <w:p>
      <w:pPr>
        <w:ind w:right="2659" w:firstLine="918"/>
        <w:spacing w:after="0" w:line="360" w:lineRule="auto"/>
        <w:rPr>
          <w:sz w:val="20"/>
          <w:szCs w:val="20"/>
          <w:color w:val="auto"/>
        </w:rPr>
      </w:pPr>
      <w:r>
        <w:rPr>
          <w:rFonts w:ascii="Courier New" w:cs="Courier New" w:eastAsia="Courier New" w:hAnsi="Courier New"/>
          <w:sz w:val="17"/>
          <w:szCs w:val="17"/>
          <w:color w:val="auto"/>
        </w:rPr>
        <w:t>The fiscal year of this Corporation shall begin on the 1st day of September and end on the last day of August, in each year.</w:t>
      </w:r>
    </w:p>
    <w:p>
      <w:pPr>
        <w:spacing w:after="0" w:line="11"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ARTICLE VI. AMENDMENTS</w:t>
      </w:r>
    </w:p>
    <w:p>
      <w:pPr>
        <w:spacing w:after="0" w:line="200" w:lineRule="exact"/>
        <w:rPr>
          <w:sz w:val="20"/>
          <w:szCs w:val="20"/>
          <w:color w:val="auto"/>
        </w:rPr>
      </w:pPr>
    </w:p>
    <w:p>
      <w:pPr>
        <w:jc w:val="both"/>
        <w:ind w:right="2259" w:firstLine="918"/>
        <w:spacing w:after="0" w:line="302" w:lineRule="auto"/>
        <w:rPr>
          <w:sz w:val="20"/>
          <w:szCs w:val="20"/>
          <w:color w:val="auto"/>
        </w:rPr>
      </w:pPr>
      <w:r>
        <w:rPr>
          <w:rFonts w:ascii="Courier New" w:cs="Courier New" w:eastAsia="Courier New" w:hAnsi="Courier New"/>
          <w:sz w:val="17"/>
          <w:szCs w:val="17"/>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19"/>
          </w:cols>
          <w:pgMar w:left="240" w:top="1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5</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3-MOS</w:t>
      </w:r>
    </w:p>
    <w:p>
      <w:pPr>
        <w:spacing w:after="0" w:line="3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AUG-30-1997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MAR-01-1997</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34,910</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38,763</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1,815</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47,749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141,858</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120,206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82,100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219,084</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51,250</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123,308</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219,084</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105,702</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105,702</w:t>
      </w:r>
    </w:p>
    <w:p>
      <w:pPr>
        <w:spacing w:after="0" w:line="4"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7"/>
          <w:szCs w:val="17"/>
          <w:color w:val="auto"/>
        </w:rPr>
        <w:t>95,503</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95,503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13,529</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745</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(2,585)</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1,089</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(3,674)</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(3,674)</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(.15)</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19"/>
      </w:cols>
      <w:pgMar w:left="340" w:top="7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2019-12-12T06:50:53Z</dcterms:created>
  <dcterms:modified xsi:type="dcterms:W3CDTF">2019-12-12T06:50:53Z</dcterms:modified>
</cp:coreProperties>
</file>