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Hughes Bryan L</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20" w:type="dxa"/>
            <w:vAlign w:val="bottom"/>
            <w:gridSpan w:val="2"/>
          </w:tcPr>
          <w:p>
            <w:pPr>
              <w:ind w:left="100"/>
              <w:spacing w:after="0" w:line="187" w:lineRule="exact"/>
              <w:rPr>
                <w:sz w:val="20"/>
                <w:szCs w:val="20"/>
                <w:color w:val="auto"/>
              </w:rPr>
            </w:pPr>
            <w:r>
              <w:rPr>
                <w:rFonts w:ascii="Times New Roman" w:cs="Times New Roman" w:eastAsia="Times New Roman" w:hAnsi="Times New Roman"/>
                <w:sz w:val="17"/>
                <w:szCs w:val="17"/>
                <w:color w:val="0000FF"/>
              </w:rPr>
              <w:t>SVP &amp; Chief Financial Officer</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12/17/2020</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523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30,617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30,454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12/17/2020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ectPr>
          <w:pgSz w:w="11900" w:h="16838" w:orient="portrait"/>
          <w:cols w:equalWidth="0" w:num="1">
            <w:col w:w="11080"/>
          </w:cols>
          <w:pgMar w:left="460" w:top="219" w:right="359" w:bottom="144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0834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2020-12-21T18:26:16Z</dcterms:created>
  <dcterms:modified xsi:type="dcterms:W3CDTF">2020-12-21T18:26:16Z</dcterms:modified>
</cp:coreProperties>
</file>