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3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44" w:lineRule="exact"/>
        <w:rPr>
          <w:sz w:val="24"/>
          <w:szCs w:val="24"/>
          <w:color w:val="auto"/>
        </w:rPr>
      </w:pPr>
    </w:p>
    <w:p>
      <w:pPr>
        <w:ind w:left="4860"/>
        <w:spacing w:after="0"/>
        <w:tabs>
          <w:tab w:leader="none" w:pos="650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ectPr>
          <w:pgSz w:w="11900" w:h="16838" w:orient="portrait"/>
          <w:cols w:equalWidth="0" w:num="1">
            <w:col w:w="11180"/>
          </w:cols>
          <w:pgMar w:left="240" w:top="719" w:right="479" w:bottom="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22"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51" w:lineRule="exact"/>
        <w:rPr>
          <w:sz w:val="24"/>
          <w:szCs w:val="24"/>
          <w:color w:val="auto"/>
        </w:rPr>
      </w:pPr>
    </w:p>
    <w:p>
      <w:pPr>
        <w:sectPr>
          <w:pgSz w:w="11900" w:h="16838" w:orient="portrait"/>
          <w:cols w:equalWidth="0" w:num="2">
            <w:col w:w="2940" w:space="720"/>
            <w:col w:w="7520"/>
          </w:cols>
          <w:pgMar w:left="240" w:top="719" w:right="479" w:bottom="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180"/>
          </w:cols>
          <w:pgMar w:left="240" w:top="719" w:right="479" w:bottom="0" w:gutter="0" w:footer="0" w:header="0"/>
          <w:type w:val="continuous"/>
        </w:sectPr>
      </w:pPr>
    </w:p>
    <w:p>
      <w:pPr>
        <w:spacing w:after="0" w:line="67" w:lineRule="exact"/>
        <w:rPr>
          <w:sz w:val="24"/>
          <w:szCs w:val="24"/>
          <w:color w:val="auto"/>
        </w:rPr>
      </w:pPr>
    </w:p>
    <w:p>
      <w:pPr>
        <w:ind w:left="800" w:hanging="792"/>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25" w:lineRule="exact"/>
        <w:rPr>
          <w:rFonts w:ascii="Arial" w:cs="Arial" w:eastAsia="Arial" w:hAnsi="Arial"/>
          <w:sz w:val="22"/>
          <w:szCs w:val="22"/>
          <w:color w:val="auto"/>
        </w:rPr>
      </w:pPr>
    </w:p>
    <w:p>
      <w:pPr>
        <w:ind w:left="800" w:hanging="792"/>
        <w:spacing w:after="0" w:line="206" w:lineRule="auto"/>
        <w:tabs>
          <w:tab w:leader="none" w:pos="800" w:val="left"/>
        </w:tabs>
        <w:numPr>
          <w:ilvl w:val="0"/>
          <w:numId w:val="1"/>
        </w:numPr>
        <w:rPr>
          <w:rFonts w:ascii="Arial" w:cs="Arial" w:eastAsia="Arial" w:hAnsi="Arial"/>
          <w:sz w:val="22"/>
          <w:szCs w:val="22"/>
          <w:color w:val="auto"/>
        </w:rPr>
      </w:pPr>
      <w:r>
        <w:rPr>
          <w:rFonts w:ascii="Arial" w:cs="Arial" w:eastAsia="Arial" w:hAnsi="Arial"/>
          <w:sz w:val="18"/>
          <w:szCs w:val="18"/>
          <w:color w:val="auto"/>
        </w:rPr>
        <w:t>Confidential, For Use of the Commission Only (as permitted by Rule 14a-6(e)(2))</w:t>
      </w:r>
    </w:p>
    <w:p>
      <w:pPr>
        <w:spacing w:after="0" w:line="25" w:lineRule="exact"/>
        <w:rPr>
          <w:rFonts w:ascii="Arial" w:cs="Arial" w:eastAsia="Arial" w:hAnsi="Arial"/>
          <w:sz w:val="22"/>
          <w:szCs w:val="22"/>
          <w:color w:val="auto"/>
        </w:rPr>
      </w:pPr>
    </w:p>
    <w:p>
      <w:pPr>
        <w:ind w:left="800" w:hanging="792"/>
        <w:spacing w:after="0" w:line="206" w:lineRule="auto"/>
        <w:tabs>
          <w:tab w:leader="none" w:pos="800" w:val="left"/>
        </w:tabs>
        <w:numPr>
          <w:ilvl w:val="0"/>
          <w:numId w:val="1"/>
        </w:numPr>
        <w:rPr>
          <w:rFonts w:ascii="Arial" w:cs="Arial" w:eastAsia="Arial" w:hAnsi="Arial"/>
          <w:sz w:val="22"/>
          <w:szCs w:val="22"/>
          <w:color w:val="auto"/>
        </w:rPr>
      </w:pPr>
      <w:r>
        <w:rPr>
          <w:rFonts w:ascii="Arial" w:cs="Arial" w:eastAsia="Arial" w:hAnsi="Arial"/>
          <w:sz w:val="18"/>
          <w:szCs w:val="18"/>
          <w:color w:val="auto"/>
        </w:rPr>
        <w:t>Definitive Proxy Statement</w:t>
      </w:r>
    </w:p>
    <w:p>
      <w:pPr>
        <w:ind w:left="800" w:hanging="792"/>
        <w:spacing w:after="0" w:line="231" w:lineRule="auto"/>
        <w:tabs>
          <w:tab w:leader="none" w:pos="800" w:val="left"/>
        </w:tabs>
        <w:numPr>
          <w:ilvl w:val="0"/>
          <w:numId w:val="2"/>
        </w:numPr>
        <w:rPr>
          <w:rFonts w:ascii="Arial" w:cs="Arial" w:eastAsia="Arial" w:hAnsi="Arial"/>
          <w:sz w:val="22"/>
          <w:szCs w:val="22"/>
          <w:color w:val="auto"/>
        </w:rPr>
      </w:pPr>
      <w:r>
        <w:rPr>
          <w:rFonts w:ascii="Arial" w:cs="Arial" w:eastAsia="Arial" w:hAnsi="Arial"/>
          <w:sz w:val="18"/>
          <w:szCs w:val="18"/>
          <w:color w:val="auto"/>
        </w:rPr>
        <w:t>Definitive Additional Materials</w:t>
      </w:r>
    </w:p>
    <w:p>
      <w:pPr>
        <w:ind w:left="800" w:hanging="792"/>
        <w:spacing w:after="0" w:line="230"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Soliciting Material Pursuant to section 240.14a-12</w:t>
      </w:r>
    </w:p>
    <w:p>
      <w:pPr>
        <w:spacing w:after="0" w:line="17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840" w:hanging="832"/>
        <w:spacing w:after="0"/>
        <w:tabs>
          <w:tab w:leader="none" w:pos="840" w:val="left"/>
        </w:tabs>
        <w:numPr>
          <w:ilvl w:val="0"/>
          <w:numId w:val="4"/>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800" w:hanging="792"/>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14a-6(i)(1) and 0-11.</w:t>
      </w:r>
    </w:p>
    <w:p>
      <w:pPr>
        <w:spacing w:after="0" w:line="47" w:lineRule="exact"/>
        <w:rPr>
          <w:rFonts w:ascii="Arial" w:cs="Arial" w:eastAsia="Arial" w:hAnsi="Arial"/>
          <w:sz w:val="22"/>
          <w:szCs w:val="22"/>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600" w:hanging="795"/>
        <w:spacing w:after="0" w:line="266" w:lineRule="auto"/>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46" w:lineRule="exact"/>
        <w:rPr>
          <w:rFonts w:ascii="Arial" w:cs="Arial" w:eastAsia="Arial" w:hAnsi="Arial"/>
          <w:sz w:val="18"/>
          <w:szCs w:val="18"/>
          <w:color w:val="auto"/>
        </w:rPr>
      </w:pPr>
    </w:p>
    <w:p>
      <w:pPr>
        <w:ind w:left="800" w:hanging="792"/>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47" w:lineRule="exact"/>
        <w:rPr>
          <w:rFonts w:ascii="Arial" w:cs="Arial" w:eastAsia="Arial" w:hAnsi="Arial"/>
          <w:sz w:val="22"/>
          <w:szCs w:val="22"/>
          <w:color w:val="auto"/>
        </w:rPr>
      </w:pPr>
    </w:p>
    <w:p>
      <w:pPr>
        <w:ind w:left="800" w:right="120" w:hanging="792"/>
        <w:spacing w:after="0" w:line="241" w:lineRule="auto"/>
        <w:tabs>
          <w:tab w:leader="none" w:pos="80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7" w:lineRule="exact"/>
        <w:rPr>
          <w:rFonts w:ascii="Arial" w:cs="Arial" w:eastAsia="Arial" w:hAnsi="Arial"/>
          <w:sz w:val="21"/>
          <w:szCs w:val="21"/>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800100</wp:posOffset>
            </wp:positionV>
            <wp:extent cx="144907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800100</wp:posOffset>
            </wp:positionV>
            <wp:extent cx="174117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17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9260"/>
        <w:spacing w:after="0"/>
        <w:rPr>
          <w:sz w:val="20"/>
          <w:szCs w:val="20"/>
          <w:color w:val="auto"/>
        </w:rPr>
      </w:pPr>
      <w:r>
        <w:rPr>
          <w:rFonts w:ascii="Arial" w:cs="Arial" w:eastAsia="Arial" w:hAnsi="Arial"/>
          <w:sz w:val="18"/>
          <w:szCs w:val="18"/>
          <w:b w:val="1"/>
          <w:bCs w:val="1"/>
          <w:color w:val="auto"/>
        </w:rPr>
        <w:t>Company #</w:t>
      </w:r>
    </w:p>
    <w:p>
      <w:pPr>
        <w:spacing w:after="0" w:line="21" w:lineRule="exact"/>
        <w:rPr>
          <w:sz w:val="24"/>
          <w:szCs w:val="24"/>
          <w:color w:val="auto"/>
        </w:rPr>
      </w:pPr>
    </w:p>
    <w:p>
      <w:pPr>
        <w:ind w:left="9260"/>
        <w:spacing w:after="0"/>
        <w:rPr>
          <w:sz w:val="20"/>
          <w:szCs w:val="20"/>
          <w:color w:val="auto"/>
        </w:rPr>
      </w:pPr>
      <w:r>
        <w:rPr>
          <w:rFonts w:ascii="Arial" w:cs="Arial" w:eastAsia="Arial" w:hAnsi="Arial"/>
          <w:sz w:val="18"/>
          <w:szCs w:val="18"/>
          <w:b w:val="1"/>
          <w:bCs w:val="1"/>
          <w:color w:val="auto"/>
        </w:rPr>
        <w:t>Control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2007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3890010</wp:posOffset>
            </wp:positionH>
            <wp:positionV relativeFrom="paragraph">
              <wp:posOffset>-31115</wp:posOffset>
            </wp:positionV>
            <wp:extent cx="2641600"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1600" cy="771525"/>
                    </a:xfrm>
                    <a:prstGeom prst="rect">
                      <a:avLst/>
                    </a:prstGeom>
                    <a:noFill/>
                  </pic:spPr>
                </pic:pic>
              </a:graphicData>
            </a:graphic>
          </wp:anchor>
        </w:drawing>
      </w:r>
    </w:p>
    <w:p>
      <w:pPr>
        <w:spacing w:after="0" w:line="91" w:lineRule="exact"/>
        <w:rPr>
          <w:sz w:val="24"/>
          <w:szCs w:val="24"/>
          <w:color w:val="auto"/>
        </w:rPr>
      </w:pPr>
    </w:p>
    <w:tbl>
      <w:tblPr>
        <w:tblLayout w:type="fixed"/>
        <w:tblInd w:w="1860" w:type="dxa"/>
        <w:tblCellMar>
          <w:top w:w="0" w:type="dxa"/>
          <w:left w:w="0" w:type="dxa"/>
          <w:bottom w:w="0" w:type="dxa"/>
          <w:right w:w="0" w:type="dxa"/>
        </w:tblCellMar>
      </w:tblPr>
      <w:tr>
        <w:trPr>
          <w:trHeight w:val="216"/>
        </w:trPr>
        <w:tc>
          <w:tcPr>
            <w:tcW w:w="4240" w:type="dxa"/>
            <w:vAlign w:val="bottom"/>
          </w:tcPr>
          <w:p>
            <w:pPr>
              <w:jc w:val="center"/>
              <w:ind w:right="592"/>
              <w:spacing w:after="0"/>
              <w:rPr>
                <w:sz w:val="20"/>
                <w:szCs w:val="20"/>
                <w:color w:val="auto"/>
              </w:rPr>
            </w:pPr>
            <w:r>
              <w:rPr>
                <w:rFonts w:ascii="Arial" w:cs="Arial" w:eastAsia="Arial" w:hAnsi="Arial"/>
                <w:sz w:val="18"/>
                <w:szCs w:val="18"/>
                <w:b w:val="1"/>
                <w:bCs w:val="1"/>
                <w:color w:val="auto"/>
                <w:w w:val="86"/>
              </w:rPr>
              <w:t>Tuesday, December 18, 2007</w:t>
            </w:r>
          </w:p>
        </w:tc>
        <w:tc>
          <w:tcPr>
            <w:tcW w:w="3500" w:type="dxa"/>
            <w:vAlign w:val="bottom"/>
          </w:tcPr>
          <w:p>
            <w:pPr>
              <w:jc w:val="center"/>
              <w:ind w:left="612"/>
              <w:spacing w:after="0"/>
              <w:rPr>
                <w:sz w:val="20"/>
                <w:szCs w:val="20"/>
                <w:color w:val="auto"/>
              </w:rPr>
            </w:pPr>
            <w:r>
              <w:rPr>
                <w:rFonts w:ascii="Arial" w:cs="Arial" w:eastAsia="Arial" w:hAnsi="Arial"/>
                <w:sz w:val="18"/>
                <w:szCs w:val="18"/>
                <w:color w:val="auto"/>
                <w:w w:val="87"/>
              </w:rPr>
              <w:t>To obtain directions to attend</w:t>
            </w:r>
          </w:p>
        </w:tc>
        <w:tc>
          <w:tcPr>
            <w:tcW w:w="0" w:type="dxa"/>
            <w:vAlign w:val="bottom"/>
          </w:tcPr>
          <w:p>
            <w:pPr>
              <w:spacing w:after="0"/>
              <w:rPr>
                <w:sz w:val="1"/>
                <w:szCs w:val="1"/>
                <w:color w:val="auto"/>
              </w:rPr>
            </w:pPr>
          </w:p>
        </w:tc>
      </w:tr>
      <w:tr>
        <w:trPr>
          <w:trHeight w:val="222"/>
        </w:trPr>
        <w:tc>
          <w:tcPr>
            <w:tcW w:w="4240" w:type="dxa"/>
            <w:vAlign w:val="bottom"/>
          </w:tcPr>
          <w:p>
            <w:pPr>
              <w:jc w:val="center"/>
              <w:ind w:right="612"/>
              <w:spacing w:after="0"/>
              <w:rPr>
                <w:sz w:val="20"/>
                <w:szCs w:val="20"/>
                <w:color w:val="auto"/>
              </w:rPr>
            </w:pPr>
            <w:r>
              <w:rPr>
                <w:rFonts w:ascii="Arial" w:cs="Arial" w:eastAsia="Arial" w:hAnsi="Arial"/>
                <w:sz w:val="18"/>
                <w:szCs w:val="18"/>
                <w:b w:val="1"/>
                <w:bCs w:val="1"/>
                <w:color w:val="auto"/>
                <w:w w:val="90"/>
              </w:rPr>
              <w:t>4:00 p.m., Central Standard Time</w:t>
            </w:r>
          </w:p>
        </w:tc>
        <w:tc>
          <w:tcPr>
            <w:tcW w:w="3500" w:type="dxa"/>
            <w:vAlign w:val="bottom"/>
          </w:tcPr>
          <w:p>
            <w:pPr>
              <w:jc w:val="center"/>
              <w:ind w:left="612"/>
              <w:spacing w:after="0"/>
              <w:rPr>
                <w:sz w:val="20"/>
                <w:szCs w:val="20"/>
                <w:color w:val="auto"/>
              </w:rPr>
            </w:pPr>
            <w:r>
              <w:rPr>
                <w:rFonts w:ascii="Arial" w:cs="Arial" w:eastAsia="Arial" w:hAnsi="Arial"/>
                <w:sz w:val="18"/>
                <w:szCs w:val="18"/>
                <w:color w:val="auto"/>
                <w:w w:val="89"/>
              </w:rPr>
              <w:t>the Annual Meeting and vote in person,</w:t>
            </w:r>
          </w:p>
        </w:tc>
        <w:tc>
          <w:tcPr>
            <w:tcW w:w="0" w:type="dxa"/>
            <w:vAlign w:val="bottom"/>
          </w:tcPr>
          <w:p>
            <w:pPr>
              <w:spacing w:after="0"/>
              <w:rPr>
                <w:sz w:val="1"/>
                <w:szCs w:val="1"/>
                <w:color w:val="auto"/>
              </w:rPr>
            </w:pPr>
          </w:p>
        </w:tc>
      </w:tr>
      <w:tr>
        <w:trPr>
          <w:trHeight w:val="216"/>
        </w:trPr>
        <w:tc>
          <w:tcPr>
            <w:tcW w:w="4240" w:type="dxa"/>
            <w:vAlign w:val="bottom"/>
            <w:vMerge w:val="restart"/>
          </w:tcPr>
          <w:p>
            <w:pPr>
              <w:jc w:val="center"/>
              <w:ind w:right="592"/>
              <w:spacing w:after="0"/>
              <w:rPr>
                <w:sz w:val="20"/>
                <w:szCs w:val="20"/>
                <w:color w:val="auto"/>
              </w:rPr>
            </w:pPr>
            <w:r>
              <w:rPr>
                <w:rFonts w:ascii="Arial" w:cs="Arial" w:eastAsia="Arial" w:hAnsi="Arial"/>
                <w:sz w:val="18"/>
                <w:szCs w:val="18"/>
                <w:b w:val="1"/>
                <w:bCs w:val="1"/>
                <w:color w:val="auto"/>
                <w:w w:val="88"/>
              </w:rPr>
              <w:t>Winnebago Industries; South Complex Theater</w:t>
            </w:r>
          </w:p>
        </w:tc>
        <w:tc>
          <w:tcPr>
            <w:tcW w:w="3500" w:type="dxa"/>
            <w:vAlign w:val="bottom"/>
          </w:tcPr>
          <w:p>
            <w:pPr>
              <w:jc w:val="center"/>
              <w:ind w:left="612"/>
              <w:spacing w:after="0"/>
              <w:rPr>
                <w:sz w:val="20"/>
                <w:szCs w:val="20"/>
                <w:color w:val="auto"/>
              </w:rPr>
            </w:pPr>
            <w:r>
              <w:rPr>
                <w:rFonts w:ascii="Arial" w:cs="Arial" w:eastAsia="Arial" w:hAnsi="Arial"/>
                <w:sz w:val="18"/>
                <w:szCs w:val="18"/>
                <w:color w:val="auto"/>
                <w:w w:val="88"/>
              </w:rPr>
              <w:t>please call Investor Relations</w:t>
            </w:r>
          </w:p>
        </w:tc>
        <w:tc>
          <w:tcPr>
            <w:tcW w:w="0" w:type="dxa"/>
            <w:vAlign w:val="bottom"/>
          </w:tcPr>
          <w:p>
            <w:pPr>
              <w:spacing w:after="0"/>
              <w:rPr>
                <w:sz w:val="1"/>
                <w:szCs w:val="1"/>
                <w:color w:val="auto"/>
              </w:rPr>
            </w:pPr>
          </w:p>
        </w:tc>
      </w:tr>
      <w:tr>
        <w:trPr>
          <w:trHeight w:val="102"/>
        </w:trPr>
        <w:tc>
          <w:tcPr>
            <w:tcW w:w="4240" w:type="dxa"/>
            <w:vAlign w:val="bottom"/>
            <w:vMerge w:val="continue"/>
          </w:tcPr>
          <w:p>
            <w:pPr>
              <w:spacing w:after="0"/>
              <w:rPr>
                <w:sz w:val="8"/>
                <w:szCs w:val="8"/>
                <w:color w:val="auto"/>
              </w:rPr>
            </w:pPr>
          </w:p>
        </w:tc>
        <w:tc>
          <w:tcPr>
            <w:tcW w:w="3500" w:type="dxa"/>
            <w:vAlign w:val="bottom"/>
            <w:vMerge w:val="restart"/>
          </w:tcPr>
          <w:p>
            <w:pPr>
              <w:jc w:val="center"/>
              <w:ind w:left="612"/>
              <w:spacing w:after="0"/>
              <w:rPr>
                <w:sz w:val="20"/>
                <w:szCs w:val="20"/>
                <w:color w:val="auto"/>
              </w:rPr>
            </w:pPr>
            <w:r>
              <w:rPr>
                <w:rFonts w:ascii="Arial" w:cs="Arial" w:eastAsia="Arial" w:hAnsi="Arial"/>
                <w:sz w:val="18"/>
                <w:szCs w:val="18"/>
                <w:color w:val="auto"/>
                <w:w w:val="89"/>
              </w:rPr>
              <w:t>at (641) 585-3535.</w:t>
            </w:r>
          </w:p>
        </w:tc>
        <w:tc>
          <w:tcPr>
            <w:tcW w:w="0" w:type="dxa"/>
            <w:vAlign w:val="bottom"/>
          </w:tcPr>
          <w:p>
            <w:pPr>
              <w:spacing w:after="0"/>
              <w:rPr>
                <w:sz w:val="1"/>
                <w:szCs w:val="1"/>
                <w:color w:val="auto"/>
              </w:rPr>
            </w:pPr>
          </w:p>
        </w:tc>
      </w:tr>
      <w:tr>
        <w:trPr>
          <w:trHeight w:val="120"/>
        </w:trPr>
        <w:tc>
          <w:tcPr>
            <w:tcW w:w="4240" w:type="dxa"/>
            <w:vAlign w:val="bottom"/>
            <w:vMerge w:val="restart"/>
          </w:tcPr>
          <w:p>
            <w:pPr>
              <w:jc w:val="center"/>
              <w:ind w:right="612"/>
              <w:spacing w:after="0"/>
              <w:rPr>
                <w:sz w:val="20"/>
                <w:szCs w:val="20"/>
                <w:color w:val="auto"/>
              </w:rPr>
            </w:pPr>
            <w:r>
              <w:rPr>
                <w:rFonts w:ascii="Arial" w:cs="Arial" w:eastAsia="Arial" w:hAnsi="Arial"/>
                <w:sz w:val="18"/>
                <w:szCs w:val="18"/>
                <w:b w:val="1"/>
                <w:bCs w:val="1"/>
                <w:color w:val="auto"/>
                <w:w w:val="89"/>
              </w:rPr>
              <w:t>605 West Crystal Lake Road</w:t>
            </w: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24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ind w:right="612"/>
              <w:spacing w:after="0"/>
              <w:rPr>
                <w:sz w:val="20"/>
                <w:szCs w:val="20"/>
                <w:color w:val="auto"/>
              </w:rPr>
            </w:pPr>
            <w:r>
              <w:rPr>
                <w:rFonts w:ascii="Arial" w:cs="Arial" w:eastAsia="Arial" w:hAnsi="Arial"/>
                <w:sz w:val="18"/>
                <w:szCs w:val="18"/>
                <w:b w:val="1"/>
                <w:bCs w:val="1"/>
                <w:color w:val="auto"/>
                <w:w w:val="89"/>
              </w:rPr>
              <w:t>Forest City, Iowa 50436</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Important Notice Regarding the Availability of Proxy Materials for the</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Shareholder Meeting to be held on December 18, 2007.</w:t>
      </w:r>
    </w:p>
    <w:p>
      <w:pPr>
        <w:spacing w:after="0" w:line="102" w:lineRule="exact"/>
        <w:rPr>
          <w:sz w:val="24"/>
          <w:szCs w:val="24"/>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view the Proxy Statement or Annual Report to Shareholders, have the 11-digit Control #(s) and visit: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92075</wp:posOffset>
            </wp:positionV>
            <wp:extent cx="327596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5965" cy="36195"/>
                    </a:xfrm>
                    <a:prstGeom prst="rect">
                      <a:avLst/>
                    </a:prstGeom>
                    <a:noFill/>
                  </pic:spPr>
                </pic:pic>
              </a:graphicData>
            </a:graphic>
          </wp:anchor>
        </w:drawing>
      </w:r>
    </w:p>
    <w:p>
      <w:pPr>
        <w:sectPr>
          <w:pgSz w:w="11900" w:h="16838" w:orient="portrait"/>
          <w:cols w:equalWidth="0" w:num="1">
            <w:col w:w="11180"/>
          </w:cols>
          <w:pgMar w:left="240" w:top="719" w:right="47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u w:val="single" w:color="auto"/>
          <w:color w:val="auto"/>
        </w:rPr>
        <w:t>http://www.idelivercommunications.com/proxy/WGO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-142240</wp:posOffset>
            </wp:positionV>
            <wp:extent cx="327596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5965" cy="222885"/>
                    </a:xfrm>
                    <a:prstGeom prst="rect">
                      <a:avLst/>
                    </a:prstGeom>
                    <a:noFill/>
                  </pic:spPr>
                </pic:pic>
              </a:graphicData>
            </a:graphic>
          </wp:anchor>
        </w:drawing>
      </w:r>
    </w:p>
    <w:p>
      <w:pPr>
        <w:spacing w:after="0" w:line="20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you want to receive a paper or e-mail copy of the above listed documents, you must request one. There is no charge to you for requesting a copy. To facilitate timely delivery, please make the request as instructed below on or before December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81"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Matters intended to be acted upon at the meeting are listed below.</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recommends that you vote FOR Proposals 1, 2 and 3:</w:t>
      </w:r>
    </w:p>
    <w:p>
      <w:pPr>
        <w:sectPr>
          <w:pgSz w:w="11900" w:h="16838" w:orient="portrait"/>
          <w:cols w:equalWidth="0" w:num="1">
            <w:col w:w="11400"/>
          </w:cols>
          <w:pgMar w:left="240" w:top="111" w:right="259" w:bottom="1440" w:gutter="0" w:footer="0" w:header="0"/>
        </w:sectPr>
      </w:pPr>
    </w:p>
    <w:p>
      <w:pPr>
        <w:spacing w:after="0" w:line="53" w:lineRule="exact"/>
        <w:rPr>
          <w:sz w:val="20"/>
          <w:szCs w:val="20"/>
          <w:color w:val="auto"/>
        </w:rPr>
      </w:pPr>
    </w:p>
    <w:p>
      <w:pPr>
        <w:ind w:left="240" w:hanging="232"/>
        <w:spacing w:after="0" w:line="286"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as three class II directors to serve for the ensuing three years and until their successors shall be elected and shall qualify;</w:t>
      </w:r>
    </w:p>
    <w:p>
      <w:pPr>
        <w:ind w:left="480" w:hanging="242"/>
        <w:spacing w:after="0"/>
        <w:tabs>
          <w:tab w:leader="none" w:pos="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Jerry N. Currie</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Lawrence A. Erickson</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John E. Herlitz</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39" w:right="420" w:hanging="239"/>
        <w:spacing w:after="0" w:line="253"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the fiscal year ending August 30, 2008.</w:t>
      </w:r>
    </w:p>
    <w:p>
      <w:pPr>
        <w:ind w:left="239" w:right="120" w:hanging="239"/>
        <w:spacing w:after="0" w:line="261"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43" w:lineRule="exact"/>
        <w:rPr>
          <w:sz w:val="20"/>
          <w:szCs w:val="20"/>
          <w:color w:val="auto"/>
        </w:rPr>
      </w:pPr>
    </w:p>
    <w:p>
      <w:pPr>
        <w:sectPr>
          <w:pgSz w:w="11900" w:h="16838" w:orient="portrait"/>
          <w:cols w:equalWidth="0" w:num="2">
            <w:col w:w="5380" w:space="341"/>
            <w:col w:w="5679"/>
          </w:cols>
          <w:pgMar w:left="240" w:top="111" w:right="259" w:bottom="1440" w:gutter="0" w:footer="0" w:header="0"/>
          <w:type w:val="continuous"/>
        </w:sectPr>
      </w:pPr>
    </w:p>
    <w:p>
      <w:pPr>
        <w:ind w:right="140"/>
        <w:spacing w:after="0" w:line="268" w:lineRule="auto"/>
        <w:rPr>
          <w:sz w:val="20"/>
          <w:szCs w:val="20"/>
          <w:color w:val="auto"/>
        </w:rPr>
      </w:pPr>
      <w:r>
        <w:rPr>
          <w:rFonts w:ascii="Arial" w:cs="Arial" w:eastAsia="Arial" w:hAnsi="Arial"/>
          <w:sz w:val="18"/>
          <w:szCs w:val="18"/>
          <w:color w:val="auto"/>
        </w:rPr>
        <w:t>These items of business are more fully described in the proxy statement. The record date for the annual meeting is October 9, 2007.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149225</wp:posOffset>
            </wp:positionV>
            <wp:extent cx="181800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257175"/>
                    </a:xfrm>
                    <a:prstGeom prst="rect">
                      <a:avLst/>
                    </a:prstGeom>
                    <a:noFill/>
                  </pic:spPr>
                </pic:pic>
              </a:graphicData>
            </a:graphic>
          </wp:anchor>
        </w:drawing>
      </w:r>
    </w:p>
    <w:p>
      <w:pPr>
        <w:spacing w:after="0" w:line="241" w:lineRule="exact"/>
        <w:rPr>
          <w:sz w:val="20"/>
          <w:szCs w:val="20"/>
          <w:color w:val="auto"/>
        </w:rPr>
      </w:pPr>
    </w:p>
    <w:p>
      <w:pPr>
        <w:ind w:left="1600"/>
        <w:spacing w:after="0"/>
        <w:tabs>
          <w:tab w:leader="none" w:pos="7060" w:val="left"/>
        </w:tabs>
        <w:rPr>
          <w:sz w:val="20"/>
          <w:szCs w:val="20"/>
          <w:color w:val="auto"/>
        </w:rPr>
      </w:pPr>
      <w:r>
        <w:rPr>
          <w:rFonts w:ascii="Arial" w:cs="Arial" w:eastAsia="Arial" w:hAnsi="Arial"/>
          <w:sz w:val="22"/>
          <w:szCs w:val="22"/>
          <w:b w:val="1"/>
          <w:bCs w:val="1"/>
          <w:color w:val="auto"/>
        </w:rPr>
        <w:t>You may immediately vote your proxy on the Internet at:</w:t>
      </w:r>
      <w:r>
        <w:rPr>
          <w:sz w:val="20"/>
          <w:szCs w:val="20"/>
          <w:color w:val="auto"/>
        </w:rPr>
        <w:tab/>
      </w:r>
      <w:r>
        <w:rPr>
          <w:rFonts w:ascii="Arial" w:cs="Arial" w:eastAsia="Arial" w:hAnsi="Arial"/>
          <w:sz w:val="19"/>
          <w:szCs w:val="19"/>
          <w:b w:val="1"/>
          <w:bCs w:val="1"/>
          <w:color w:val="auto"/>
        </w:rPr>
        <w:t>http://www.eproxy.com/wgo/</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Use the Internet to vote your proxy 24 hours a day, 7 days a week, until 12:00 p.m. (CT) on December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6004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317500"/>
                    </a:xfrm>
                    <a:prstGeom prst="rect">
                      <a:avLst/>
                    </a:prstGeom>
                    <a:noFill/>
                  </pic:spPr>
                </pic:pic>
              </a:graphicData>
            </a:graphic>
          </wp:anchor>
        </w:drawing>
      </w:r>
    </w:p>
    <w:p>
      <w:pPr>
        <w:spacing w:after="0" w:line="205" w:lineRule="exact"/>
        <w:rPr>
          <w:sz w:val="20"/>
          <w:szCs w:val="20"/>
          <w:color w:val="auto"/>
        </w:rPr>
      </w:pPr>
    </w:p>
    <w:p>
      <w:pPr>
        <w:ind w:left="800" w:right="60"/>
        <w:spacing w:after="0" w:line="268" w:lineRule="auto"/>
        <w:rPr>
          <w:sz w:val="20"/>
          <w:szCs w:val="20"/>
          <w:color w:val="auto"/>
        </w:rPr>
      </w:pPr>
      <w:r>
        <w:rPr>
          <w:rFonts w:ascii="Arial" w:cs="Arial" w:eastAsia="Arial" w:hAnsi="Arial"/>
          <w:sz w:val="18"/>
          <w:szCs w:val="18"/>
          <w:color w:val="auto"/>
        </w:rPr>
        <w:t>Please have this Notice and the last four digits of your Social Security Number or Tax Identification Number available. Follow the simple instructions to obtain your records and submit your proxy vote electronically.</w:t>
      </w:r>
    </w:p>
    <w:p>
      <w:pPr>
        <w:spacing w:after="0" w:line="18" w:lineRule="exact"/>
        <w:rPr>
          <w:sz w:val="20"/>
          <w:szCs w:val="20"/>
          <w:color w:val="auto"/>
        </w:rPr>
      </w:pPr>
    </w:p>
    <w:p>
      <w:pPr>
        <w:ind w:right="520"/>
        <w:spacing w:after="0" w:line="256" w:lineRule="auto"/>
        <w:rPr>
          <w:sz w:val="20"/>
          <w:szCs w:val="20"/>
          <w:color w:val="auto"/>
        </w:rPr>
      </w:pPr>
      <w:r>
        <w:rPr>
          <w:rFonts w:ascii="Arial" w:cs="Arial" w:eastAsia="Arial" w:hAnsi="Arial"/>
          <w:sz w:val="22"/>
          <w:szCs w:val="22"/>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request paper or e-mail copies of the annual report and the proxy materials,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which include the proxy card and the proxy statement, please contact us via:</w:t>
      </w:r>
    </w:p>
    <w:p>
      <w:pPr>
        <w:spacing w:after="0" w:line="74" w:lineRule="exact"/>
        <w:rPr>
          <w:sz w:val="20"/>
          <w:szCs w:val="20"/>
          <w:color w:val="auto"/>
        </w:rPr>
      </w:pPr>
    </w:p>
    <w:p>
      <w:pPr>
        <w:ind w:left="800" w:right="220"/>
        <w:spacing w:after="0" w:line="275"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 Access the Internet and go to www.idelivercommunications.com/proxy/WGO. Follow the instructions to log in, and order copies. Please</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 request on or before December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21463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63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2489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920" cy="197485"/>
                    </a:xfrm>
                    <a:prstGeom prst="rect">
                      <a:avLst/>
                    </a:prstGeom>
                    <a:noFill/>
                  </pic:spPr>
                </pic:pic>
              </a:graphicData>
            </a:graphic>
          </wp:anchor>
        </w:drawing>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 Call us free of charge at 877-847-4696 in the U.S. or Canada to order paper copies.</w:t>
      </w:r>
    </w:p>
    <w:p>
      <w:pPr>
        <w:spacing w:after="0" w:line="212" w:lineRule="exact"/>
        <w:rPr>
          <w:sz w:val="20"/>
          <w:szCs w:val="20"/>
          <w:color w:val="auto"/>
        </w:rPr>
      </w:pPr>
    </w:p>
    <w:p>
      <w:pPr>
        <w:ind w:left="800"/>
        <w:spacing w:after="0" w:line="275" w:lineRule="auto"/>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 Send us an email at ideliver@afpi.com. Please put “Paper Material” or “E-mail Material” in the subject line, followed by the 11-Digit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Requests, instructions and other inquiries will not be forwarded to your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1335405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25717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197485"/>
                    </a:xfrm>
                    <a:prstGeom prst="rect">
                      <a:avLst/>
                    </a:prstGeom>
                    <a:noFill/>
                  </pic:spPr>
                </pic:pic>
              </a:graphicData>
            </a:graphic>
          </wp:anchor>
        </w:drawing>
      </w:r>
    </w:p>
    <w:sectPr>
      <w:pgSz w:w="11900" w:h="16838" w:orient="portrait"/>
      <w:cols w:equalWidth="0" w:num="1">
        <w:col w:w="11400"/>
      </w:cols>
      <w:pgMar w:left="240" w:top="11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lvl w:ilvl="1">
      <w:lvlJc w:val="left"/>
      <w:lvlText w:val="•"/>
      <w:numFmt w:val="bullet"/>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2019-12-13T08:29:08Z</dcterms:created>
  <dcterms:modified xsi:type="dcterms:W3CDTF">2019-12-13T08:29:08Z</dcterms:modified>
</cp:coreProperties>
</file>