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54610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168910</wp:posOffset>
            </wp:positionV>
            <wp:extent cx="3429000"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Iowa</w:t>
            </w:r>
          </w:p>
        </w:tc>
        <w:tc>
          <w:tcPr>
            <w:tcW w:w="358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001-06403</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42-0802678</w:t>
            </w:r>
          </w:p>
        </w:tc>
      </w:tr>
      <w:tr>
        <w:trPr>
          <w:trHeight w:val="195"/>
        </w:trPr>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358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358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5"/>
        </w:trPr>
        <w:tc>
          <w:tcPr>
            <w:tcW w:w="40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P.O. Box 152, Forest City, Iowa</w:t>
            </w:r>
          </w:p>
        </w:tc>
        <w:tc>
          <w:tcPr>
            <w:tcW w:w="3580" w:type="dxa"/>
            <w:vAlign w:val="bottom"/>
          </w:tcPr>
          <w:p>
            <w:pPr>
              <w:spacing w:after="0"/>
              <w:rPr>
                <w:sz w:val="24"/>
                <w:szCs w:val="24"/>
                <w:color w:val="auto"/>
              </w:rPr>
            </w:pPr>
          </w:p>
        </w:tc>
        <w:tc>
          <w:tcPr>
            <w:tcW w:w="36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50436</w:t>
            </w:r>
          </w:p>
        </w:tc>
      </w:tr>
      <w:tr>
        <w:trPr>
          <w:trHeight w:val="224"/>
        </w:trPr>
        <w:tc>
          <w:tcPr>
            <w:tcW w:w="4060" w:type="dxa"/>
            <w:vAlign w:val="bottom"/>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19"/>
                <w:szCs w:val="19"/>
                <w:color w:val="auto"/>
              </w:rPr>
            </w:pPr>
          </w:p>
        </w:tc>
        <w:tc>
          <w:tcPr>
            <w:tcW w:w="360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641-585-3535</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-130175</wp:posOffset>
            </wp:positionV>
            <wp:extent cx="3985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23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40"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w:t>
            </w:r>
          </w:p>
        </w:tc>
        <w:tc>
          <w:tcPr>
            <w:tcW w:w="3700" w:type="dxa"/>
            <w:vAlign w:val="bottom"/>
            <w:tcBorders>
              <w:top w:val="single" w:sz="8" w:color="auto"/>
              <w:right w:val="single" w:sz="8" w:color="auto"/>
            </w:tcBorders>
          </w:tcPr>
          <w:p>
            <w:pPr>
              <w:spacing w:after="0"/>
              <w:rPr>
                <w:sz w:val="18"/>
                <w:szCs w:val="18"/>
                <w:color w:val="auto"/>
              </w:rPr>
            </w:pPr>
          </w:p>
        </w:tc>
      </w:tr>
      <w:tr>
        <w:trPr>
          <w:trHeight w:val="23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$0.50 par value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WGO</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Winnebago Industries, Inc. (the “Company”) issued a press release announcing the pricing of a previously announced private offering to eligible purchasers of $300.0 million aggregate principal amount of 6.250% senior secured notes due 2028 (the “Notes”). The Company intends to use the net proceeds of the offering to repay in full its approximately $253.5 million in outstanding obligations under its term loan facility and the remainder, if any, for general corporate purposes. The closing of the offering is anticipated to take place on or about July 8, 2020, subject to customary closing conditions.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Rule 135c(d) under the Securities Act of 1933, as amended (the “Securities Act”), a copy of the press release is attached as Exhibit 99.1 to this Current Report on Form 8-K and is incorporated herein by reference. Accordingly, this notice is not intended to and does not constitute an offer to sell nor a solicitation for an offer to purchase any securities of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and the related guarantees are being offered and sold to persons reasonably believed to be “qualified institutional buyers” pursuant to Rule 144A under the Securities Act and to non-U.S. persons outside the United States pursuant to Regulation S under the Securities Act. The Notes and related guarantees will not be registered under the Securities Act or any state securities laws, and will not be offered or sold in the United States absent registration or an applicable exemption from the registration requirements of the Securities Act and applicable state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10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8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04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June 30, 2020</w:t>
              </w:r>
            </w:hyperlink>
          </w:p>
        </w:tc>
      </w:tr>
      <w:tr>
        <w:trPr>
          <w:trHeight w:val="418"/>
        </w:trPr>
        <w:tc>
          <w:tcPr>
            <w:tcW w:w="860" w:type="dxa"/>
            <w:vAlign w:val="bottom"/>
          </w:tcPr>
          <w:p>
            <w:pPr>
              <w:ind w:left="40"/>
              <w:spacing w:after="0"/>
              <w:rPr>
                <w:sz w:val="20"/>
                <w:szCs w:val="20"/>
                <w:color w:val="auto"/>
              </w:rPr>
            </w:pPr>
            <w:r>
              <w:rPr>
                <w:rFonts w:ascii="Arial" w:cs="Arial" w:eastAsia="Arial" w:hAnsi="Arial"/>
                <w:sz w:val="18"/>
                <w:szCs w:val="18"/>
                <w:color w:val="auto"/>
              </w:rPr>
              <w:t>104</w:t>
            </w:r>
          </w:p>
        </w:tc>
        <w:tc>
          <w:tcPr>
            <w:tcW w:w="10040" w:type="dxa"/>
            <w:vAlign w:val="bottom"/>
          </w:tcPr>
          <w:p>
            <w:pPr>
              <w:ind w:left="200"/>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may contain forward-looking statements within the meaning of the U.S. Private Securities Litigation Reform Act of 1995. Investors are cautioned that forward-looking statements are inherently uncertain. A number of important factors could cause the Company’s actual results to differ materially from these statements, including, but not limited to, risks relating to the offering of the Notes and the related guarantees, increases in interest rates, availability of credit, low consumer confidence, availability of labor, significant increases in repurchase obligations, inadequate liquidity or capital resources, availability and price of fuel, a continued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business interruptions, any unexpected expenses related to the Company’s enterprise resource planning system, the impact of potential information technology, cybersecurity or data security breaches, risks related to compliance with debt covenants and leverage ratios, impacts of public health crises, such as COVID-19, and other factors. Additional information concerning certain risks and uncertainties that could cause actual results to differ materially from that projected or suggested is contained in the Company's filings with the U.S. Securities and Exchange Commission (the “SEC”), including in the Company’s Annual Report on Form 10-K for the fiscal year ended August 31, 2019 and subsequent quarterly reports on Form 10-Q, copies of which are available from the SEC or from the Company upon request. You should not rely upon forward-looking statements as predictions of future events. The Company disclaims any obligation or undertaking to disseminate any updates or revisions to any forward-looking statements contained in this report or to reflect any changes in the Company's expectations after the date of this report or any change in events, conditions or circumstances on which any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WINNEBAGO INDUSTRIES,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June 30, 2020</w:t>
            </w:r>
          </w:p>
        </w:tc>
        <w:tc>
          <w:tcPr>
            <w:tcW w:w="2820" w:type="dxa"/>
            <w:vAlign w:val="bottom"/>
          </w:tcPr>
          <w:p>
            <w:pPr>
              <w:ind w:left="20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Stacy L. Bogart</w:t>
            </w:r>
          </w:p>
        </w:tc>
      </w:tr>
      <w:tr>
        <w:trPr>
          <w:trHeight w:val="195"/>
        </w:trPr>
        <w:tc>
          <w:tcPr>
            <w:tcW w:w="3600" w:type="dxa"/>
            <w:vAlign w:val="bottom"/>
          </w:tcPr>
          <w:p>
            <w:pPr>
              <w:spacing w:after="0"/>
              <w:rPr>
                <w:sz w:val="16"/>
                <w:szCs w:val="16"/>
                <w:color w:val="auto"/>
              </w:rPr>
            </w:pPr>
          </w:p>
        </w:tc>
        <w:tc>
          <w:tcPr>
            <w:tcW w:w="282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Stacy L. Bogart</w:t>
            </w:r>
          </w:p>
        </w:tc>
      </w:tr>
      <w:tr>
        <w:trPr>
          <w:trHeight w:val="230"/>
        </w:trPr>
        <w:tc>
          <w:tcPr>
            <w:tcW w:w="3600" w:type="dxa"/>
            <w:vAlign w:val="bottom"/>
          </w:tcPr>
          <w:p>
            <w:pPr>
              <w:spacing w:after="0"/>
              <w:rPr>
                <w:sz w:val="20"/>
                <w:szCs w:val="20"/>
                <w:color w:val="auto"/>
              </w:rPr>
            </w:pPr>
          </w:p>
        </w:tc>
        <w:tc>
          <w:tcPr>
            <w:tcW w:w="2820" w:type="dxa"/>
            <w:vAlign w:val="bottom"/>
          </w:tcPr>
          <w:p>
            <w:pPr>
              <w:ind w:left="20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General Counsel and Corporate Secretary</w:t>
            </w:r>
          </w:p>
        </w:tc>
      </w:tr>
      <w:tr>
        <w:trPr>
          <w:trHeight w:val="675"/>
        </w:trPr>
        <w:tc>
          <w:tcPr>
            <w:tcW w:w="36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5" w:lineRule="exact"/>
        <w:rPr>
          <w:sz w:val="20"/>
          <w:szCs w:val="20"/>
          <w:color w:val="auto"/>
        </w:rPr>
      </w:pPr>
    </w:p>
    <w:p>
      <w:pPr>
        <w:ind w:left="6640"/>
        <w:spacing w:after="0"/>
        <w:rPr>
          <w:sz w:val="20"/>
          <w:szCs w:val="20"/>
          <w:color w:val="auto"/>
        </w:rPr>
      </w:pPr>
      <w:r>
        <w:rPr>
          <w:rFonts w:ascii="Arial" w:cs="Arial" w:eastAsia="Arial" w:hAnsi="Arial"/>
          <w:sz w:val="43"/>
          <w:szCs w:val="4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27139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1395" cy="3257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Steve Stuber - Investor Relations - 952-828-8461 - </w:t>
      </w:r>
      <w:r>
        <w:rPr>
          <w:rFonts w:ascii="Arial" w:cs="Arial" w:eastAsia="Arial" w:hAnsi="Arial"/>
          <w:sz w:val="18"/>
          <w:szCs w:val="18"/>
          <w:u w:val="single" w:color="auto"/>
          <w:color w:val="auto"/>
        </w:rPr>
        <w:t>srstuber@wgo.net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Contact: Sam Jefson - Public Relations Specialist – 641-585-6803 - </w:t>
      </w:r>
      <w:r>
        <w:rPr>
          <w:rFonts w:ascii="Arial" w:cs="Arial" w:eastAsia="Arial" w:hAnsi="Arial"/>
          <w:sz w:val="18"/>
          <w:szCs w:val="18"/>
          <w:u w:val="single" w:color="auto"/>
          <w:color w:val="auto"/>
        </w:rPr>
        <w:t>sjefson@wgo.net</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WINNEBAGO INDUSTRIES ANNOUNCES PRICING OF $300.0 MILLION AGGREGATE PRINCIPAL AMOUNT OF SENIOR SECURED NOTES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FOREST CITY, IOWA, June 30, 2020 — Winnebago Industries, Inc. (NYSE: WGO) (the “Company”), a leading outdoor lifestyle product manufacturer, announced today that it has priced $300.0 million in aggregate principal amount of 6.250% senior secured notes due 2028 (the “Notes”). The Company intends to use approximately $253.5 million of the proceeds of the offering to repay in full its obligations under its term loan facility. The remainder of the proceeds of the offering shall be used for general corporate purposes and to pay related fees and expenses. The closing of the offering is anticipated to take place on or about July 8, 2020, subject to customary closing conditions.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Notes and the related guarantees are being offered and sold to persons reasonably believed to be “qualified institutional buyers” pursuant to Rule 144A under the Securities Act of 1933, as amended (the “Securities Act”), and to non-U.S. persons outside the United States pursuant to Regulation S under the Securities Act. The Notes and the related guarantees will not be registered under the Securities Act or any state securities laws, and will not be offered or sold in the United States absent registration or an applicable exemption from the registration requirements of the Securities Act and applicable state laws. This press release is being issued pursuant to Rule 135c under the Securities Act and shall not constitute an offer to sell or a solicitation of an offer to buy the Notes and the related guarantees or any other securities, and shall not constitute an offer, solicitation or sale in any state or jurisdiction in which such an offer, solicitation or sale would be unlawful.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Winnebago Industries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Winnebago Industries, Inc. is a leading North American manufacturer of outdoor lifestyle products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the U.S. Private Securities Litigation Reform Act of 1995. Investors are cautioned that forward-looking statements are inherently uncertain. A number of important factors could cause the Company’s actual results to differ materially from these statements, including, but not limited to, risks relating to the offering of the Notes and the related guarantees, increases in interest rates, availability of credit, low consumer confidence, availability of labor, significant increases in repurchase obligations, inadequate liquidity or capital resources, availability and price of fuel, a continued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business interruptions, any unexpected expenses related to our enterprise resource planning system, the impact of potential information technology, cybersecurity or data security breaches, risks related to compliance with debt covenants and leverage ratios, impacts of public health crises, such as COVID-19, and other factors. Additional information concerning certain risks and uncertainties that could cause actual results to differ materially from that projected or suggested is contained in the Company's filings with the U.S. Securities and Exchange Commission (the “SEC”), including in the Company’s Annual Report on Form 10-K for the fiscal year ended August 31, 2019 and subsequent quarterly reports on Form 10-Q, copies of which are available from the SEC or from the Company upon request. You should not rely upon forward-looking statements as predictions of future events.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2020-06-30T16:29:50Z</dcterms:created>
  <dcterms:modified xsi:type="dcterms:W3CDTF">2020-06-30T16:29:50Z</dcterms:modified>
</cp:coreProperties>
</file>