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427"/>
        <w:spacing w:after="0" w:line="238"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ACT OF 1934</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For the quarterly period ended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May 31,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r>
        <w:trPr>
          <w:trHeight w:val="405"/>
        </w:trPr>
        <w:tc>
          <w:tcPr>
            <w:tcW w:w="3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OR</w:t>
            </w:r>
          </w:p>
        </w:tc>
        <w:tc>
          <w:tcPr>
            <w:tcW w:w="480" w:type="dxa"/>
            <w:vAlign w:val="bottom"/>
          </w:tcPr>
          <w:p>
            <w:pPr>
              <w:spacing w:after="0"/>
              <w:rPr>
                <w:sz w:val="24"/>
                <w:szCs w:val="24"/>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 ---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______________________ to _______________________</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ind w:left="1380"/>
              <w:spacing w:after="0"/>
              <w:rPr>
                <w:sz w:val="20"/>
                <w:szCs w:val="20"/>
                <w:color w:val="auto"/>
              </w:rPr>
            </w:pPr>
            <w:r>
              <w:rPr>
                <w:rFonts w:ascii="Courier New" w:cs="Courier New" w:eastAsia="Courier New" w:hAnsi="Courier New"/>
                <w:sz w:val="18"/>
                <w:szCs w:val="18"/>
                <w:color w:val="auto"/>
              </w:rPr>
              <w:t>IOWA</w:t>
            </w:r>
          </w:p>
        </w:tc>
        <w:tc>
          <w:tcPr>
            <w:tcW w:w="222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42-0803978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2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P. O. Box 152, Forest City, Iowa</w:t>
            </w:r>
          </w:p>
        </w:tc>
        <w:tc>
          <w:tcPr>
            <w:tcW w:w="22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22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(Zip Code)</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Registrant's telephone number, including area code:</w:t>
            </w:r>
          </w:p>
        </w:tc>
        <w:tc>
          <w:tcPr>
            <w:tcW w:w="2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(515) 582-3535</w:t>
            </w:r>
          </w:p>
        </w:tc>
      </w:tr>
    </w:tbl>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__X__ No ____.</w:t>
      </w: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There were 25,469,453 shares of $.50 par value common stock outstanding on July 10, 1997.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7100" w:type="dxa"/>
            <w:vAlign w:val="bottom"/>
          </w:tcPr>
          <w:p>
            <w:pPr>
              <w:ind w:left="1780"/>
              <w:spacing w:after="0"/>
              <w:rPr>
                <w:sz w:val="20"/>
                <w:szCs w:val="20"/>
                <w:color w:val="auto"/>
              </w:rPr>
            </w:pPr>
            <w:r>
              <w:rPr>
                <w:rFonts w:ascii="Courier New" w:cs="Courier New" w:eastAsia="Courier New" w:hAnsi="Courier New"/>
                <w:sz w:val="18"/>
                <w:szCs w:val="18"/>
                <w:color w:val="auto"/>
              </w:rPr>
              <w:t>INDEX TO REPORT ON FORM 10-Q</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08"/>
        </w:trPr>
        <w:tc>
          <w:tcPr>
            <w:tcW w:w="9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Number</w:t>
            </w:r>
          </w:p>
        </w:tc>
      </w:tr>
      <w:tr>
        <w:trPr>
          <w:trHeight w:val="203"/>
        </w:trPr>
        <w:tc>
          <w:tcPr>
            <w:tcW w:w="9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7100" w:type="dxa"/>
            <w:vAlign w:val="bottom"/>
          </w:tcPr>
          <w:p>
            <w:pPr>
              <w:ind w:left="100"/>
              <w:spacing w:after="0"/>
              <w:rPr>
                <w:sz w:val="20"/>
                <w:szCs w:val="20"/>
                <w:color w:val="auto"/>
              </w:rPr>
            </w:pPr>
            <w:r>
              <w:rPr>
                <w:rFonts w:ascii="Courier New" w:cs="Courier New" w:eastAsia="Courier New" w:hAnsi="Courier New"/>
                <w:sz w:val="18"/>
                <w:szCs w:val="18"/>
                <w:color w:val="auto"/>
              </w:rPr>
              <w:t>FINANCIAL INFORMATION:  (Interim period information unaudited)</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7100" w:type="dxa"/>
            <w:vAlign w:val="bottom"/>
          </w:tcPr>
          <w:p>
            <w:pPr>
              <w:ind w:left="100"/>
              <w:spacing w:after="0"/>
              <w:rPr>
                <w:sz w:val="20"/>
                <w:szCs w:val="20"/>
                <w:color w:val="auto"/>
              </w:rPr>
            </w:pPr>
            <w:r>
              <w:rPr>
                <w:rFonts w:ascii="Courier New" w:cs="Courier New" w:eastAsia="Courier New" w:hAnsi="Courier New"/>
                <w:sz w:val="18"/>
                <w:szCs w:val="18"/>
                <w:color w:val="auto"/>
              </w:rPr>
              <w:t>Consolidated Balance Sheets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&amp; 2</w:t>
            </w:r>
          </w:p>
        </w:tc>
      </w:tr>
      <w:tr>
        <w:trPr>
          <w:trHeight w:val="405"/>
        </w:trPr>
        <w:tc>
          <w:tcPr>
            <w:tcW w:w="960" w:type="dxa"/>
            <w:vAlign w:val="bottom"/>
          </w:tcPr>
          <w:p>
            <w:pPr>
              <w:spacing w:after="0"/>
              <w:rPr>
                <w:sz w:val="24"/>
                <w:szCs w:val="24"/>
                <w:color w:val="auto"/>
              </w:rPr>
            </w:pPr>
          </w:p>
        </w:tc>
        <w:tc>
          <w:tcPr>
            <w:tcW w:w="7100" w:type="dxa"/>
            <w:vAlign w:val="bottom"/>
          </w:tcPr>
          <w:p>
            <w:pPr>
              <w:ind w:left="100"/>
              <w:spacing w:after="0"/>
              <w:rPr>
                <w:sz w:val="20"/>
                <w:szCs w:val="20"/>
                <w:color w:val="auto"/>
              </w:rPr>
            </w:pPr>
            <w:r>
              <w:rPr>
                <w:rFonts w:ascii="Courier New" w:cs="Courier New" w:eastAsia="Courier New" w:hAnsi="Courier New"/>
                <w:sz w:val="18"/>
                <w:szCs w:val="18"/>
                <w:color w:val="auto"/>
              </w:rPr>
              <w:t>Unaudited Consolidated Statements of Operations</w:t>
            </w:r>
          </w:p>
        </w:tc>
        <w:tc>
          <w:tcPr>
            <w:tcW w:w="84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r>
      <w:tr>
        <w:trPr>
          <w:trHeight w:val="405"/>
        </w:trPr>
        <w:tc>
          <w:tcPr>
            <w:tcW w:w="960" w:type="dxa"/>
            <w:vAlign w:val="bottom"/>
          </w:tcPr>
          <w:p>
            <w:pPr>
              <w:spacing w:after="0"/>
              <w:rPr>
                <w:sz w:val="24"/>
                <w:szCs w:val="24"/>
                <w:color w:val="auto"/>
              </w:rPr>
            </w:pPr>
          </w:p>
        </w:tc>
        <w:tc>
          <w:tcPr>
            <w:tcW w:w="7100" w:type="dxa"/>
            <w:vAlign w:val="bottom"/>
          </w:tcPr>
          <w:p>
            <w:pPr>
              <w:ind w:left="100"/>
              <w:spacing w:after="0"/>
              <w:rPr>
                <w:sz w:val="20"/>
                <w:szCs w:val="20"/>
                <w:color w:val="auto"/>
              </w:rPr>
            </w:pPr>
            <w:r>
              <w:rPr>
                <w:rFonts w:ascii="Courier New" w:cs="Courier New" w:eastAsia="Courier New" w:hAnsi="Courier New"/>
                <w:sz w:val="18"/>
                <w:szCs w:val="18"/>
                <w:color w:val="auto"/>
              </w:rPr>
              <w:t>Unaudited Consolidated Condensed Statements of Cash Flows</w:t>
            </w:r>
          </w:p>
        </w:tc>
        <w:tc>
          <w:tcPr>
            <w:tcW w:w="84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r>
      <w:tr>
        <w:trPr>
          <w:trHeight w:val="405"/>
        </w:trPr>
        <w:tc>
          <w:tcPr>
            <w:tcW w:w="960" w:type="dxa"/>
            <w:vAlign w:val="bottom"/>
          </w:tcPr>
          <w:p>
            <w:pPr>
              <w:spacing w:after="0"/>
              <w:rPr>
                <w:sz w:val="24"/>
                <w:szCs w:val="24"/>
                <w:color w:val="auto"/>
              </w:rPr>
            </w:pPr>
          </w:p>
        </w:tc>
        <w:tc>
          <w:tcPr>
            <w:tcW w:w="7100" w:type="dxa"/>
            <w:vAlign w:val="bottom"/>
          </w:tcPr>
          <w:p>
            <w:pPr>
              <w:ind w:left="100"/>
              <w:spacing w:after="0"/>
              <w:rPr>
                <w:sz w:val="20"/>
                <w:szCs w:val="20"/>
                <w:color w:val="auto"/>
              </w:rPr>
            </w:pPr>
            <w:r>
              <w:rPr>
                <w:rFonts w:ascii="Courier New" w:cs="Courier New" w:eastAsia="Courier New" w:hAnsi="Courier New"/>
                <w:sz w:val="18"/>
                <w:szCs w:val="18"/>
                <w:color w:val="auto"/>
              </w:rPr>
              <w:t>Unaudited Condensed Notes to Consolidated Financial Statements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&amp; 6</w:t>
            </w:r>
          </w:p>
        </w:tc>
      </w:tr>
      <w:tr>
        <w:trPr>
          <w:trHeight w:val="405"/>
        </w:trPr>
        <w:tc>
          <w:tcPr>
            <w:tcW w:w="960" w:type="dxa"/>
            <w:vAlign w:val="bottom"/>
          </w:tcPr>
          <w:p>
            <w:pPr>
              <w:spacing w:after="0"/>
              <w:rPr>
                <w:sz w:val="24"/>
                <w:szCs w:val="24"/>
                <w:color w:val="auto"/>
              </w:rPr>
            </w:pPr>
          </w:p>
        </w:tc>
        <w:tc>
          <w:tcPr>
            <w:tcW w:w="7100" w:type="dxa"/>
            <w:vAlign w:val="bottom"/>
          </w:tcPr>
          <w:p>
            <w:pPr>
              <w:ind w:left="100"/>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7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Results of Operations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- 9</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10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&amp; 11</w:t>
            </w:r>
          </w:p>
        </w:tc>
      </w:tr>
    </w:tbl>
    <w:p>
      <w:pPr>
        <w:sectPr>
          <w:pgSz w:w="11900" w:h="16838" w:orient="portrait"/>
          <w:cols w:equalWidth="0" w:num="1">
            <w:col w:w="10219"/>
          </w:cols>
          <w:pgMar w:left="240" w:top="649" w:right="1440" w:bottom="429"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08"/>
        </w:trPr>
        <w:tc>
          <w:tcPr>
            <w:tcW w:w="72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WINNEBAGO INDUSTRIES, INC. AND SUBSIDIARIES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96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CONSOLIDATED BALANCE SHEETS</w:t>
            </w: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MAY 31,</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AUGUST 31,</w:t>
            </w:r>
          </w:p>
        </w:tc>
      </w:tr>
      <w:tr>
        <w:trPr>
          <w:trHeight w:val="203"/>
        </w:trPr>
        <w:tc>
          <w:tcPr>
            <w:tcW w:w="596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ASSETS</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1997</w:t>
            </w:r>
          </w:p>
        </w:tc>
        <w:tc>
          <w:tcPr>
            <w:tcW w:w="3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$ 46,026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797</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4,316</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($1,424 and $702, respectively)</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28,779</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30,029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($184 and $197, respectively)</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10,512</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11,491</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52,524</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63,103</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3,082</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3,253</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6,343</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6,343</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 of discontinued operations</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7,285</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147,266</w:t>
            </w:r>
          </w:p>
        </w:tc>
        <w:tc>
          <w:tcPr>
            <w:tcW w:w="32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126,617</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1,501</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44,055</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43,952</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67,455</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67,456</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5,084</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7,878</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118,094</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120,787</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82,500</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80,858</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35,594</w:t>
            </w:r>
          </w:p>
        </w:tc>
        <w:tc>
          <w:tcPr>
            <w:tcW w:w="32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39,929</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LONG-TERM NOTES RECEIVABLE, less allowances</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($1,197 and $797, respectively)</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3,918</w:t>
            </w:r>
          </w:p>
        </w:tc>
        <w:tc>
          <w:tcPr>
            <w:tcW w:w="3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3,918</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17,267</w:t>
            </w:r>
          </w:p>
        </w:tc>
        <w:tc>
          <w:tcPr>
            <w:tcW w:w="32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16,821</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14,548</w:t>
            </w:r>
          </w:p>
        </w:tc>
        <w:tc>
          <w:tcPr>
            <w:tcW w:w="32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14,548</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3,501</w:t>
            </w:r>
          </w:p>
        </w:tc>
        <w:tc>
          <w:tcPr>
            <w:tcW w:w="32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3,906</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LONG-TERM ASSETS OF DISCONTINUED OPERATIONS</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32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14,857</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$222,094</w:t>
            </w:r>
          </w:p>
        </w:tc>
        <w:tc>
          <w:tcPr>
            <w:tcW w:w="1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$220,596</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300"/>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7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MAY 31,</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AUGUST 31,</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32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1997</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2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(Unaudited)</w:t>
            </w:r>
          </w:p>
        </w:tc>
        <w:tc>
          <w:tcPr>
            <w:tcW w:w="1360" w:type="dxa"/>
            <w:vAlign w:val="bottom"/>
          </w:tcPr>
          <w:p>
            <w:pPr>
              <w:spacing w:after="0"/>
              <w:rPr>
                <w:sz w:val="17"/>
                <w:szCs w:val="17"/>
                <w:color w:val="auto"/>
              </w:rPr>
            </w:pP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1,866</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32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19,906</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20,232</w:t>
            </w:r>
          </w:p>
        </w:tc>
      </w:tr>
    </w:tbl>
    <w:p>
      <w:pPr>
        <w:sectPr>
          <w:pgSz w:w="11900" w:h="16838" w:orient="portrait"/>
          <w:cols w:equalWidth="0" w:num="1">
            <w:col w:w="10540"/>
          </w:cols>
          <w:pgMar w:left="240" w:top="339" w:right="11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60" w:type="dxa"/>
            <w:vAlign w:val="bottom"/>
          </w:tcPr>
          <w:p>
            <w:pPr>
              <w:spacing w:after="0"/>
              <w:rPr>
                <w:sz w:val="20"/>
                <w:szCs w:val="20"/>
                <w:color w:val="auto"/>
              </w:rPr>
            </w:pPr>
            <w:r>
              <w:rPr>
                <w:rFonts w:ascii="Courier New" w:cs="Courier New" w:eastAsia="Courier New" w:hAnsi="Courier New"/>
                <w:sz w:val="18"/>
                <w:szCs w:val="18"/>
                <w:color w:val="auto"/>
              </w:rPr>
              <w:t>Current liabilities of discontinued operations</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17,532</w:t>
            </w:r>
          </w:p>
        </w:tc>
      </w:tr>
      <w:tr>
        <w:trPr>
          <w:trHeight w:val="203"/>
        </w:trPr>
        <w:tc>
          <w:tcPr>
            <w:tcW w:w="77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loss on disposal of electronic component assembly segment</w:t>
            </w: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4,074</w:t>
            </w:r>
          </w:p>
        </w:tc>
      </w:tr>
      <w:tr>
        <w:trPr>
          <w:trHeight w:val="203"/>
        </w:trPr>
        <w:tc>
          <w:tcPr>
            <w:tcW w:w="77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4,760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7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7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2,913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2,947</w:t>
            </w:r>
          </w:p>
        </w:tc>
      </w:tr>
      <w:tr>
        <w:trPr>
          <w:trHeight w:val="203"/>
        </w:trPr>
        <w:tc>
          <w:tcPr>
            <w:tcW w:w="77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3,526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3,489</w:t>
            </w:r>
          </w:p>
        </w:tc>
      </w:tr>
      <w:tr>
        <w:trPr>
          <w:trHeight w:val="203"/>
        </w:trPr>
        <w:tc>
          <w:tcPr>
            <w:tcW w:w="77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Vacation liability</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3,166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3,116</w:t>
            </w:r>
          </w:p>
        </w:tc>
      </w:tr>
      <w:tr>
        <w:trPr>
          <w:trHeight w:val="203"/>
        </w:trPr>
        <w:tc>
          <w:tcPr>
            <w:tcW w:w="77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6,467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2,193</w:t>
            </w:r>
          </w:p>
        </w:tc>
      </w:tr>
      <w:tr>
        <w:trPr>
          <w:trHeight w:val="203"/>
        </w:trPr>
        <w:tc>
          <w:tcPr>
            <w:tcW w:w="77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9,306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9,013</w:t>
            </w:r>
          </w:p>
        </w:tc>
      </w:tr>
      <w:tr>
        <w:trPr>
          <w:trHeight w:val="203"/>
        </w:trPr>
        <w:tc>
          <w:tcPr>
            <w:tcW w:w="77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76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50,197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64,462</w:t>
            </w:r>
          </w:p>
        </w:tc>
      </w:tr>
      <w:tr>
        <w:trPr>
          <w:trHeight w:val="203"/>
        </w:trPr>
        <w:tc>
          <w:tcPr>
            <w:tcW w:w="77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7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1,403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77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760" w:type="dxa"/>
            <w:vAlign w:val="bottom"/>
          </w:tcPr>
          <w:p>
            <w:pPr>
              <w:spacing w:after="0"/>
              <w:rPr>
                <w:sz w:val="20"/>
                <w:szCs w:val="20"/>
                <w:color w:val="auto"/>
              </w:rPr>
            </w:pPr>
            <w:r>
              <w:rPr>
                <w:rFonts w:ascii="Courier New" w:cs="Courier New" w:eastAsia="Courier New" w:hAnsi="Courier New"/>
                <w:sz w:val="18"/>
                <w:szCs w:val="18"/>
                <w:color w:val="auto"/>
              </w:rPr>
              <w:t>POSTRETIREMENT HEALTH CARE AND DEFERRED</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77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 BENEFITS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47,965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46,937</w:t>
            </w:r>
          </w:p>
        </w:tc>
      </w:tr>
      <w:tr>
        <w:trPr>
          <w:trHeight w:val="203"/>
        </w:trPr>
        <w:tc>
          <w:tcPr>
            <w:tcW w:w="77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760" w:type="dxa"/>
            <w:vAlign w:val="bottom"/>
          </w:tcPr>
          <w:p>
            <w:pPr>
              <w:spacing w:after="0"/>
              <w:rPr>
                <w:sz w:val="20"/>
                <w:szCs w:val="20"/>
                <w:color w:val="auto"/>
              </w:rPr>
            </w:pPr>
            <w:r>
              <w:rPr>
                <w:rFonts w:ascii="Courier New" w:cs="Courier New" w:eastAsia="Courier New" w:hAnsi="Courier New"/>
                <w:sz w:val="18"/>
                <w:szCs w:val="18"/>
                <w:color w:val="auto"/>
              </w:rPr>
              <w:t>MINORITY INTEREST IN DISCONTINUED OPERATIONS</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2,194</w:t>
            </w:r>
          </w:p>
        </w:tc>
      </w:tr>
      <w:tr>
        <w:trPr>
          <w:trHeight w:val="203"/>
        </w:trPr>
        <w:tc>
          <w:tcPr>
            <w:tcW w:w="77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7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77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7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60,000,000 shares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12,927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12,920</w:t>
            </w:r>
          </w:p>
        </w:tc>
      </w:tr>
      <w:tr>
        <w:trPr>
          <w:trHeight w:val="203"/>
        </w:trPr>
        <w:tc>
          <w:tcPr>
            <w:tcW w:w="77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23,187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23,723</w:t>
            </w:r>
          </w:p>
        </w:tc>
      </w:tr>
      <w:tr>
        <w:trPr>
          <w:trHeight w:val="203"/>
        </w:trPr>
        <w:tc>
          <w:tcPr>
            <w:tcW w:w="776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90,902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74,221</w:t>
            </w:r>
          </w:p>
        </w:tc>
      </w:tr>
      <w:tr>
        <w:trPr>
          <w:trHeight w:val="203"/>
        </w:trPr>
        <w:tc>
          <w:tcPr>
            <w:tcW w:w="77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7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127,016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110,864</w:t>
            </w:r>
          </w:p>
        </w:tc>
      </w:tr>
      <w:tr>
        <w:trPr>
          <w:trHeight w:val="203"/>
        </w:trPr>
        <w:tc>
          <w:tcPr>
            <w:tcW w:w="77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4,487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5,553</w:t>
            </w:r>
          </w:p>
        </w:tc>
      </w:tr>
      <w:tr>
        <w:trPr>
          <w:trHeight w:val="203"/>
        </w:trPr>
        <w:tc>
          <w:tcPr>
            <w:tcW w:w="77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76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122,529</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105,311</w:t>
            </w:r>
          </w:p>
        </w:tc>
      </w:tr>
      <w:tr>
        <w:trPr>
          <w:trHeight w:val="203"/>
        </w:trPr>
        <w:tc>
          <w:tcPr>
            <w:tcW w:w="77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76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$222,094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$220,596</w:t>
            </w:r>
          </w:p>
        </w:tc>
      </w:tr>
      <w:tr>
        <w:trPr>
          <w:trHeight w:val="203"/>
        </w:trPr>
        <w:tc>
          <w:tcPr>
            <w:tcW w:w="776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300"/>
        <w:spacing w:after="0" w:line="238" w:lineRule="auto"/>
        <w:rPr>
          <w:sz w:val="20"/>
          <w:szCs w:val="20"/>
          <w:color w:val="auto"/>
        </w:rPr>
      </w:pPr>
      <w:r>
        <w:rPr>
          <w:rFonts w:ascii="Courier New" w:cs="Courier New" w:eastAsia="Courier New" w:hAnsi="Courier New"/>
          <w:sz w:val="18"/>
          <w:szCs w:val="18"/>
          <w:color w:val="auto"/>
        </w:rPr>
        <w:t>UNAUDITED CONSOLIDATED STATEMENTS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IN THOUSANDS EXCEPT PER SHARE DATA</w:t>
            </w:r>
          </w:p>
        </w:tc>
        <w:tc>
          <w:tcPr>
            <w:tcW w:w="2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5280" w:type="dxa"/>
            <w:vAlign w:val="bottom"/>
          </w:tcPr>
          <w:p>
            <w:pPr>
              <w:spacing w:after="0"/>
              <w:rPr>
                <w:sz w:val="24"/>
                <w:szCs w:val="24"/>
                <w:color w:val="auto"/>
              </w:rPr>
            </w:pPr>
          </w:p>
        </w:tc>
        <w:tc>
          <w:tcPr>
            <w:tcW w:w="332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THIRTEEN</w:t>
            </w:r>
          </w:p>
        </w:tc>
        <w:tc>
          <w:tcPr>
            <w:tcW w:w="14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THIRTY-NINE</w:t>
            </w:r>
          </w:p>
        </w:tc>
        <w:tc>
          <w:tcPr>
            <w:tcW w:w="13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6"/>
              </w:rPr>
              <w:t>FORTY</w:t>
            </w:r>
          </w:p>
        </w:tc>
      </w:tr>
      <w:tr>
        <w:trPr>
          <w:trHeight w:val="203"/>
        </w:trPr>
        <w:tc>
          <w:tcPr>
            <w:tcW w:w="5280" w:type="dxa"/>
            <w:vAlign w:val="bottom"/>
          </w:tcPr>
          <w:p>
            <w:pPr>
              <w:spacing w:after="0"/>
              <w:rPr>
                <w:sz w:val="17"/>
                <w:szCs w:val="17"/>
                <w:color w:val="auto"/>
              </w:rPr>
            </w:pPr>
          </w:p>
        </w:tc>
        <w:tc>
          <w:tcPr>
            <w:tcW w:w="332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WEEKS ENDED</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WEEKS ENDED</w:t>
            </w:r>
          </w:p>
        </w:tc>
        <w:tc>
          <w:tcPr>
            <w:tcW w:w="13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WEEKS ENDED</w:t>
            </w:r>
          </w:p>
        </w:tc>
      </w:tr>
      <w:tr>
        <w:trPr>
          <w:trHeight w:val="203"/>
        </w:trPr>
        <w:tc>
          <w:tcPr>
            <w:tcW w:w="5280" w:type="dxa"/>
            <w:vAlign w:val="bottom"/>
          </w:tcPr>
          <w:p>
            <w:pPr>
              <w:spacing w:after="0"/>
              <w:rPr>
                <w:sz w:val="17"/>
                <w:szCs w:val="17"/>
                <w:color w:val="auto"/>
              </w:rPr>
            </w:pPr>
          </w:p>
        </w:tc>
        <w:tc>
          <w:tcPr>
            <w:tcW w:w="3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280" w:type="dxa"/>
            <w:vAlign w:val="bottom"/>
          </w:tcPr>
          <w:p>
            <w:pPr>
              <w:spacing w:after="0"/>
              <w:rPr>
                <w:sz w:val="17"/>
                <w:szCs w:val="17"/>
                <w:color w:val="auto"/>
              </w:rPr>
            </w:pP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May 31,</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June 1,</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May 31,</w:t>
            </w:r>
          </w:p>
        </w:tc>
        <w:tc>
          <w:tcPr>
            <w:tcW w:w="132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June 1,</w:t>
            </w:r>
          </w:p>
        </w:tc>
      </w:tr>
      <w:tr>
        <w:trPr>
          <w:trHeight w:val="203"/>
        </w:trPr>
        <w:tc>
          <w:tcPr>
            <w:tcW w:w="5280" w:type="dxa"/>
            <w:vAlign w:val="bottom"/>
          </w:tcPr>
          <w:p>
            <w:pPr>
              <w:spacing w:after="0"/>
              <w:rPr>
                <w:sz w:val="17"/>
                <w:szCs w:val="17"/>
                <w:color w:val="auto"/>
              </w:rPr>
            </w:pPr>
          </w:p>
        </w:tc>
        <w:tc>
          <w:tcPr>
            <w:tcW w:w="20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1997</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14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280" w:type="dxa"/>
            <w:vAlign w:val="bottom"/>
          </w:tcPr>
          <w:p>
            <w:pPr>
              <w:spacing w:after="0"/>
              <w:rPr>
                <w:sz w:val="17"/>
                <w:szCs w:val="17"/>
                <w:color w:val="auto"/>
              </w:rPr>
            </w:pP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2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$117,226</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$144,363</w:t>
            </w:r>
          </w:p>
        </w:tc>
        <w:tc>
          <w:tcPr>
            <w:tcW w:w="14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$336,820</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$364,259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101,046</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124,171</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295,362</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314,576</w:t>
            </w:r>
          </w:p>
        </w:tc>
      </w:tr>
      <w:tr>
        <w:trPr>
          <w:trHeight w:val="203"/>
        </w:trPr>
        <w:tc>
          <w:tcPr>
            <w:tcW w:w="5280" w:type="dxa"/>
            <w:vAlign w:val="bottom"/>
          </w:tcPr>
          <w:p>
            <w:pPr>
              <w:spacing w:after="0"/>
              <w:rPr>
                <w:sz w:val="17"/>
                <w:szCs w:val="17"/>
                <w:color w:val="auto"/>
              </w:rPr>
            </w:pP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Gross profit</w:t>
            </w: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16,180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20,192</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41,458</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49,683</w:t>
            </w:r>
          </w:p>
        </w:tc>
      </w:tr>
      <w:tr>
        <w:trPr>
          <w:trHeight w:val="203"/>
        </w:trPr>
        <w:tc>
          <w:tcPr>
            <w:tcW w:w="5280" w:type="dxa"/>
            <w:vAlign w:val="bottom"/>
          </w:tcPr>
          <w:p>
            <w:pPr>
              <w:spacing w:after="0"/>
              <w:rPr>
                <w:sz w:val="17"/>
                <w:szCs w:val="17"/>
                <w:color w:val="auto"/>
              </w:rPr>
            </w:pP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and delivery</w:t>
            </w: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6,998</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6,314</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17,892</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3,668</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6,433</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15,419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17,506</w:t>
            </w:r>
          </w:p>
        </w:tc>
      </w:tr>
      <w:tr>
        <w:trPr>
          <w:trHeight w:val="203"/>
        </w:trPr>
        <w:tc>
          <w:tcPr>
            <w:tcW w:w="5280" w:type="dxa"/>
            <w:vAlign w:val="bottom"/>
          </w:tcPr>
          <w:p>
            <w:pPr>
              <w:spacing w:after="0"/>
              <w:rPr>
                <w:sz w:val="17"/>
                <w:szCs w:val="17"/>
                <w:color w:val="auto"/>
              </w:rPr>
            </w:pP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10,666</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12,747</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35,418</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35,398</w:t>
            </w:r>
          </w:p>
        </w:tc>
      </w:tr>
      <w:tr>
        <w:trPr>
          <w:trHeight w:val="203"/>
        </w:trPr>
        <w:tc>
          <w:tcPr>
            <w:tcW w:w="5280" w:type="dxa"/>
            <w:vAlign w:val="bottom"/>
          </w:tcPr>
          <w:p>
            <w:pPr>
              <w:spacing w:after="0"/>
              <w:rPr>
                <w:sz w:val="17"/>
                <w:szCs w:val="17"/>
                <w:color w:val="auto"/>
              </w:rPr>
            </w:pP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5,514</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7,445</w:t>
            </w:r>
          </w:p>
        </w:tc>
        <w:tc>
          <w:tcPr>
            <w:tcW w:w="14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6,040</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14,285</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Financial income, net</w:t>
            </w:r>
          </w:p>
        </w:tc>
        <w:tc>
          <w:tcPr>
            <w:tcW w:w="2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350</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271</w:t>
            </w:r>
          </w:p>
        </w:tc>
        <w:tc>
          <w:tcPr>
            <w:tcW w:w="14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1,464</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978</w:t>
            </w:r>
          </w:p>
        </w:tc>
      </w:tr>
      <w:tr>
        <w:trPr>
          <w:trHeight w:val="203"/>
        </w:trPr>
        <w:tc>
          <w:tcPr>
            <w:tcW w:w="5280" w:type="dxa"/>
            <w:vAlign w:val="bottom"/>
          </w:tcPr>
          <w:p>
            <w:pPr>
              <w:spacing w:after="0"/>
              <w:rPr>
                <w:sz w:val="17"/>
                <w:szCs w:val="17"/>
                <w:color w:val="auto"/>
              </w:rPr>
            </w:pPr>
          </w:p>
        </w:tc>
        <w:tc>
          <w:tcPr>
            <w:tcW w:w="2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Pre-tax income from continuing operations</w:t>
            </w:r>
          </w:p>
        </w:tc>
        <w:tc>
          <w:tcPr>
            <w:tcW w:w="2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5,864</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7,716</w:t>
            </w:r>
          </w:p>
        </w:tc>
        <w:tc>
          <w:tcPr>
            <w:tcW w:w="14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7,504</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15,263</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Provision for taxes</w:t>
            </w:r>
          </w:p>
        </w:tc>
        <w:tc>
          <w:tcPr>
            <w:tcW w:w="2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2,144</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2,322</w:t>
            </w:r>
          </w:p>
        </w:tc>
        <w:tc>
          <w:tcPr>
            <w:tcW w:w="14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4,752</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4,999</w:t>
            </w:r>
          </w:p>
        </w:tc>
      </w:tr>
    </w:tbl>
    <w:p>
      <w:pPr>
        <w:sectPr>
          <w:pgSz w:w="11900" w:h="16838" w:orient="portrait"/>
          <w:cols w:equalWidth="0" w:num="1">
            <w:col w:w="11380"/>
          </w:cols>
          <w:pgMar w:left="240" w:top="136" w:right="27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3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w:t>
            </w:r>
          </w:p>
        </w:tc>
        <w:tc>
          <w:tcPr>
            <w:tcW w:w="42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3,720</w:t>
            </w:r>
          </w:p>
        </w:tc>
        <w:tc>
          <w:tcPr>
            <w:tcW w:w="44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5,394</w:t>
            </w:r>
          </w:p>
        </w:tc>
        <w:tc>
          <w:tcPr>
            <w:tcW w:w="420" w:type="dxa"/>
            <w:vAlign w:val="bottom"/>
          </w:tcPr>
          <w:p>
            <w:pPr>
              <w:spacing w:after="0"/>
              <w:rPr>
                <w:sz w:val="24"/>
                <w:szCs w:val="24"/>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2,752</w:t>
            </w: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10,264</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Discontinued operations: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discontinued Cycle-Sat operations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applicable income tax provisions of $8 and</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$165, respectively)</w:t>
            </w:r>
          </w:p>
        </w:tc>
        <w:tc>
          <w:tcPr>
            <w:tcW w:w="4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4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w:t>
            </w:r>
          </w:p>
        </w:tc>
      </w:tr>
      <w:tr>
        <w:trPr>
          <w:trHeight w:val="405"/>
        </w:trPr>
        <w:tc>
          <w:tcPr>
            <w:tcW w:w="5960" w:type="dxa"/>
            <w:vAlign w:val="bottom"/>
          </w:tcPr>
          <w:p>
            <w:pPr>
              <w:ind w:left="320"/>
              <w:spacing w:after="0"/>
              <w:rPr>
                <w:sz w:val="20"/>
                <w:szCs w:val="20"/>
                <w:color w:val="auto"/>
              </w:rPr>
            </w:pPr>
            <w:r>
              <w:rPr>
                <w:rFonts w:ascii="Courier New" w:cs="Courier New" w:eastAsia="Courier New" w:hAnsi="Courier New"/>
                <w:sz w:val="18"/>
                <w:szCs w:val="18"/>
                <w:color w:val="auto"/>
              </w:rPr>
              <w:t>Gain from sale of discontinued Cycle-Sat subsidiary</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(includes a loss on operations of $160 less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applicable income tax credits of $123 and a</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disposal of $16,632 after income taxes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$13,462)</w:t>
            </w:r>
          </w:p>
        </w:tc>
        <w:tc>
          <w:tcPr>
            <w:tcW w:w="4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16,472</w:t>
            </w:r>
          </w:p>
        </w:tc>
        <w:tc>
          <w:tcPr>
            <w:tcW w:w="42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3,720</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5,411</w:t>
            </w:r>
          </w:p>
        </w:tc>
        <w:tc>
          <w:tcPr>
            <w:tcW w:w="13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$ 19,224</w:t>
            </w: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$ 10,639</w:t>
            </w:r>
          </w:p>
        </w:tc>
      </w:tr>
      <w:tr>
        <w:trPr>
          <w:trHeight w:val="203"/>
        </w:trPr>
        <w:tc>
          <w:tcPr>
            <w:tcW w:w="596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common share:</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4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from sale of Cycle-Sat</w:t>
            </w:r>
          </w:p>
        </w:tc>
        <w:tc>
          <w:tcPr>
            <w:tcW w:w="420" w:type="dxa"/>
            <w:vAlign w:val="bottom"/>
          </w:tcPr>
          <w:p>
            <w:pPr>
              <w:spacing w:after="0"/>
              <w:rPr>
                <w:sz w:val="17"/>
                <w:szCs w:val="17"/>
                <w:color w:val="auto"/>
              </w:rPr>
            </w:pPr>
          </w:p>
        </w:tc>
        <w:tc>
          <w:tcPr>
            <w:tcW w:w="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w:t>
            </w:r>
          </w:p>
        </w:tc>
        <w:tc>
          <w:tcPr>
            <w:tcW w:w="420" w:type="dxa"/>
            <w:vAlign w:val="bottom"/>
          </w:tcPr>
          <w:p>
            <w:pPr>
              <w:spacing w:after="0"/>
              <w:rPr>
                <w:sz w:val="17"/>
                <w:szCs w:val="17"/>
                <w:color w:val="auto"/>
              </w:rPr>
            </w:pP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596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 common stock</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25,460</w:t>
            </w:r>
          </w:p>
        </w:tc>
        <w:tc>
          <w:tcPr>
            <w:tcW w:w="44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25,352</w:t>
            </w:r>
          </w:p>
        </w:tc>
        <w:tc>
          <w:tcPr>
            <w:tcW w:w="4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25,423</w:t>
            </w:r>
          </w:p>
        </w:tc>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25,348</w:t>
            </w:r>
          </w:p>
        </w:tc>
      </w:tr>
      <w:tr>
        <w:trPr>
          <w:trHeight w:val="203"/>
        </w:trPr>
        <w:tc>
          <w:tcPr>
            <w:tcW w:w="596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940"/>
        <w:spacing w:after="0" w:line="238" w:lineRule="auto"/>
        <w:rPr>
          <w:sz w:val="20"/>
          <w:szCs w:val="20"/>
          <w:color w:val="auto"/>
        </w:rPr>
      </w:pPr>
      <w:r>
        <w:rPr>
          <w:rFonts w:ascii="Courier New" w:cs="Courier New" w:eastAsia="Courier New" w:hAnsi="Courier New"/>
          <w:sz w:val="18"/>
          <w:szCs w:val="18"/>
          <w:color w:val="auto"/>
        </w:rPr>
        <w:t>UNAUDITED CONSOLIDATED CONDENSED STATEMENTS OF CASH FLOWS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cash and cash equivalent</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THIRTY-NINE</w:t>
            </w:r>
          </w:p>
        </w:tc>
        <w:tc>
          <w:tcPr>
            <w:tcW w:w="148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9"/>
              </w:rPr>
              <w:t>FORTY</w:t>
            </w:r>
          </w:p>
        </w:tc>
      </w:tr>
      <w:tr>
        <w:trPr>
          <w:trHeight w:val="203"/>
        </w:trPr>
        <w:tc>
          <w:tcPr>
            <w:tcW w:w="6600" w:type="dxa"/>
            <w:vAlign w:val="bottom"/>
          </w:tcPr>
          <w:p>
            <w:pPr>
              <w:spacing w:after="0"/>
              <w:rPr>
                <w:sz w:val="17"/>
                <w:szCs w:val="17"/>
                <w:color w:val="auto"/>
              </w:rPr>
            </w:pP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WEEKS ENDED</w:t>
            </w:r>
          </w:p>
        </w:tc>
        <w:tc>
          <w:tcPr>
            <w:tcW w:w="14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WEEKS ENDED</w:t>
            </w:r>
          </w:p>
        </w:tc>
      </w:tr>
      <w:tr>
        <w:trPr>
          <w:trHeight w:val="203"/>
        </w:trPr>
        <w:tc>
          <w:tcPr>
            <w:tcW w:w="6600" w:type="dxa"/>
            <w:vAlign w:val="bottom"/>
          </w:tcPr>
          <w:p>
            <w:pPr>
              <w:spacing w:after="0"/>
              <w:rPr>
                <w:sz w:val="17"/>
                <w:szCs w:val="17"/>
                <w:color w:val="auto"/>
              </w:rPr>
            </w:pP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60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May 31,</w:t>
            </w:r>
          </w:p>
        </w:tc>
        <w:tc>
          <w:tcPr>
            <w:tcW w:w="148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June 1,</w:t>
            </w:r>
          </w:p>
        </w:tc>
      </w:tr>
      <w:tr>
        <w:trPr>
          <w:trHeight w:val="203"/>
        </w:trPr>
        <w:tc>
          <w:tcPr>
            <w:tcW w:w="6600" w:type="dxa"/>
            <w:vAlign w:val="bottom"/>
          </w:tcPr>
          <w:p>
            <w:pPr>
              <w:spacing w:after="0"/>
              <w:rPr>
                <w:sz w:val="17"/>
                <w:szCs w:val="17"/>
                <w:color w:val="auto"/>
              </w:rPr>
            </w:pP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60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$ 19,224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$ 10,639</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to net cash from operating activities:</w:t>
            </w: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Pre-tax gain on sale of Cycle-Sat subsidiary</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(29,811)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5,437</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4,947</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Realized and unrealized gains on investments, net</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(137)</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(381)</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trading securities</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(10,157)</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trading securities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4,453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6,742</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1,130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279</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accounts receivable</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1,273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2,461</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(increase) in inventories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10,569</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(2,301)</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accounts payable and accrued expenses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3,898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11,740</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2,432</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(2,194)</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(4,765)</w:t>
            </w:r>
          </w:p>
        </w:tc>
      </w:tr>
      <w:tr>
        <w:trPr>
          <w:trHeight w:val="203"/>
        </w:trPr>
        <w:tc>
          <w:tcPr>
            <w:tcW w:w="660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14,870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21,636</w:t>
            </w:r>
          </w:p>
        </w:tc>
      </w:tr>
      <w:tr>
        <w:trPr>
          <w:trHeight w:val="203"/>
        </w:trPr>
        <w:tc>
          <w:tcPr>
            <w:tcW w:w="660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Cash flows provided (used) by investing activities:</w:t>
            </w: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proceeds from the sale of Cycle-Sat subsidiary</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55,883</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to minority shareholder for sale of Cycle-Sat</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(7,160)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(3,125)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(5,168)</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2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(28,782)</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(32,822)</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Collections of dealer receivables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29,191</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29,775</w:t>
            </w:r>
          </w:p>
        </w:tc>
      </w:tr>
      <w:tr>
        <w:trPr>
          <w:trHeight w:val="203"/>
        </w:trPr>
        <w:tc>
          <w:tcPr>
            <w:tcW w:w="6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(1,204)</w:t>
            </w:r>
          </w:p>
        </w:tc>
      </w:tr>
      <w:tr>
        <w:trPr>
          <w:trHeight w:val="203"/>
        </w:trPr>
        <w:tc>
          <w:tcPr>
            <w:tcW w:w="660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(used) by investing activities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47,587</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(9,419)</w:t>
            </w:r>
          </w:p>
        </w:tc>
      </w:tr>
      <w:tr>
        <w:trPr>
          <w:trHeight w:val="203"/>
        </w:trPr>
        <w:tc>
          <w:tcPr>
            <w:tcW w:w="6600" w:type="dxa"/>
            <w:vAlign w:val="bottom"/>
          </w:tcPr>
          <w:p>
            <w:pPr>
              <w:spacing w:after="0"/>
              <w:rPr>
                <w:sz w:val="17"/>
                <w:szCs w:val="17"/>
                <w:color w:val="auto"/>
              </w:rPr>
            </w:pP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 used by financing activities and capital transactions:</w:t>
      </w:r>
    </w:p>
    <w:p>
      <w:pPr>
        <w:sectPr>
          <w:pgSz w:w="11900" w:h="16838" w:orient="portrait"/>
          <w:cols w:equalWidth="0" w:num="1">
            <w:col w:w="11180"/>
          </w:cols>
          <w:pgMar w:left="240" w:top="136" w:right="47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7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Payment of long-term debt of discontinued operation</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(13,220)</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w:t>
            </w:r>
          </w:p>
        </w:tc>
        <w:tc>
          <w:tcPr>
            <w:tcW w:w="5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long-term debt and capital leases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7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(2,542)</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8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536</w:t>
            </w:r>
          </w:p>
        </w:tc>
      </w:tr>
      <w:tr>
        <w:trPr>
          <w:trHeight w:val="203"/>
        </w:trPr>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w:t>
            </w:r>
          </w:p>
        </w:tc>
        <w:tc>
          <w:tcPr>
            <w:tcW w:w="5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financing activities and</w:t>
            </w:r>
          </w:p>
        </w:tc>
        <w:tc>
          <w:tcPr>
            <w:tcW w:w="1220" w:type="dxa"/>
            <w:vAlign w:val="bottom"/>
          </w:tcPr>
          <w:p>
            <w:pPr>
              <w:spacing w:after="0"/>
              <w:rPr>
                <w:sz w:val="17"/>
                <w:szCs w:val="17"/>
                <w:color w:val="auto"/>
              </w:rPr>
            </w:pPr>
          </w:p>
        </w:tc>
      </w:tr>
      <w:tr>
        <w:trPr>
          <w:trHeight w:val="203"/>
        </w:trPr>
        <w:tc>
          <w:tcPr>
            <w:tcW w:w="7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(17,228)</w:t>
            </w:r>
          </w:p>
        </w:tc>
      </w:tr>
      <w:tr>
        <w:trPr>
          <w:trHeight w:val="203"/>
        </w:trPr>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45,229</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Cash and cash</w:t>
            </w:r>
          </w:p>
        </w:tc>
        <w:tc>
          <w:tcPr>
            <w:tcW w:w="5880" w:type="dxa"/>
            <w:vAlign w:val="bottom"/>
          </w:tcPr>
          <w:p>
            <w:pPr>
              <w:ind w:left="40"/>
              <w:spacing w:after="0"/>
              <w:rPr>
                <w:sz w:val="20"/>
                <w:szCs w:val="20"/>
                <w:color w:val="auto"/>
              </w:rPr>
            </w:pPr>
            <w:r>
              <w:rPr>
                <w:rFonts w:ascii="Courier New" w:cs="Courier New" w:eastAsia="Courier New" w:hAnsi="Courier New"/>
                <w:sz w:val="18"/>
                <w:szCs w:val="18"/>
                <w:color w:val="auto"/>
              </w:rPr>
              <w:t>equivalents - beginning of period</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797</w:t>
            </w:r>
          </w:p>
        </w:tc>
      </w:tr>
      <w:tr>
        <w:trPr>
          <w:trHeight w:val="203"/>
        </w:trPr>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Cash and cash</w:t>
            </w:r>
          </w:p>
        </w:tc>
        <w:tc>
          <w:tcPr>
            <w:tcW w:w="5880" w:type="dxa"/>
            <w:vAlign w:val="bottom"/>
          </w:tcPr>
          <w:p>
            <w:pPr>
              <w:ind w:left="40"/>
              <w:spacing w:after="0"/>
              <w:rPr>
                <w:sz w:val="20"/>
                <w:szCs w:val="20"/>
                <w:color w:val="auto"/>
              </w:rPr>
            </w:pPr>
            <w:r>
              <w:rPr>
                <w:rFonts w:ascii="Courier New" w:cs="Courier New" w:eastAsia="Courier New" w:hAnsi="Courier New"/>
                <w:sz w:val="18"/>
                <w:szCs w:val="18"/>
                <w:color w:val="auto"/>
              </w:rPr>
              <w:t>equivalents - end of period</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$ 46,026</w:t>
            </w:r>
          </w:p>
        </w:tc>
      </w:tr>
      <w:tr>
        <w:trPr>
          <w:trHeight w:val="203"/>
        </w:trPr>
        <w:tc>
          <w:tcPr>
            <w:tcW w:w="144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See Unaudited</w:t>
            </w:r>
          </w:p>
        </w:tc>
        <w:tc>
          <w:tcPr>
            <w:tcW w:w="5880" w:type="dxa"/>
            <w:vAlign w:val="bottom"/>
          </w:tcPr>
          <w:p>
            <w:pPr>
              <w:ind w:left="40"/>
              <w:spacing w:after="0"/>
              <w:rPr>
                <w:sz w:val="20"/>
                <w:szCs w:val="20"/>
                <w:color w:val="auto"/>
              </w:rPr>
            </w:pPr>
            <w:r>
              <w:rPr>
                <w:rFonts w:ascii="Courier New" w:cs="Courier New" w:eastAsia="Courier New" w:hAnsi="Courier New"/>
                <w:sz w:val="18"/>
                <w:szCs w:val="18"/>
                <w:color w:val="auto"/>
              </w:rPr>
              <w:t>Condensed Notes to Consolidated Financial Statements.</w:t>
            </w:r>
          </w:p>
        </w:tc>
        <w:tc>
          <w:tcPr>
            <w:tcW w:w="1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ind w:left="960"/>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7" w:lineRule="exact"/>
        <w:rPr>
          <w:sz w:val="20"/>
          <w:szCs w:val="20"/>
          <w:color w:val="auto"/>
        </w:rPr>
      </w:pPr>
    </w:p>
    <w:p>
      <w:pPr>
        <w:ind w:left="740" w:right="118" w:hanging="732"/>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management, the accompanying unaudited consolidated condensed financial statements contain all adjustments, consisting of normal recurring accruals, necessary to present fairly the consolidated financial position as of May 31, 1997, the consolidated results of operations for the 39 and 13 weeks ended May 31, 1997 and the 40 and 13 weeks ended June 1, 1996, and the consolidated cash flows for the 39 weeks ended May 31, 1997 and the 40 weeks ended June 1, 1996. The results of operations for the 39 weeks ended May 31, 1997, are not necessarily indicative of the results to be expected for the full year.</w:t>
      </w:r>
    </w:p>
    <w:p>
      <w:pPr>
        <w:spacing w:after="0" w:line="213" w:lineRule="exact"/>
        <w:rPr>
          <w:rFonts w:ascii="Courier New" w:cs="Courier New" w:eastAsia="Courier New" w:hAnsi="Courier New"/>
          <w:sz w:val="18"/>
          <w:szCs w:val="18"/>
          <w:color w:val="auto"/>
        </w:rPr>
      </w:pPr>
    </w:p>
    <w:p>
      <w:pPr>
        <w:ind w:left="740" w:right="218" w:hanging="732"/>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May 31,</w:t>
            </w:r>
          </w:p>
        </w:tc>
        <w:tc>
          <w:tcPr>
            <w:tcW w:w="58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August 31,</w:t>
            </w:r>
          </w:p>
        </w:tc>
      </w:tr>
      <w:tr>
        <w:trPr>
          <w:trHeight w:val="203"/>
        </w:trPr>
        <w:tc>
          <w:tcPr>
            <w:tcW w:w="3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1997</w:t>
            </w:r>
          </w:p>
        </w:tc>
        <w:tc>
          <w:tcPr>
            <w:tcW w:w="5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160" w:type="dxa"/>
            <w:vAlign w:val="bottom"/>
          </w:tcPr>
          <w:p>
            <w:pPr>
              <w:spacing w:after="0"/>
              <w:rPr>
                <w:sz w:val="17"/>
                <w:szCs w:val="17"/>
                <w:color w:val="auto"/>
              </w:rPr>
            </w:pPr>
          </w:p>
        </w:tc>
        <w:tc>
          <w:tcPr>
            <w:tcW w:w="18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25,815</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28,228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5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13,856</w:t>
            </w:r>
          </w:p>
        </w:tc>
        <w:tc>
          <w:tcPr>
            <w:tcW w:w="5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13,915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5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30,145</w:t>
            </w:r>
          </w:p>
        </w:tc>
        <w:tc>
          <w:tcPr>
            <w:tcW w:w="5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37,537</w:t>
            </w:r>
          </w:p>
        </w:tc>
      </w:tr>
      <w:tr>
        <w:trPr>
          <w:trHeight w:val="203"/>
        </w:trPr>
        <w:tc>
          <w:tcPr>
            <w:tcW w:w="3160" w:type="dxa"/>
            <w:vAlign w:val="bottom"/>
          </w:tcPr>
          <w:p>
            <w:pPr>
              <w:spacing w:after="0"/>
              <w:rPr>
                <w:sz w:val="17"/>
                <w:szCs w:val="17"/>
                <w:color w:val="auto"/>
              </w:rPr>
            </w:pPr>
          </w:p>
        </w:tc>
        <w:tc>
          <w:tcPr>
            <w:tcW w:w="18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69,816</w:t>
            </w:r>
          </w:p>
        </w:tc>
        <w:tc>
          <w:tcPr>
            <w:tcW w:w="5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79,680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LIFO reserve.................</w:t>
            </w:r>
          </w:p>
        </w:tc>
        <w:tc>
          <w:tcPr>
            <w:tcW w:w="5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(17,292)</w:t>
            </w:r>
          </w:p>
        </w:tc>
        <w:tc>
          <w:tcPr>
            <w:tcW w:w="5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(16,577)</w:t>
            </w:r>
          </w:p>
        </w:tc>
      </w:tr>
      <w:tr>
        <w:trPr>
          <w:trHeight w:val="203"/>
        </w:trPr>
        <w:tc>
          <w:tcPr>
            <w:tcW w:w="3160" w:type="dxa"/>
            <w:vAlign w:val="bottom"/>
          </w:tcPr>
          <w:p>
            <w:pPr>
              <w:spacing w:after="0"/>
              <w:rPr>
                <w:sz w:val="17"/>
                <w:szCs w:val="17"/>
                <w:color w:val="auto"/>
              </w:rPr>
            </w:pPr>
          </w:p>
        </w:tc>
        <w:tc>
          <w:tcPr>
            <w:tcW w:w="18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52,524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63,103</w:t>
            </w:r>
          </w:p>
        </w:tc>
      </w:tr>
      <w:tr>
        <w:trPr>
          <w:trHeight w:val="203"/>
        </w:trPr>
        <w:tc>
          <w:tcPr>
            <w:tcW w:w="3160" w:type="dxa"/>
            <w:vAlign w:val="bottom"/>
          </w:tcPr>
          <w:p>
            <w:pPr>
              <w:spacing w:after="0"/>
              <w:rPr>
                <w:sz w:val="17"/>
                <w:szCs w:val="17"/>
                <w:color w:val="auto"/>
              </w:rPr>
            </w:pPr>
          </w:p>
        </w:tc>
        <w:tc>
          <w:tcPr>
            <w:tcW w:w="18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740" w:right="118" w:hanging="732"/>
        <w:spacing w:after="0" w:line="268"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March 1992, the Company has had a financing and security agreement with NationsCredit Corporation (NationsCredit).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through March 31, 1998, and continues during successive one-year periods unless either party provides at least</w:t>
      </w:r>
    </w:p>
    <w:p>
      <w:pPr>
        <w:spacing w:after="0" w:line="1" w:lineRule="exact"/>
        <w:rPr>
          <w:rFonts w:ascii="Courier New" w:cs="Courier New" w:eastAsia="Courier New" w:hAnsi="Courier New"/>
          <w:sz w:val="16"/>
          <w:szCs w:val="16"/>
          <w:color w:val="auto"/>
        </w:rPr>
      </w:pPr>
    </w:p>
    <w:p>
      <w:pPr>
        <w:ind w:left="740" w:right="118"/>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90-days' notice prior to the end of the one-year period to the other party that they wish to terminate the line of credit. The agreement also contains certain restrictive covenants including maintenance of minimum net worth, working capital and current ratio. As of May 31, 1997, the Company was in compliance with these covenants. There were no outstanding borrowings under the line of credit at May 31, 1997 or August 31, 1996.</w:t>
      </w:r>
    </w:p>
    <w:p>
      <w:pPr>
        <w:spacing w:after="0" w:line="185" w:lineRule="exact"/>
        <w:rPr>
          <w:rFonts w:ascii="Courier New" w:cs="Courier New" w:eastAsia="Courier New" w:hAnsi="Courier New"/>
          <w:sz w:val="16"/>
          <w:szCs w:val="16"/>
          <w:color w:val="auto"/>
        </w:rPr>
      </w:pPr>
    </w:p>
    <w:p>
      <w:pPr>
        <w:ind w:left="740" w:right="118" w:hanging="732"/>
        <w:spacing w:after="0" w:line="271"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$147,345,000 and $129,135,000 under repurchase agreements with lending institutions as of May 31, 1997 and August 31, 1996, respectively. Included in these contingent liabilities as of May 31, 1997 and August 31, 1996 are approximately $33,297,000 and $33,216,000, respectively, of certain</w:t>
      </w:r>
    </w:p>
    <w:p>
      <w:pPr>
        <w:spacing w:after="0" w:line="20" w:lineRule="exact"/>
        <w:rPr>
          <w:sz w:val="20"/>
          <w:szCs w:val="20"/>
          <w:color w:val="auto"/>
        </w:rPr>
      </w:pPr>
      <w:r>
        <w:rPr>
          <w:sz w:val="20"/>
          <w:szCs w:val="20"/>
          <w:color w:val="auto"/>
        </w:rPr>
        <w:br w:type="column"/>
      </w:r>
    </w:p>
    <w:p>
      <w:pPr>
        <w:ind w:left="422"/>
        <w:spacing w:after="0"/>
        <w:rPr>
          <w:sz w:val="20"/>
          <w:szCs w:val="20"/>
          <w:color w:val="auto"/>
        </w:rPr>
      </w:pPr>
      <w:r>
        <w:rPr>
          <w:rFonts w:ascii="Courier New" w:cs="Courier New" w:eastAsia="Courier New" w:hAnsi="Courier New"/>
          <w:sz w:val="18"/>
          <w:szCs w:val="18"/>
          <w:color w:val="auto"/>
        </w:rPr>
        <w:t>--</w:t>
      </w:r>
    </w:p>
    <w:p>
      <w:pPr>
        <w:jc w:val="right"/>
        <w:spacing w:after="0" w:line="238" w:lineRule="auto"/>
        <w:rPr>
          <w:sz w:val="20"/>
          <w:szCs w:val="20"/>
          <w:color w:val="auto"/>
        </w:rPr>
      </w:pPr>
      <w:r>
        <w:rPr>
          <w:rFonts w:ascii="Courier New" w:cs="Courier New" w:eastAsia="Courier New" w:hAnsi="Courier New"/>
          <w:sz w:val="18"/>
          <w:szCs w:val="18"/>
          <w:color w:val="auto"/>
        </w:rPr>
        <w:t>(941)</w:t>
      </w:r>
    </w:p>
    <w:p>
      <w:pPr>
        <w:jc w:val="right"/>
        <w:spacing w:after="0"/>
        <w:rPr>
          <w:sz w:val="20"/>
          <w:szCs w:val="20"/>
          <w:color w:val="auto"/>
        </w:rPr>
      </w:pPr>
      <w:r>
        <w:rPr>
          <w:rFonts w:ascii="Courier New" w:cs="Courier New" w:eastAsia="Courier New" w:hAnsi="Courier New"/>
          <w:sz w:val="18"/>
          <w:szCs w:val="18"/>
          <w:color w:val="auto"/>
        </w:rPr>
        <w:t>(5,070)</w:t>
      </w:r>
    </w:p>
    <w:p>
      <w:pPr>
        <w:ind w:left="642"/>
        <w:spacing w:after="0" w:line="237" w:lineRule="auto"/>
        <w:rPr>
          <w:sz w:val="20"/>
          <w:szCs w:val="20"/>
          <w:color w:val="auto"/>
        </w:rPr>
      </w:pPr>
      <w:r>
        <w:rPr>
          <w:rFonts w:ascii="Courier New" w:cs="Courier New" w:eastAsia="Courier New" w:hAnsi="Courier New"/>
          <w:sz w:val="18"/>
          <w:szCs w:val="18"/>
          <w:color w:val="auto"/>
        </w:rPr>
        <w:t>83</w:t>
      </w:r>
    </w:p>
    <w:p>
      <w:pPr>
        <w:ind w:left="2"/>
        <w:spacing w:after="0" w:line="238" w:lineRule="auto"/>
        <w:rPr>
          <w:sz w:val="20"/>
          <w:szCs w:val="20"/>
          <w:color w:val="auto"/>
        </w:rPr>
      </w:pPr>
      <w:r>
        <w:rPr>
          <w:rFonts w:ascii="Courier New" w:cs="Courier New" w:eastAsia="Courier New" w:hAnsi="Courier New"/>
          <w:sz w:val="18"/>
          <w:szCs w:val="18"/>
          <w:color w:val="auto"/>
        </w:rPr>
        <w:t>--------</w:t>
      </w:r>
    </w:p>
    <w:p>
      <w:pPr>
        <w:spacing w:after="0" w:line="208" w:lineRule="exact"/>
        <w:rPr>
          <w:sz w:val="20"/>
          <w:szCs w:val="20"/>
          <w:color w:val="auto"/>
        </w:rPr>
      </w:pPr>
    </w:p>
    <w:p>
      <w:pPr>
        <w:ind w:left="202"/>
        <w:spacing w:after="0"/>
        <w:rPr>
          <w:sz w:val="20"/>
          <w:szCs w:val="20"/>
          <w:color w:val="auto"/>
        </w:rPr>
      </w:pPr>
      <w:r>
        <w:rPr>
          <w:rFonts w:ascii="Courier New" w:cs="Courier New" w:eastAsia="Courier New" w:hAnsi="Courier New"/>
          <w:sz w:val="16"/>
          <w:szCs w:val="16"/>
          <w:color w:val="auto"/>
        </w:rPr>
        <w:t>(5,928)</w:t>
      </w:r>
    </w:p>
    <w:p>
      <w:pPr>
        <w:spacing w:after="0" w:line="16" w:lineRule="exact"/>
        <w:rPr>
          <w:sz w:val="20"/>
          <w:szCs w:val="20"/>
          <w:color w:val="auto"/>
        </w:rPr>
      </w:pPr>
    </w:p>
    <w:p>
      <w:pPr>
        <w:ind w:left="2"/>
        <w:spacing w:after="0"/>
        <w:rPr>
          <w:sz w:val="20"/>
          <w:szCs w:val="20"/>
          <w:color w:val="auto"/>
        </w:rPr>
      </w:pPr>
      <w:r>
        <w:rPr>
          <w:rFonts w:ascii="Courier New" w:cs="Courier New" w:eastAsia="Courier New" w:hAnsi="Courier New"/>
          <w:sz w:val="18"/>
          <w:szCs w:val="18"/>
          <w:color w:val="auto"/>
        </w:rPr>
        <w:t>--------</w:t>
      </w:r>
    </w:p>
    <w:p>
      <w:pPr>
        <w:ind w:left="322"/>
        <w:spacing w:after="0" w:line="238" w:lineRule="auto"/>
        <w:rPr>
          <w:sz w:val="20"/>
          <w:szCs w:val="20"/>
          <w:color w:val="auto"/>
        </w:rPr>
      </w:pPr>
      <w:r>
        <w:rPr>
          <w:rFonts w:ascii="Courier New" w:cs="Courier New" w:eastAsia="Courier New" w:hAnsi="Courier New"/>
          <w:sz w:val="18"/>
          <w:szCs w:val="18"/>
          <w:color w:val="auto"/>
        </w:rPr>
        <w:t>6,289</w:t>
      </w:r>
    </w:p>
    <w:p>
      <w:pPr>
        <w:spacing w:after="0" w:line="202" w:lineRule="exact"/>
        <w:rPr>
          <w:sz w:val="20"/>
          <w:szCs w:val="20"/>
          <w:color w:val="auto"/>
        </w:rPr>
      </w:pPr>
    </w:p>
    <w:p>
      <w:pPr>
        <w:ind w:left="322"/>
        <w:spacing w:after="0"/>
        <w:rPr>
          <w:sz w:val="20"/>
          <w:szCs w:val="20"/>
          <w:color w:val="auto"/>
        </w:rPr>
      </w:pPr>
      <w:r>
        <w:rPr>
          <w:rFonts w:ascii="Courier New" w:cs="Courier New" w:eastAsia="Courier New" w:hAnsi="Courier New"/>
          <w:sz w:val="18"/>
          <w:szCs w:val="18"/>
          <w:color w:val="auto"/>
        </w:rPr>
        <w:t>8,508</w:t>
      </w:r>
    </w:p>
    <w:p>
      <w:pPr>
        <w:ind w:left="2"/>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02" w:hanging="202"/>
        <w:spacing w:after="0"/>
        <w:tabs>
          <w:tab w:leader="none" w:pos="20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14,797</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2">
            <w:col w:w="8558" w:space="720"/>
            <w:col w:w="942"/>
          </w:cols>
          <w:pgMar w:left="240" w:top="136" w:right="1439" w:bottom="0" w:gutter="0" w:footer="0" w:header="0"/>
        </w:sectPr>
      </w:pPr>
    </w:p>
    <w:bookmarkStart w:id="5" w:name="page6"/>
    <w:bookmarkEnd w:id="5"/>
    <w:p>
      <w:pPr>
        <w:ind w:left="740" w:right="1879"/>
        <w:spacing w:after="0" w:line="235" w:lineRule="auto"/>
        <w:rPr>
          <w:sz w:val="20"/>
          <w:szCs w:val="20"/>
          <w:color w:val="auto"/>
        </w:rPr>
      </w:pPr>
      <w:r>
        <w:rPr>
          <w:rFonts w:ascii="Courier New" w:cs="Courier New" w:eastAsia="Courier New" w:hAnsi="Courier New"/>
          <w:sz w:val="18"/>
          <w:szCs w:val="18"/>
          <w:color w:val="auto"/>
        </w:rPr>
        <w:t>dealer receivables subject to recourse agreements with NationsCredit and Green Tree Financial Corporation.</w:t>
      </w:r>
    </w:p>
    <w:p>
      <w:pPr>
        <w:spacing w:after="0" w:line="208" w:lineRule="exact"/>
        <w:rPr>
          <w:sz w:val="20"/>
          <w:szCs w:val="20"/>
          <w:color w:val="auto"/>
        </w:rPr>
      </w:pPr>
    </w:p>
    <w:p>
      <w:pPr>
        <w:ind w:left="740" w:right="1999" w:hanging="732"/>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year-to-date the Company paid cash for the following (dollars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216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Thirty-Nine</w:t>
            </w:r>
          </w:p>
        </w:tc>
        <w:tc>
          <w:tcPr>
            <w:tcW w:w="780" w:type="dxa"/>
            <w:vAlign w:val="bottom"/>
          </w:tcPr>
          <w:p>
            <w:pPr>
              <w:spacing w:after="0"/>
              <w:rPr>
                <w:sz w:val="17"/>
                <w:szCs w:val="17"/>
                <w:color w:val="auto"/>
              </w:rPr>
            </w:pPr>
          </w:p>
        </w:tc>
        <w:tc>
          <w:tcPr>
            <w:tcW w:w="90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6"/>
              </w:rPr>
              <w:t>Forty</w:t>
            </w:r>
          </w:p>
        </w:tc>
      </w:tr>
      <w:tr>
        <w:trPr>
          <w:trHeight w:val="203"/>
        </w:trPr>
        <w:tc>
          <w:tcPr>
            <w:tcW w:w="1740" w:type="dxa"/>
            <w:vAlign w:val="bottom"/>
          </w:tcPr>
          <w:p>
            <w:pPr>
              <w:spacing w:after="0"/>
              <w:rPr>
                <w:sz w:val="17"/>
                <w:szCs w:val="17"/>
                <w:color w:val="auto"/>
              </w:rPr>
            </w:pPr>
          </w:p>
        </w:tc>
        <w:tc>
          <w:tcPr>
            <w:tcW w:w="21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Weeks Ended</w:t>
            </w:r>
          </w:p>
        </w:tc>
        <w:tc>
          <w:tcPr>
            <w:tcW w:w="1680" w:type="dxa"/>
            <w:vAlign w:val="bottom"/>
            <w:gridSpan w:val="2"/>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Weeks Ended</w:t>
            </w:r>
          </w:p>
        </w:tc>
      </w:tr>
      <w:tr>
        <w:trPr>
          <w:trHeight w:val="203"/>
        </w:trPr>
        <w:tc>
          <w:tcPr>
            <w:tcW w:w="1740" w:type="dxa"/>
            <w:vAlign w:val="bottom"/>
          </w:tcPr>
          <w:p>
            <w:pPr>
              <w:spacing w:after="0"/>
              <w:rPr>
                <w:sz w:val="17"/>
                <w:szCs w:val="17"/>
                <w:color w:val="auto"/>
              </w:rPr>
            </w:pPr>
          </w:p>
        </w:tc>
        <w:tc>
          <w:tcPr>
            <w:tcW w:w="21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May 31,</w:t>
            </w:r>
          </w:p>
        </w:tc>
        <w:tc>
          <w:tcPr>
            <w:tcW w:w="78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1,</w:t>
            </w:r>
          </w:p>
        </w:tc>
      </w:tr>
      <w:tr>
        <w:trPr>
          <w:trHeight w:val="203"/>
        </w:trPr>
        <w:tc>
          <w:tcPr>
            <w:tcW w:w="1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tcPr>
          <w:p>
            <w:pPr>
              <w:spacing w:after="0"/>
              <w:rPr>
                <w:sz w:val="17"/>
                <w:szCs w:val="17"/>
                <w:color w:val="auto"/>
              </w:rPr>
            </w:pP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1740" w:type="dxa"/>
            <w:vAlign w:val="bottom"/>
          </w:tcPr>
          <w:p>
            <w:pPr>
              <w:spacing w:after="0"/>
              <w:rPr>
                <w:sz w:val="17"/>
                <w:szCs w:val="17"/>
                <w:color w:val="auto"/>
              </w:rPr>
            </w:pPr>
          </w:p>
        </w:tc>
        <w:tc>
          <w:tcPr>
            <w:tcW w:w="21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522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1,511</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720" w:type="dxa"/>
            <w:vAlign w:val="bottom"/>
          </w:tcPr>
          <w:p>
            <w:pPr>
              <w:spacing w:after="0"/>
              <w:rPr>
                <w:sz w:val="17"/>
                <w:szCs w:val="17"/>
                <w:color w:val="auto"/>
              </w:rPr>
            </w:pPr>
          </w:p>
        </w:tc>
        <w:tc>
          <w:tcPr>
            <w:tcW w:w="1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14,035</w:t>
            </w:r>
          </w:p>
        </w:tc>
        <w:tc>
          <w:tcPr>
            <w:tcW w:w="780" w:type="dxa"/>
            <w:vAlign w:val="bottom"/>
          </w:tcPr>
          <w:p>
            <w:pPr>
              <w:spacing w:after="0"/>
              <w:rPr>
                <w:sz w:val="17"/>
                <w:szCs w:val="17"/>
                <w:color w:val="auto"/>
              </w:rPr>
            </w:pP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3,335</w:t>
            </w:r>
          </w:p>
        </w:tc>
      </w:tr>
    </w:tbl>
    <w:p>
      <w:pPr>
        <w:spacing w:after="0" w:line="207" w:lineRule="exact"/>
        <w:rPr>
          <w:sz w:val="20"/>
          <w:szCs w:val="20"/>
          <w:color w:val="auto"/>
        </w:rPr>
      </w:pPr>
    </w:p>
    <w:p>
      <w:pPr>
        <w:ind w:left="740" w:right="1779" w:hanging="732"/>
        <w:spacing w:after="0" w:line="271"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as a result of the continuing sluggish RV market conditions in central Europe, decided to close the rental and retail operations of its subsidiary, Winnebago Industries Europe GmbH (WIE), located in Kirkel, Germany. The 39 weeks ended May 31, 1997 were negatively impacted by charges aggregating $5 million as a result of this decision. The $5 million of charges are principally reflected in cost of goods sold, selling expenses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Thirteen Weeks Ended May 31, 1997 Compared to Thirteen Weeks Ended June 1, 1996</w:t>
      </w:r>
    </w:p>
    <w:p>
      <w:pPr>
        <w:spacing w:after="0" w:line="22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Net revenues for the 13 weeks ended May 31, 1997 were $117,226,000, a decrease of $27,137,000, or 18.8 percent from the 13 week period ended June 1, 1996. Motor home shipments (Classes A and C) were 2,019 units, a decrease of 639 units, or 24.0 percent, during the third quarter of fiscal 1997 compared to the third quarter of fiscal 1996. Results for the quarter were negatively impacted by the performance of the Company's Class A motor home products in the marketplace and by the softness in the motor home segment of the RV market. Management believes that long-term prospects remain bright as the Company continues to develop products to meet the increasing demands of the "baby boom" market segment. Evidencing this demand, the Company's Class C products have continued to gain RV market share for the past 26 consecutive months.</w:t>
      </w:r>
    </w:p>
    <w:p>
      <w:pPr>
        <w:spacing w:after="0" w:line="39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Gross profit, as a percent of net revenues, was 13.8 percent for the 13 weeks ended May 31, 1997 compared to 14.0 percent for the 13 weeks ended June 1, 1996. This decrease can be attributed primarily to the reduced sales volume.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and delivery expenses were $6,998,000 or 6.0 percent of net revenues during the third quarter of fiscal 1997 compared to $6,314,000 or 4.4 percent of net revenues during the third quarter of fiscal 1996. The increases in dollars and percentage are due to increases in product promotional expenses.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General and administrative expenses decreased by $2,765,000 to $3,668,000 when comparing the 13 weeks ended May 31, 1997 to the 13 weeks ended June 1, 1996 and decreased as a percentage of net revenues to 3.1 percent from 4.5 percent. The decreases in dollars and percentage were caused primarily by a reduction in the postretirement benefit obligation caused by revisions in certain assumptions used in estimating the cost of the Company's postretirement health care plan which caused an unrecognized net gain that will be amortized over the average remaining service period of active plan participants (estimated at 18 years). Also contributing to the decrease in general and administrative expenses when comparing the two periods were other reductions in the Company's overall compensation and bonus expenses during the 13 weeks ended May 31, 1997.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had net financial income of $350,000 for the third quarter of fiscal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compared to net financial income of $271,000 for the comparable quarter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1996. During the 13 weeks ended May 31, 1997, the Company recorded</w:t>
      </w:r>
    </w:p>
    <w:p>
      <w:pPr>
        <w:spacing w:after="0" w:line="238" w:lineRule="auto"/>
        <w:rPr>
          <w:sz w:val="20"/>
          <w:szCs w:val="20"/>
          <w:color w:val="auto"/>
        </w:rPr>
      </w:pPr>
      <w:r>
        <w:rPr>
          <w:rFonts w:ascii="Courier New" w:cs="Courier New" w:eastAsia="Courier New" w:hAnsi="Courier New"/>
          <w:sz w:val="18"/>
          <w:szCs w:val="18"/>
          <w:color w:val="auto"/>
        </w:rPr>
        <w:t>$617,000 of interest income and losses of $267,000 in foreign currency</w:t>
      </w:r>
    </w:p>
    <w:p>
      <w:pPr>
        <w:spacing w:after="0"/>
        <w:rPr>
          <w:sz w:val="20"/>
          <w:szCs w:val="20"/>
          <w:color w:val="auto"/>
        </w:rPr>
      </w:pPr>
      <w:r>
        <w:rPr>
          <w:rFonts w:ascii="Courier New" w:cs="Courier New" w:eastAsia="Courier New" w:hAnsi="Courier New"/>
          <w:sz w:val="18"/>
          <w:szCs w:val="18"/>
          <w:color w:val="auto"/>
        </w:rPr>
        <w:t>transactions. During the 13 weeks ended June 1, 1996, the Company recorded</w:t>
      </w:r>
    </w:p>
    <w:p>
      <w:pPr>
        <w:spacing w:after="0" w:line="237" w:lineRule="auto"/>
        <w:rPr>
          <w:sz w:val="20"/>
          <w:szCs w:val="20"/>
          <w:color w:val="auto"/>
        </w:rPr>
      </w:pPr>
      <w:r>
        <w:rPr>
          <w:rFonts w:ascii="Courier New" w:cs="Courier New" w:eastAsia="Courier New" w:hAnsi="Courier New"/>
          <w:sz w:val="18"/>
          <w:szCs w:val="18"/>
          <w:color w:val="auto"/>
        </w:rPr>
        <w:t>$232,000 of realized and unrealized gains in its trading securities portfolio,</w:t>
      </w:r>
    </w:p>
    <w:p>
      <w:pPr>
        <w:spacing w:after="0" w:line="238" w:lineRule="auto"/>
        <w:rPr>
          <w:sz w:val="20"/>
          <w:szCs w:val="20"/>
          <w:color w:val="auto"/>
        </w:rPr>
      </w:pPr>
      <w:r>
        <w:rPr>
          <w:rFonts w:ascii="Courier New" w:cs="Courier New" w:eastAsia="Courier New" w:hAnsi="Courier New"/>
          <w:sz w:val="18"/>
          <w:szCs w:val="18"/>
          <w:color w:val="auto"/>
        </w:rPr>
        <w:t>$192,000 of interest income and losses of $153,000 in foreign currency</w:t>
      </w:r>
    </w:p>
    <w:p>
      <w:pPr>
        <w:spacing w:after="0"/>
        <w:rPr>
          <w:sz w:val="20"/>
          <w:szCs w:val="20"/>
          <w:color w:val="auto"/>
        </w:rPr>
      </w:pPr>
      <w:r>
        <w:rPr>
          <w:rFonts w:ascii="Courier New" w:cs="Courier New" w:eastAsia="Courier New" w:hAnsi="Courier New"/>
          <w:sz w:val="18"/>
          <w:szCs w:val="18"/>
          <w:color w:val="auto"/>
        </w:rPr>
        <w:t>transactions.</w:t>
      </w:r>
    </w:p>
    <w:p>
      <w:pPr>
        <w:spacing w:after="0" w:line="206"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For the 13 weeks ended May 31, 1997, the Company had income from continuing operations before taxes of $5,864,000 and a provision for taxes of $2,144,000 resulting in net income of $3,720,000 or $.15 per share. For the comparable period of fiscal 1996, the Company had pre-tax income of $7,716,000 from continuing operations and a provision for taxes of $2,322,000 resulting in</w:t>
      </w:r>
    </w:p>
    <w:p>
      <w:pPr>
        <w:sectPr>
          <w:pgSz w:w="11900" w:h="16838" w:orient="portrait"/>
          <w:cols w:equalWidth="0" w:num="1">
            <w:col w:w="10219"/>
          </w:cols>
          <w:pgMar w:left="240" w:top="142" w:right="1440" w:bottom="0" w:gutter="0" w:footer="0" w:header="0"/>
        </w:sectPr>
      </w:pPr>
    </w:p>
    <w:bookmarkStart w:id="6" w:name="page7"/>
    <w:bookmarkEnd w:id="6"/>
    <w:p>
      <w:pPr>
        <w:ind w:right="2199"/>
        <w:spacing w:after="0" w:line="236" w:lineRule="auto"/>
        <w:rPr>
          <w:sz w:val="20"/>
          <w:szCs w:val="20"/>
          <w:color w:val="auto"/>
        </w:rPr>
      </w:pPr>
      <w:r>
        <w:rPr>
          <w:rFonts w:ascii="Courier New" w:cs="Courier New" w:eastAsia="Courier New" w:hAnsi="Courier New"/>
          <w:sz w:val="18"/>
          <w:szCs w:val="18"/>
          <w:color w:val="auto"/>
        </w:rPr>
        <w:t>income from continuing operations of $5,394,000 and income from discontinued Cycle-Sat operations of $17,000 (net of income tax provisions of $8,000) resulting in net income of $5,411,000 or $.21 per share.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Thirty-Nine Weeks Ended May 31, 1997 Compared to Forty Weeks Ended June 1, 1996</w:t>
      </w:r>
    </w:p>
    <w:p>
      <w:pPr>
        <w:spacing w:after="0" w:line="22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Net revenues for the 39 weeks ended May 31, 1997 were $336,820,000, a decrease of $27,439,000, or 7.5 percent from the 40 week period ended June 1, 1996. Motor home shipments (Classes A and C) were 5,805 units, a decrease of 785 units, or 11.9 percent, during the 39 weeks ended May 31, 1997 when compared to the 40 weeks ended June 1, 1996. The average sales price of motor home shipments increased during the period ended May 31, 1997 when compared to the period ended June 1, 1996 which accounted for the revenue percentage difference compared to the unit percentage difference. Other manufactured products revenues for the 39 weeks ended May 31, 1997 increased when compared to the 40 weeks ended June 1, 1996 which also contributed to the percentage difference discussed previously.</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profit, as a percent of net revenues, was 12.3 percent for the 39 weeks ended May 31, 1997 compared to 13.6 percent for the 40 weeks ended June 1, 1996. This decrease can be attributed primarily to reductions in the valuation of the units and parts inventories at WIE, by an increase in discount programs to sell specific units in the U.S. marketplace and by reduced sales volume.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and delivery expenses were $19,999,000, or 5.9 percent of net revenues during the 39 weeks ended May 31, 1997 compared to $17,892,000, or 4.9 percent of net revenues during the 40 weeks ended June 1, 1996. The increases in dollars and percentage are due to the increase in product promotion expenses and increased spending at WIE.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decreased to $15,419,000, or 4.6 percent of net revenues for the 39 weeks ended May 31, 1997 compared to $17,506,000, or 4.8 percent of net revenues for the 40 weeks ended June 1, 1996. The decreases were primarily caused by decreases in the Company's compensation and bonus expenses, product liability reserves and previously discussed reductions in the postretirement benefits. Partially offsetting these decreases were increases in the legal reserve and the allowance for doubtful receivable at WIE and an increase in the bad debt reserve at the Company's finance subsidiary, Winnebago Acceptance Corporation.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had net financial income of $1,464,000 for the 39 weeks ended May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1997 compared to net financial income of $978,000 for the forty weeks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 1996. During the 39 weeks ended May 31, 1997, the Company recorded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$1,562,000 of interest income, $137,000 of realized and unrealized gains in its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trading securities portfolio and losses of $235,000 in foreign currency</w:t>
      </w:r>
    </w:p>
    <w:p>
      <w:pPr>
        <w:spacing w:after="0" w:line="238" w:lineRule="auto"/>
        <w:rPr>
          <w:sz w:val="20"/>
          <w:szCs w:val="20"/>
          <w:color w:val="auto"/>
        </w:rPr>
      </w:pPr>
      <w:r>
        <w:rPr>
          <w:rFonts w:ascii="Courier New" w:cs="Courier New" w:eastAsia="Courier New" w:hAnsi="Courier New"/>
          <w:sz w:val="18"/>
          <w:szCs w:val="18"/>
          <w:color w:val="auto"/>
        </w:rPr>
        <w:t>transactions. During the 40 weeks ended June 1, 1996, the Company recorded</w:t>
      </w:r>
    </w:p>
    <w:p>
      <w:pPr>
        <w:spacing w:after="0"/>
        <w:rPr>
          <w:sz w:val="20"/>
          <w:szCs w:val="20"/>
          <w:color w:val="auto"/>
        </w:rPr>
      </w:pPr>
      <w:r>
        <w:rPr>
          <w:rFonts w:ascii="Courier New" w:cs="Courier New" w:eastAsia="Courier New" w:hAnsi="Courier New"/>
          <w:sz w:val="18"/>
          <w:szCs w:val="18"/>
          <w:color w:val="auto"/>
        </w:rPr>
        <w:t>$673,000 of interest income, $381,000 of realized and unrealized gains in its</w:t>
      </w:r>
    </w:p>
    <w:p>
      <w:pPr>
        <w:spacing w:after="0" w:line="237" w:lineRule="auto"/>
        <w:rPr>
          <w:sz w:val="20"/>
          <w:szCs w:val="20"/>
          <w:color w:val="auto"/>
        </w:rPr>
      </w:pPr>
      <w:r>
        <w:rPr>
          <w:rFonts w:ascii="Courier New" w:cs="Courier New" w:eastAsia="Courier New" w:hAnsi="Courier New"/>
          <w:sz w:val="18"/>
          <w:szCs w:val="18"/>
          <w:color w:val="auto"/>
        </w:rPr>
        <w:t>trading securities portfolio and losses of $76,000 in foreign currency</w:t>
      </w:r>
    </w:p>
    <w:p>
      <w:pPr>
        <w:spacing w:after="0" w:line="238" w:lineRule="auto"/>
        <w:rPr>
          <w:sz w:val="20"/>
          <w:szCs w:val="20"/>
          <w:color w:val="auto"/>
        </w:rPr>
      </w:pPr>
      <w:r>
        <w:rPr>
          <w:rFonts w:ascii="Courier New" w:cs="Courier New" w:eastAsia="Courier New" w:hAnsi="Courier New"/>
          <w:sz w:val="18"/>
          <w:szCs w:val="18"/>
          <w:color w:val="auto"/>
        </w:rPr>
        <w:t>transactions.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39 weeks ended May 31, 1997, the Company had pre-tax income from operations of $13,882,000 and a pre-tax loss from WIE of $6,378,000 of which $5,000,000 was due to the write down of selected assets caused by excess inventory buildup and the Company's decision to close the rental and retail operations of WIE (See Note 6). The $6,378,000 pre-tax loss of WIE is considered an operating loss of a foreign subsidiary that does not qualify for a tax deduction, therefore, the Company was required to record a provision for taxes of $4,752,000 resulting in income from continuing operations for the 39 weeks ended May 31, 1997 of $2,752,000 or $.11 per share.</w:t>
      </w:r>
    </w:p>
    <w:p>
      <w:pPr>
        <w:spacing w:after="0" w:line="21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For the 39 weeks ended May 31, 1997, the Company recorded a gain from the sale of the discontinued Cycle-Sat subsidiary of $16,472,000 (net of income taxes of $13,339,000), or $.65 per share.</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For the 40 weeks ended June 1, 1996, the Company reported income from discontinued Cycle-Sat operations of $375,000 (net of income tax provisions of $165,000), or $.01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39 weeks ended May 31, 1997, the Company had net income of</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$19,224,000, or $.76 per share, compared to $10,639,000 or $.42 per share for the 40 weeks ended June 1, 1996.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meets its working capital and capital equipment requirements and cash requirements of subsidiaries with funds generated internally and funds from agreements with financial institutions.</w:t>
      </w:r>
    </w:p>
    <w:p>
      <w:pPr>
        <w:spacing w:after="0" w:line="20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At May 31, 1997, working capital was $97,069,000, an increase of $34,914,000 from the amount at August 31, 1996. The increase in the Company's working capital was caused primarily by proceeds from the sale of the Cycle-Sat</w:t>
      </w:r>
    </w:p>
    <w:p>
      <w:pPr>
        <w:sectPr>
          <w:pgSz w:w="11900" w:h="16838" w:orient="portrait"/>
          <w:cols w:equalWidth="0" w:num="1">
            <w:col w:w="10219"/>
          </w:cols>
          <w:pgMar w:left="240" w:top="142" w:right="1440" w:bottom="0" w:gutter="0" w:footer="0" w:header="0"/>
        </w:sectPr>
      </w:pPr>
    </w:p>
    <w:bookmarkStart w:id="7" w:name="page8"/>
    <w:bookmarkEnd w:id="7"/>
    <w:p>
      <w:pPr>
        <w:ind w:right="1779"/>
        <w:spacing w:after="0" w:line="236" w:lineRule="auto"/>
        <w:rPr>
          <w:sz w:val="20"/>
          <w:szCs w:val="20"/>
          <w:color w:val="auto"/>
        </w:rPr>
      </w:pPr>
      <w:r>
        <w:rPr>
          <w:rFonts w:ascii="Courier New" w:cs="Courier New" w:eastAsia="Courier New" w:hAnsi="Courier New"/>
          <w:sz w:val="18"/>
          <w:szCs w:val="18"/>
          <w:color w:val="auto"/>
        </w:rPr>
        <w:t>subsidiary. The Company's principal sources and uses of cash during the 39 weeks ended May 31, 1997 are set forth in the unaudited consolidated condensed statement of cash flows for that period.</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Principal known demands at May 31, 1997 on the Company's liquid assets for the remainder of fiscal 1997 include approximately $5,000,000 of income taxes partially due to the gain on the sale of Cycle-Sat, $2,500,000 of cash dividends declared by the Board of Directors on March 20, 1997 (payable July 7, 1997) and $1,300,000 of capital expenditures (primarily equipment replacement).</w:t>
      </w:r>
    </w:p>
    <w:p>
      <w:pPr>
        <w:spacing w:after="0" w:line="18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Management currently expects its cash on hand, funds from operations and borrowings available under existing credit facilities to be sufficient to cover both short-term and long-term operating requirements.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February, 1997, the Financial Accounting Standards Board (FASB) issued Statement of Financial Accounting Standard (SFAS) No. 128, EARNINGS PER SHARE. The objective of the statement is to simplify the standards for computing earnings per share and make them more comparable to recently issued international accounting standards. This statement supersedes Accounting Principles Board (APB) Opinion No. 15, EARNINGS PER SHARE. SFAS No. 128 provides guidance on the calculation of "basic earnings per share" which excludes dilutive securities, and "diluted earnings per share," which gives effect to all dilutive potential common shares outstanding during the period. The statement is effective for financial statements for both interim and annual periods ending after December 15, 1997. Earlier application is not permitted. After adoption, all prior periods presented must be restated to conform to the provisions of this statement. Basic and diluted pro forma earnings per share computed under the new statement for the thirteen week periods ended May 31, 1997 and June 1, 1996, the thirty-nine week period ended May 31, 1997, and the forty week period ended June 1, 1996 would be within one cent per share of the amounts shown in the unaudited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demand from customers, effects of competition, the general state of the economy, interest rates, consumer confidence, changes in the product or customer mix or revenues and in the level of operating expenses and other factors which may be disclosed throughout this Form 10-Q.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exhibits are being filed as a part of this report.</w:t>
      </w:r>
    </w:p>
    <w:p>
      <w:pPr>
        <w:spacing w:after="0" w:line="206" w:lineRule="exact"/>
        <w:rPr>
          <w:rFonts w:ascii="Courier New" w:cs="Courier New" w:eastAsia="Courier New" w:hAnsi="Courier New"/>
          <w:sz w:val="18"/>
          <w:szCs w:val="18"/>
          <w:color w:val="auto"/>
        </w:rPr>
      </w:pPr>
    </w:p>
    <w:p>
      <w:pPr>
        <w:ind w:left="1580" w:right="24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8"/>
          <w:szCs w:val="18"/>
          <w:color w:val="auto"/>
        </w:rPr>
        <w:t>WINNEBAGO INDUSTRIES, INC.</w:t>
      </w:r>
    </w:p>
    <w:p>
      <w:pPr>
        <w:jc w:val="center"/>
        <w:ind w:left="820"/>
        <w:spacing w:after="0" w:line="238" w:lineRule="auto"/>
        <w:rPr>
          <w:sz w:val="20"/>
          <w:szCs w:val="20"/>
          <w:color w:val="auto"/>
        </w:rPr>
      </w:pPr>
      <w:r>
        <w:rPr>
          <w:rFonts w:ascii="Courier New" w:cs="Courier New" w:eastAsia="Courier New" w:hAnsi="Courier New"/>
          <w:sz w:val="18"/>
          <w:szCs w:val="18"/>
          <w:color w:val="auto"/>
        </w:rPr>
        <w:t>----------------------------------------</w:t>
      </w:r>
    </w:p>
    <w:p>
      <w:pPr>
        <w:jc w:val="center"/>
        <w:ind w:left="8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July 10,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Fred G. Dohrmann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Fred G. Dohrmann</w:t>
      </w:r>
    </w:p>
    <w:p>
      <w:pPr>
        <w:ind w:left="100"/>
        <w:spacing w:after="0" w:line="238" w:lineRule="auto"/>
        <w:rPr>
          <w:sz w:val="20"/>
          <w:szCs w:val="20"/>
          <w:color w:val="auto"/>
        </w:rPr>
      </w:pPr>
      <w:r>
        <w:rPr>
          <w:rFonts w:ascii="Courier New" w:cs="Courier New" w:eastAsia="Courier New" w:hAnsi="Courier New"/>
          <w:sz w:val="18"/>
          <w:szCs w:val="18"/>
          <w:color w:val="auto"/>
        </w:rPr>
        <w:t>Chairman of the Board and Chief</w:t>
      </w:r>
    </w:p>
    <w:p>
      <w:pPr>
        <w:ind w:left="100"/>
        <w:spacing w:after="0"/>
        <w:rPr>
          <w:sz w:val="20"/>
          <w:szCs w:val="20"/>
          <w:color w:val="auto"/>
        </w:rPr>
      </w:pPr>
      <w:r>
        <w:rPr>
          <w:rFonts w:ascii="Courier New" w:cs="Courier New" w:eastAsia="Courier New" w:hAnsi="Courier New"/>
          <w:sz w:val="18"/>
          <w:szCs w:val="18"/>
          <w:color w:val="auto"/>
        </w:rPr>
        <w:t>Executive Officer</w:t>
      </w:r>
    </w:p>
    <w:p>
      <w:pPr>
        <w:sectPr>
          <w:pgSz w:w="11900" w:h="16838" w:orient="portrait"/>
          <w:cols w:equalWidth="0" w:num="3">
            <w:col w:w="420" w:space="220"/>
            <w:col w:w="2660" w:space="720"/>
            <w:col w:w="6199"/>
          </w:cols>
          <w:pgMar w:left="240" w:top="142" w:right="1440" w:bottom="0" w:gutter="0" w:footer="0" w:header="0"/>
          <w:type w:val="continuous"/>
        </w:sectPr>
      </w:pPr>
    </w:p>
    <w:bookmarkStart w:id="8" w:name="page9"/>
    <w:bookmarkEnd w:id="8"/>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July 10,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Edwin F. Barker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Vice President - Chief Financial Officer</w:t>
      </w:r>
    </w:p>
    <w:p>
      <w:pPr>
        <w:sectPr>
          <w:pgSz w:w="11900" w:h="16838" w:orient="portrait"/>
          <w:cols w:equalWidth="0" w:num="3">
            <w:col w:w="420" w:space="220"/>
            <w:col w:w="2660" w:space="720"/>
            <w:col w:w="6199"/>
          </w:cols>
          <w:pgMar w:left="240" w:top="74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AUG-30-1997</w:t>
      </w:r>
    </w:p>
    <w:p>
      <w:pPr>
        <w:ind w:left="3160"/>
        <w:spacing w:after="0"/>
        <w:rPr>
          <w:sz w:val="20"/>
          <w:szCs w:val="20"/>
          <w:color w:val="auto"/>
        </w:rPr>
      </w:pPr>
      <w:r>
        <w:rPr>
          <w:rFonts w:ascii="Courier New" w:cs="Courier New" w:eastAsia="Courier New" w:hAnsi="Courier New"/>
          <w:sz w:val="18"/>
          <w:szCs w:val="18"/>
          <w:color w:val="auto"/>
        </w:rPr>
        <w:t>MAY-31-1997</w:t>
      </w:r>
    </w:p>
    <w:p>
      <w:pPr>
        <w:ind w:left="4320"/>
        <w:spacing w:after="0" w:line="237" w:lineRule="auto"/>
        <w:rPr>
          <w:sz w:val="20"/>
          <w:szCs w:val="20"/>
          <w:color w:val="auto"/>
        </w:rPr>
      </w:pPr>
      <w:r>
        <w:rPr>
          <w:rFonts w:ascii="Courier New" w:cs="Courier New" w:eastAsia="Courier New" w:hAnsi="Courier New"/>
          <w:sz w:val="18"/>
          <w:szCs w:val="18"/>
          <w:color w:val="auto"/>
        </w:rPr>
        <w:t>46,026</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30,203</w:t>
      </w:r>
    </w:p>
    <w:p>
      <w:pPr>
        <w:ind w:left="3780"/>
        <w:spacing w:after="0" w:line="237" w:lineRule="auto"/>
        <w:rPr>
          <w:sz w:val="20"/>
          <w:szCs w:val="20"/>
          <w:color w:val="auto"/>
        </w:rPr>
      </w:pPr>
      <w:r>
        <w:rPr>
          <w:rFonts w:ascii="Courier New" w:cs="Courier New" w:eastAsia="Courier New" w:hAnsi="Courier New"/>
          <w:sz w:val="18"/>
          <w:szCs w:val="18"/>
          <w:color w:val="auto"/>
        </w:rPr>
        <w:t>1,424</w:t>
      </w:r>
    </w:p>
    <w:p>
      <w:pPr>
        <w:ind w:left="3780"/>
        <w:spacing w:after="0"/>
        <w:rPr>
          <w:sz w:val="20"/>
          <w:szCs w:val="20"/>
          <w:color w:val="auto"/>
        </w:rPr>
      </w:pPr>
      <w:r>
        <w:rPr>
          <w:rFonts w:ascii="Courier New" w:cs="Courier New" w:eastAsia="Courier New" w:hAnsi="Courier New"/>
          <w:sz w:val="18"/>
          <w:szCs w:val="18"/>
          <w:color w:val="auto"/>
        </w:rPr>
        <w:t>52,524</w:t>
      </w:r>
    </w:p>
    <w:p>
      <w:pPr>
        <w:ind w:left="3160"/>
        <w:spacing w:after="0" w:line="237" w:lineRule="auto"/>
        <w:rPr>
          <w:sz w:val="20"/>
          <w:szCs w:val="20"/>
          <w:color w:val="auto"/>
        </w:rPr>
      </w:pPr>
      <w:r>
        <w:rPr>
          <w:rFonts w:ascii="Courier New" w:cs="Courier New" w:eastAsia="Courier New" w:hAnsi="Courier New"/>
          <w:sz w:val="18"/>
          <w:szCs w:val="18"/>
          <w:color w:val="auto"/>
        </w:rPr>
        <w:t>147,266</w:t>
      </w:r>
    </w:p>
    <w:p>
      <w:pPr>
        <w:ind w:left="4200"/>
        <w:spacing w:after="0"/>
        <w:rPr>
          <w:sz w:val="20"/>
          <w:szCs w:val="20"/>
          <w:color w:val="auto"/>
        </w:rPr>
      </w:pPr>
      <w:r>
        <w:rPr>
          <w:rFonts w:ascii="Courier New" w:cs="Courier New" w:eastAsia="Courier New" w:hAnsi="Courier New"/>
          <w:sz w:val="18"/>
          <w:szCs w:val="18"/>
          <w:color w:val="auto"/>
        </w:rPr>
        <w:t>118,094</w:t>
      </w:r>
    </w:p>
    <w:p>
      <w:pPr>
        <w:ind w:left="3460"/>
        <w:spacing w:after="0" w:line="237" w:lineRule="auto"/>
        <w:rPr>
          <w:sz w:val="20"/>
          <w:szCs w:val="20"/>
          <w:color w:val="auto"/>
        </w:rPr>
      </w:pPr>
      <w:r>
        <w:rPr>
          <w:rFonts w:ascii="Courier New" w:cs="Courier New" w:eastAsia="Courier New" w:hAnsi="Courier New"/>
          <w:sz w:val="18"/>
          <w:szCs w:val="18"/>
          <w:color w:val="auto"/>
        </w:rPr>
        <w:t>82,500</w:t>
      </w:r>
    </w:p>
    <w:p>
      <w:pPr>
        <w:ind w:left="3360"/>
        <w:spacing w:after="0" w:line="238" w:lineRule="auto"/>
        <w:rPr>
          <w:sz w:val="20"/>
          <w:szCs w:val="20"/>
          <w:color w:val="auto"/>
        </w:rPr>
      </w:pPr>
      <w:r>
        <w:rPr>
          <w:rFonts w:ascii="Courier New" w:cs="Courier New" w:eastAsia="Courier New" w:hAnsi="Courier New"/>
          <w:sz w:val="18"/>
          <w:szCs w:val="18"/>
          <w:color w:val="auto"/>
        </w:rPr>
        <w:t>222,094</w:t>
      </w:r>
    </w:p>
    <w:p>
      <w:pPr>
        <w:ind w:left="2740"/>
        <w:spacing w:after="0"/>
        <w:rPr>
          <w:sz w:val="20"/>
          <w:szCs w:val="20"/>
          <w:color w:val="auto"/>
        </w:rPr>
      </w:pPr>
      <w:r>
        <w:rPr>
          <w:rFonts w:ascii="Courier New" w:cs="Courier New" w:eastAsia="Courier New" w:hAnsi="Courier New"/>
          <w:sz w:val="18"/>
          <w:szCs w:val="18"/>
          <w:color w:val="auto"/>
        </w:rPr>
        <w:t>50,197</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12,927</w:t>
      </w:r>
    </w:p>
    <w:p>
      <w:pPr>
        <w:ind w:left="3780"/>
        <w:spacing w:after="0" w:line="237" w:lineRule="auto"/>
        <w:rPr>
          <w:sz w:val="20"/>
          <w:szCs w:val="20"/>
          <w:color w:val="auto"/>
        </w:rPr>
      </w:pPr>
      <w:r>
        <w:rPr>
          <w:rFonts w:ascii="Courier New" w:cs="Courier New" w:eastAsia="Courier New" w:hAnsi="Courier New"/>
          <w:sz w:val="18"/>
          <w:szCs w:val="18"/>
          <w:color w:val="auto"/>
        </w:rPr>
        <w:t>109,602</w:t>
      </w:r>
    </w:p>
    <w:p>
      <w:pPr>
        <w:ind w:left="1880"/>
        <w:spacing w:after="0" w:line="238" w:lineRule="auto"/>
        <w:rPr>
          <w:sz w:val="20"/>
          <w:szCs w:val="20"/>
          <w:color w:val="auto"/>
        </w:rPr>
      </w:pPr>
      <w:r>
        <w:rPr>
          <w:rFonts w:ascii="Courier New" w:cs="Courier New" w:eastAsia="Courier New" w:hAnsi="Courier New"/>
          <w:sz w:val="18"/>
          <w:szCs w:val="18"/>
          <w:color w:val="auto"/>
        </w:rPr>
        <w:t>222,094</w:t>
      </w:r>
    </w:p>
    <w:p>
      <w:pPr>
        <w:ind w:left="4100"/>
        <w:spacing w:after="0"/>
        <w:rPr>
          <w:sz w:val="20"/>
          <w:szCs w:val="20"/>
          <w:color w:val="auto"/>
        </w:rPr>
      </w:pPr>
      <w:r>
        <w:rPr>
          <w:rFonts w:ascii="Courier New" w:cs="Courier New" w:eastAsia="Courier New" w:hAnsi="Courier New"/>
          <w:sz w:val="18"/>
          <w:szCs w:val="18"/>
          <w:color w:val="auto"/>
        </w:rPr>
        <w:t>336,820</w:t>
      </w:r>
    </w:p>
    <w:p>
      <w:pPr>
        <w:ind w:left="3160"/>
        <w:spacing w:after="0" w:line="237" w:lineRule="auto"/>
        <w:rPr>
          <w:sz w:val="20"/>
          <w:szCs w:val="20"/>
          <w:color w:val="auto"/>
        </w:rPr>
      </w:pPr>
      <w:r>
        <w:rPr>
          <w:rFonts w:ascii="Courier New" w:cs="Courier New" w:eastAsia="Courier New" w:hAnsi="Courier New"/>
          <w:sz w:val="18"/>
          <w:szCs w:val="18"/>
          <w:color w:val="auto"/>
        </w:rPr>
        <w:t>336,820</w:t>
      </w:r>
    </w:p>
    <w:p>
      <w:pPr>
        <w:jc w:val="right"/>
        <w:ind w:right="5059"/>
        <w:spacing w:after="0"/>
        <w:rPr>
          <w:sz w:val="20"/>
          <w:szCs w:val="20"/>
          <w:color w:val="auto"/>
        </w:rPr>
      </w:pPr>
      <w:r>
        <w:rPr>
          <w:rFonts w:ascii="Courier New" w:cs="Courier New" w:eastAsia="Courier New" w:hAnsi="Courier New"/>
          <w:sz w:val="18"/>
          <w:szCs w:val="18"/>
          <w:color w:val="auto"/>
        </w:rPr>
        <w:t>295,362</w:t>
      </w:r>
    </w:p>
    <w:p>
      <w:pPr>
        <w:ind w:left="3460"/>
        <w:spacing w:after="0" w:line="237" w:lineRule="auto"/>
        <w:rPr>
          <w:sz w:val="20"/>
          <w:szCs w:val="20"/>
          <w:color w:val="auto"/>
        </w:rPr>
      </w:pPr>
      <w:r>
        <w:rPr>
          <w:rFonts w:ascii="Courier New" w:cs="Courier New" w:eastAsia="Courier New" w:hAnsi="Courier New"/>
          <w:sz w:val="18"/>
          <w:szCs w:val="18"/>
          <w:color w:val="auto"/>
        </w:rPr>
        <w:t>295,362</w:t>
      </w:r>
    </w:p>
    <w:p>
      <w:pPr>
        <w:ind w:left="3260"/>
        <w:spacing w:after="0"/>
        <w:rPr>
          <w:sz w:val="20"/>
          <w:szCs w:val="20"/>
          <w:color w:val="auto"/>
        </w:rPr>
      </w:pPr>
      <w:r>
        <w:rPr>
          <w:rFonts w:ascii="Courier New" w:cs="Courier New" w:eastAsia="Courier New" w:hAnsi="Courier New"/>
          <w:sz w:val="18"/>
          <w:szCs w:val="18"/>
          <w:color w:val="auto"/>
        </w:rPr>
        <w:t>35,418</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040"/>
        <w:spacing w:after="0"/>
        <w:rPr>
          <w:sz w:val="20"/>
          <w:szCs w:val="20"/>
          <w:color w:val="auto"/>
        </w:rPr>
      </w:pPr>
      <w:r>
        <w:rPr>
          <w:rFonts w:ascii="Courier New" w:cs="Courier New" w:eastAsia="Courier New" w:hAnsi="Courier New"/>
          <w:sz w:val="18"/>
          <w:szCs w:val="18"/>
          <w:color w:val="auto"/>
        </w:rPr>
        <w:t>(1,464)</w:t>
      </w:r>
    </w:p>
    <w:p>
      <w:pPr>
        <w:ind w:left="3460"/>
        <w:spacing w:after="0" w:line="237" w:lineRule="auto"/>
        <w:rPr>
          <w:sz w:val="20"/>
          <w:szCs w:val="20"/>
          <w:color w:val="auto"/>
        </w:rPr>
      </w:pPr>
      <w:r>
        <w:rPr>
          <w:rFonts w:ascii="Courier New" w:cs="Courier New" w:eastAsia="Courier New" w:hAnsi="Courier New"/>
          <w:sz w:val="18"/>
          <w:szCs w:val="18"/>
          <w:color w:val="auto"/>
        </w:rPr>
        <w:t>7,504</w:t>
      </w:r>
    </w:p>
    <w:p>
      <w:pPr>
        <w:ind w:left="3780"/>
        <w:spacing w:after="0" w:line="238" w:lineRule="auto"/>
        <w:rPr>
          <w:sz w:val="20"/>
          <w:szCs w:val="20"/>
          <w:color w:val="auto"/>
        </w:rPr>
      </w:pPr>
      <w:r>
        <w:rPr>
          <w:rFonts w:ascii="Courier New" w:cs="Courier New" w:eastAsia="Courier New" w:hAnsi="Courier New"/>
          <w:sz w:val="18"/>
          <w:szCs w:val="18"/>
          <w:color w:val="auto"/>
        </w:rPr>
        <w:t>4,752</w:t>
      </w:r>
    </w:p>
    <w:p>
      <w:pPr>
        <w:ind w:left="3040"/>
        <w:spacing w:after="0"/>
        <w:rPr>
          <w:sz w:val="20"/>
          <w:szCs w:val="20"/>
          <w:color w:val="auto"/>
        </w:rPr>
      </w:pPr>
      <w:r>
        <w:rPr>
          <w:rFonts w:ascii="Courier New" w:cs="Courier New" w:eastAsia="Courier New" w:hAnsi="Courier New"/>
          <w:sz w:val="18"/>
          <w:szCs w:val="18"/>
          <w:color w:val="auto"/>
        </w:rPr>
        <w:t>2,752</w:t>
      </w:r>
    </w:p>
    <w:p>
      <w:pPr>
        <w:ind w:left="3460"/>
        <w:spacing w:after="0" w:line="237" w:lineRule="auto"/>
        <w:rPr>
          <w:sz w:val="20"/>
          <w:szCs w:val="20"/>
          <w:color w:val="auto"/>
        </w:rPr>
      </w:pPr>
      <w:r>
        <w:rPr>
          <w:rFonts w:ascii="Courier New" w:cs="Courier New" w:eastAsia="Courier New" w:hAnsi="Courier New"/>
          <w:sz w:val="18"/>
          <w:szCs w:val="18"/>
          <w:color w:val="auto"/>
        </w:rPr>
        <w:t>16,472</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19,224</w:t>
      </w:r>
    </w:p>
    <w:p>
      <w:pPr>
        <w:ind w:left="3900"/>
        <w:spacing w:after="0" w:line="237" w:lineRule="auto"/>
        <w:rPr>
          <w:sz w:val="20"/>
          <w:szCs w:val="20"/>
          <w:color w:val="auto"/>
        </w:rPr>
      </w:pPr>
      <w:r>
        <w:rPr>
          <w:rFonts w:ascii="Courier New" w:cs="Courier New" w:eastAsia="Courier New" w:hAnsi="Courier New"/>
          <w:sz w:val="18"/>
          <w:szCs w:val="18"/>
          <w:color w:val="auto"/>
        </w:rPr>
        <w:t>.76</w:t>
      </w:r>
    </w:p>
    <w:p>
      <w:pPr>
        <w:ind w:left="4100"/>
        <w:spacing w:after="0" w:line="238"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099"/>
      </w:cols>
      <w:pgMar w:left="36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X"/>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2019-12-13T08:33:39Z</dcterms:created>
  <dcterms:modified xsi:type="dcterms:W3CDTF">2019-12-13T08:33:39Z</dcterms:modified>
</cp:coreProperties>
</file>