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62026_041048.xml.htm"/>
      <w:bookmarkStart w:id="1" w:name="ksform410162026_0410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Happe Michael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92,464</w:t>
            </w:r>
            <w:r>
              <w:rPr>
                <w:rFonts w:ascii="Times;serif" w:hAnsi="Times;serif"/>
                <w:color w:val="008000"/>
                <w:position w:val="7"/>
                <w:sz w:val="16"/>
                <w:sz w:val="20"/>
                <w:shd w:fill="FFFFFF" w:val="clear"/>
              </w:rPr>
              <w:t>(1)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437,850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7,514</w:t>
            </w:r>
            <w:r>
              <w:rPr>
                <w:rFonts w:ascii="Times;serif" w:hAnsi="Times;serif"/>
                <w:color w:val="008000"/>
                <w:position w:val="7"/>
                <w:sz w:val="16"/>
                <w:sz w:val="20"/>
                <w:shd w:fill="FFFFFF" w:val="clear"/>
              </w:rPr>
              <w:t>(2)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23.09</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430,336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23.09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130,156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130,156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130,156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10/14/2026 under the Winnebago Industries, Inc. Amended &amp; Restated 2019 Omnibus Incentive Plan. Restricted stock units vest in annual increments of one-third beginning on 10/14/2027.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Upon the annual incremental vesting of a restricted stock unit award granted 10/14/2025 under the Winnebago Industries, Inc. Amended &amp; Rested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Stock options vest in annual increments of one-third beginning on 10/14/2027.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82452"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729</Words>
  <Characters>3944</Characters>
  <CharactersWithSpaces>4583</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