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229235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42545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2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680" w:hanging="44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 the quarterly period ended February 25, 2017</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420" w:hanging="2789"/>
        <w:spacing w:after="0" w:line="510" w:lineRule="auto"/>
        <w:tabs>
          <w:tab w:leader="none" w:pos="6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143510</wp:posOffset>
            </wp:positionV>
            <wp:extent cx="3327400" cy="46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91"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5"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55"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March 21, 2017 was 31,586,125.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1" w:name="page2"/>
    <w:bookmarkEnd w:id="1"/>
    <w:p>
      <w:pPr>
        <w:jc w:val="center"/>
        <w:ind w:left="880"/>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jc w:val="center"/>
        <w:ind w:left="880"/>
        <w:spacing w:after="0"/>
        <w:rPr>
          <w:sz w:val="20"/>
          <w:szCs w:val="20"/>
          <w:color w:val="auto"/>
        </w:rPr>
      </w:pPr>
      <w:r>
        <w:rPr>
          <w:rFonts w:ascii="Arial" w:cs="Arial" w:eastAsia="Arial" w:hAnsi="Arial"/>
          <w:sz w:val="22"/>
          <w:szCs w:val="22"/>
          <w:b w:val="1"/>
          <w:bCs w:val="1"/>
          <w:color w:val="auto"/>
        </w:rPr>
        <w:t>Table of Contents</w:t>
      </w:r>
    </w:p>
    <w:p>
      <w:pPr>
        <w:spacing w:after="0" w:line="377"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Glossary</w:t>
        </w:r>
      </w:hyperlink>
    </w:p>
    <w:p>
      <w:pPr>
        <w:spacing w:after="0" w:line="336" w:lineRule="exact"/>
        <w:rPr>
          <w:sz w:val="20"/>
          <w:szCs w:val="20"/>
          <w:color w:val="auto"/>
        </w:rPr>
      </w:pPr>
    </w:p>
    <w:p>
      <w:pPr>
        <w:spacing w:after="0"/>
        <w:tabs>
          <w:tab w:leader="none" w:pos="900" w:val="left"/>
        </w:tabs>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PART I</w:t>
        </w:r>
      </w:hyperlink>
      <w:r>
        <w:rPr>
          <w:rFonts w:ascii="Arial" w:cs="Arial" w:eastAsia="Arial" w:hAnsi="Arial"/>
          <w:sz w:val="16"/>
          <w:szCs w:val="16"/>
          <w:b w:val="1"/>
          <w:bCs w:val="1"/>
          <w:u w:val="single" w:color="auto"/>
          <w:color w:val="0000EE"/>
        </w:rPr>
        <w:tab/>
      </w:r>
      <w:hyperlink w:anchor="page4">
        <w:r>
          <w:rPr>
            <w:rFonts w:ascii="Arial" w:cs="Arial" w:eastAsia="Arial" w:hAnsi="Arial"/>
            <w:sz w:val="16"/>
            <w:szCs w:val="16"/>
            <w:b w:val="1"/>
            <w:bCs w:val="1"/>
            <w:u w:val="single" w:color="auto"/>
            <w:color w:val="0000EE"/>
          </w:rPr>
          <w:t>FINANCIAL INFORMATION</w:t>
        </w:r>
      </w:hyperlink>
    </w:p>
    <w:p>
      <w:pPr>
        <w:spacing w:after="0" w:line="79" w:lineRule="exact"/>
        <w:rPr>
          <w:sz w:val="20"/>
          <w:szCs w:val="20"/>
          <w:color w:val="auto"/>
        </w:rPr>
      </w:pPr>
    </w:p>
    <w:p>
      <w:pPr>
        <w:ind w:left="920" w:right="4660" w:hanging="1161"/>
        <w:spacing w:after="0" w:line="35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Item 1.</w:t>
      </w:r>
      <w:r>
        <w:rPr>
          <w:sz w:val="20"/>
          <w:szCs w:val="20"/>
          <w:color w:val="auto"/>
        </w:rPr>
        <w:tab/>
      </w:r>
      <w:hyperlink w:anchor="page4">
        <w:r>
          <w:rPr>
            <w:rFonts w:ascii="Arial" w:cs="Arial" w:eastAsia="Arial" w:hAnsi="Arial"/>
            <w:sz w:val="16"/>
            <w:szCs w:val="16"/>
            <w:u w:val="single" w:color="auto"/>
            <w:color w:val="0000EE"/>
          </w:rPr>
          <w:t>Condensed Consolidated Financial Statements (Unaudited)</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Consolidated Statements of Income and Comprehensive Income</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Consolidated Balance Sheets</w:t>
        </w:r>
      </w:hyperlink>
    </w:p>
    <w:p>
      <w:pPr>
        <w:spacing w:after="0" w:line="1" w:lineRule="exact"/>
        <w:rPr>
          <w:rFonts w:ascii="Arial" w:cs="Arial" w:eastAsia="Arial" w:hAnsi="Arial"/>
          <w:sz w:val="16"/>
          <w:szCs w:val="16"/>
          <w:u w:val="single" w:color="auto"/>
          <w:color w:val="0000EE"/>
        </w:rPr>
      </w:pPr>
    </w:p>
    <w:p>
      <w:pPr>
        <w:ind w:left="116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Consolidated Statements of Cash Flows</w:t>
        </w:r>
      </w:hyperlink>
    </w:p>
    <w:p>
      <w:pPr>
        <w:spacing w:after="0" w:line="86" w:lineRule="exact"/>
        <w:rPr>
          <w:rFonts w:ascii="Arial" w:cs="Arial" w:eastAsia="Arial" w:hAnsi="Arial"/>
          <w:sz w:val="16"/>
          <w:szCs w:val="16"/>
          <w:u w:val="single" w:color="auto"/>
          <w:color w:val="0000EE"/>
        </w:rPr>
      </w:pPr>
    </w:p>
    <w:p>
      <w:pPr>
        <w:ind w:left="116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Notes to Condensed Consolidated Financial Statements</w:t>
        </w:r>
      </w:hyperlink>
    </w:p>
    <w:p>
      <w:pPr>
        <w:spacing w:after="0" w:line="62" w:lineRule="exact"/>
        <w:rPr>
          <w:rFonts w:ascii="Arial" w:cs="Arial" w:eastAsia="Arial" w:hAnsi="Arial"/>
          <w:sz w:val="16"/>
          <w:szCs w:val="16"/>
          <w:u w:val="single" w:color="auto"/>
          <w:color w:val="0000EE"/>
        </w:rPr>
      </w:pPr>
    </w:p>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00" w:type="dxa"/>
            <w:vAlign w:val="bottom"/>
            <w:tcBorders>
              <w:bottom w:val="single" w:sz="8" w:color="0000EE"/>
            </w:tcBorders>
            <w:gridSpan w:val="13"/>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1: Basis of Presentation</w:t>
              </w:r>
            </w:hyperlink>
          </w:p>
        </w:tc>
        <w:tc>
          <w:tcPr>
            <w:tcW w:w="3800" w:type="dxa"/>
            <w:vAlign w:val="bottom"/>
            <w:gridSpan w:val="10"/>
          </w:tcPr>
          <w:p>
            <w:pPr>
              <w:spacing w:after="0"/>
              <w:rPr>
                <w:sz w:val="16"/>
                <w:szCs w:val="16"/>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3"/>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2: Business Combination, Goodwill and Other Intangible Assets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0" w:type="dxa"/>
            <w:vAlign w:val="bottom"/>
            <w:tcBorders>
              <w:top w:val="single" w:sz="8" w:color="0000EE"/>
              <w:bottom w:val="single" w:sz="8" w:color="0000EE"/>
            </w:tcBorders>
            <w:gridSpan w:val="11"/>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 3: Business Segments</w:t>
              </w:r>
            </w:hyperlink>
          </w:p>
        </w:tc>
        <w:tc>
          <w:tcPr>
            <w:tcW w:w="2920" w:type="dxa"/>
            <w:vAlign w:val="bottom"/>
            <w:tcBorders>
              <w:top w:val="single" w:sz="8" w:color="0000EE"/>
            </w:tcBorders>
            <w:gridSpan w:val="11"/>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3"/>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 4: Concentration Risk</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3"/>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 5: Derivatives, Investments and Fair Value Measurements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9"/>
              </w:rPr>
            </w:pPr>
            <w:hyperlink w:anchor="page14">
              <w:r>
                <w:rPr>
                  <w:rFonts w:ascii="Arial" w:cs="Arial" w:eastAsia="Arial" w:hAnsi="Arial"/>
                  <w:sz w:val="16"/>
                  <w:szCs w:val="16"/>
                  <w:color w:val="0000EE"/>
                  <w:w w:val="99"/>
                </w:rPr>
                <w:t>Note 6: Inventories</w:t>
              </w:r>
            </w:hyperlink>
          </w:p>
        </w:tc>
        <w:tc>
          <w:tcPr>
            <w:tcW w:w="3160" w:type="dxa"/>
            <w:vAlign w:val="bottom"/>
            <w:tcBorders>
              <w:top w:val="single" w:sz="8" w:color="0000EE"/>
            </w:tcBorders>
            <w:gridSpan w:val="14"/>
          </w:tcPr>
          <w:p>
            <w:pPr>
              <w:spacing w:after="0"/>
              <w:rPr>
                <w:sz w:val="21"/>
                <w:szCs w:val="21"/>
                <w:color w:val="auto"/>
              </w:rPr>
            </w:pPr>
          </w:p>
        </w:tc>
        <w:tc>
          <w:tcPr>
            <w:tcW w:w="1380" w:type="dxa"/>
            <w:vAlign w:val="bottom"/>
            <w:gridSpan w:val="2"/>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60" w:type="dxa"/>
            <w:vAlign w:val="bottom"/>
            <w:tcBorders>
              <w:bottom w:val="single" w:sz="8" w:color="0000EE"/>
            </w:tcBorders>
            <w:gridSpan w:val="15"/>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Note 7: Property, Plant and Equipment</w:t>
              </w:r>
            </w:hyperlink>
          </w:p>
        </w:tc>
        <w:tc>
          <w:tcPr>
            <w:tcW w:w="3140" w:type="dxa"/>
            <w:vAlign w:val="bottom"/>
            <w:gridSpan w:val="8"/>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14">
              <w:r>
                <w:rPr>
                  <w:rFonts w:ascii="Arial" w:cs="Arial" w:eastAsia="Arial" w:hAnsi="Arial"/>
                  <w:sz w:val="16"/>
                  <w:szCs w:val="16"/>
                  <w:color w:val="0000EE"/>
                  <w:w w:val="99"/>
                </w:rPr>
                <w:t>Note 8: Warranty</w:t>
              </w:r>
            </w:hyperlink>
          </w:p>
        </w:tc>
        <w:tc>
          <w:tcPr>
            <w:tcW w:w="4680" w:type="dxa"/>
            <w:vAlign w:val="bottom"/>
            <w:gridSpan w:val="19"/>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3"/>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Note 9: Long-Term Debt</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3"/>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Note 10: Employee and Retiree Benefits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80" w:type="dxa"/>
            <w:vAlign w:val="bottom"/>
            <w:tcBorders>
              <w:top w:val="single" w:sz="8" w:color="0000EE"/>
            </w:tcBorders>
            <w:gridSpan w:val="17"/>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Note 11: Shareholders' Equity</w:t>
              </w:r>
            </w:hyperlink>
          </w:p>
        </w:tc>
        <w:tc>
          <w:tcPr>
            <w:tcW w:w="3020" w:type="dxa"/>
            <w:vAlign w:val="bottom"/>
            <w:gridSpan w:val="6"/>
          </w:tcPr>
          <w:p>
            <w:pPr>
              <w:spacing w:after="0"/>
              <w:rPr>
                <w:sz w:val="21"/>
                <w:szCs w:val="21"/>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3"/>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Note 12: Contingent Liabilities and Commitments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20" w:type="dxa"/>
            <w:vAlign w:val="bottom"/>
            <w:tcBorders>
              <w:top w:val="single" w:sz="8" w:color="0000EE"/>
              <w:bottom w:val="single" w:sz="8" w:color="0000EE"/>
            </w:tcBorders>
            <w:gridSpan w:val="8"/>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Note 13: Income Taxes</w:t>
              </w:r>
            </w:hyperlink>
          </w:p>
        </w:tc>
        <w:tc>
          <w:tcPr>
            <w:tcW w:w="1780" w:type="dxa"/>
            <w:vAlign w:val="bottom"/>
            <w:tcBorders>
              <w:top w:val="single" w:sz="8" w:color="0000EE"/>
            </w:tcBorders>
            <w:gridSpan w:val="10"/>
          </w:tcPr>
          <w:p>
            <w:pPr>
              <w:spacing w:after="0"/>
              <w:rPr>
                <w:sz w:val="21"/>
                <w:szCs w:val="21"/>
                <w:color w:val="auto"/>
              </w:rPr>
            </w:pPr>
          </w:p>
        </w:tc>
        <w:tc>
          <w:tcPr>
            <w:tcW w:w="2400" w:type="dxa"/>
            <w:vAlign w:val="bottom"/>
            <w:gridSpan w:val="5"/>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3"/>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Note 14: Earnings Per Share</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60" w:type="dxa"/>
            <w:vAlign w:val="bottom"/>
            <w:tcBorders>
              <w:bottom w:val="single" w:sz="8" w:color="0000EE"/>
            </w:tcBorders>
            <w:gridSpan w:val="16"/>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Note 15: Comprehensive Income (Loss)</w:t>
              </w:r>
            </w:hyperlink>
          </w:p>
        </w:tc>
        <w:tc>
          <w:tcPr>
            <w:tcW w:w="3040" w:type="dxa"/>
            <w:vAlign w:val="bottom"/>
            <w:gridSpan w:val="7"/>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80" w:type="dxa"/>
            <w:vAlign w:val="bottom"/>
            <w:tcBorders>
              <w:bottom w:val="single" w:sz="8" w:color="0000EE"/>
            </w:tcBorders>
            <w:gridSpan w:val="10"/>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Note 16: Subsequent Event</w:t>
              </w:r>
            </w:hyperlink>
          </w:p>
        </w:tc>
        <w:tc>
          <w:tcPr>
            <w:tcW w:w="3920" w:type="dxa"/>
            <w:vAlign w:val="bottom"/>
            <w:gridSpan w:val="13"/>
          </w:tcPr>
          <w:p>
            <w:pPr>
              <w:spacing w:after="0"/>
              <w:rPr>
                <w:sz w:val="21"/>
                <w:szCs w:val="2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6360" w:type="dxa"/>
            <w:vAlign w:val="bottom"/>
            <w:tcBorders>
              <w:bottom w:val="single" w:sz="8" w:color="0000EE"/>
            </w:tcBorders>
            <w:gridSpan w:val="24"/>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Management's Discussion and Analysis of Financial Condition and Results of Operations</w:t>
              </w:r>
            </w:hyperlink>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3.</w:t>
            </w:r>
          </w:p>
        </w:tc>
        <w:tc>
          <w:tcPr>
            <w:tcW w:w="4240" w:type="dxa"/>
            <w:vAlign w:val="bottom"/>
            <w:tcBorders>
              <w:bottom w:val="single" w:sz="8" w:color="0000EE"/>
            </w:tcBorders>
            <w:gridSpan w:val="20"/>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Quantitative and Qualitative Disclosures About Market Risk</w:t>
              </w:r>
            </w:hyperlink>
          </w:p>
        </w:tc>
        <w:tc>
          <w:tcPr>
            <w:tcW w:w="2120" w:type="dxa"/>
            <w:vAlign w:val="bottom"/>
            <w:gridSpan w:val="4"/>
          </w:tcPr>
          <w:p>
            <w:pPr>
              <w:spacing w:after="0"/>
              <w:rPr>
                <w:sz w:val="19"/>
                <w:szCs w:val="19"/>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6360" w:type="dxa"/>
            <w:vAlign w:val="bottom"/>
            <w:gridSpan w:val="24"/>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Controls and Procedures</w:t>
              </w:r>
            </w:hyperlink>
          </w:p>
        </w:tc>
      </w:tr>
      <w:tr>
        <w:trPr>
          <w:trHeight w:val="520"/>
        </w:trPr>
        <w:tc>
          <w:tcPr>
            <w:tcW w:w="560" w:type="dxa"/>
            <w:vAlign w:val="bottom"/>
            <w:tcBorders>
              <w:bottom w:val="single" w:sz="8" w:color="0000EE"/>
            </w:tcBorders>
          </w:tcPr>
          <w:p>
            <w:pPr>
              <w:spacing w:after="0"/>
              <w:rPr>
                <w:rFonts w:ascii="Arial" w:cs="Arial" w:eastAsia="Arial" w:hAnsi="Arial"/>
                <w:sz w:val="16"/>
                <w:szCs w:val="16"/>
                <w:b w:val="1"/>
                <w:bCs w:val="1"/>
                <w:color w:val="0000EE"/>
                <w:w w:val="94"/>
              </w:rPr>
            </w:pPr>
            <w:hyperlink w:anchor="page34">
              <w:r>
                <w:rPr>
                  <w:rFonts w:ascii="Arial" w:cs="Arial" w:eastAsia="Arial" w:hAnsi="Arial"/>
                  <w:sz w:val="16"/>
                  <w:szCs w:val="16"/>
                  <w:b w:val="1"/>
                  <w:bCs w:val="1"/>
                  <w:color w:val="0000EE"/>
                  <w:w w:val="94"/>
                </w:rPr>
                <w:t>PART II</w:t>
              </w:r>
            </w:hyperlink>
          </w:p>
        </w:tc>
        <w:tc>
          <w:tcPr>
            <w:tcW w:w="36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6"/>
          </w:tcPr>
          <w:p>
            <w:pPr>
              <w:spacing w:after="0"/>
              <w:rPr>
                <w:rFonts w:ascii="Arial" w:cs="Arial" w:eastAsia="Arial" w:hAnsi="Arial"/>
                <w:sz w:val="16"/>
                <w:szCs w:val="16"/>
                <w:b w:val="1"/>
                <w:bCs w:val="1"/>
                <w:color w:val="0000EE"/>
                <w:w w:val="99"/>
              </w:rPr>
            </w:pPr>
            <w:hyperlink w:anchor="page34">
              <w:r>
                <w:rPr>
                  <w:rFonts w:ascii="Arial" w:cs="Arial" w:eastAsia="Arial" w:hAnsi="Arial"/>
                  <w:sz w:val="16"/>
                  <w:szCs w:val="16"/>
                  <w:b w:val="1"/>
                  <w:bCs w:val="1"/>
                  <w:color w:val="0000EE"/>
                  <w:w w:val="99"/>
                </w:rPr>
                <w:t>OTHER INFORMATION</w:t>
              </w:r>
            </w:hyperlink>
          </w:p>
        </w:tc>
        <w:tc>
          <w:tcPr>
            <w:tcW w:w="40" w:type="dxa"/>
            <w:vAlign w:val="bottom"/>
            <w:tcBorders>
              <w:top w:val="single" w:sz="8" w:color="0000EE"/>
            </w:tcBorders>
          </w:tcPr>
          <w:p>
            <w:pPr>
              <w:spacing w:after="0"/>
              <w:rPr>
                <w:sz w:val="24"/>
                <w:szCs w:val="24"/>
                <w:color w:val="auto"/>
              </w:rPr>
            </w:pPr>
          </w:p>
        </w:tc>
        <w:tc>
          <w:tcPr>
            <w:tcW w:w="4580" w:type="dxa"/>
            <w:vAlign w:val="bottom"/>
            <w:gridSpan w:val="17"/>
          </w:tcPr>
          <w:p>
            <w:pPr>
              <w:spacing w:after="0"/>
              <w:rPr>
                <w:sz w:val="24"/>
                <w:szCs w:val="24"/>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34">
              <w:r>
                <w:rPr>
                  <w:rFonts w:ascii="Arial" w:cs="Arial" w:eastAsia="Arial" w:hAnsi="Arial"/>
                  <w:sz w:val="16"/>
                  <w:szCs w:val="16"/>
                  <w:color w:val="0000EE"/>
                  <w:w w:val="99"/>
                </w:rPr>
                <w:t>Legal Proceedings</w:t>
              </w:r>
            </w:hyperlink>
          </w:p>
        </w:tc>
        <w:tc>
          <w:tcPr>
            <w:tcW w:w="5020" w:type="dxa"/>
            <w:vAlign w:val="bottom"/>
            <w:gridSpan w:val="20"/>
          </w:tcPr>
          <w:p>
            <w:pPr>
              <w:spacing w:after="0"/>
              <w:rPr>
                <w:sz w:val="21"/>
                <w:szCs w:val="21"/>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34">
              <w:r>
                <w:rPr>
                  <w:rFonts w:ascii="Arial" w:cs="Arial" w:eastAsia="Arial" w:hAnsi="Arial"/>
                  <w:sz w:val="16"/>
                  <w:szCs w:val="16"/>
                  <w:color w:val="0000EE"/>
                  <w:w w:val="98"/>
                </w:rPr>
                <w:t>Risk Factors</w:t>
              </w:r>
            </w:hyperlink>
          </w:p>
        </w:tc>
        <w:tc>
          <w:tcPr>
            <w:tcW w:w="5460" w:type="dxa"/>
            <w:vAlign w:val="bottom"/>
            <w:gridSpan w:val="21"/>
          </w:tcPr>
          <w:p>
            <w:pPr>
              <w:spacing w:after="0"/>
              <w:rPr>
                <w:sz w:val="19"/>
                <w:szCs w:val="19"/>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6360" w:type="dxa"/>
            <w:vAlign w:val="bottom"/>
            <w:gridSpan w:val="24"/>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Unregistered Sales of Equity Securities and Use of Proceeds</w:t>
              </w:r>
            </w:hyperlink>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6.</w:t>
            </w:r>
          </w:p>
        </w:tc>
        <w:tc>
          <w:tcPr>
            <w:tcW w:w="4360" w:type="dxa"/>
            <w:vAlign w:val="bottom"/>
            <w:tcBorders>
              <w:top w:val="single" w:sz="8" w:color="0000EE"/>
            </w:tcBorders>
            <w:gridSpan w:val="21"/>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Exhibits</w:t>
              </w:r>
            </w:hyperlink>
          </w:p>
        </w:tc>
        <w:tc>
          <w:tcPr>
            <w:tcW w:w="2000" w:type="dxa"/>
            <w:vAlign w:val="bottom"/>
            <w:gridSpan w:val="3"/>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35">
        <w:r>
          <w:rPr>
            <w:rFonts w:ascii="Arial" w:cs="Arial" w:eastAsia="Arial" w:hAnsi="Arial"/>
            <w:sz w:val="16"/>
            <w:szCs w:val="16"/>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4</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1">
        <w:r>
          <w:rPr>
            <w:rFonts w:ascii="Arial" w:cs="Arial" w:eastAsia="Arial" w:hAnsi="Arial"/>
            <w:sz w:val="16"/>
            <w:szCs w:val="16"/>
            <w:color w:val="0000EE"/>
          </w:rPr>
          <w:t>9</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6">
        <w:r>
          <w:rPr>
            <w:rFonts w:ascii="Arial" w:cs="Arial" w:eastAsia="Arial" w:hAnsi="Arial"/>
            <w:sz w:val="16"/>
            <w:szCs w:val="16"/>
            <w:color w:val="0000EE"/>
          </w:rPr>
          <w:t>14</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7">
        <w:r>
          <w:rPr>
            <w:rFonts w:ascii="Arial" w:cs="Arial" w:eastAsia="Arial" w:hAnsi="Arial"/>
            <w:sz w:val="16"/>
            <w:szCs w:val="16"/>
            <w:color w:val="0000EE"/>
          </w:rPr>
          <w:t>15</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8">
        <w:r>
          <w:rPr>
            <w:rFonts w:ascii="Arial" w:cs="Arial" w:eastAsia="Arial" w:hAnsi="Arial"/>
            <w:sz w:val="16"/>
            <w:szCs w:val="16"/>
            <w:color w:val="0000EE"/>
          </w:rPr>
          <w:t>16</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3">
        <w:r>
          <w:rPr>
            <w:rFonts w:ascii="Arial" w:cs="Arial" w:eastAsia="Arial" w:hAnsi="Arial"/>
            <w:sz w:val="16"/>
            <w:szCs w:val="16"/>
            <w:color w:val="0000EE"/>
          </w:rPr>
          <w:t>31</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3">
        <w:r>
          <w:rPr>
            <w:rFonts w:ascii="Arial" w:cs="Arial" w:eastAsia="Arial" w:hAnsi="Arial"/>
            <w:sz w:val="16"/>
            <w:szCs w:val="16"/>
            <w:color w:val="0000EE"/>
          </w:rPr>
          <w:t>31</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color w:val="0000EE"/>
        </w:rPr>
      </w:pPr>
      <w:hyperlink w:anchor="page34">
        <w:r>
          <w:rPr>
            <w:rFonts w:ascii="Arial" w:cs="Arial" w:eastAsia="Arial" w:hAnsi="Arial"/>
            <w:sz w:val="16"/>
            <w:szCs w:val="16"/>
            <w:color w:val="0000EE"/>
          </w:rPr>
          <w:t>32</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4">
        <w:r>
          <w:rPr>
            <w:rFonts w:ascii="Arial" w:cs="Arial" w:eastAsia="Arial" w:hAnsi="Arial"/>
            <w:sz w:val="16"/>
            <w:szCs w:val="16"/>
            <w:color w:val="0000EE"/>
          </w:rPr>
          <w:t>32</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4">
        <w:r>
          <w:rPr>
            <w:rFonts w:ascii="Arial" w:cs="Arial" w:eastAsia="Arial" w:hAnsi="Arial"/>
            <w:sz w:val="16"/>
            <w:szCs w:val="16"/>
            <w:color w:val="0000EE"/>
          </w:rPr>
          <w:t>32</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4">
        <w:r>
          <w:rPr>
            <w:rFonts w:ascii="Arial" w:cs="Arial" w:eastAsia="Arial" w:hAnsi="Arial"/>
            <w:sz w:val="16"/>
            <w:szCs w:val="16"/>
            <w:color w:val="0000EE"/>
          </w:rPr>
          <w:t>32</w:t>
        </w:r>
      </w:hyperlink>
    </w:p>
    <w:p>
      <w:pPr>
        <w:spacing w:after="0" w:line="356" w:lineRule="exact"/>
        <w:rPr>
          <w:sz w:val="20"/>
          <w:szCs w:val="20"/>
          <w:color w:val="auto"/>
        </w:rPr>
      </w:pPr>
    </w:p>
    <w:p>
      <w:pPr>
        <w:spacing w:after="0"/>
        <w:rPr>
          <w:rFonts w:ascii="Arial" w:cs="Arial" w:eastAsia="Arial" w:hAnsi="Arial"/>
          <w:sz w:val="16"/>
          <w:szCs w:val="16"/>
          <w:color w:val="0000EE"/>
        </w:rPr>
      </w:pPr>
      <w:hyperlink w:anchor="page35">
        <w:r>
          <w:rPr>
            <w:rFonts w:ascii="Arial" w:cs="Arial" w:eastAsia="Arial" w:hAnsi="Arial"/>
            <w:sz w:val="16"/>
            <w:szCs w:val="16"/>
            <w:color w:val="0000EE"/>
          </w:rPr>
          <w:t>33</w:t>
        </w:r>
      </w:hyperlink>
    </w:p>
    <w:p>
      <w:pPr>
        <w:sectPr>
          <w:pgSz w:w="11900" w:h="16838" w:orient="portrait"/>
          <w:cols w:equalWidth="0" w:num="2">
            <w:col w:w="10460" w:space="720"/>
            <w:col w:w="18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Credit Agreement dated as of November 8, 2016 among Winnebago Industries, Inc., Winnebago of Indiana, LLC,</w:t>
            </w:r>
          </w:p>
        </w:tc>
        <w:tc>
          <w:tcPr>
            <w:tcW w:w="0" w:type="dxa"/>
            <w:vAlign w:val="bottom"/>
          </w:tcPr>
          <w:p>
            <w:pPr>
              <w:spacing w:after="0"/>
              <w:rPr>
                <w:sz w:val="1"/>
                <w:szCs w:val="1"/>
                <w:color w:val="auto"/>
              </w:rPr>
            </w:pPr>
          </w:p>
        </w:tc>
      </w:tr>
      <w:tr>
        <w:trPr>
          <w:trHeight w:val="214"/>
        </w:trPr>
        <w:tc>
          <w:tcPr>
            <w:tcW w:w="2520" w:type="dxa"/>
            <w:vAlign w:val="bottom"/>
            <w:shd w:val="clear" w:color="auto" w:fill="CCEEFF"/>
          </w:tcPr>
          <w:p>
            <w:pPr>
              <w:spacing w:after="0"/>
              <w:rPr>
                <w:sz w:val="18"/>
                <w:szCs w:val="18"/>
                <w:color w:val="auto"/>
              </w:rPr>
            </w:pP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Grand Design RV, LLC, the Other Loan Parties thereto and JPMorgan Chase Bank, N.A. as Administrative Agent</w:t>
            </w:r>
          </w:p>
        </w:tc>
        <w:tc>
          <w:tcPr>
            <w:tcW w:w="0" w:type="dxa"/>
            <w:vAlign w:val="bottom"/>
          </w:tcPr>
          <w:p>
            <w:pPr>
              <w:spacing w:after="0"/>
              <w:rPr>
                <w:sz w:val="1"/>
                <w:szCs w:val="1"/>
                <w:color w:val="auto"/>
              </w:rPr>
            </w:pPr>
          </w:p>
        </w:tc>
      </w:tr>
      <w:tr>
        <w:trPr>
          <w:trHeight w:val="233"/>
        </w:trPr>
        <w:tc>
          <w:tcPr>
            <w:tcW w:w="2520" w:type="dxa"/>
            <w:vAlign w:val="bottom"/>
          </w:tcPr>
          <w:p>
            <w:pPr>
              <w:ind w:left="40"/>
              <w:spacing w:after="0"/>
              <w:rPr>
                <w:sz w:val="20"/>
                <w:szCs w:val="20"/>
                <w:color w:val="auto"/>
              </w:rPr>
            </w:pPr>
            <w:r>
              <w:rPr>
                <w:rFonts w:ascii="Arial" w:cs="Arial" w:eastAsia="Arial" w:hAnsi="Arial"/>
                <w:sz w:val="16"/>
                <w:szCs w:val="16"/>
                <w:color w:val="auto"/>
              </w:rPr>
              <w:t>AOCI</w:t>
            </w:r>
          </w:p>
        </w:tc>
        <w:tc>
          <w:tcPr>
            <w:tcW w:w="8900" w:type="dxa"/>
            <w:vAlign w:val="bottom"/>
          </w:tcPr>
          <w:p>
            <w:pPr>
              <w:ind w:left="48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2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Amended Credit Agreement</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w:t>
            </w:r>
          </w:p>
        </w:tc>
        <w:tc>
          <w:tcPr>
            <w:tcW w:w="0" w:type="dxa"/>
            <w:vAlign w:val="bottom"/>
          </w:tcPr>
          <w:p>
            <w:pPr>
              <w:spacing w:after="0"/>
              <w:rPr>
                <w:sz w:val="1"/>
                <w:szCs w:val="1"/>
                <w:color w:val="auto"/>
              </w:rPr>
            </w:pPr>
          </w:p>
        </w:tc>
      </w:tr>
      <w:tr>
        <w:trPr>
          <w:trHeight w:val="195"/>
        </w:trPr>
        <w:tc>
          <w:tcPr>
            <w:tcW w:w="2520" w:type="dxa"/>
            <w:vAlign w:val="bottom"/>
            <w:shd w:val="clear" w:color="auto" w:fill="CCEEFF"/>
          </w:tcPr>
          <w:p>
            <w:pPr>
              <w:spacing w:after="0"/>
              <w:rPr>
                <w:sz w:val="16"/>
                <w:szCs w:val="16"/>
                <w:color w:val="auto"/>
              </w:rPr>
            </w:pP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LLC, as Borrowers, and Wells Fargo Capital Finance, as Agent; terminated on November 8, 2016</w:t>
            </w:r>
          </w:p>
        </w:tc>
        <w:tc>
          <w:tcPr>
            <w:tcW w:w="0" w:type="dxa"/>
            <w:vAlign w:val="bottom"/>
          </w:tcPr>
          <w:p>
            <w:pPr>
              <w:spacing w:after="0"/>
              <w:rPr>
                <w:sz w:val="1"/>
                <w:szCs w:val="1"/>
                <w:color w:val="auto"/>
              </w:rPr>
            </w:pPr>
          </w:p>
        </w:tc>
      </w:tr>
      <w:tr>
        <w:trPr>
          <w:trHeight w:val="74"/>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ASC</w:t>
            </w:r>
          </w:p>
        </w:tc>
        <w:tc>
          <w:tcPr>
            <w:tcW w:w="8900" w:type="dxa"/>
            <w:vAlign w:val="bottom"/>
          </w:tcPr>
          <w:p>
            <w:pPr>
              <w:ind w:left="48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ASU</w:t>
            </w:r>
          </w:p>
        </w:tc>
        <w:tc>
          <w:tcPr>
            <w:tcW w:w="8900" w:type="dxa"/>
            <w:vAlign w:val="bottom"/>
          </w:tcPr>
          <w:p>
            <w:pPr>
              <w:ind w:left="48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Credit Facility</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Collective reference to the ABL and Term Loan</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EBITDA</w:t>
            </w:r>
          </w:p>
        </w:tc>
        <w:tc>
          <w:tcPr>
            <w:tcW w:w="8900" w:type="dxa"/>
            <w:vAlign w:val="bottom"/>
          </w:tcPr>
          <w:p>
            <w:pPr>
              <w:ind w:left="480"/>
              <w:spacing w:after="0"/>
              <w:rPr>
                <w:sz w:val="20"/>
                <w:szCs w:val="20"/>
                <w:color w:val="auto"/>
              </w:rPr>
            </w:pPr>
            <w:r>
              <w:rPr>
                <w:rFonts w:ascii="Arial" w:cs="Arial" w:eastAsia="Arial" w:hAnsi="Arial"/>
                <w:sz w:val="16"/>
                <w:szCs w:val="16"/>
                <w:color w:val="auto"/>
              </w:rPr>
              <w:t>Earnings Before Interest, Tax, Depreciation and Amortization</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EPS</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Earnings Per Share</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ERP</w:t>
            </w:r>
          </w:p>
        </w:tc>
        <w:tc>
          <w:tcPr>
            <w:tcW w:w="8900" w:type="dxa"/>
            <w:vAlign w:val="bottom"/>
          </w:tcPr>
          <w:p>
            <w:pPr>
              <w:ind w:left="480"/>
              <w:spacing w:after="0"/>
              <w:rPr>
                <w:sz w:val="20"/>
                <w:szCs w:val="20"/>
                <w:color w:val="auto"/>
              </w:rPr>
            </w:pPr>
            <w:r>
              <w:rPr>
                <w:rFonts w:ascii="Arial" w:cs="Arial" w:eastAsia="Arial" w:hAnsi="Arial"/>
                <w:sz w:val="16"/>
                <w:szCs w:val="16"/>
                <w:color w:val="auto"/>
              </w:rPr>
              <w:t>Enterprise Resource Planning</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FIFO</w:t>
            </w:r>
          </w:p>
        </w:tc>
        <w:tc>
          <w:tcPr>
            <w:tcW w:w="8900" w:type="dxa"/>
            <w:vAlign w:val="bottom"/>
          </w:tcPr>
          <w:p>
            <w:pPr>
              <w:ind w:left="48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GAAP</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Grand Design</w:t>
            </w:r>
          </w:p>
        </w:tc>
        <w:tc>
          <w:tcPr>
            <w:tcW w:w="8900" w:type="dxa"/>
            <w:vAlign w:val="bottom"/>
          </w:tcPr>
          <w:p>
            <w:pPr>
              <w:ind w:left="480"/>
              <w:spacing w:after="0"/>
              <w:rPr>
                <w:sz w:val="20"/>
                <w:szCs w:val="20"/>
                <w:color w:val="auto"/>
              </w:rPr>
            </w:pPr>
            <w:r>
              <w:rPr>
                <w:rFonts w:ascii="Arial" w:cs="Arial" w:eastAsia="Arial" w:hAnsi="Arial"/>
                <w:sz w:val="16"/>
                <w:szCs w:val="16"/>
                <w:color w:val="auto"/>
              </w:rPr>
              <w:t>Grand Design RV, LLC</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IRS</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40"/>
              <w:spacing w:after="0"/>
              <w:rPr>
                <w:sz w:val="20"/>
                <w:szCs w:val="20"/>
                <w:color w:val="auto"/>
              </w:rPr>
            </w:pPr>
            <w:r>
              <w:rPr>
                <w:rFonts w:ascii="Arial" w:cs="Arial" w:eastAsia="Arial" w:hAnsi="Arial"/>
                <w:sz w:val="16"/>
                <w:szCs w:val="16"/>
                <w:color w:val="auto"/>
              </w:rPr>
              <w:t>LIFO</w:t>
            </w:r>
          </w:p>
        </w:tc>
        <w:tc>
          <w:tcPr>
            <w:tcW w:w="8900" w:type="dxa"/>
            <w:vAlign w:val="bottom"/>
          </w:tcPr>
          <w:p>
            <w:pPr>
              <w:ind w:left="48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LIBOR</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Motorized</w:t>
            </w:r>
          </w:p>
        </w:tc>
        <w:tc>
          <w:tcPr>
            <w:tcW w:w="8900" w:type="dxa"/>
            <w:vAlign w:val="bottom"/>
          </w:tcPr>
          <w:p>
            <w:pPr>
              <w:ind w:left="480"/>
              <w:spacing w:after="0"/>
              <w:rPr>
                <w:sz w:val="20"/>
                <w:szCs w:val="20"/>
                <w:color w:val="auto"/>
              </w:rPr>
            </w:pPr>
            <w:r>
              <w:rPr>
                <w:rFonts w:ascii="Arial" w:cs="Arial" w:eastAsia="Arial" w:hAnsi="Arial"/>
                <w:sz w:val="16"/>
                <w:szCs w:val="16"/>
                <w:color w:val="auto"/>
              </w:rPr>
              <w:t>Business segment including motorhomes and other related manufactured products</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NYFRB</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New York Federal Reserve Bank</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NYSE</w:t>
            </w:r>
          </w:p>
        </w:tc>
        <w:tc>
          <w:tcPr>
            <w:tcW w:w="8900" w:type="dxa"/>
            <w:vAlign w:val="bottom"/>
          </w:tcPr>
          <w:p>
            <w:pPr>
              <w:ind w:left="48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OCI</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RV</w:t>
            </w:r>
          </w:p>
        </w:tc>
        <w:tc>
          <w:tcPr>
            <w:tcW w:w="8900" w:type="dxa"/>
            <w:vAlign w:val="bottom"/>
          </w:tcPr>
          <w:p>
            <w:pPr>
              <w:ind w:left="48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RVIA</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SEC</w:t>
            </w:r>
          </w:p>
        </w:tc>
        <w:tc>
          <w:tcPr>
            <w:tcW w:w="8900" w:type="dxa"/>
            <w:vAlign w:val="bottom"/>
          </w:tcPr>
          <w:p>
            <w:pPr>
              <w:ind w:left="48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SERP</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40"/>
              <w:spacing w:after="0"/>
              <w:rPr>
                <w:sz w:val="20"/>
                <w:szCs w:val="20"/>
                <w:color w:val="auto"/>
              </w:rPr>
            </w:pPr>
            <w:r>
              <w:rPr>
                <w:rFonts w:ascii="Arial" w:cs="Arial" w:eastAsia="Arial" w:hAnsi="Arial"/>
                <w:sz w:val="16"/>
                <w:szCs w:val="16"/>
                <w:color w:val="auto"/>
              </w:rPr>
              <w:t>Stat Surveys</w:t>
            </w:r>
          </w:p>
        </w:tc>
        <w:tc>
          <w:tcPr>
            <w:tcW w:w="8900" w:type="dxa"/>
            <w:vAlign w:val="bottom"/>
          </w:tcPr>
          <w:p>
            <w:pPr>
              <w:ind w:left="48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Loan Agreement dated as of November 8, 2016 among Winnebago Industries, Inc., Octavius Corporation, the other</w:t>
            </w:r>
          </w:p>
        </w:tc>
        <w:tc>
          <w:tcPr>
            <w:tcW w:w="0" w:type="dxa"/>
            <w:vAlign w:val="bottom"/>
          </w:tcPr>
          <w:p>
            <w:pPr>
              <w:spacing w:after="0"/>
              <w:rPr>
                <w:sz w:val="1"/>
                <w:szCs w:val="1"/>
                <w:color w:val="auto"/>
              </w:rPr>
            </w:pPr>
          </w:p>
        </w:tc>
      </w:tr>
      <w:tr>
        <w:trPr>
          <w:trHeight w:val="195"/>
        </w:trPr>
        <w:tc>
          <w:tcPr>
            <w:tcW w:w="2520" w:type="dxa"/>
            <w:vAlign w:val="bottom"/>
            <w:shd w:val="clear" w:color="auto" w:fill="CCEEFF"/>
          </w:tcPr>
          <w:p>
            <w:pPr>
              <w:spacing w:after="0"/>
              <w:rPr>
                <w:sz w:val="16"/>
                <w:szCs w:val="16"/>
                <w:color w:val="auto"/>
              </w:rPr>
            </w:pP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loan parties thereto and JPMorgan Chase Bank, N.A. as Administrative Agent</w:t>
            </w:r>
          </w:p>
        </w:tc>
        <w:tc>
          <w:tcPr>
            <w:tcW w:w="0" w:type="dxa"/>
            <w:vAlign w:val="bottom"/>
          </w:tcPr>
          <w:p>
            <w:pPr>
              <w:spacing w:after="0"/>
              <w:rPr>
                <w:sz w:val="1"/>
                <w:szCs w:val="1"/>
                <w:color w:val="auto"/>
              </w:rPr>
            </w:pPr>
          </w:p>
        </w:tc>
      </w:tr>
      <w:tr>
        <w:trPr>
          <w:trHeight w:val="74"/>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40"/>
              <w:spacing w:after="0"/>
              <w:rPr>
                <w:sz w:val="20"/>
                <w:szCs w:val="20"/>
                <w:color w:val="auto"/>
              </w:rPr>
            </w:pPr>
            <w:r>
              <w:rPr>
                <w:rFonts w:ascii="Arial" w:cs="Arial" w:eastAsia="Arial" w:hAnsi="Arial"/>
                <w:sz w:val="16"/>
                <w:szCs w:val="16"/>
                <w:color w:val="auto"/>
              </w:rPr>
              <w:t>Towable</w:t>
            </w:r>
          </w:p>
        </w:tc>
        <w:tc>
          <w:tcPr>
            <w:tcW w:w="8900" w:type="dxa"/>
            <w:vAlign w:val="bottom"/>
          </w:tcPr>
          <w:p>
            <w:pPr>
              <w:ind w:left="480"/>
              <w:spacing w:after="0"/>
              <w:rPr>
                <w:sz w:val="20"/>
                <w:szCs w:val="20"/>
                <w:color w:val="auto"/>
              </w:rPr>
            </w:pPr>
            <w:r>
              <w:rPr>
                <w:rFonts w:ascii="Arial" w:cs="Arial" w:eastAsia="Arial" w:hAnsi="Arial"/>
                <w:sz w:val="16"/>
                <w:szCs w:val="16"/>
                <w:color w:val="auto"/>
              </w:rPr>
              <w:t>Business segment including products which are not motorized and are towable by another vehicle</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74"/>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40"/>
              <w:spacing w:after="0"/>
              <w:rPr>
                <w:sz w:val="20"/>
                <w:szCs w:val="20"/>
                <w:color w:val="auto"/>
              </w:rPr>
            </w:pPr>
            <w:r>
              <w:rPr>
                <w:rFonts w:ascii="Arial" w:cs="Arial" w:eastAsia="Arial" w:hAnsi="Arial"/>
                <w:sz w:val="16"/>
                <w:szCs w:val="16"/>
                <w:color w:val="auto"/>
              </w:rPr>
              <w:t>XBRL</w:t>
            </w:r>
          </w:p>
        </w:tc>
        <w:tc>
          <w:tcPr>
            <w:tcW w:w="8900" w:type="dxa"/>
            <w:vAlign w:val="bottom"/>
          </w:tcPr>
          <w:p>
            <w:pPr>
              <w:ind w:left="48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918"/>
        </w:trPr>
        <w:tc>
          <w:tcPr>
            <w:tcW w:w="2520" w:type="dxa"/>
            <w:vAlign w:val="bottom"/>
          </w:tcPr>
          <w:p>
            <w:pPr>
              <w:spacing w:after="0"/>
              <w:rPr>
                <w:sz w:val="24"/>
                <w:szCs w:val="24"/>
                <w:color w:val="auto"/>
              </w:rPr>
            </w:pPr>
          </w:p>
        </w:tc>
        <w:tc>
          <w:tcPr>
            <w:tcW w:w="8900" w:type="dxa"/>
            <w:vAlign w:val="bottom"/>
          </w:tcPr>
          <w:p>
            <w:pPr>
              <w:ind w:left="3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ind w:right="5520"/>
        <w:spacing w:after="0" w:line="260" w:lineRule="auto"/>
        <w:rPr>
          <w:sz w:val="20"/>
          <w:szCs w:val="20"/>
          <w:color w:val="auto"/>
        </w:rPr>
      </w:pPr>
      <w:r>
        <w:rPr>
          <w:rFonts w:ascii="Arial" w:cs="Arial" w:eastAsia="Arial" w:hAnsi="Arial"/>
          <w:sz w:val="16"/>
          <w:szCs w:val="16"/>
          <w:b w:val="1"/>
          <w:bCs w:val="1"/>
          <w:color w:val="auto"/>
        </w:rPr>
        <w:t>Condensed Consolidated Statements of Income and Comprehensive Income (Unaudited)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25,</w:t>
            </w:r>
          </w:p>
        </w:tc>
        <w:tc>
          <w:tcPr>
            <w:tcW w:w="24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27,</w:t>
            </w:r>
          </w:p>
        </w:tc>
        <w:tc>
          <w:tcPr>
            <w:tcW w:w="20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25,</w:t>
            </w:r>
          </w:p>
        </w:tc>
        <w:tc>
          <w:tcPr>
            <w:tcW w:w="20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February 27,</w:t>
            </w:r>
          </w:p>
        </w:tc>
      </w:tr>
      <w:tr>
        <w:trPr>
          <w:trHeight w:val="228"/>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370,510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225,672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615,818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439,895</w:t>
            </w: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321,194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200,396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537,627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389,370</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49,316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25,276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78,191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50,525</w:t>
            </w:r>
          </w:p>
        </w:tc>
      </w:tr>
      <w:tr>
        <w:trPr>
          <w:trHeight w:val="254"/>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9,553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4,929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15,423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9,944</w:t>
            </w: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12,540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8,437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22,446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17,257</w:t>
            </w: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(11,983)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(24,796)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(2,938)</w:t>
            </w: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5,925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10,367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12,418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50"/>
        </w:trPr>
        <w:tc>
          <w:tcPr>
            <w:tcW w:w="4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20,940</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11,773</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31,416</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24,263</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28,376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13,503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46,775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26,262</w:t>
            </w:r>
          </w:p>
        </w:tc>
      </w:tr>
      <w:tr>
        <w:trPr>
          <w:trHeight w:val="26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5,178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6,306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expense (income)</w:t>
            </w: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(117)</w:t>
            </w:r>
          </w:p>
        </w:tc>
      </w:tr>
      <w:tr>
        <w:trPr>
          <w:trHeight w:val="247"/>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21"/>
                <w:szCs w:val="21"/>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23,194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13,485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40,552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26,379</w:t>
            </w:r>
          </w:p>
        </w:tc>
      </w:tr>
      <w:tr>
        <w:trPr>
          <w:trHeight w:val="273"/>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7,916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4,131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13,536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8,467</w:t>
            </w:r>
          </w:p>
        </w:tc>
      </w:tr>
      <w:tr>
        <w:trPr>
          <w:trHeight w:val="280"/>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15,278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9,354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27,016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17,912</w:t>
            </w:r>
          </w:p>
        </w:tc>
      </w:tr>
      <w:tr>
        <w:trPr>
          <w:trHeight w:val="281"/>
        </w:trPr>
        <w:tc>
          <w:tcPr>
            <w:tcW w:w="4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Income per common share:</w:t>
            </w: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0.91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0.66</w:t>
            </w: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0.66</w:t>
            </w:r>
          </w:p>
        </w:tc>
      </w:tr>
      <w:tr>
        <w:trPr>
          <w:trHeight w:val="307"/>
        </w:trPr>
        <w:tc>
          <w:tcPr>
            <w:tcW w:w="4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31,577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26,936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29,707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26,956</w:t>
            </w: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31,686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27,015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29,827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27,042</w:t>
            </w:r>
          </w:p>
        </w:tc>
      </w:tr>
      <w:tr>
        <w:trPr>
          <w:trHeight w:val="307"/>
        </w:trPr>
        <w:tc>
          <w:tcPr>
            <w:tcW w:w="4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Dividends paid per common share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0.20</w:t>
            </w:r>
          </w:p>
        </w:tc>
      </w:tr>
      <w:tr>
        <w:trPr>
          <w:trHeight w:val="307"/>
        </w:trPr>
        <w:tc>
          <w:tcPr>
            <w:tcW w:w="4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15,278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9,354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27,016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17,912</w:t>
            </w:r>
          </w:p>
        </w:tc>
      </w:tr>
      <w:tr>
        <w:trPr>
          <w:trHeight w:val="28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18"/>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4"/>
        </w:trPr>
        <w:tc>
          <w:tcPr>
            <w:tcW w:w="4640" w:type="dxa"/>
            <w:vAlign w:val="bottom"/>
            <w:gridSpan w:val="2"/>
          </w:tcPr>
          <w:p>
            <w:pPr>
              <w:ind w:left="360"/>
              <w:spacing w:after="0"/>
              <w:rPr>
                <w:sz w:val="20"/>
                <w:szCs w:val="20"/>
                <w:color w:val="auto"/>
              </w:rPr>
            </w:pPr>
            <w:r>
              <w:rPr>
                <w:rFonts w:ascii="Arial" w:cs="Arial" w:eastAsia="Arial" w:hAnsi="Arial"/>
                <w:sz w:val="16"/>
                <w:szCs w:val="16"/>
                <w:color w:val="auto"/>
              </w:rPr>
              <w:t>(net of tax of $7,495, $764, $15,409 and $1,417)</w:t>
            </w:r>
          </w:p>
        </w:tc>
        <w:tc>
          <w:tcPr>
            <w:tcW w:w="240" w:type="dxa"/>
            <w:vAlign w:val="bottom"/>
          </w:tcPr>
          <w:p>
            <w:pPr>
              <w:spacing w:after="0"/>
              <w:rPr>
                <w:sz w:val="17"/>
                <w:szCs w:val="17"/>
                <w:color w:val="auto"/>
              </w:rPr>
            </w:pP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(12,177)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(25,035)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(2,302)</w:t>
            </w:r>
          </w:p>
        </w:tc>
      </w:tr>
      <w:tr>
        <w:trPr>
          <w:trHeight w:val="22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4"/>
        </w:trPr>
        <w:tc>
          <w:tcPr>
            <w:tcW w:w="4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$2,932, $160, $5,968 and $302)</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4,764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9,696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491</w:t>
            </w:r>
          </w:p>
        </w:tc>
      </w:tr>
      <w:tr>
        <w:trPr>
          <w:trHeight w:val="218"/>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Plan amendment</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4"/>
        </w:trPr>
        <w:tc>
          <w:tcPr>
            <w:tcW w:w="4640" w:type="dxa"/>
            <w:vAlign w:val="bottom"/>
            <w:gridSpan w:val="2"/>
          </w:tcPr>
          <w:p>
            <w:pPr>
              <w:ind w:left="360"/>
              <w:spacing w:after="0"/>
              <w:rPr>
                <w:sz w:val="20"/>
                <w:szCs w:val="20"/>
                <w:color w:val="auto"/>
              </w:rPr>
            </w:pPr>
            <w:r>
              <w:rPr>
                <w:rFonts w:ascii="Arial" w:cs="Arial" w:eastAsia="Arial" w:hAnsi="Arial"/>
                <w:sz w:val="16"/>
                <w:szCs w:val="16"/>
                <w:color w:val="auto"/>
              </w:rPr>
              <w:t>(net of tax of $0, $0, $2,402 and $10,895)</w:t>
            </w:r>
          </w:p>
        </w:tc>
        <w:tc>
          <w:tcPr>
            <w:tcW w:w="240" w:type="dxa"/>
            <w:vAlign w:val="bottom"/>
          </w:tcPr>
          <w:p>
            <w:pPr>
              <w:spacing w:after="0"/>
              <w:rPr>
                <w:sz w:val="17"/>
                <w:szCs w:val="17"/>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3,903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17,701</w:t>
            </w:r>
          </w:p>
        </w:tc>
      </w:tr>
      <w:tr>
        <w:trPr>
          <w:trHeight w:val="22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Change in fair value of interest rate swap</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08"/>
        </w:trPr>
        <w:tc>
          <w:tcPr>
            <w:tcW w:w="4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$270, $0, $270 and $0)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50"/>
        </w:trPr>
        <w:tc>
          <w:tcPr>
            <w:tcW w:w="4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other comprehensive (loss) income</w:t>
            </w:r>
          </w:p>
        </w:tc>
        <w:tc>
          <w:tcPr>
            <w:tcW w:w="2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(7,852)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(11,875)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15,890</w:t>
            </w:r>
          </w:p>
        </w:tc>
      </w:tr>
      <w:tr>
        <w:trPr>
          <w:trHeight w:val="24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7,426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8,372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15,141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33,802</w:t>
            </w: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February 25,</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2016</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10,931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85,583</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($196 and $278)</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120,498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66,184</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148,456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122,522</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13,943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6,300</w:t>
            </w:r>
          </w:p>
        </w:tc>
      </w:tr>
      <w:tr>
        <w:trPr>
          <w:trHeight w:val="25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293,828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280,589</w:t>
            </w:r>
          </w:p>
        </w:tc>
      </w:tr>
      <w:tr>
        <w:trPr>
          <w:trHeight w:val="24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1"/>
                <w:szCs w:val="21"/>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67,858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55,931</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245,393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1,228</w:t>
            </w:r>
          </w:p>
        </w:tc>
      </w:tr>
      <w:tr>
        <w:trPr>
          <w:trHeight w:val="280"/>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240,682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0"/>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Investment in life insurance</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26,862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26,492</w:t>
            </w:r>
          </w:p>
        </w:tc>
      </w:tr>
      <w:tr>
        <w:trPr>
          <w:trHeight w:val="280"/>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14,203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18,753</w:t>
            </w:r>
          </w:p>
        </w:tc>
      </w:tr>
      <w:tr>
        <w:trPr>
          <w:trHeight w:val="264"/>
        </w:trPr>
        <w:tc>
          <w:tcPr>
            <w:tcW w:w="7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5,895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7,725</w:t>
            </w:r>
          </w:p>
        </w:tc>
      </w:tr>
      <w:tr>
        <w:trPr>
          <w:trHeight w:val="240"/>
        </w:trPr>
        <w:tc>
          <w:tcPr>
            <w:tcW w:w="7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894,721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390,718</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66,873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44,134</w:t>
            </w:r>
          </w:p>
        </w:tc>
      </w:tr>
      <w:tr>
        <w:trPr>
          <w:trHeight w:val="263"/>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Current maturities of long-term debt</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11,301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8"/>
                <w:szCs w:val="18"/>
                <w:color w:val="auto"/>
              </w:rPr>
              <w:t>—</w:t>
            </w:r>
          </w:p>
        </w:tc>
      </w:tr>
      <w:tr>
        <w:trPr>
          <w:trHeight w:val="277"/>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22,258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19,699</w:t>
            </w:r>
          </w:p>
        </w:tc>
      </w:tr>
      <w:tr>
        <w:trPr>
          <w:trHeight w:val="260"/>
        </w:trPr>
        <w:tc>
          <w:tcPr>
            <w:tcW w:w="7280" w:type="dxa"/>
            <w:vAlign w:val="bottom"/>
            <w:gridSpan w:val="2"/>
          </w:tcPr>
          <w:p>
            <w:pPr>
              <w:ind w:left="380"/>
              <w:spacing w:after="0"/>
              <w:rPr>
                <w:sz w:val="20"/>
                <w:szCs w:val="20"/>
                <w:color w:val="auto"/>
              </w:rPr>
            </w:pPr>
            <w:r>
              <w:rPr>
                <w:rFonts w:ascii="Arial" w:cs="Arial" w:eastAsia="Arial" w:hAnsi="Arial"/>
                <w:sz w:val="16"/>
                <w:szCs w:val="16"/>
                <w:color w:val="auto"/>
              </w:rPr>
              <w:t>Product warranties</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25,030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12,412</w:t>
            </w:r>
          </w:p>
        </w:tc>
      </w:tr>
      <w:tr>
        <w:trPr>
          <w:trHeight w:val="28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Self-insurance</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5,527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5,812</w:t>
            </w:r>
          </w:p>
        </w:tc>
      </w:tr>
      <w:tr>
        <w:trPr>
          <w:trHeight w:val="260"/>
        </w:trPr>
        <w:tc>
          <w:tcPr>
            <w:tcW w:w="7280" w:type="dxa"/>
            <w:vAlign w:val="bottom"/>
            <w:gridSpan w:val="2"/>
          </w:tcPr>
          <w:p>
            <w:pPr>
              <w:ind w:left="380"/>
              <w:spacing w:after="0"/>
              <w:rPr>
                <w:sz w:val="20"/>
                <w:szCs w:val="20"/>
                <w:color w:val="auto"/>
              </w:rPr>
            </w:pPr>
            <w:r>
              <w:rPr>
                <w:rFonts w:ascii="Arial" w:cs="Arial" w:eastAsia="Arial" w:hAnsi="Arial"/>
                <w:sz w:val="16"/>
                <w:szCs w:val="16"/>
                <w:color w:val="auto"/>
              </w:rPr>
              <w:t>Accrued loss on repurchases</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1,522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881</w:t>
            </w:r>
          </w:p>
        </w:tc>
      </w:tr>
      <w:tr>
        <w:trPr>
          <w:trHeight w:val="28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Promotional</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9,512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4,756</w:t>
            </w:r>
          </w:p>
        </w:tc>
      </w:tr>
      <w:tr>
        <w:trPr>
          <w:trHeight w:val="264"/>
        </w:trPr>
        <w:tc>
          <w:tcPr>
            <w:tcW w:w="728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9,664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5,236</w:t>
            </w:r>
          </w:p>
        </w:tc>
      </w:tr>
      <w:tr>
        <w:trPr>
          <w:trHeight w:val="257"/>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151,687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92,949</w:t>
            </w:r>
          </w:p>
        </w:tc>
      </w:tr>
      <w:tr>
        <w:trPr>
          <w:trHeight w:val="254"/>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Non-current liabilities:</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Long-term debt, less current maturities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318,164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2,461</w:t>
            </w:r>
          </w:p>
        </w:tc>
      </w:tr>
      <w:tr>
        <w:trPr>
          <w:trHeight w:val="22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compensation and postretirement health care benefits, net of current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4"/>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portion</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19,370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26,949</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959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57"/>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non-current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340,419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29,410</w:t>
            </w:r>
          </w:p>
        </w:tc>
      </w:tr>
      <w:tr>
        <w:trPr>
          <w:trHeight w:val="254"/>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Shareholders' equity:</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2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4"/>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79,205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32,717</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641,192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620,546</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Accumulated other comprehensive (loss) income</w:t>
            </w:r>
          </w:p>
        </w:tc>
        <w:tc>
          <w:tcPr>
            <w:tcW w:w="280" w:type="dxa"/>
            <w:vAlign w:val="bottom"/>
          </w:tcPr>
          <w:p>
            <w:pPr>
              <w:spacing w:after="0"/>
              <w:rPr>
                <w:sz w:val="22"/>
                <w:szCs w:val="22"/>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10,975</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at cost (20,190 and 24,875 shares)</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(342,770)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(421,767)</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shareholders' equity</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402,615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268,359</w:t>
            </w:r>
          </w:p>
        </w:tc>
      </w:tr>
      <w:tr>
        <w:trPr>
          <w:trHeight w:val="240"/>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894,721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390,718</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4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21"/>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9"/>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5"/>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12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25,</w:t>
            </w:r>
          </w:p>
        </w:tc>
        <w:tc>
          <w:tcPr>
            <w:tcW w:w="260" w:type="dxa"/>
            <w:vAlign w:val="bottom"/>
          </w:tcPr>
          <w:p>
            <w:pPr>
              <w:spacing w:after="0"/>
              <w:rPr>
                <w:sz w:val="17"/>
                <w:szCs w:val="17"/>
                <w:color w:val="auto"/>
              </w:rPr>
            </w:pP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February 27,</w:t>
            </w:r>
          </w:p>
        </w:tc>
      </w:tr>
      <w:tr>
        <w:trPr>
          <w:trHeight w:val="228"/>
        </w:trPr>
        <w:tc>
          <w:tcPr>
            <w:tcW w:w="77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r>
      <w:tr>
        <w:trPr>
          <w:trHeight w:val="27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27,016</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17,912</w:t>
            </w:r>
          </w:p>
        </w:tc>
      </w:tr>
      <w:tr>
        <w:trPr>
          <w:trHeight w:val="28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3,428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2,763</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12,418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Amortization of debt issuance costs</w:t>
            </w: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588</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1,266</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6,857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819</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24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(24,034)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(1,915)</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(502)</w:t>
            </w: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(11,232)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(22,592)</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Receivables, prepaid and other assets</w:t>
            </w:r>
          </w:p>
        </w:tc>
        <w:tc>
          <w:tcPr>
            <w:tcW w:w="24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(21,551)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(8,988)</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(4,631)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(1,456)</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16,131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5,265</w:t>
            </w:r>
          </w:p>
        </w:tc>
      </w:tr>
      <w:tr>
        <w:trPr>
          <w:trHeight w:val="273"/>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(1,430)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(1,972)</w:t>
            </w:r>
          </w:p>
        </w:tc>
      </w:tr>
      <w:tr>
        <w:trPr>
          <w:trHeight w:val="250"/>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5,142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(8,812)</w:t>
            </w:r>
          </w:p>
        </w:tc>
      </w:tr>
      <w:tr>
        <w:trPr>
          <w:trHeight w:val="284"/>
        </w:trPr>
        <w:tc>
          <w:tcPr>
            <w:tcW w:w="1260" w:type="dxa"/>
            <w:vAlign w:val="bottom"/>
            <w:shd w:val="clear" w:color="auto" w:fill="CCEEFF"/>
          </w:tcPr>
          <w:p>
            <w:pPr>
              <w:spacing w:after="0"/>
              <w:rPr>
                <w:sz w:val="24"/>
                <w:szCs w:val="24"/>
                <w:color w:val="auto"/>
              </w:rPr>
            </w:pPr>
          </w:p>
        </w:tc>
        <w:tc>
          <w:tcPr>
            <w:tcW w:w="64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(6,938)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(16,357)</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property</w:t>
            </w: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10</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(394,694)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Proceeds from life insurance</w:t>
            </w:r>
          </w:p>
        </w:tc>
        <w:tc>
          <w:tcPr>
            <w:tcW w:w="240" w:type="dxa"/>
            <w:vAlign w:val="bottom"/>
          </w:tcPr>
          <w:p>
            <w:pPr>
              <w:spacing w:after="0"/>
              <w:rPr>
                <w:sz w:val="22"/>
                <w:szCs w:val="22"/>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295</w:t>
            </w:r>
          </w:p>
        </w:tc>
      </w:tr>
      <w:tr>
        <w:trPr>
          <w:trHeight w:val="273"/>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w:t>
            </w:r>
          </w:p>
        </w:tc>
      </w:tr>
      <w:tr>
        <w:trPr>
          <w:trHeight w:val="250"/>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(400,947)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(16,055)</w:t>
            </w:r>
          </w:p>
        </w:tc>
      </w:tr>
      <w:tr>
        <w:trPr>
          <w:trHeight w:val="284"/>
        </w:trPr>
        <w:tc>
          <w:tcPr>
            <w:tcW w:w="1260" w:type="dxa"/>
            <w:vAlign w:val="bottom"/>
            <w:shd w:val="clear" w:color="auto" w:fill="CCEEFF"/>
          </w:tcPr>
          <w:p>
            <w:pPr>
              <w:spacing w:after="0"/>
              <w:rPr>
                <w:sz w:val="24"/>
                <w:szCs w:val="24"/>
                <w:color w:val="auto"/>
              </w:rPr>
            </w:pPr>
          </w:p>
        </w:tc>
        <w:tc>
          <w:tcPr>
            <w:tcW w:w="64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for repurchases of common stock</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(3,054)</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Payments of cash dividends</w:t>
            </w:r>
          </w:p>
        </w:tc>
        <w:tc>
          <w:tcPr>
            <w:tcW w:w="24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(6,370)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(5,455)</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of debt issuance costs</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(11,020)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Borrowings on credit facility</w:t>
            </w: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366,400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Repayments of credit facility</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(26,400)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w:t>
            </w:r>
          </w:p>
        </w:tc>
      </w:tr>
      <w:tr>
        <w:trPr>
          <w:trHeight w:val="25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321,153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(8,500)</w:t>
            </w:r>
          </w:p>
        </w:tc>
      </w:tr>
      <w:tr>
        <w:trPr>
          <w:trHeight w:val="284"/>
        </w:trPr>
        <w:tc>
          <w:tcPr>
            <w:tcW w:w="12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(74,652)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(33,367)</w:t>
            </w:r>
          </w:p>
        </w:tc>
      </w:tr>
      <w:tr>
        <w:trPr>
          <w:trHeight w:val="264"/>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85,583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70,239</w:t>
            </w:r>
          </w:p>
        </w:tc>
      </w:tr>
      <w:tr>
        <w:trPr>
          <w:trHeight w:val="24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10,931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36,872</w:t>
            </w:r>
          </w:p>
        </w:tc>
      </w:tr>
      <w:tr>
        <w:trPr>
          <w:trHeight w:val="20"/>
        </w:trPr>
        <w:tc>
          <w:tcPr>
            <w:tcW w:w="12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Income taxes paid, net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11,692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12,848</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Non-cash transactions:</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Issuance of Winnebago common stock for acquisition of business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124,066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51"/>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750</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18" w:right="239" w:bottom="1079"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079"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wholly-owned subsidiaries, as appropriate in the context.</w:t>
      </w:r>
    </w:p>
    <w:p>
      <w:pPr>
        <w:spacing w:after="0" w:line="16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 our website is www.winnebagoind.com. Our common stock trades on the NYSE under the symbol “WGO.”</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GAAP for interim financial information and with the instructions to Form 10-Q and Article 10 of Regulation S-X. As permitted under those rules, certain footnotes or other financial information that are normally required by GAAP can be condensed or omitted. In our opinion, the accompanying unaudited condensed consolidated financial statements contain all adjustments, consisting of normal recurring accruals, necessary to present fairly our consolidated financial position as of February 25, 2017 and the consolidated results of income and comprehensive income and consolidated cash flows for the first six months of Fiscal 2017 and 2016. The consolidated statement of income and comprehensive income for the first six months of Fiscal 2017 is not necessarily indicative of the results to be expected for the full year. These interim financial statements should be read in conjunction with the audited consolidated financial statements and notes thereto appearing in our Annual Report on Form 10-K for the fiscal year ended August 27, 2016.</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Both Fiscal 2017 and Fiscal 2016 are 52-week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Indefinite-Lived Intangible Asset</w:t>
      </w:r>
    </w:p>
    <w:p>
      <w:pPr>
        <w:spacing w:after="0" w:line="2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Goodwill resulted primarily from the Grand Design business combination and represents the excess of the purchase price over the fair value of tangible assets and identifiable intangible assets and liabilities assumed. Annually in the fourth quarter, or if conditions indicate an interim review is necessary, we assess qualitative factors to determine if it is more likely than not that the fair value of a reporting unit is less than its carrying amount and if it is necessary to perform the quantitative two-step goodwill impairment test. If we perform the quantitative test, we compare the carrying value of the reporting unit to an estimate of the reporting unit’s fair value to identify potential impairment. The estimate of the reporting unit’s fair value is determined by weighting a discounted cash flow model and a market-related model using current industry information that involve significant unobservable inputs (Level 3 inputs). In determining the estimated future cash flow, we consider and apply certain estimates and judgments, including current and projected future levels of income based on management’s plans, business trends, prospects and market and economic conditions and market-participant considerations. If the estimated fair value of the reporting unit is less than the carrying value, a second step is performed to determine the amount of the potential goodwill impairment. If impaired, goodwill is written down to its estimated implied fair value.</w:t>
      </w:r>
    </w:p>
    <w:p>
      <w:pPr>
        <w:spacing w:after="0" w:line="17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As of February 25, 2017, we had an indefinite-lived intangible asset for the trade name of $148.0 million, from the Grand Design acquisition. Annually in the fourth quarter, or if conditions indicate an interim review is necessary, we assess qualitative factors to determine if it is more likely than not that the fair value of an indefinite-lived intangible asset is less than its carrying amount. If we perform a quantitative test, projections regarding estimated discounted future cash flows and other factors are made to determine if impairment has occurred. These assumptions require significant judgment and actual results may differ from assumed and estimated amounts. If we conclude that there has been impairment, we will write down the carrying value of the asset to its fair value.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Intangible and Long-Lived Assets</w:t>
      </w:r>
    </w:p>
    <w:p>
      <w:pPr>
        <w:spacing w:after="0" w:line="2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Long-lived assets, which include property, plant and equipment, and definite-lived intangible assets, primarily the dealer network, are assessed for impairment whenever events or changes in circumstances indicate the carrying amount of the asset may not be recoverable. The impairment testing involves comparing the carrying amount of the asset to the forecasted undiscounted future cash flows generated by that asset. These assumptions require significant judgment and actual results may differ from assumed and estimated amounts. In the event the carrying amount of the asset exceeds the undiscounted future cash flows generated by that asset and the carrying amount is not considered recoverable, an impairment exists. An impairment loss is measured as the excess of the asset’s carrying amount over its fair value and is recognized in the statement of income in the period that the impairment occurs. The dealer network is amortized over its estimated useful life of 12 years. The reasonableness of the useful lives of this asset and other long-lived assets is regularly evaluated.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loss for the period ended February 25, 2017 for goodwill, indefinite- or definite-lived intangible assets, or long-lived assets.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14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Issuance Costs</w:t>
      </w:r>
    </w:p>
    <w:p>
      <w:pPr>
        <w:spacing w:after="0" w:line="2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incurred $0.8 million of costs in the three months ended November 26, 2016 and the six months ended February 25, 2017 related to our revolving credit agreement that are being amortized on a straight-line basis over the five year term of the agreement. We incurred $10.0 million and $10.2 million of costs in the three months ended November 26, 2016 and the six months ended February 25, 2017, respectively, related to the Term Loan that are being amortized on a straight-line basis (which is not materially different from an effective interest method) over the seven year term of the agreement. If early principal payments are made on the Term Loan, a proportional portion of the unamortized issuance costs will be expensed.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w:t>
      </w:r>
    </w:p>
    <w:p>
      <w:pPr>
        <w:spacing w:after="0" w:line="6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We use derivative instruments to hedge our floating interest rate exposure. Derivative instruments are accounted for at fair value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We have designated these derivatives as cash flow hedges for accounting purposes. Changes in fair value, for the effective portion of qualifying hedges, are recorded in OCI. We review the effectiveness of our hedging instruments on a quarterly basis, recognize current period hedge ineffectiveness immediately in earnings, and discontinue hedge accounting for any hedge that we no longer consider to be highly effective.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establishes a comprehensive new model for the recognition of revenue from contracts with customers. This model is based on the core principle that revenue should be recognized to depict the transfer of promised goods or services to customers in an amount that reflects the consideration to which the entity expects to be entitled in exchange for those goods or services. Entities have the option of using either retrospective transition or a modified approach in applying the new standard. The standard is effective for fiscal years, and the interim periods within those years, beginning after December 15, 2017 (our Fiscal 2019). We are currently evaluating the approach we will use to apply the new standard and the impact adopting this ASU will have on our consolidated financial statements.</w:t>
      </w:r>
    </w:p>
    <w:p>
      <w:pPr>
        <w:spacing w:after="0" w:line="162" w:lineRule="exact"/>
        <w:rPr>
          <w:sz w:val="20"/>
          <w:szCs w:val="20"/>
          <w:color w:val="auto"/>
        </w:rPr>
      </w:pPr>
    </w:p>
    <w:p>
      <w:pPr>
        <w:jc w:val="both"/>
        <w:ind w:right="80"/>
        <w:spacing w:after="0" w:line="258"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Interest - Imputation of Interest (Topic 835)</w:t>
      </w:r>
      <w:r>
        <w:rPr>
          <w:rFonts w:ascii="Arial" w:cs="Arial" w:eastAsia="Arial" w:hAnsi="Arial"/>
          <w:sz w:val="16"/>
          <w:szCs w:val="16"/>
          <w:color w:val="auto"/>
        </w:rPr>
        <w:t>, which requires that debt issuance costs related to a recognized debt liability be presented in the balance sheet as a direct deduction from the carrying amount of that debt liability. We adopted the standard during the first quarter of Fiscal 2017 and, accordingly, have presented unamortized debt issuance costs as a direct reduction allocated between Current maturities of long-term debt and Long-term debt, less current maturities on the Consolidated Balance Sheet as of February 25, 2017.</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xml:space="preserve"> which requires inventory measured using any method other than last-in, first-out (“LIFO”) or the retail inventory method to be subsequently measured at the lower of cost or net realizable value, rather than at the lower of cost or market. Under this ASU, subsequent measurement of inventory using the LIFO and retail inventory method is unchanged. ASU 2015-11 will become effective prospectively for fiscal years beginning after December 15, 2016 (our Fiscal 2018). We are currently evaluating the impact of adopting this ASU on our consolidated financial statements and do not expect adoption to have a material impact.</w:t>
      </w:r>
    </w:p>
    <w:p>
      <w:pPr>
        <w:spacing w:after="0" w:line="15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xml:space="preserve"> to simplify the accounting for measurement-period adjustments in a business combination. Under the new standard, an acquirer must recognize adjustments to provisional amounts in a business combination in the reporting period in which the adjustment amounts are determined, rather than retrospectively adjusting the provisional amounts recognized at the acquisition date with a corresponding adjustment to goodwill as under current guidance. ASU 2015-16 is effective prospectively for fiscal years, and the interim periods within those years, beginning after December 15, 2015 (our Fiscal 2017). We adopted this standard on August 28, 2016 and have accounted for all adjustments to provisional amounts in accordance with this guidance.</w:t>
      </w:r>
    </w:p>
    <w:p>
      <w:pPr>
        <w:spacing w:after="0" w:line="16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an entity to recognize both assets and liabilities arising from financing and operating leases, along with additional qualitative and quantitative disclosures. The new standard is effective retrospectively or on a modified retrospective basis for fiscal years beginning after December 15, 2018 (our Fiscal 2020), including interim periods within those annual reporting periods. Early adoption is permitted. We are currently evaluating the impact of adopting this ASU on our consolidated financial statements and do not expect adoption to have a material impact.</w:t>
      </w:r>
    </w:p>
    <w:p>
      <w:pPr>
        <w:spacing w:after="0" w:line="34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which simplifies several aspects of the accounting for employee share-based payment transactions, including the accounting for the related income taxes, forfeitures, statutory tax withholding requirements and classification in the statement of cash flows. ASU 2016-09 is effective for annual reporting periods beginning after December 15, 2016 (our Fiscal 2018), including interim periods within those annual reporting periods. Early adoption is permitted. We are currently evaluating the impact of adopting this ASU on our consolidated financial statements and do not expect adoption to have a material impact.</w:t>
      </w:r>
    </w:p>
    <w:p>
      <w:pPr>
        <w:spacing w:after="0" w:line="157" w:lineRule="exact"/>
        <w:rPr>
          <w:sz w:val="20"/>
          <w:szCs w:val="20"/>
          <w:color w:val="auto"/>
        </w:rPr>
      </w:pPr>
    </w:p>
    <w:p>
      <w:pPr>
        <w:jc w:val="both"/>
        <w:ind w:right="240"/>
        <w:spacing w:after="0" w:line="264"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Classification of Certain Cash Receipts and Cash Payments (Topic 230)</w:t>
      </w:r>
      <w:r>
        <w:rPr>
          <w:rFonts w:ascii="Arial" w:cs="Arial" w:eastAsia="Arial" w:hAnsi="Arial"/>
          <w:sz w:val="16"/>
          <w:szCs w:val="16"/>
          <w:color w:val="auto"/>
        </w:rPr>
        <w:t>, which provides guidance for eight specific cash flow issues with the objective of reducing the existing diversity in practice. ASU 2016-15 is effective retrospectively for annual reporting periods beginning after December 15, 2017 (our Fiscal 2019), including interim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periods within those annual reporting periods. Early adoption is permitted. We are currently evaluating the impact of adopting this ASU on our consolidated financial statements and do not expect adoption to have a material impact.</w:t>
      </w:r>
    </w:p>
    <w:p>
      <w:pPr>
        <w:spacing w:after="0" w:line="153" w:lineRule="exact"/>
        <w:rPr>
          <w:sz w:val="20"/>
          <w:szCs w:val="20"/>
          <w:color w:val="auto"/>
        </w:rPr>
      </w:pPr>
    </w:p>
    <w:p>
      <w:pPr>
        <w:jc w:val="both"/>
        <w:ind w:right="200"/>
        <w:spacing w:after="0" w:line="258"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 (Topic 350),</w:t>
      </w:r>
      <w:r>
        <w:rPr>
          <w:rFonts w:ascii="Arial" w:cs="Arial" w:eastAsia="Arial" w:hAnsi="Arial"/>
          <w:sz w:val="16"/>
          <w:szCs w:val="16"/>
          <w:color w:val="auto"/>
        </w:rPr>
        <w:t xml:space="preserve"> which eliminates the requirement to calculate the implied fair value of goodwill to measure a goodwill impairment change. ASU 2017-04 is effective prospectively for fiscal years, and the interim periods within those years, beginning after December 15, 2019 (our Fiscal 2021). We are currently evaluating the impact of adopting this ASU on our consolidated financial statements and do not expect adoption to have a material impact.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 Goodwill and Other Intangible Assets</w:t>
      </w:r>
    </w:p>
    <w:p>
      <w:pPr>
        <w:spacing w:after="0" w:line="228"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acquired 100% of the ownership interests of Grand Design on November 8, 2016 in accordance with the Securities Purchase Agreement for an aggregate purchase price of $520.5 million, which was paid in cash and Winnebago shares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8,</w:t>
            </w:r>
          </w:p>
        </w:tc>
      </w:tr>
      <w:tr>
        <w:trPr>
          <w:trHeight w:val="228"/>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shares)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396,442</w:t>
            </w:r>
          </w:p>
        </w:tc>
      </w:tr>
      <w:tr>
        <w:trPr>
          <w:trHeight w:val="264"/>
        </w:trPr>
        <w:tc>
          <w:tcPr>
            <w:tcW w:w="9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Winnebago shares: 4,586,555 at $27.05 per share</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124,066</w:t>
            </w:r>
          </w:p>
        </w:tc>
      </w:tr>
      <w:tr>
        <w:trPr>
          <w:trHeight w:val="24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520,508</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cash portion was funded from cash on hand and borrowings under our ABL and Term Loan agreements. The stock was valued using our share price on the date of closing.</w:t>
      </w:r>
    </w:p>
    <w:p>
      <w:pPr>
        <w:spacing w:after="0" w:line="19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The acquisition has been accounted for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using the acquisition method of accounting. Under the acquisition method of accounting, the total purchase price was allocated to the net tangible and intangible assets of Grand Design acquired, based on their fair values at the date of the acquisition. The estimated fair values are preliminary and based on the information that was available as of the date of the acquisition. We believe that the information provides a reasonable basis for estimating the fair values, but we are waiting for additional information necessary to finalize these amounts, particularly with respect to income taxes. Thus, the preliminary measurements of fair value reflected are subject to change. We expect to finalize the valuation and complete the purchase price allocation as soon as practicable, but no later than one year from the acquisition date. The preliminary allocation of the purchase price to assets acquired and liabilities assumed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8,</w:t>
            </w:r>
          </w:p>
        </w:tc>
      </w:tr>
      <w:tr>
        <w:trPr>
          <w:trHeight w:val="228"/>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1,748</w:t>
            </w:r>
          </w:p>
        </w:tc>
      </w:tr>
      <w:tr>
        <w:trPr>
          <w:trHeight w:val="260"/>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32,834</w:t>
            </w:r>
          </w:p>
        </w:tc>
      </w:tr>
      <w:tr>
        <w:trPr>
          <w:trHeight w:val="280"/>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15,300</w:t>
            </w:r>
          </w:p>
        </w:tc>
      </w:tr>
      <w:tr>
        <w:trPr>
          <w:trHeight w:val="260"/>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2,593</w:t>
            </w:r>
          </w:p>
        </w:tc>
      </w:tr>
      <w:tr>
        <w:trPr>
          <w:trHeight w:val="280"/>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8,998</w:t>
            </w:r>
          </w:p>
        </w:tc>
      </w:tr>
      <w:tr>
        <w:trPr>
          <w:trHeight w:val="260"/>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244,164</w:t>
            </w:r>
          </w:p>
        </w:tc>
      </w:tr>
      <w:tr>
        <w:trPr>
          <w:trHeight w:val="273"/>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intangible assets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253,100</w:t>
            </w:r>
          </w:p>
        </w:tc>
      </w:tr>
      <w:tr>
        <w:trPr>
          <w:trHeight w:val="247"/>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Total assets acquired</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558,737</w:t>
            </w:r>
          </w:p>
        </w:tc>
      </w:tr>
      <w:tr>
        <w:trPr>
          <w:trHeight w:val="293"/>
        </w:trPr>
        <w:tc>
          <w:tcPr>
            <w:tcW w:w="9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11,163</w:t>
            </w:r>
          </w:p>
        </w:tc>
      </w:tr>
      <w:tr>
        <w:trPr>
          <w:trHeight w:val="280"/>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3,615</w:t>
            </w:r>
          </w:p>
        </w:tc>
      </w:tr>
      <w:tr>
        <w:trPr>
          <w:trHeight w:val="260"/>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Product warranties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12,904</w:t>
            </w:r>
          </w:p>
        </w:tc>
      </w:tr>
      <w:tr>
        <w:trPr>
          <w:trHeight w:val="280"/>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Promotional</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r>
      <w:tr>
        <w:trPr>
          <w:trHeight w:val="260"/>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1,569</w:t>
            </w:r>
          </w:p>
        </w:tc>
      </w:tr>
      <w:tr>
        <w:trPr>
          <w:trHeight w:val="273"/>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5,002</w:t>
            </w:r>
          </w:p>
        </w:tc>
      </w:tr>
      <w:tr>
        <w:trPr>
          <w:trHeight w:val="247"/>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Total liabilities assumed</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38,229</w:t>
            </w:r>
          </w:p>
        </w:tc>
      </w:tr>
      <w:tr>
        <w:trPr>
          <w:trHeight w:val="293"/>
        </w:trPr>
        <w:tc>
          <w:tcPr>
            <w:tcW w:w="9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4"/>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Total purchase price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520,508</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acquisition of 100% of the ownership interests of Grand Design occurred in two steps: (1) direct purchase of 89.34% of Grand Design member interests and (2) simultaneous acquisition of the remaining 10.66% of Grand Design member interests via the purchase of 100% of the shares of SP GE VIII-B GD RV Blocker Corp. (Blocker Corp) which held the remaining 10.66% of the Grand Design member interests. We agreed to acquire Blocker Corp as part of the Securities Purchase Agreement and we did not receive a step-up in basis for 10.66% of the Grand Design assets. As a result, we established a deferred tax liability of $8.5 million on the opening balance sheet that relates to intangibles that will not be amortizable for tax purposes.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 xml:space="preserve">The goodwill recognized is primarily attributable to the value of the workforce, reputation of founders, customer and dealer growth opportunities and expected synergies. Key areas of cost synergies include increased purchasing power for raw materials, and supply chain consolidation. Goodwill is expected to be mostly deductible for tax purposes. The goodwill resulting from the acquisition of Grand Design increased total goodwill to $245.4 million within the Towable segment as of February 25, 2017 from $1.2 million as of August 27, 2016. As permitted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the change in the carrying amount of goodwill for the three months ended February 25, 2017 was due to purchase accounting adjustments of $5.8 million to tax related acquired balances.</w:t>
      </w:r>
    </w:p>
    <w:p>
      <w:pPr>
        <w:spacing w:after="0" w:line="17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allocation of the purchase price to the net assets acquired and liabilities assumed resulted in the recognition of intangible assets with fair value on the closing date of November 8, 2016 and amortization accumulated from the closing date through February 25, 2017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 Life-</w:t>
            </w:r>
          </w:p>
        </w:tc>
        <w:tc>
          <w:tcPr>
            <w:tcW w:w="320" w:type="dxa"/>
            <w:vAlign w:val="bottom"/>
          </w:tcPr>
          <w:p>
            <w:pPr>
              <w:spacing w:after="0"/>
              <w:rPr>
                <w:sz w:val="16"/>
                <w:szCs w:val="16"/>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r>
      <w:tr>
        <w:trPr>
          <w:trHeight w:val="228"/>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Amortization</w:t>
            </w:r>
          </w:p>
        </w:tc>
      </w:tr>
      <w:tr>
        <w:trPr>
          <w:trHeight w:val="257"/>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6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Indefinite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148,000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Dealer network</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80,500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2,003</w:t>
            </w:r>
          </w:p>
        </w:tc>
      </w:tr>
      <w:tr>
        <w:trPr>
          <w:trHeight w:val="280"/>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Backlog</w:t>
            </w:r>
          </w:p>
        </w:tc>
        <w:tc>
          <w:tcPr>
            <w:tcW w:w="1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9,924</w:t>
            </w:r>
          </w:p>
        </w:tc>
      </w:tr>
      <w:tr>
        <w:trPr>
          <w:trHeight w:val="26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Non-compete agreements</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4,600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418</w:t>
            </w:r>
          </w:p>
        </w:tc>
      </w:tr>
      <w:tr>
        <w:trPr>
          <w:trHeight w:val="27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Leasehold interest-favorable</w:t>
            </w:r>
          </w:p>
        </w:tc>
        <w:tc>
          <w:tcPr>
            <w:tcW w:w="1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r>
      <w:tr>
        <w:trPr>
          <w:trHeight w:val="28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253,100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12,418</w:t>
            </w:r>
          </w:p>
        </w:tc>
      </w:tr>
      <w:tr>
        <w:trPr>
          <w:trHeight w:val="247"/>
        </w:trPr>
        <w:tc>
          <w:tcPr>
            <w:tcW w:w="62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5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auto"/>
            </w:tcBorders>
            <w:shd w:val="clear" w:color="auto" w:fill="CCEEFF"/>
          </w:tcPr>
          <w:p>
            <w:pPr>
              <w:spacing w:after="0"/>
              <w:rPr>
                <w:sz w:val="21"/>
                <w:szCs w:val="21"/>
                <w:color w:val="auto"/>
              </w:rPr>
            </w:pPr>
          </w:p>
        </w:tc>
        <w:tc>
          <w:tcPr>
            <w:tcW w:w="1480" w:type="dxa"/>
            <w:vAlign w:val="bottom"/>
            <w:tcBorders>
              <w:top w:val="single" w:sz="8" w:color="CCEEFF"/>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(12,418)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r>
      <w:tr>
        <w:trPr>
          <w:trHeight w:val="24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Net book value of intangible assets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240,682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fair value of the trade name and dealer network were estimated using an income approach. Under the income approach, an intangible asset’s fair value is equal to the present value of future economic benefits to be derived from ownership of the asset. The fair value of the trade name was estimated using an income approach, specifically known as the relief from royalty method. The relief from royalty method is based on the hypothetical royalty stream that would be received if we were to license the trade name and was based on expected revenues. The fair value of the dealer network was estimated using an income approach, specifically the cost to recreate/cost savings method. This method uses the replacement of the asset as an indicator of the fair value of the asset. The useful life of the intangible assets was determined considering the period of expected cash flows used to measure the fair value of the intangible assets adjusted as appropriate for the entity-specific factors including legal, regulatory, contractual, competitive, economic or other factors that may limit the useful life of the intangible assets.</w:t>
      </w:r>
    </w:p>
    <w:p>
      <w:pPr>
        <w:spacing w:after="0" w:line="221" w:lineRule="exact"/>
        <w:rPr>
          <w:sz w:val="20"/>
          <w:szCs w:val="20"/>
          <w:color w:val="auto"/>
        </w:rPr>
      </w:pPr>
    </w:p>
    <w:p>
      <w:pPr>
        <w:ind w:right="480"/>
        <w:spacing w:after="0" w:line="288" w:lineRule="auto"/>
        <w:rPr>
          <w:sz w:val="20"/>
          <w:szCs w:val="20"/>
          <w:color w:val="auto"/>
        </w:rPr>
      </w:pPr>
      <w:r>
        <w:rPr>
          <w:rFonts w:ascii="Arial" w:cs="Arial" w:eastAsia="Arial" w:hAnsi="Arial"/>
          <w:sz w:val="16"/>
          <w:szCs w:val="16"/>
          <w:color w:val="auto"/>
        </w:rPr>
        <w:t>For the six months ended February 25, 2017 and February 27, 2016, amortization of intangible assets charged to operations was $12.4 million and $0, respectively. The weighted average remaining amortization period for intangible assets as of February 25, 2017 was approximately 9.6 years. Remaining estimated aggregate annual amortization expense by fiscal year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r>
      <w:tr>
        <w:trPr>
          <w:trHeight w:val="257"/>
        </w:trPr>
        <w:tc>
          <w:tcPr>
            <w:tcW w:w="9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Remainder of 2017</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12,242</w:t>
            </w:r>
          </w:p>
        </w:tc>
      </w:tr>
      <w:tr>
        <w:trPr>
          <w:trHeight w:val="260"/>
        </w:trPr>
        <w:tc>
          <w:tcPr>
            <w:tcW w:w="9640" w:type="dxa"/>
            <w:vAlign w:val="bottom"/>
          </w:tcPr>
          <w:p>
            <w:pPr>
              <w:ind w:left="4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7,854</w:t>
            </w:r>
          </w:p>
        </w:tc>
      </w:tr>
      <w:tr>
        <w:trPr>
          <w:trHeight w:val="280"/>
        </w:trPr>
        <w:tc>
          <w:tcPr>
            <w:tcW w:w="9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7,733</w:t>
            </w:r>
          </w:p>
        </w:tc>
      </w:tr>
      <w:tr>
        <w:trPr>
          <w:trHeight w:val="260"/>
        </w:trPr>
        <w:tc>
          <w:tcPr>
            <w:tcW w:w="9640" w:type="dxa"/>
            <w:vAlign w:val="bottom"/>
          </w:tcPr>
          <w:p>
            <w:pPr>
              <w:ind w:left="4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7,733</w:t>
            </w:r>
          </w:p>
        </w:tc>
      </w:tr>
      <w:tr>
        <w:trPr>
          <w:trHeight w:val="280"/>
        </w:trPr>
        <w:tc>
          <w:tcPr>
            <w:tcW w:w="9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7,733</w:t>
            </w:r>
          </w:p>
        </w:tc>
      </w:tr>
      <w:tr>
        <w:trPr>
          <w:trHeight w:val="260"/>
        </w:trPr>
        <w:tc>
          <w:tcPr>
            <w:tcW w:w="9640" w:type="dxa"/>
            <w:vAlign w:val="bottom"/>
          </w:tcPr>
          <w:p>
            <w:pPr>
              <w:ind w:left="4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7,106</w:t>
            </w:r>
          </w:p>
        </w:tc>
      </w:tr>
      <w:tr>
        <w:trPr>
          <w:trHeight w:val="280"/>
        </w:trPr>
        <w:tc>
          <w:tcPr>
            <w:tcW w:w="9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42,281</w:t>
            </w:r>
          </w:p>
        </w:tc>
      </w:tr>
    </w:tbl>
    <w:p>
      <w:pPr>
        <w:spacing w:after="0" w:line="21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Within the Towable segment, the results of Grand Design's operations have been included in our consolidated financial statements from the close of the acquisition. The following table provides net revenues and operating income (which includes amortization expense) from the Grand Design business included in our consolidated results during the six months ended February 25, 2017 following the November 8, 2016 closing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6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February 25, 2017</w:t>
            </w:r>
          </w:p>
        </w:tc>
      </w:tr>
      <w:tr>
        <w:trPr>
          <w:trHeight w:val="257"/>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63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169,421</w:t>
            </w:r>
          </w:p>
        </w:tc>
      </w:tr>
      <w:tr>
        <w:trPr>
          <w:trHeight w:val="251"/>
        </w:trPr>
        <w:tc>
          <w:tcPr>
            <w:tcW w:w="35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6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8,130</w:t>
            </w:r>
          </w:p>
        </w:tc>
      </w:tr>
      <w:tr>
        <w:trPr>
          <w:trHeight w:val="648"/>
        </w:trPr>
        <w:tc>
          <w:tcPr>
            <w:tcW w:w="3500" w:type="dxa"/>
            <w:vAlign w:val="bottom"/>
          </w:tcPr>
          <w:p>
            <w:pPr>
              <w:spacing w:after="0"/>
              <w:rPr>
                <w:sz w:val="24"/>
                <w:szCs w:val="24"/>
                <w:color w:val="auto"/>
              </w:rPr>
            </w:pPr>
          </w:p>
        </w:tc>
        <w:tc>
          <w:tcPr>
            <w:tcW w:w="6100" w:type="dxa"/>
            <w:vAlign w:val="bottom"/>
          </w:tcPr>
          <w:p>
            <w:pPr>
              <w:jc w:val="right"/>
              <w:ind w:right="375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Unaudited pro forma information has been prepared as if the acquisition had taken place on August 30, 2015. The unaudited pro forma information is not necessarily indicative of the results that we would have achieved had the transaction actually taken place on August 30, 2015, and the unaudited pro forma information does not purport to be indicative of future financial operating results. The unaudited pro forma condensed consolidated financial information does not reflect any operating efficiencies and cost savings that may be realized from the integration of the acquisitions. Unaudited pro forma information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25,</w:t>
            </w: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27,</w:t>
            </w: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25,</w:t>
            </w:r>
          </w:p>
        </w:tc>
        <w:tc>
          <w:tcPr>
            <w:tcW w:w="1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27,</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370,510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319,355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711,485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619,738</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20,884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6,960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41,153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8,157</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r>
      <w:tr>
        <w:trPr>
          <w:trHeight w:val="251"/>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Income per share - diluted</w:t>
            </w:r>
          </w:p>
        </w:tc>
        <w:tc>
          <w:tcPr>
            <w:tcW w:w="1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0.26</w:t>
            </w:r>
          </w:p>
        </w:tc>
      </w:tr>
    </w:tbl>
    <w:p>
      <w:pPr>
        <w:spacing w:after="0" w:line="210" w:lineRule="exact"/>
        <w:rPr>
          <w:sz w:val="20"/>
          <w:szCs w:val="20"/>
          <w:color w:val="auto"/>
        </w:rPr>
      </w:pPr>
    </w:p>
    <w:p>
      <w:pPr>
        <w:jc w:val="both"/>
        <w:ind w:right="80"/>
        <w:spacing w:after="0" w:line="260" w:lineRule="auto"/>
        <w:rPr>
          <w:sz w:val="20"/>
          <w:szCs w:val="20"/>
          <w:color w:val="auto"/>
        </w:rPr>
      </w:pPr>
      <w:r>
        <w:rPr>
          <w:rFonts w:ascii="Arial" w:cs="Arial" w:eastAsia="Arial" w:hAnsi="Arial"/>
          <w:sz w:val="16"/>
          <w:szCs w:val="16"/>
          <w:color w:val="auto"/>
        </w:rPr>
        <w:t>The unaudited pro forma data above includes the following significant non-recurring adjustments made to account for certain costs which would have changed if the acquisition of Grand Design had been completed on August 30, 2015: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25,</w:t>
            </w: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27,</w:t>
            </w: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25,</w:t>
            </w:r>
          </w:p>
        </w:tc>
        <w:tc>
          <w:tcPr>
            <w:tcW w:w="200" w:type="dxa"/>
            <w:vAlign w:val="bottom"/>
          </w:tcPr>
          <w:p>
            <w:pPr>
              <w:spacing w:after="0"/>
              <w:rPr>
                <w:sz w:val="17"/>
                <w:szCs w:val="17"/>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rPr>
              <w:t>February 27,</w:t>
            </w:r>
          </w:p>
        </w:tc>
      </w:tr>
      <w:tr>
        <w:trPr>
          <w:trHeight w:val="228"/>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257"/>
        </w:trPr>
        <w:tc>
          <w:tcPr>
            <w:tcW w:w="4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intangibles (1 year or less useful life)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(8,435)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8,435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(10,376)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17,143</w:t>
            </w:r>
          </w:p>
        </w:tc>
      </w:tr>
      <w:tr>
        <w:trPr>
          <w:trHeight w:val="260"/>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Increase in amortization of intangibles</w:t>
            </w:r>
          </w:p>
        </w:tc>
        <w:tc>
          <w:tcPr>
            <w:tcW w:w="200" w:type="dxa"/>
            <w:vAlign w:val="bottom"/>
          </w:tcPr>
          <w:p>
            <w:pPr>
              <w:spacing w:after="0"/>
              <w:rPr>
                <w:sz w:val="22"/>
                <w:szCs w:val="22"/>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1,933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3,866</w:t>
            </w:r>
          </w:p>
        </w:tc>
      </w:tr>
      <w:tr>
        <w:trPr>
          <w:trHeight w:val="280"/>
        </w:trPr>
        <w:tc>
          <w:tcPr>
            <w:tcW w:w="4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Expenses related to business combination (transaction costs)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6,303</w:t>
            </w:r>
          </w:p>
        </w:tc>
      </w:tr>
      <w:tr>
        <w:trPr>
          <w:trHeight w:val="260"/>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Interest to reflect new debt structure</w:t>
            </w:r>
          </w:p>
        </w:tc>
        <w:tc>
          <w:tcPr>
            <w:tcW w:w="200" w:type="dxa"/>
            <w:vAlign w:val="bottom"/>
          </w:tcPr>
          <w:p>
            <w:pPr>
              <w:spacing w:after="0"/>
              <w:rPr>
                <w:sz w:val="22"/>
                <w:szCs w:val="22"/>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4,937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3,672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9,895</w:t>
            </w:r>
          </w:p>
        </w:tc>
      </w:tr>
      <w:tr>
        <w:trPr>
          <w:trHeight w:val="228"/>
        </w:trPr>
        <w:tc>
          <w:tcPr>
            <w:tcW w:w="4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Taxes related to the adjustments to the pro forma data and to the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4"/>
        </w:trPr>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of Grand Design</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(5,730)</w:t>
            </w:r>
          </w:p>
        </w:tc>
      </w:tr>
    </w:tbl>
    <w:p>
      <w:pPr>
        <w:spacing w:after="0" w:line="24"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Pro forma transaction costs include $0.1 million incurred by Grand Design prior to acquisition.</w:t>
      </w:r>
    </w:p>
    <w:p>
      <w:pPr>
        <w:spacing w:after="0" w:line="176"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We incurred approximately $6.2 million of acquisition-related costs to date, of which $0.5 million and $5.9 million were expensed during the three and six months ended February 25, 2017 and $0.3 million was expensed in the three months ended August 27, 2016.</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Business Segments</w:t>
      </w:r>
    </w:p>
    <w:p>
      <w:pPr>
        <w:spacing w:after="0" w:line="198"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 xml:space="preserve">We report segment information based on the "management" approach defined in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management approach designates the internal reporting used by management for making decisions and assessing performance as the source of our reportable operating segments.</w:t>
      </w:r>
    </w:p>
    <w:p>
      <w:pPr>
        <w:spacing w:after="0" w:line="15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first quarter of Fiscal 2017, we revised our reporting segments. Previously we had one reporting segment which included all recreational vehicle products and services. With the acquisition of Grand Design in the first quarter, we expanded the number of reporting segments to two: (1) Motorized products and services and (2) Towable products and services. The Motorized segment includes all products that include a motorized chassis as well as other related manufactured products. The Towable segment includes all products which are not motorized and are generally towed by another vehicle. Prior year segment information has been restated to conform to the current reporting segment presentation.</w:t>
      </w:r>
    </w:p>
    <w:p>
      <w:pPr>
        <w:spacing w:after="0" w:line="176"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organize our business on a product basis. Each reportable segment is managed separately to better align to our customers, distribution partners and the unique market dynamics of the product groups. We have aggregated two operating segments into the Towable reporting segment based upon their similar products, customers, distribution methods, production processes and economic characteristics. The accounting policies of both reportable segments are the same and described in Note 1, "Summary of Significant Accounting Policies" in our annual report on Form 10-K for the year ended August 27, 2016.</w:t>
      </w:r>
    </w:p>
    <w:p>
      <w:pPr>
        <w:spacing w:after="0" w:line="176"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evaluate the performance of our reportable segments based on Adjusted EBITDA. Adjusted EBITDA is defined as earnings before interest, taxes, depreciation and amortization and other adjustments made in order to present comparable results from period to period. These types of adjustments are also specified in the definition of certain measures required under the terms of our Credit Facility. Examples of items excluded from Adjusted EBITDA include the postretirement health care benefit results from terminating the plan and the transaction costs related to our acquisition of Grand Design.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526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260" w:type="dxa"/>
            <w:vAlign w:val="bottom"/>
            <w:gridSpan w:val="3"/>
          </w:tcPr>
          <w:p>
            <w:pPr>
              <w:spacing w:after="0"/>
              <w:rPr>
                <w:sz w:val="20"/>
                <w:szCs w:val="20"/>
                <w:color w:val="auto"/>
              </w:rPr>
            </w:pPr>
            <w:r>
              <w:rPr>
                <w:rFonts w:ascii="Arial" w:cs="Arial" w:eastAsia="Arial" w:hAnsi="Arial"/>
                <w:sz w:val="16"/>
                <w:szCs w:val="16"/>
                <w:color w:val="auto"/>
              </w:rPr>
              <w:t>The following table shows information by reporting segment: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6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February 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27,</w:t>
            </w:r>
          </w:p>
        </w:tc>
        <w:tc>
          <w:tcPr>
            <w:tcW w:w="0" w:type="dxa"/>
            <w:vAlign w:val="bottom"/>
          </w:tcPr>
          <w:p>
            <w:pPr>
              <w:spacing w:after="0"/>
              <w:rPr>
                <w:sz w:val="1"/>
                <w:szCs w:val="1"/>
                <w:color w:val="auto"/>
              </w:rPr>
            </w:pPr>
          </w:p>
        </w:tc>
      </w:tr>
      <w:tr>
        <w:trPr>
          <w:trHeight w:val="228"/>
        </w:trPr>
        <w:tc>
          <w:tcPr>
            <w:tcW w:w="52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7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Motorized</w:t>
            </w: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198,936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205,138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394,061</w:t>
            </w:r>
          </w:p>
        </w:tc>
        <w:tc>
          <w:tcPr>
            <w:tcW w:w="8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402,478</w:t>
            </w:r>
          </w:p>
        </w:tc>
        <w:tc>
          <w:tcPr>
            <w:tcW w:w="0" w:type="dxa"/>
            <w:vAlign w:val="bottom"/>
          </w:tcPr>
          <w:p>
            <w:pPr>
              <w:spacing w:after="0"/>
              <w:rPr>
                <w:sz w:val="1"/>
                <w:szCs w:val="1"/>
                <w:color w:val="auto"/>
              </w:rPr>
            </w:pPr>
          </w:p>
        </w:tc>
      </w:tr>
      <w:tr>
        <w:trPr>
          <w:trHeight w:val="273"/>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171,574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20,534</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221,757</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37,417</w:t>
            </w:r>
          </w:p>
        </w:tc>
        <w:tc>
          <w:tcPr>
            <w:tcW w:w="0" w:type="dxa"/>
            <w:vAlign w:val="bottom"/>
          </w:tcPr>
          <w:p>
            <w:pPr>
              <w:spacing w:after="0"/>
              <w:rPr>
                <w:sz w:val="1"/>
                <w:szCs w:val="1"/>
                <w:color w:val="auto"/>
              </w:rPr>
            </w:pPr>
          </w:p>
        </w:tc>
      </w:tr>
      <w:tr>
        <w:trPr>
          <w:trHeight w:val="280"/>
        </w:trPr>
        <w:tc>
          <w:tcPr>
            <w:tcW w:w="5260" w:type="dxa"/>
            <w:vAlign w:val="bottom"/>
            <w:gridSpan w:val="3"/>
          </w:tcPr>
          <w:p>
            <w:pPr>
              <w:ind w:left="180"/>
              <w:spacing w:after="0"/>
              <w:rPr>
                <w:sz w:val="20"/>
                <w:szCs w:val="20"/>
                <w:color w:val="auto"/>
              </w:rPr>
            </w:pPr>
            <w:r>
              <w:rPr>
                <w:rFonts w:ascii="Arial" w:cs="Arial" w:eastAsia="Arial" w:hAnsi="Arial"/>
                <w:sz w:val="16"/>
                <w:szCs w:val="16"/>
                <w:color w:val="auto"/>
              </w:rPr>
              <w:t>Consolidated</w:t>
            </w: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370,510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225,672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615,818</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439,895</w:t>
            </w:r>
          </w:p>
        </w:tc>
        <w:tc>
          <w:tcPr>
            <w:tcW w:w="0" w:type="dxa"/>
            <w:vAlign w:val="bottom"/>
          </w:tcPr>
          <w:p>
            <w:pPr>
              <w:spacing w:after="0"/>
              <w:rPr>
                <w:sz w:val="1"/>
                <w:szCs w:val="1"/>
                <w:color w:val="auto"/>
              </w:rPr>
            </w:pPr>
          </w:p>
        </w:tc>
      </w:tr>
      <w:tr>
        <w:trPr>
          <w:trHeight w:val="267"/>
        </w:trPr>
        <w:tc>
          <w:tcPr>
            <w:tcW w:w="1260" w:type="dxa"/>
            <w:vAlign w:val="bottom"/>
            <w:tcBorders>
              <w:top w:val="single" w:sz="8" w:color="CCEEFF"/>
            </w:tcBorders>
            <w:shd w:val="clear" w:color="auto" w:fill="CCEEFF"/>
          </w:tcPr>
          <w:p>
            <w:pPr>
              <w:spacing w:after="0"/>
              <w:rPr>
                <w:sz w:val="23"/>
                <w:szCs w:val="23"/>
                <w:color w:val="auto"/>
              </w:rPr>
            </w:pPr>
          </w:p>
        </w:tc>
        <w:tc>
          <w:tcPr>
            <w:tcW w:w="39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Motorized</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9,117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11,740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19,140</w:t>
            </w:r>
          </w:p>
        </w:tc>
        <w:tc>
          <w:tcPr>
            <w:tcW w:w="8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23,464</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Towable</w:t>
            </w: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19,954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1,563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24,610</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2,623</w:t>
            </w:r>
          </w:p>
        </w:tc>
        <w:tc>
          <w:tcPr>
            <w:tcW w:w="0" w:type="dxa"/>
            <w:vAlign w:val="bottom"/>
          </w:tcPr>
          <w:p>
            <w:pPr>
              <w:spacing w:after="0"/>
              <w:rPr>
                <w:sz w:val="1"/>
                <w:szCs w:val="1"/>
                <w:color w:val="auto"/>
              </w:rPr>
            </w:pPr>
          </w:p>
        </w:tc>
      </w:tr>
      <w:tr>
        <w:trPr>
          <w:trHeight w:val="240"/>
        </w:trPr>
        <w:tc>
          <w:tcPr>
            <w:tcW w:w="52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29,071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13,303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43,750</w:t>
            </w:r>
          </w:p>
        </w:tc>
        <w:tc>
          <w:tcPr>
            <w:tcW w:w="8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26,087</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Motorized</w:t>
            </w: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1,953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12,994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5,099</w:t>
            </w:r>
          </w:p>
        </w:tc>
        <w:tc>
          <w:tcPr>
            <w:tcW w:w="8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15,866</w:t>
            </w:r>
          </w:p>
        </w:tc>
        <w:tc>
          <w:tcPr>
            <w:tcW w:w="0" w:type="dxa"/>
            <w:vAlign w:val="bottom"/>
          </w:tcPr>
          <w:p>
            <w:pPr>
              <w:spacing w:after="0"/>
              <w:rPr>
                <w:sz w:val="1"/>
                <w:szCs w:val="1"/>
                <w:color w:val="auto"/>
              </w:rPr>
            </w:pPr>
          </w:p>
        </w:tc>
      </w:tr>
      <w:tr>
        <w:trPr>
          <w:trHeight w:val="273"/>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1,423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254</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1,839</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80"/>
        </w:trPr>
        <w:tc>
          <w:tcPr>
            <w:tcW w:w="5260" w:type="dxa"/>
            <w:vAlign w:val="bottom"/>
            <w:gridSpan w:val="3"/>
          </w:tcPr>
          <w:p>
            <w:pPr>
              <w:ind w:left="180"/>
              <w:spacing w:after="0"/>
              <w:rPr>
                <w:sz w:val="20"/>
                <w:szCs w:val="20"/>
                <w:color w:val="auto"/>
              </w:rPr>
            </w:pPr>
            <w:r>
              <w:rPr>
                <w:rFonts w:ascii="Arial" w:cs="Arial" w:eastAsia="Arial" w:hAnsi="Arial"/>
                <w:sz w:val="16"/>
                <w:szCs w:val="16"/>
                <w:color w:val="auto"/>
              </w:rPr>
              <w:t>Consolidated</w:t>
            </w: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3,376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13,248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6,938</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16,357</w:t>
            </w:r>
          </w:p>
        </w:tc>
        <w:tc>
          <w:tcPr>
            <w:tcW w:w="0" w:type="dxa"/>
            <w:vAlign w:val="bottom"/>
          </w:tcPr>
          <w:p>
            <w:pPr>
              <w:spacing w:after="0"/>
              <w:rPr>
                <w:sz w:val="1"/>
                <w:szCs w:val="1"/>
                <w:color w:val="auto"/>
              </w:rPr>
            </w:pPr>
          </w:p>
        </w:tc>
      </w:tr>
      <w:tr>
        <w:trPr>
          <w:trHeight w:val="267"/>
        </w:trPr>
        <w:tc>
          <w:tcPr>
            <w:tcW w:w="1260" w:type="dxa"/>
            <w:vAlign w:val="bottom"/>
            <w:tcBorders>
              <w:top w:val="single" w:sz="8" w:color="CCEEFF"/>
            </w:tcBorders>
            <w:shd w:val="clear" w:color="auto" w:fill="CCEEFF"/>
          </w:tcPr>
          <w:p>
            <w:pPr>
              <w:spacing w:after="0"/>
              <w:rPr>
                <w:sz w:val="23"/>
                <w:szCs w:val="23"/>
                <w:color w:val="auto"/>
              </w:rPr>
            </w:pPr>
          </w:p>
        </w:tc>
        <w:tc>
          <w:tcPr>
            <w:tcW w:w="39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Motorized</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315,374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332,698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315,374</w:t>
            </w:r>
          </w:p>
        </w:tc>
        <w:tc>
          <w:tcPr>
            <w:tcW w:w="8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332,698</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Towable</w:t>
            </w: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579,347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27,644</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579,347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27,644</w:t>
            </w:r>
          </w:p>
        </w:tc>
        <w:tc>
          <w:tcPr>
            <w:tcW w:w="0" w:type="dxa"/>
            <w:vAlign w:val="bottom"/>
          </w:tcPr>
          <w:p>
            <w:pPr>
              <w:spacing w:after="0"/>
              <w:rPr>
                <w:sz w:val="1"/>
                <w:szCs w:val="1"/>
                <w:color w:val="auto"/>
              </w:rPr>
            </w:pPr>
          </w:p>
        </w:tc>
      </w:tr>
      <w:tr>
        <w:trPr>
          <w:trHeight w:val="240"/>
        </w:trPr>
        <w:tc>
          <w:tcPr>
            <w:tcW w:w="52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894,721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360,342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894,721</w:t>
            </w:r>
          </w:p>
        </w:tc>
        <w:tc>
          <w:tcPr>
            <w:tcW w:w="8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360,342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Reconciliation of net income to consolidated Adjusted EBITDA:</w:t>
            </w: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52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7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5"/>
          </w:tcPr>
          <w:p>
            <w:pPr>
              <w:ind w:left="220"/>
              <w:spacing w:after="0"/>
              <w:rPr>
                <w:sz w:val="20"/>
                <w:szCs w:val="20"/>
                <w:color w:val="auto"/>
              </w:rPr>
            </w:pPr>
            <w:r>
              <w:rPr>
                <w:rFonts w:ascii="Arial" w:cs="Arial" w:eastAsia="Arial" w:hAnsi="Arial"/>
                <w:sz w:val="16"/>
                <w:szCs w:val="16"/>
                <w:b w:val="1"/>
                <w:bCs w:val="1"/>
                <w:color w:val="auto"/>
              </w:rPr>
              <w:t>February 25,</w:t>
            </w:r>
          </w:p>
        </w:tc>
        <w:tc>
          <w:tcPr>
            <w:tcW w:w="180" w:type="dxa"/>
            <w:vAlign w:val="bottom"/>
          </w:tcPr>
          <w:p>
            <w:pPr>
              <w:spacing w:after="0"/>
              <w:rPr>
                <w:sz w:val="17"/>
                <w:szCs w:val="17"/>
                <w:color w:val="auto"/>
              </w:rPr>
            </w:pPr>
          </w:p>
        </w:tc>
        <w:tc>
          <w:tcPr>
            <w:tcW w:w="140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February 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February 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27,</w:t>
            </w:r>
          </w:p>
        </w:tc>
        <w:tc>
          <w:tcPr>
            <w:tcW w:w="0" w:type="dxa"/>
            <w:vAlign w:val="bottom"/>
          </w:tcPr>
          <w:p>
            <w:pPr>
              <w:spacing w:after="0"/>
              <w:rPr>
                <w:sz w:val="1"/>
                <w:szCs w:val="1"/>
                <w:color w:val="auto"/>
              </w:rPr>
            </w:pPr>
          </w:p>
        </w:tc>
      </w:tr>
      <w:tr>
        <w:trPr>
          <w:trHeight w:val="228"/>
        </w:trPr>
        <w:tc>
          <w:tcPr>
            <w:tcW w:w="5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7"/>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15,278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9,354</w:t>
            </w:r>
          </w:p>
        </w:tc>
        <w:tc>
          <w:tcPr>
            <w:tcW w:w="1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27,016</w:t>
            </w:r>
          </w:p>
        </w:tc>
        <w:tc>
          <w:tcPr>
            <w:tcW w:w="8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17,912</w:t>
            </w:r>
          </w:p>
        </w:tc>
        <w:tc>
          <w:tcPr>
            <w:tcW w:w="0" w:type="dxa"/>
            <w:vAlign w:val="bottom"/>
          </w:tcPr>
          <w:p>
            <w:pPr>
              <w:spacing w:after="0"/>
              <w:rPr>
                <w:sz w:val="1"/>
                <w:szCs w:val="1"/>
                <w:color w:val="auto"/>
              </w:rPr>
            </w:pPr>
          </w:p>
        </w:tc>
      </w:tr>
      <w:tr>
        <w:trPr>
          <w:trHeight w:val="260"/>
        </w:trPr>
        <w:tc>
          <w:tcPr>
            <w:tcW w:w="5260" w:type="dxa"/>
            <w:vAlign w:val="bottom"/>
            <w:gridSpan w:val="3"/>
          </w:tcPr>
          <w:p>
            <w:pPr>
              <w:ind w:left="1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5,178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6,306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2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4,131</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13,536</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8,467</w:t>
            </w:r>
          </w:p>
        </w:tc>
        <w:tc>
          <w:tcPr>
            <w:tcW w:w="0" w:type="dxa"/>
            <w:vAlign w:val="bottom"/>
          </w:tcPr>
          <w:p>
            <w:pPr>
              <w:spacing w:after="0"/>
              <w:rPr>
                <w:sz w:val="1"/>
                <w:szCs w:val="1"/>
                <w:color w:val="auto"/>
              </w:rPr>
            </w:pPr>
          </w:p>
        </w:tc>
      </w:tr>
      <w:tr>
        <w:trPr>
          <w:trHeight w:val="260"/>
        </w:trPr>
        <w:tc>
          <w:tcPr>
            <w:tcW w:w="5260" w:type="dxa"/>
            <w:vAlign w:val="bottom"/>
            <w:gridSpan w:val="3"/>
          </w:tcPr>
          <w:p>
            <w:pPr>
              <w:ind w:left="18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1,393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3,428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2,763</w:t>
            </w:r>
          </w:p>
        </w:tc>
        <w:tc>
          <w:tcPr>
            <w:tcW w:w="0" w:type="dxa"/>
            <w:vAlign w:val="bottom"/>
          </w:tcPr>
          <w:p>
            <w:pPr>
              <w:spacing w:after="0"/>
              <w:rPr>
                <w:sz w:val="1"/>
                <w:szCs w:val="1"/>
                <w:color w:val="auto"/>
              </w:rPr>
            </w:pPr>
          </w:p>
        </w:tc>
      </w:tr>
      <w:tr>
        <w:trPr>
          <w:trHeight w:val="273"/>
        </w:trPr>
        <w:tc>
          <w:tcPr>
            <w:tcW w:w="52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10,367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12,418</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EBITDA</w:t>
            </w:r>
          </w:p>
        </w:tc>
        <w:tc>
          <w:tcPr>
            <w:tcW w:w="2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40,587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14,878</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62,704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29,142</w:t>
            </w:r>
          </w:p>
        </w:tc>
        <w:tc>
          <w:tcPr>
            <w:tcW w:w="0" w:type="dxa"/>
            <w:vAlign w:val="bottom"/>
          </w:tcPr>
          <w:p>
            <w:pPr>
              <w:spacing w:after="0"/>
              <w:rPr>
                <w:sz w:val="1"/>
                <w:szCs w:val="1"/>
                <w:color w:val="auto"/>
              </w:rPr>
            </w:pPr>
          </w:p>
        </w:tc>
      </w:tr>
      <w:tr>
        <w:trPr>
          <w:trHeight w:val="280"/>
        </w:trPr>
        <w:tc>
          <w:tcPr>
            <w:tcW w:w="52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(2,938)</w:t>
            </w:r>
          </w:p>
        </w:tc>
        <w:tc>
          <w:tcPr>
            <w:tcW w:w="0" w:type="dxa"/>
            <w:vAlign w:val="bottom"/>
          </w:tcPr>
          <w:p>
            <w:pPr>
              <w:spacing w:after="0"/>
              <w:rPr>
                <w:sz w:val="1"/>
                <w:szCs w:val="1"/>
                <w:color w:val="auto"/>
              </w:rPr>
            </w:pPr>
          </w:p>
        </w:tc>
      </w:tr>
      <w:tr>
        <w:trPr>
          <w:trHeight w:val="260"/>
        </w:trPr>
        <w:tc>
          <w:tcPr>
            <w:tcW w:w="5260" w:type="dxa"/>
            <w:vAlign w:val="bottom"/>
            <w:gridSpan w:val="3"/>
          </w:tcPr>
          <w:p>
            <w:pPr>
              <w:ind w:left="18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5,925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52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Non-operating expense (income)</w:t>
            </w:r>
          </w:p>
        </w:tc>
        <w:tc>
          <w:tcPr>
            <w:tcW w:w="2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4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29,071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13,303</w:t>
            </w:r>
          </w:p>
        </w:tc>
        <w:tc>
          <w:tcPr>
            <w:tcW w:w="12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43,750</w:t>
            </w:r>
          </w:p>
        </w:tc>
        <w:tc>
          <w:tcPr>
            <w:tcW w:w="80" w:type="dxa"/>
            <w:vAlign w:val="bottom"/>
          </w:tcPr>
          <w:p>
            <w:pPr>
              <w:spacing w:after="0"/>
              <w:rPr>
                <w:sz w:val="20"/>
                <w:szCs w:val="20"/>
                <w:color w:val="auto"/>
              </w:rPr>
            </w:pPr>
          </w:p>
        </w:tc>
        <w:tc>
          <w:tcPr>
            <w:tcW w:w="2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26,087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w:t>
      </w:r>
      <w:r>
        <w:rPr>
          <w:rFonts w:ascii="Arial" w:cs="Arial" w:eastAsia="Arial" w:hAnsi="Arial"/>
          <w:sz w:val="18"/>
          <w:szCs w:val="18"/>
          <w:b w:val="1"/>
          <w:bCs w:val="1"/>
          <w:color w:val="auto"/>
        </w:rPr>
        <w:t>:</w:t>
      </w:r>
      <w:r>
        <w:rPr>
          <w:rFonts w:ascii="Arial" w:cs="Arial" w:eastAsia="Arial" w:hAnsi="Arial"/>
          <w:sz w:val="16"/>
          <w:szCs w:val="16"/>
          <w:b w:val="1"/>
          <w:bCs w:val="1"/>
          <w:color w:val="auto"/>
        </w:rPr>
        <w:t xml:space="preserve"> Concentration Risk</w:t>
      </w:r>
    </w:p>
    <w:p>
      <w:pPr>
        <w:spacing w:after="0" w:line="218"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One of our dealer organizations, La Mesa RV Center, Inc., accounted for 13.7% and 16.4% of our consolidated net revenues for the first six months of Fiscal 2017 and Fiscal 2016, respectively. A second dealer organization, FreedomRoads, LLC, accounted for 11.8% and 21.2% of our consolidated net revenues for the first six months of Fiscal 2017 and Fiscal 2016, respectively. These dealers declined on a relative basis due to the growth of other dealers and due to the addition of Grand Design revenue in Fiscal 2017. The loss of either or both of these dealer organizations could have a significant adverse effect on our business. In addition, deterioration in the liquidity or creditworthiness of these dealers could negatively impact our sales and could trigger repurchase obligations under our repurchase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Derivatives,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2"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and liabilities that were accounted for at fair value on a recurring basis at February 25, 2017 and August 27, 2016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11"/>
          </w:tcPr>
          <w:p>
            <w:pPr>
              <w:jc w:val="center"/>
              <w:ind w:left="939"/>
              <w:spacing w:after="0"/>
              <w:rPr>
                <w:sz w:val="20"/>
                <w:szCs w:val="20"/>
                <w:color w:val="auto"/>
              </w:rPr>
            </w:pPr>
            <w:r>
              <w:rPr>
                <w:rFonts w:ascii="Arial" w:cs="Arial" w:eastAsia="Arial" w:hAnsi="Arial"/>
                <w:sz w:val="16"/>
                <w:szCs w:val="16"/>
                <w:b w:val="1"/>
                <w:bCs w:val="1"/>
                <w:color w:val="auto"/>
              </w:rPr>
              <w:t>Fair Value Measurements</w:t>
            </w:r>
          </w:p>
        </w:tc>
        <w:tc>
          <w:tcPr>
            <w:tcW w:w="1280" w:type="dxa"/>
            <w:vAlign w:val="bottom"/>
          </w:tcPr>
          <w:p>
            <w:pPr>
              <w:spacing w:after="0"/>
              <w:rPr>
                <w:sz w:val="16"/>
                <w:szCs w:val="16"/>
                <w:color w:val="auto"/>
              </w:rPr>
            </w:pPr>
          </w:p>
        </w:tc>
      </w:tr>
      <w:tr>
        <w:trPr>
          <w:trHeight w:val="228"/>
        </w:trPr>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11"/>
          </w:tcPr>
          <w:p>
            <w:pPr>
              <w:jc w:val="center"/>
              <w:ind w:left="959"/>
              <w:spacing w:after="0"/>
              <w:rPr>
                <w:sz w:val="20"/>
                <w:szCs w:val="20"/>
                <w:color w:val="auto"/>
              </w:rPr>
            </w:pPr>
            <w:r>
              <w:rPr>
                <w:rFonts w:ascii="Arial" w:cs="Arial" w:eastAsia="Arial" w:hAnsi="Arial"/>
                <w:sz w:val="16"/>
                <w:szCs w:val="16"/>
                <w:b w:val="1"/>
                <w:bCs w:val="1"/>
                <w:color w:val="auto"/>
              </w:rPr>
              <w:t>Using Inputs Considered As</w:t>
            </w:r>
          </w:p>
        </w:tc>
        <w:tc>
          <w:tcPr>
            <w:tcW w:w="1280" w:type="dxa"/>
            <w:vAlign w:val="bottom"/>
            <w:tcBorders>
              <w:bottom w:val="single" w:sz="8" w:color="auto"/>
            </w:tcBorders>
          </w:tcPr>
          <w:p>
            <w:pPr>
              <w:spacing w:after="0"/>
              <w:rPr>
                <w:sz w:val="19"/>
                <w:szCs w:val="19"/>
                <w:color w:val="auto"/>
              </w:rPr>
            </w:pPr>
          </w:p>
        </w:tc>
      </w:tr>
      <w:tr>
        <w:trPr>
          <w:trHeight w:val="198"/>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rPr>
              <w:t>Level 1 Quoted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Level 3</w:t>
            </w:r>
          </w:p>
        </w:tc>
      </w:t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Fair Value at</w:t>
            </w:r>
          </w:p>
        </w:tc>
        <w:tc>
          <w:tcPr>
            <w:tcW w:w="40" w:type="dxa"/>
            <w:vAlign w:val="bottom"/>
          </w:tcPr>
          <w:p>
            <w:pPr>
              <w:spacing w:after="0"/>
              <w:rPr>
                <w:sz w:val="16"/>
                <w:szCs w:val="16"/>
                <w:color w:val="auto"/>
              </w:rPr>
            </w:pPr>
          </w:p>
        </w:tc>
        <w:tc>
          <w:tcPr>
            <w:tcW w:w="152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Prices in Active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rPr>
              <w:t>Level 2 Significant</w:t>
            </w:r>
          </w:p>
        </w:tc>
        <w:tc>
          <w:tcPr>
            <w:tcW w:w="18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rPr>
              <w:t>February 25,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99"/>
              <w:spacing w:after="0"/>
              <w:rPr>
                <w:sz w:val="20"/>
                <w:szCs w:val="20"/>
                <w:color w:val="auto"/>
              </w:rPr>
            </w:pPr>
            <w:r>
              <w:rPr>
                <w:rFonts w:ascii="Arial" w:cs="Arial" w:eastAsia="Arial" w:hAnsi="Arial"/>
                <w:sz w:val="16"/>
                <w:szCs w:val="16"/>
                <w:b w:val="1"/>
                <w:bCs w:val="1"/>
                <w:color w:val="auto"/>
                <w:w w:val="99"/>
              </w:rPr>
              <w:t>Markets for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4"/>
          </w:tcPr>
          <w:p>
            <w:pPr>
              <w:jc w:val="center"/>
              <w:ind w:right="5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Inputs</w:t>
            </w:r>
          </w:p>
        </w:tc>
      </w:tr>
      <w:tr>
        <w:trPr>
          <w:trHeight w:val="257"/>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Cash equivalents </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0"/>
        </w:trPr>
        <w:tc>
          <w:tcPr>
            <w:tcW w:w="4860" w:type="dxa"/>
            <w:vAlign w:val="bottom"/>
            <w:gridSpan w:val="2"/>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2,799</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2,707</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0"/>
        </w:trPr>
        <w:tc>
          <w:tcPr>
            <w:tcW w:w="4860" w:type="dxa"/>
            <w:vAlign w:val="bottom"/>
            <w:gridSpan w:val="2"/>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80"/>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6"/>
                <w:szCs w:val="16"/>
                <w:color w:val="auto"/>
              </w:rPr>
              <w:t>Interest rate swap contract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(709)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40"/>
        </w:trPr>
        <w:tc>
          <w:tcPr>
            <w:tcW w:w="4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 (liabilities) at fair value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7"/>
        </w:trPr>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60" w:type="dxa"/>
            <w:vAlign w:val="bottom"/>
            <w:gridSpan w:val="10"/>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1280" w:type="dxa"/>
            <w:vAlign w:val="bottom"/>
          </w:tcPr>
          <w:p>
            <w:pPr>
              <w:spacing w:after="0"/>
              <w:rPr>
                <w:sz w:val="24"/>
                <w:szCs w:val="24"/>
                <w:color w:val="auto"/>
              </w:rPr>
            </w:pPr>
          </w:p>
        </w:tc>
      </w:tr>
      <w:tr>
        <w:trPr>
          <w:trHeight w:val="228"/>
        </w:trPr>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12"/>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Level 1 Quoted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8"/>
              </w:rPr>
              <w:t>Fair Value at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Prices in Active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August 27,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Markets for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48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Identical Assets</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Inputs</w:t>
            </w:r>
          </w:p>
        </w:tc>
      </w:tr>
      <w:tr>
        <w:trPr>
          <w:trHeight w:val="257"/>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Cash equivalents </w:t>
            </w:r>
            <w:r>
              <w:rPr>
                <w:rFonts w:ascii="Arial" w:cs="Arial" w:eastAsia="Arial" w:hAnsi="Arial"/>
                <w:sz w:val="21"/>
                <w:szCs w:val="21"/>
                <w:color w:val="auto"/>
                <w:vertAlign w:val="superscript"/>
              </w:rPr>
              <w:t>(1)</w:t>
            </w:r>
          </w:p>
        </w:tc>
        <w:tc>
          <w:tcPr>
            <w:tcW w:w="48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77,234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77,234</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0"/>
        </w:trPr>
        <w:tc>
          <w:tcPr>
            <w:tcW w:w="4860" w:type="dxa"/>
            <w:vAlign w:val="bottom"/>
            <w:gridSpan w:val="2"/>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3,587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3,515</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0"/>
        </w:trPr>
        <w:tc>
          <w:tcPr>
            <w:tcW w:w="4860" w:type="dxa"/>
            <w:vAlign w:val="bottom"/>
            <w:gridSpan w:val="2"/>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258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80"/>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4"/>
        </w:trPr>
        <w:tc>
          <w:tcPr>
            <w:tcW w:w="48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Interest rate swap contract</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r>
      <w:tr>
        <w:trPr>
          <w:trHeight w:val="240"/>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48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81,344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81,180</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right="120" w:hanging="332"/>
        <w:spacing w:after="0" w:line="218"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Cash equivalent balances valued using Level 1 inputs include only those accounts that may fluctuate in value. Cash in disbursing accounts and on-demand accounts are not included above.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 and are included in cash and cash equivalents on the accompanying consolidated balance sheets.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 majority of securities are classified as Level 1 as they are traded in an active market for which closing stock prices are readily available. These securities fund the Executive Share Option Plan and the Executive Deferred Compensation Plan (see Note 10). The proportion of the assets that will fund options which expire within a year are included in prepaid expenses and other current assets in the accompanying consolidated balance sheets. The remaining assets are classified as noncurrent and are included in other assets.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Contract</w:t>
      </w:r>
    </w:p>
    <w:p>
      <w:pPr>
        <w:spacing w:after="0" w:line="2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Under terms of our Credit Facility (see Note 9) we are required to hedge a portion of the floating interest rate exposure. In accordance with this requirement, we entered into an interest swap contract on January 23, 2017, which effectively fixed our interest rate on $200.0 million of our Term Loan at 6.32%. The notional amount of the swap decreases to $170.0 million on December 8, 2017, $120.0 million on December 10, 2018, and $60.0 million on December 9, 2019 and expires on December 8, 2020.</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fair value of the interest rate swap based on a Level 2 valuation was $0.7 million as of February 25, 2017. The fair value is classified as Level 2 as it is corroborated based on observable market data. This amount is included in other non-current liabilities and accumulated other comprehensive income on the consolidated balance sheet since the interest rate swap has been designated for hedge accounting.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non-financial assets, which include goodwill, intangible assets,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six months of Fiscal 2017, no impairments were recorded for non-financial assets.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our debt as of February 25, 2017 approximates fair value as interest is at variable market rates.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Note 6: Inventories</w:t>
            </w:r>
          </w:p>
        </w:tc>
        <w:tc>
          <w:tcPr>
            <w:tcW w:w="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51"/>
        </w:trPr>
        <w:tc>
          <w:tcPr>
            <w:tcW w:w="6780" w:type="dxa"/>
            <w:vAlign w:val="bottom"/>
            <w:gridSpan w:val="2"/>
          </w:tcPr>
          <w:p>
            <w:pPr>
              <w:spacing w:after="0"/>
              <w:rPr>
                <w:sz w:val="20"/>
                <w:szCs w:val="20"/>
                <w:color w:val="auto"/>
              </w:rPr>
            </w:pPr>
            <w:r>
              <w:rPr>
                <w:rFonts w:ascii="Arial" w:cs="Arial" w:eastAsia="Arial" w:hAnsi="Arial"/>
                <w:sz w:val="16"/>
                <w:szCs w:val="16"/>
                <w:color w:val="auto"/>
              </w:rPr>
              <w:t>Inventories consist of the following:</w:t>
            </w: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6"/>
        </w:trPr>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2"/>
          </w:tcPr>
          <w:p>
            <w:pPr>
              <w:ind w:left="260"/>
              <w:spacing w:after="0"/>
              <w:rPr>
                <w:sz w:val="20"/>
                <w:szCs w:val="20"/>
                <w:color w:val="auto"/>
              </w:rPr>
            </w:pPr>
            <w:r>
              <w:rPr>
                <w:rFonts w:ascii="Arial" w:cs="Arial" w:eastAsia="Arial" w:hAnsi="Arial"/>
                <w:sz w:val="16"/>
                <w:szCs w:val="16"/>
                <w:b w:val="1"/>
                <w:bCs w:val="1"/>
                <w:color w:val="auto"/>
              </w:rPr>
              <w:t>February 25,</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2016</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35,070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19,129</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Work-in-process</w:t>
            </w:r>
          </w:p>
        </w:tc>
        <w:tc>
          <w:tcPr>
            <w:tcW w:w="380" w:type="dxa"/>
            <w:vAlign w:val="bottom"/>
          </w:tcPr>
          <w:p>
            <w:pPr>
              <w:spacing w:after="0"/>
              <w:rPr>
                <w:sz w:val="22"/>
                <w:szCs w:val="22"/>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77,346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76,350</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70,335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60,740</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21"/>
                <w:szCs w:val="21"/>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182,751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156,219</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(34,295)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(33,697)</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inventories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148,456</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122,522</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$182.8 million and</w:t>
      </w:r>
    </w:p>
    <w:p>
      <w:pPr>
        <w:spacing w:after="0" w:line="5"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$156.2 million inventory at February 25, 2017 and August 27, 2016, respectively, $158.5 million and $149.4 million is valued on a LIFO basis; the remaining inventories of $24.3 million and $6.8 million at February 25, 2017 and August 27, 2016, respectively, are valued on a FIFO basis.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2"/>
          </w:tcPr>
          <w:p>
            <w:pPr>
              <w:ind w:left="260"/>
              <w:spacing w:after="0"/>
              <w:rPr>
                <w:sz w:val="20"/>
                <w:szCs w:val="20"/>
                <w:color w:val="auto"/>
              </w:rPr>
            </w:pPr>
            <w:r>
              <w:rPr>
                <w:rFonts w:ascii="Arial" w:cs="Arial" w:eastAsia="Arial" w:hAnsi="Arial"/>
                <w:sz w:val="16"/>
                <w:szCs w:val="16"/>
                <w:b w:val="1"/>
                <w:bCs w:val="1"/>
                <w:color w:val="auto"/>
              </w:rPr>
              <w:t>February 25,</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2016</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4,047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3,864</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Buildings and building improvements</w:t>
            </w:r>
          </w:p>
        </w:tc>
        <w:tc>
          <w:tcPr>
            <w:tcW w:w="380" w:type="dxa"/>
            <w:vAlign w:val="bottom"/>
          </w:tcPr>
          <w:p>
            <w:pPr>
              <w:spacing w:after="0"/>
              <w:rPr>
                <w:sz w:val="22"/>
                <w:szCs w:val="22"/>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70,424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62,073</w:t>
            </w:r>
          </w:p>
        </w:tc>
      </w:tr>
      <w:tr>
        <w:trPr>
          <w:trHeight w:val="280"/>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98,883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95,087</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Software</w:t>
            </w:r>
          </w:p>
        </w:tc>
        <w:tc>
          <w:tcPr>
            <w:tcW w:w="380" w:type="dxa"/>
            <w:vAlign w:val="bottom"/>
          </w:tcPr>
          <w:p>
            <w:pPr>
              <w:spacing w:after="0"/>
              <w:rPr>
                <w:sz w:val="22"/>
                <w:szCs w:val="22"/>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17,965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15,878</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9,187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8,956</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380" w:type="dxa"/>
            <w:vAlign w:val="bottom"/>
          </w:tcPr>
          <w:p>
            <w:pPr>
              <w:spacing w:after="0"/>
              <w:rPr>
                <w:sz w:val="21"/>
                <w:szCs w:val="21"/>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200,506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185,858</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(132,648)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(129,927)</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67,858</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55,931</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On November 8, 2016, with the acquisition of Grand Design, we acquired $9.0 million of property, plant and equipment.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214"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We provide service and warranty policies on our products. From time to time, we also voluntarily incur costs for certain warranty-type expenses occurring after the normal warranty period to help protect the reputation of our products and the goodwill of our customers. Warranty expense is affected by dealership labor rates, the cost of parts and the frequency of claims. Estimated costs related to product warranty are accrued at the time of sale and are based upon historical warranty and service claims experience. Adjustments are made to accruals as claim data and cost experience becomes available.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45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60"/>
        </w:trPr>
        <w:tc>
          <w:tcPr>
            <w:tcW w:w="4540" w:type="dxa"/>
            <w:vAlign w:val="bottom"/>
            <w:gridSpan w:val="3"/>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1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12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25,</w:t>
            </w:r>
          </w:p>
        </w:tc>
        <w:tc>
          <w:tcPr>
            <w:tcW w:w="20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27,</w:t>
            </w:r>
          </w:p>
        </w:tc>
        <w:tc>
          <w:tcPr>
            <w:tcW w:w="22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25,</w:t>
            </w:r>
          </w:p>
        </w:tc>
        <w:tc>
          <w:tcPr>
            <w:tcW w:w="220" w:type="dxa"/>
            <w:vAlign w:val="bottom"/>
          </w:tcPr>
          <w:p>
            <w:pPr>
              <w:spacing w:after="0"/>
              <w:rPr>
                <w:sz w:val="17"/>
                <w:szCs w:val="17"/>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rPr>
              <w:t>February 27,</w:t>
            </w:r>
          </w:p>
        </w:tc>
      </w:tr>
      <w:tr>
        <w:trPr>
          <w:trHeight w:val="228"/>
        </w:trPr>
        <w:tc>
          <w:tcPr>
            <w:tcW w:w="44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r>
      <w:tr>
        <w:trPr>
          <w:trHeight w:val="257"/>
        </w:trPr>
        <w:tc>
          <w:tcPr>
            <w:tcW w:w="4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24,551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11,585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12,412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11,254</w:t>
            </w:r>
          </w:p>
        </w:tc>
      </w:tr>
      <w:tr>
        <w:trPr>
          <w:trHeight w:val="260"/>
        </w:trPr>
        <w:tc>
          <w:tcPr>
            <w:tcW w:w="4540" w:type="dxa"/>
            <w:vAlign w:val="bottom"/>
            <w:gridSpan w:val="3"/>
          </w:tcPr>
          <w:p>
            <w:pPr>
              <w:ind w:left="40"/>
              <w:spacing w:after="0"/>
              <w:rPr>
                <w:sz w:val="20"/>
                <w:szCs w:val="20"/>
                <w:color w:val="auto"/>
              </w:rPr>
            </w:pPr>
            <w:r>
              <w:rPr>
                <w:rFonts w:ascii="Arial" w:cs="Arial" w:eastAsia="Arial" w:hAnsi="Arial"/>
                <w:sz w:val="16"/>
                <w:szCs w:val="16"/>
                <w:color w:val="auto"/>
              </w:rPr>
              <w:t>Provision</w:t>
            </w:r>
          </w:p>
        </w:tc>
        <w:tc>
          <w:tcPr>
            <w:tcW w:w="20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7,734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3,439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11,632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7,467</w:t>
            </w:r>
          </w:p>
        </w:tc>
      </w:tr>
      <w:tr>
        <w:trPr>
          <w:trHeight w:val="280"/>
        </w:trPr>
        <w:tc>
          <w:tcPr>
            <w:tcW w:w="4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(7,255)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(3,297)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(11,918)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(6,994)</w:t>
            </w:r>
          </w:p>
        </w:tc>
      </w:tr>
      <w:tr>
        <w:trPr>
          <w:trHeight w:val="264"/>
        </w:trPr>
        <w:tc>
          <w:tcPr>
            <w:tcW w:w="4540" w:type="dxa"/>
            <w:vAlign w:val="bottom"/>
            <w:gridSpan w:val="3"/>
          </w:tcPr>
          <w:p>
            <w:pPr>
              <w:ind w:left="40"/>
              <w:spacing w:after="0"/>
              <w:rPr>
                <w:sz w:val="20"/>
                <w:szCs w:val="20"/>
                <w:color w:val="auto"/>
              </w:rPr>
            </w:pPr>
            <w:r>
              <w:rPr>
                <w:rFonts w:ascii="Arial" w:cs="Arial" w:eastAsia="Arial" w:hAnsi="Arial"/>
                <w:sz w:val="16"/>
                <w:szCs w:val="16"/>
                <w:color w:val="auto"/>
              </w:rPr>
              <w:t>Acquisition of Grand Design</w:t>
            </w:r>
          </w:p>
        </w:tc>
        <w:tc>
          <w:tcPr>
            <w:tcW w:w="200" w:type="dxa"/>
            <w:vAlign w:val="bottom"/>
          </w:tcPr>
          <w:p>
            <w:pPr>
              <w:spacing w:after="0"/>
              <w:rPr>
                <w:sz w:val="22"/>
                <w:szCs w:val="22"/>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12,904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40"/>
        </w:trPr>
        <w:tc>
          <w:tcPr>
            <w:tcW w:w="45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25,030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11,727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25,030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11,727</w:t>
            </w:r>
          </w:p>
        </w:tc>
      </w:tr>
      <w:tr>
        <w:trPr>
          <w:trHeight w:val="20"/>
        </w:trPr>
        <w:tc>
          <w:tcPr>
            <w:tcW w:w="12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60" w:type="dxa"/>
            <w:vAlign w:val="bottom"/>
            <w:gridSpan w:val="2"/>
          </w:tcPr>
          <w:p>
            <w:pPr>
              <w:spacing w:after="0"/>
              <w:rPr>
                <w:sz w:val="20"/>
                <w:szCs w:val="20"/>
                <w:color w:val="auto"/>
              </w:rPr>
            </w:pPr>
            <w:r>
              <w:rPr>
                <w:rFonts w:ascii="Arial" w:cs="Arial" w:eastAsia="Arial" w:hAnsi="Arial"/>
                <w:sz w:val="16"/>
                <w:szCs w:val="16"/>
                <w:b w:val="1"/>
                <w:bCs w:val="1"/>
                <w:color w:val="auto"/>
              </w:rPr>
              <w:t>Note 9: Long-Term Debt</w:t>
            </w: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78"/>
        </w:trPr>
        <w:tc>
          <w:tcPr>
            <w:tcW w:w="7260" w:type="dxa"/>
            <w:vAlign w:val="bottom"/>
            <w:gridSpan w:val="2"/>
          </w:tcPr>
          <w:p>
            <w:pPr>
              <w:spacing w:after="0"/>
              <w:rPr>
                <w:sz w:val="20"/>
                <w:szCs w:val="20"/>
                <w:color w:val="auto"/>
              </w:rPr>
            </w:pPr>
            <w:r>
              <w:rPr>
                <w:rFonts w:ascii="Arial" w:cs="Arial" w:eastAsia="Arial" w:hAnsi="Arial"/>
                <w:sz w:val="16"/>
                <w:szCs w:val="16"/>
                <w:color w:val="auto"/>
              </w:rPr>
              <w:t>The components of long-term debt are as follows:</w:t>
            </w: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6"/>
        </w:trPr>
        <w:tc>
          <w:tcPr>
            <w:tcW w:w="7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ind w:left="220"/>
              <w:spacing w:after="0"/>
              <w:rPr>
                <w:sz w:val="20"/>
                <w:szCs w:val="20"/>
                <w:color w:val="auto"/>
              </w:rPr>
            </w:pPr>
            <w:r>
              <w:rPr>
                <w:rFonts w:ascii="Arial" w:cs="Arial" w:eastAsia="Arial" w:hAnsi="Arial"/>
                <w:sz w:val="16"/>
                <w:szCs w:val="16"/>
                <w:b w:val="1"/>
                <w:bCs w:val="1"/>
                <w:color w:val="auto"/>
              </w:rPr>
              <w:t>February 25,</w:t>
            </w:r>
          </w:p>
        </w:tc>
        <w:tc>
          <w:tcPr>
            <w:tcW w:w="320" w:type="dxa"/>
            <w:vAlign w:val="bottom"/>
          </w:tcPr>
          <w:p>
            <w:pPr>
              <w:spacing w:after="0"/>
              <w:rPr>
                <w:sz w:val="24"/>
                <w:szCs w:val="24"/>
                <w:color w:val="auto"/>
              </w:rPr>
            </w:pPr>
          </w:p>
        </w:tc>
        <w:tc>
          <w:tcPr>
            <w:tcW w:w="1600" w:type="dxa"/>
            <w:vAlign w:val="bottom"/>
          </w:tcPr>
          <w:p>
            <w:pPr>
              <w:ind w:left="200"/>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2016</w:t>
            </w:r>
          </w:p>
        </w:tc>
      </w:tr>
      <w:tr>
        <w:trPr>
          <w:trHeight w:val="257"/>
        </w:trPr>
        <w:tc>
          <w:tcPr>
            <w:tcW w:w="7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w:t>
            </w:r>
          </w:p>
        </w:tc>
      </w:tr>
      <w:tr>
        <w:trPr>
          <w:trHeight w:val="264"/>
        </w:trPr>
        <w:tc>
          <w:tcPr>
            <w:tcW w:w="7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Term Loan</w:t>
            </w:r>
          </w:p>
        </w:tc>
        <w:tc>
          <w:tcPr>
            <w:tcW w:w="3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320"/>
              <w:spacing w:after="0"/>
              <w:rPr>
                <w:sz w:val="20"/>
                <w:szCs w:val="20"/>
                <w:color w:val="auto"/>
              </w:rPr>
            </w:pPr>
            <w:r>
              <w:rPr>
                <w:rFonts w:ascii="Arial" w:cs="Arial" w:eastAsia="Arial" w:hAnsi="Arial"/>
                <w:sz w:val="16"/>
                <w:szCs w:val="16"/>
                <w:color w:val="auto"/>
              </w:rPr>
              <w:t>—</w:t>
            </w:r>
          </w:p>
        </w:tc>
      </w:tr>
      <w:tr>
        <w:trPr>
          <w:trHeight w:val="257"/>
        </w:trPr>
        <w:tc>
          <w:tcPr>
            <w:tcW w:w="7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340,000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w:t>
            </w:r>
          </w:p>
        </w:tc>
      </w:tr>
      <w:tr>
        <w:trPr>
          <w:trHeight w:val="264"/>
        </w:trPr>
        <w:tc>
          <w:tcPr>
            <w:tcW w:w="7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debt issuance cost, net</w:t>
            </w:r>
          </w:p>
        </w:tc>
        <w:tc>
          <w:tcPr>
            <w:tcW w:w="3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(10,535)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320"/>
              <w:spacing w:after="0"/>
              <w:rPr>
                <w:sz w:val="20"/>
                <w:szCs w:val="20"/>
                <w:color w:val="auto"/>
              </w:rPr>
            </w:pPr>
            <w:r>
              <w:rPr>
                <w:rFonts w:ascii="Arial" w:cs="Arial" w:eastAsia="Arial" w:hAnsi="Arial"/>
                <w:sz w:val="16"/>
                <w:szCs w:val="16"/>
                <w:color w:val="auto"/>
              </w:rPr>
              <w:t>—</w:t>
            </w:r>
          </w:p>
        </w:tc>
      </w:tr>
      <w:tr>
        <w:trPr>
          <w:trHeight w:val="257"/>
        </w:trPr>
        <w:tc>
          <w:tcPr>
            <w:tcW w:w="7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329,465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w:t>
            </w:r>
          </w:p>
        </w:tc>
      </w:tr>
      <w:tr>
        <w:trPr>
          <w:trHeight w:val="264"/>
        </w:trPr>
        <w:tc>
          <w:tcPr>
            <w:tcW w:w="7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current maturities</w:t>
            </w:r>
          </w:p>
        </w:tc>
        <w:tc>
          <w:tcPr>
            <w:tcW w:w="3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(11,301)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320"/>
              <w:spacing w:after="0"/>
              <w:rPr>
                <w:sz w:val="20"/>
                <w:szCs w:val="20"/>
                <w:color w:val="auto"/>
              </w:rPr>
            </w:pPr>
            <w:r>
              <w:rPr>
                <w:rFonts w:ascii="Arial" w:cs="Arial" w:eastAsia="Arial" w:hAnsi="Arial"/>
                <w:sz w:val="16"/>
                <w:szCs w:val="16"/>
                <w:color w:val="auto"/>
              </w:rPr>
              <w:t>—</w:t>
            </w:r>
          </w:p>
        </w:tc>
      </w:tr>
      <w:tr>
        <w:trPr>
          <w:trHeight w:val="240"/>
        </w:trPr>
        <w:tc>
          <w:tcPr>
            <w:tcW w:w="7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 less current maturities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318,164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6"/>
                <w:szCs w:val="16"/>
                <w:color w:val="auto"/>
              </w:rPr>
              <w:t>—</w:t>
            </w:r>
          </w:p>
        </w:tc>
      </w:tr>
      <w:tr>
        <w:trPr>
          <w:trHeight w:val="20"/>
        </w:trPr>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On November 8, 2016, we entered into the ABL and Term Loan agreements with JPMorgan Chase. Under the terms of the Credit Facility, we have a $125.0 million ABL credit facility and a $300.0 million Term Loan.</w:t>
      </w:r>
    </w:p>
    <w:p>
      <w:pPr>
        <w:spacing w:after="0" w:line="19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Under the ABL agreement, we have a five year credit facility available on a revolving basis, subject to availability under a borrowing base consisting of 85% of eligible accounts receivable and generally 75% of eligible inventory. The line is available for issuance of letters of credit to a specified limit of $10.0 million.</w:t>
      </w:r>
    </w:p>
    <w:p>
      <w:pPr>
        <w:spacing w:after="0" w:line="196"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Under the ABL agreement, to determine interest due, we can elect to base the rate on the alternate base rate (prime rate, NYFRB rate or adjusted LIBOR for one-month period) plus 0.5% to 1.0%, depending on the amount of borrowings outstanding, or an adjusted LIBOR rate for a period of one, two, three or six months as selected by us plus 1.50% to 2.0%, depending on the amount of borrowings outstanding. The interest rate we paid as of February 25, 2017 was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2.5%. We also pay a commitment fee equal to 0.375% if the average utilized portion is less than or equal to 50%, or 0.25% if the utilized portion is greater than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50% of availability.</w:t>
      </w:r>
    </w:p>
    <w:p>
      <w:pPr>
        <w:spacing w:after="0" w:line="2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Under the Term Loan agreement, we have a seven year credit facility repayable in quarterly installments in an aggregate amount equal to 1.0% of the original amount of the Term Loan on March 31, June 30 and September 30, 2017; 1.25% each calendar quarter end thereafter; with the balance payable at the end of seven years on November 8, 2023. There are mandatory prepayments for proceeds of new debt, sale of significant assets or subsidiaries and annually for 50% of excess cash flow beginning with Fiscal 2017 (the 50% is subject to step-downs to 25% and 0% if the total net leverage ratio, as defined in the Term Loan agreement, is less than 2.5 to 1.0 and 2.0 to 1.0, respectively, as of the last day of the period). Incremental term loans of up to $125.0 million are available if certain financial ratios and other conditions are met.</w:t>
      </w:r>
    </w:p>
    <w:p>
      <w:pPr>
        <w:spacing w:after="0" w:line="205"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auto"/>
        </w:rPr>
        <w:t>Under the Term Loan agreement, to determine interest due, we can elect to base the rate on the alternate base rate (prime rate, NYFRB rate or adjusted LIBOR for one-month period with a floor of 2%) plus 3.50% or an adjusted LIBOR rate (with a floor of 1%) for the interest period selected plus 4.50%. The interest rate as of February 25, 2017, before consideration of the hedge, was 5.5%.</w:t>
      </w: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Under the Credit Facility, we are required to enter into a hedging arrangement to effectively fix the LIBOR component of interest cost at the prevailing swap rate with a notional amount of at least 50% of the projected outstanding principal amount of the Term Loan. The hedging arrangement needs to be maintained until the later of 3 years from closing date or the date the leverage ratio is less than 2.0 to 1.0. In accordance with this requirement, we entered into an interest rate swap contract in January 2017 (see Note 5).</w:t>
      </w:r>
    </w:p>
    <w:p>
      <w:pPr>
        <w:spacing w:after="0" w:line="20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Term Loan agreement includes financial covenants requiring that the fixed charge coverage ratio at the end of any four fiscal quarters be not less than 1.0 to 1.0, defined as consolidated EBITDA (as defined) less capital expenditures (as defined), over fixed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charges, generally defined as cash interest, cash income taxes, principal payments on loans, and dividends, and that the senior secured net leverage ratio at the end of each fiscal quarter be not greater than 3.5 to 1.0 prior to the fiscal quarter ending November 24, 2018 and 3.25 to 1.0 for each quarter thereafter, defined generally as the ratio of total secured indebtedness minus cash and permitted investments, to consolidated EBITDA (as defined).</w:t>
      </w:r>
    </w:p>
    <w:p>
      <w:pPr>
        <w:spacing w:after="0" w:line="20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ABL agreement generally contains similar covenants, and includes restrictions on indebtedness, liens, mergers, consolidations, investments, guarantees, acquisitions, sales of assets, and transactions with affiliates. Dividends, redemptions and other payments on equity are generally limited to $20.0 million in any fiscal year; higher amounts may be paid if the total net leverage ratio does not exceed 3.0 to 1.0. Customary events of default (with customary grace periods, notice and cure periods and thresholds) include payment default, breach of representation in any material respect, breach of covenants, default to material indebtedness, bankruptcy, ERISA violations, material judgments, change in control and termination of invalidity of guaranty or security documents. As of February 25, 2017, we are in compliance with the financial covenants of the Credit Facility agreements.</w:t>
      </w:r>
    </w:p>
    <w:p>
      <w:pPr>
        <w:spacing w:after="0" w:line="20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ABL and Term Loan are guaranteed by Winnebago Industries, Inc. and all material direct and indirect domestic subsidiaries, and are secured by a security interest in all property of ours, except minor excluded assets.</w:t>
      </w:r>
    </w:p>
    <w:p>
      <w:pPr>
        <w:spacing w:after="0" w:line="19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As of February 25, 2017, $10.5 million of debt issuance costs, net of amortization of $0.5 million, were recorded as a direct deduction from long-term debt, $1.4 million from the current portion and $9.1 million from the long-term portion. Unamortized debt issuance costs of $0.1 million related to the prior Amended Credit Agreement were expensed in the three months ended November 26, 2016.</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9"/>
                <w:szCs w:val="19"/>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r>
      <w:tr>
        <w:trPr>
          <w:trHeight w:val="257"/>
        </w:trPr>
        <w:tc>
          <w:tcPr>
            <w:tcW w:w="6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91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r>
      <w:tr>
        <w:trPr>
          <w:trHeight w:val="260"/>
        </w:trPr>
        <w:tc>
          <w:tcPr>
            <w:tcW w:w="6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14,250</w:t>
            </w:r>
          </w:p>
        </w:tc>
      </w:tr>
      <w:tr>
        <w:trPr>
          <w:trHeight w:val="280"/>
        </w:trPr>
        <w:tc>
          <w:tcPr>
            <w:tcW w:w="620" w:type="dxa"/>
            <w:vAlign w:val="bottom"/>
            <w:shd w:val="clear" w:color="auto" w:fill="CCEEFF"/>
          </w:tcPr>
          <w:p>
            <w:pPr>
              <w:spacing w:after="0"/>
              <w:rPr>
                <w:sz w:val="24"/>
                <w:szCs w:val="24"/>
                <w:color w:val="auto"/>
              </w:rPr>
            </w:pPr>
          </w:p>
        </w:tc>
        <w:tc>
          <w:tcPr>
            <w:tcW w:w="9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0"/>
        </w:trPr>
        <w:tc>
          <w:tcPr>
            <w:tcW w:w="6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280"/>
        </w:trPr>
        <w:tc>
          <w:tcPr>
            <w:tcW w:w="620" w:type="dxa"/>
            <w:vAlign w:val="bottom"/>
            <w:shd w:val="clear" w:color="auto" w:fill="CCEEFF"/>
          </w:tcPr>
          <w:p>
            <w:pPr>
              <w:spacing w:after="0"/>
              <w:rPr>
                <w:sz w:val="24"/>
                <w:szCs w:val="24"/>
                <w:color w:val="auto"/>
              </w:rPr>
            </w:pPr>
          </w:p>
        </w:tc>
        <w:tc>
          <w:tcPr>
            <w:tcW w:w="9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0"/>
        </w:trPr>
        <w:tc>
          <w:tcPr>
            <w:tcW w:w="6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55,000</w:t>
            </w:r>
          </w:p>
        </w:tc>
      </w:tr>
      <w:tr>
        <w:trPr>
          <w:trHeight w:val="280"/>
        </w:trPr>
        <w:tc>
          <w:tcPr>
            <w:tcW w:w="620" w:type="dxa"/>
            <w:vAlign w:val="bottom"/>
            <w:shd w:val="clear" w:color="auto" w:fill="CCEEFF"/>
          </w:tcPr>
          <w:p>
            <w:pPr>
              <w:spacing w:after="0"/>
              <w:rPr>
                <w:sz w:val="24"/>
                <w:szCs w:val="24"/>
                <w:color w:val="auto"/>
              </w:rPr>
            </w:pPr>
          </w:p>
        </w:tc>
        <w:tc>
          <w:tcPr>
            <w:tcW w:w="9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4"/>
        </w:trPr>
        <w:tc>
          <w:tcPr>
            <w:tcW w:w="620" w:type="dxa"/>
            <w:vAlign w:val="bottom"/>
            <w:tcBorders>
              <w:bottom w:val="single" w:sz="8" w:color="CCEEFF"/>
            </w:tcBorders>
          </w:tcPr>
          <w:p>
            <w:pPr>
              <w:spacing w:after="0"/>
              <w:rPr>
                <w:sz w:val="22"/>
                <w:szCs w:val="22"/>
                <w:color w:val="auto"/>
              </w:rPr>
            </w:pPr>
          </w:p>
        </w:tc>
        <w:tc>
          <w:tcPr>
            <w:tcW w:w="9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204,750</w:t>
            </w:r>
          </w:p>
        </w:tc>
      </w:tr>
      <w:tr>
        <w:trPr>
          <w:trHeight w:val="240"/>
        </w:trPr>
        <w:tc>
          <w:tcPr>
            <w:tcW w:w="6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debt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340,000</w:t>
            </w:r>
          </w:p>
        </w:tc>
      </w:tr>
      <w:tr>
        <w:trPr>
          <w:trHeight w:val="20"/>
        </w:trPr>
        <w:tc>
          <w:tcPr>
            <w:tcW w:w="6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gridSpan w:val="3"/>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51"/>
        </w:trPr>
        <w:tc>
          <w:tcPr>
            <w:tcW w:w="7400" w:type="dxa"/>
            <w:vAlign w:val="bottom"/>
            <w:gridSpan w:val="3"/>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6"/>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February 25,</w:t>
            </w:r>
          </w:p>
        </w:tc>
        <w:tc>
          <w:tcPr>
            <w:tcW w:w="320" w:type="dxa"/>
            <w:vAlign w:val="bottom"/>
          </w:tcPr>
          <w:p>
            <w:pPr>
              <w:spacing w:after="0"/>
              <w:rPr>
                <w:sz w:val="24"/>
                <w:szCs w:val="24"/>
                <w:color w:val="auto"/>
              </w:rPr>
            </w:pPr>
          </w:p>
        </w:tc>
        <w:tc>
          <w:tcPr>
            <w:tcW w:w="1640" w:type="dxa"/>
            <w:vAlign w:val="bottom"/>
          </w:tcPr>
          <w:p>
            <w:pPr>
              <w:jc w:val="right"/>
              <w:ind w:right="51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20" w:type="dxa"/>
            <w:vAlign w:val="bottom"/>
          </w:tcPr>
          <w:p>
            <w:pPr>
              <w:spacing w:after="0"/>
              <w:rPr>
                <w:sz w:val="19"/>
                <w:szCs w:val="19"/>
                <w:color w:val="auto"/>
              </w:rPr>
            </w:pPr>
          </w:p>
        </w:tc>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2016</w:t>
            </w:r>
          </w:p>
        </w:tc>
      </w:tr>
      <w:tr>
        <w:trPr>
          <w:trHeight w:val="257"/>
        </w:trPr>
        <w:tc>
          <w:tcPr>
            <w:tcW w:w="20" w:type="dxa"/>
            <w:vAlign w:val="bottom"/>
          </w:tcPr>
          <w:p>
            <w:pPr>
              <w:spacing w:after="0"/>
              <w:rPr>
                <w:sz w:val="22"/>
                <w:szCs w:val="22"/>
                <w:color w:val="auto"/>
              </w:rPr>
            </w:pPr>
          </w:p>
        </w:tc>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Postretirement health care benefit cost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6,346</w:t>
            </w:r>
          </w:p>
        </w:tc>
      </w:tr>
      <w:tr>
        <w:trPr>
          <w:trHeight w:val="260"/>
        </w:trPr>
        <w:tc>
          <w:tcPr>
            <w:tcW w:w="20" w:type="dxa"/>
            <w:vAlign w:val="bottom"/>
          </w:tcPr>
          <w:p>
            <w:pPr>
              <w:spacing w:after="0"/>
              <w:rPr>
                <w:sz w:val="22"/>
                <w:szCs w:val="22"/>
                <w:color w:val="auto"/>
              </w:rPr>
            </w:pPr>
          </w:p>
        </w:tc>
        <w:tc>
          <w:tcPr>
            <w:tcW w:w="7380" w:type="dxa"/>
            <w:vAlign w:val="bottom"/>
            <w:gridSpan w:val="2"/>
          </w:tcPr>
          <w:p>
            <w:pPr>
              <w:ind w:left="20"/>
              <w:spacing w:after="0"/>
              <w:rPr>
                <w:sz w:val="20"/>
                <w:szCs w:val="20"/>
                <w:color w:val="auto"/>
              </w:rPr>
            </w:pPr>
            <w:r>
              <w:rPr>
                <w:rFonts w:ascii="Arial" w:cs="Arial" w:eastAsia="Arial" w:hAnsi="Arial"/>
                <w:sz w:val="16"/>
                <w:szCs w:val="16"/>
                <w:color w:val="auto"/>
              </w:rPr>
              <w:t>Non-qualified deferred compensation</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17,230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jc w:val="right"/>
              <w:ind w:right="359"/>
              <w:spacing w:after="0"/>
              <w:rPr>
                <w:sz w:val="20"/>
                <w:szCs w:val="20"/>
                <w:color w:val="auto"/>
              </w:rPr>
            </w:pPr>
            <w:r>
              <w:rPr>
                <w:rFonts w:ascii="Arial" w:cs="Arial" w:eastAsia="Arial" w:hAnsi="Arial"/>
                <w:sz w:val="16"/>
                <w:szCs w:val="16"/>
                <w:color w:val="auto"/>
              </w:rPr>
              <w:t>18,003</w:t>
            </w:r>
          </w:p>
        </w:tc>
      </w:tr>
      <w:tr>
        <w:trPr>
          <w:trHeight w:val="280"/>
        </w:trPr>
        <w:tc>
          <w:tcPr>
            <w:tcW w:w="20" w:type="dxa"/>
            <w:vAlign w:val="bottom"/>
          </w:tcPr>
          <w:p>
            <w:pPr>
              <w:spacing w:after="0"/>
              <w:rPr>
                <w:sz w:val="24"/>
                <w:szCs w:val="24"/>
                <w:color w:val="auto"/>
              </w:rPr>
            </w:pPr>
          </w:p>
        </w:tc>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share option plan liability</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3,341</w:t>
            </w:r>
          </w:p>
        </w:tc>
      </w:tr>
      <w:tr>
        <w:trPr>
          <w:trHeight w:val="260"/>
        </w:trPr>
        <w:tc>
          <w:tcPr>
            <w:tcW w:w="20" w:type="dxa"/>
            <w:vAlign w:val="bottom"/>
          </w:tcPr>
          <w:p>
            <w:pPr>
              <w:spacing w:after="0"/>
              <w:rPr>
                <w:sz w:val="22"/>
                <w:szCs w:val="22"/>
                <w:color w:val="auto"/>
              </w:rPr>
            </w:pPr>
          </w:p>
        </w:tc>
        <w:tc>
          <w:tcPr>
            <w:tcW w:w="7380" w:type="dxa"/>
            <w:vAlign w:val="bottom"/>
            <w:gridSpan w:val="2"/>
          </w:tcPr>
          <w:p>
            <w:pPr>
              <w:ind w:left="20"/>
              <w:spacing w:after="0"/>
              <w:rPr>
                <w:sz w:val="20"/>
                <w:szCs w:val="20"/>
                <w:color w:val="auto"/>
              </w:rPr>
            </w:pPr>
            <w:r>
              <w:rPr>
                <w:rFonts w:ascii="Arial" w:cs="Arial" w:eastAsia="Arial" w:hAnsi="Arial"/>
                <w:sz w:val="16"/>
                <w:szCs w:val="16"/>
                <w:color w:val="auto"/>
              </w:rPr>
              <w:t>SERP benefit liability</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2,723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jc w:val="right"/>
              <w:ind w:right="359"/>
              <w:spacing w:after="0"/>
              <w:rPr>
                <w:sz w:val="20"/>
                <w:szCs w:val="20"/>
                <w:color w:val="auto"/>
              </w:rPr>
            </w:pPr>
            <w:r>
              <w:rPr>
                <w:rFonts w:ascii="Arial" w:cs="Arial" w:eastAsia="Arial" w:hAnsi="Arial"/>
                <w:sz w:val="16"/>
                <w:szCs w:val="16"/>
                <w:color w:val="auto"/>
              </w:rPr>
              <w:t>2,681</w:t>
            </w:r>
          </w:p>
        </w:tc>
      </w:tr>
      <w:tr>
        <w:trPr>
          <w:trHeight w:val="280"/>
        </w:trPr>
        <w:tc>
          <w:tcPr>
            <w:tcW w:w="20" w:type="dxa"/>
            <w:vAlign w:val="bottom"/>
          </w:tcPr>
          <w:p>
            <w:pPr>
              <w:spacing w:after="0"/>
              <w:rPr>
                <w:sz w:val="24"/>
                <w:szCs w:val="24"/>
                <w:color w:val="auto"/>
              </w:rPr>
            </w:pPr>
          </w:p>
        </w:tc>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389</w:t>
            </w:r>
          </w:p>
        </w:tc>
      </w:tr>
      <w:tr>
        <w:trPr>
          <w:trHeight w:val="264"/>
        </w:trPr>
        <w:tc>
          <w:tcPr>
            <w:tcW w:w="20" w:type="dxa"/>
            <w:vAlign w:val="bottom"/>
          </w:tcPr>
          <w:p>
            <w:pPr>
              <w:spacing w:after="0"/>
              <w:rPr>
                <w:sz w:val="22"/>
                <w:szCs w:val="22"/>
                <w:color w:val="auto"/>
              </w:rPr>
            </w:pPr>
          </w:p>
        </w:tc>
        <w:tc>
          <w:tcPr>
            <w:tcW w:w="7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Officer stock-based compensation</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1,080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763</w:t>
            </w:r>
          </w:p>
        </w:tc>
      </w:tr>
      <w:tr>
        <w:trPr>
          <w:trHeight w:val="257"/>
        </w:trPr>
        <w:tc>
          <w:tcPr>
            <w:tcW w:w="20" w:type="dxa"/>
            <w:vAlign w:val="bottom"/>
          </w:tcPr>
          <w:p>
            <w:pPr>
              <w:spacing w:after="0"/>
              <w:rPr>
                <w:sz w:val="22"/>
                <w:szCs w:val="22"/>
                <w:color w:val="auto"/>
              </w:rPr>
            </w:pPr>
          </w:p>
        </w:tc>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deferred compensation and postretirement health care benefits</w:t>
            </w: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23,996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31,523</w:t>
            </w:r>
          </w:p>
        </w:tc>
      </w:tr>
      <w:tr>
        <w:trPr>
          <w:trHeight w:val="264"/>
        </w:trPr>
        <w:tc>
          <w:tcPr>
            <w:tcW w:w="20" w:type="dxa"/>
            <w:vAlign w:val="bottom"/>
          </w:tcPr>
          <w:p>
            <w:pPr>
              <w:spacing w:after="0"/>
              <w:rPr>
                <w:sz w:val="22"/>
                <w:szCs w:val="22"/>
                <w:color w:val="auto"/>
              </w:rPr>
            </w:pPr>
          </w:p>
        </w:tc>
        <w:tc>
          <w:tcPr>
            <w:tcW w:w="7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current portion</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(4,626)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(4,574)</w:t>
            </w:r>
          </w:p>
        </w:tc>
      </w:tr>
      <w:tr>
        <w:trPr>
          <w:trHeight w:val="240"/>
        </w:trPr>
        <w:tc>
          <w:tcPr>
            <w:tcW w:w="20" w:type="dxa"/>
            <w:vAlign w:val="bottom"/>
          </w:tcPr>
          <w:p>
            <w:pPr>
              <w:spacing w:after="0"/>
              <w:rPr>
                <w:sz w:val="20"/>
                <w:szCs w:val="20"/>
                <w:color w:val="auto"/>
              </w:rPr>
            </w:pPr>
          </w:p>
        </w:tc>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deferred compensation and postretirement health care benefits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19,370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26,949</w:t>
            </w: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Historically, we provided certain health care and other benefits for retired employees hired before April 1, 2001, who had fulfilled eligibility requirements at age 55 with 15 years of continuous service. We used a September 1 measurement date for this plan and our postretirement health care plan was not funded.</w:t>
      </w:r>
    </w:p>
    <w:p>
      <w:pPr>
        <w:spacing w:after="0" w:line="169"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In Fiscal 2005, through a plan amendment, we established dollar caps on the amount that we paid for postretirement health care benefits per retiree on an annual basis so that we were not exposed to continued medical inflation. Retirees were required to pay a monthly premium in excess of the employer dollar caps for medical coverage based on years of service and age at retirement. Each year from 2012 to 2015, the employer established dollar caps were reduced by 10% through plan amendments. In 2016, postretirement health care benefits were discontinued for retirees age 65 and over. The plan amendment also included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a 10% reduction in employer paid premiums for retirees under age 65. On October 26, 2016, we announced the termination of the remaining postretirement health care benefits to all participants. Beginning January 1, 2017, postretirement health care benefits were discontinued for retirees under age 65. As a result of these amendments, our liability for postretirement health care was reduced as presented in the following table.</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Liability</w:t>
            </w:r>
          </w:p>
        </w:tc>
        <w:tc>
          <w:tcPr>
            <w:tcW w:w="1420" w:type="dxa"/>
            <w:vAlign w:val="bottom"/>
          </w:tcPr>
          <w:p>
            <w:pPr>
              <w:spacing w:after="0"/>
              <w:rPr>
                <w:sz w:val="16"/>
                <w:szCs w:val="16"/>
                <w:color w:val="auto"/>
              </w:rPr>
            </w:pPr>
          </w:p>
        </w:tc>
      </w:tr>
      <w:tr>
        <w:trPr>
          <w:trHeight w:val="189"/>
        </w:trPr>
        <w:tc>
          <w:tcPr>
            <w:tcW w:w="14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left="59"/>
              <w:spacing w:after="0"/>
              <w:rPr>
                <w:sz w:val="20"/>
                <w:szCs w:val="20"/>
                <w:color w:val="auto"/>
              </w:rPr>
            </w:pPr>
            <w:r>
              <w:rPr>
                <w:rFonts w:ascii="Arial" w:cs="Arial" w:eastAsia="Arial" w:hAnsi="Arial"/>
                <w:sz w:val="16"/>
                <w:szCs w:val="16"/>
                <w:b w:val="1"/>
                <w:bCs w:val="1"/>
                <w:color w:val="auto"/>
              </w:rPr>
              <w:t>Dollar Cap</w:t>
            </w:r>
          </w:p>
        </w:tc>
        <w:tc>
          <w:tcPr>
            <w:tcW w:w="300" w:type="dxa"/>
            <w:vAlign w:val="bottom"/>
          </w:tcPr>
          <w:p>
            <w:pPr>
              <w:spacing w:after="0"/>
              <w:rPr>
                <w:sz w:val="16"/>
                <w:szCs w:val="16"/>
                <w:color w:val="auto"/>
              </w:rPr>
            </w:pPr>
          </w:p>
        </w:tc>
        <w:tc>
          <w:tcPr>
            <w:tcW w:w="1380" w:type="dxa"/>
            <w:vAlign w:val="bottom"/>
          </w:tcPr>
          <w:p>
            <w:pPr>
              <w:jc w:val="center"/>
              <w:ind w:right="139"/>
              <w:spacing w:after="0"/>
              <w:rPr>
                <w:sz w:val="20"/>
                <w:szCs w:val="20"/>
                <w:color w:val="auto"/>
              </w:rPr>
            </w:pPr>
            <w:r>
              <w:rPr>
                <w:rFonts w:ascii="Arial" w:cs="Arial" w:eastAsia="Arial" w:hAnsi="Arial"/>
                <w:sz w:val="16"/>
                <w:szCs w:val="16"/>
                <w:b w:val="1"/>
                <w:bCs w:val="1"/>
                <w:color w:val="auto"/>
              </w:rPr>
              <w:t>Reduction</w:t>
            </w:r>
          </w:p>
        </w:tc>
        <w:tc>
          <w:tcPr>
            <w:tcW w:w="1420" w:type="dxa"/>
            <w:vAlign w:val="bottom"/>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34"/>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53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Event</w:t>
            </w:r>
          </w:p>
        </w:tc>
        <w:tc>
          <w:tcPr>
            <w:tcW w:w="1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9"/>
              </w:rPr>
              <w:t>Reduction</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Borders>
              <w:bottom w:val="single" w:sz="8" w:color="auto"/>
            </w:tcBorders>
          </w:tcPr>
          <w:p>
            <w:pPr>
              <w:jc w:val="right"/>
              <w:ind w:right="339"/>
              <w:spacing w:after="0" w:line="234"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(1)</w:t>
            </w:r>
          </w:p>
        </w:tc>
      </w:tr>
      <w:tr>
        <w:trPr>
          <w:trHeight w:val="264"/>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2005</w:t>
            </w:r>
          </w:p>
        </w:tc>
        <w:tc>
          <w:tcPr>
            <w:tcW w:w="55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Established employer dollar caps</w:t>
            </w:r>
          </w:p>
        </w:tc>
        <w:tc>
          <w:tcPr>
            <w:tcW w:w="132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40,414</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11.5 years</w:t>
            </w:r>
          </w:p>
        </w:tc>
      </w:tr>
      <w:tr>
        <w:trPr>
          <w:trHeight w:val="260"/>
        </w:trPr>
        <w:tc>
          <w:tcPr>
            <w:tcW w:w="1460" w:type="dxa"/>
            <w:vAlign w:val="bottom"/>
          </w:tcPr>
          <w:p>
            <w:pPr>
              <w:ind w:left="20"/>
              <w:spacing w:after="0"/>
              <w:rPr>
                <w:sz w:val="20"/>
                <w:szCs w:val="20"/>
                <w:color w:val="auto"/>
              </w:rPr>
            </w:pPr>
            <w:r>
              <w:rPr>
                <w:rFonts w:ascii="Arial" w:cs="Arial" w:eastAsia="Arial" w:hAnsi="Arial"/>
                <w:sz w:val="16"/>
                <w:szCs w:val="16"/>
                <w:color w:val="auto"/>
              </w:rPr>
              <w:t>January 2012</w:t>
            </w:r>
          </w:p>
        </w:tc>
        <w:tc>
          <w:tcPr>
            <w:tcW w:w="5520" w:type="dxa"/>
            <w:vAlign w:val="bottom"/>
            <w:gridSpan w:val="2"/>
          </w:tcPr>
          <w:p>
            <w:pPr>
              <w:ind w:left="280"/>
              <w:spacing w:after="0"/>
              <w:rPr>
                <w:sz w:val="20"/>
                <w:szCs w:val="20"/>
                <w:color w:val="auto"/>
              </w:rPr>
            </w:pPr>
            <w:r>
              <w:rPr>
                <w:rFonts w:ascii="Arial" w:cs="Arial" w:eastAsia="Arial" w:hAnsi="Arial"/>
                <w:sz w:val="16"/>
                <w:szCs w:val="16"/>
                <w:color w:val="auto"/>
              </w:rPr>
              <w:t>Reduced employer dollar caps</w:t>
            </w:r>
          </w:p>
        </w:tc>
        <w:tc>
          <w:tcPr>
            <w:tcW w:w="1320" w:type="dxa"/>
            <w:vAlign w:val="bottom"/>
          </w:tcPr>
          <w:p>
            <w:pPr>
              <w:jc w:val="center"/>
              <w:ind w:left="39"/>
              <w:spacing w:after="0"/>
              <w:rPr>
                <w:sz w:val="20"/>
                <w:szCs w:val="20"/>
                <w:color w:val="auto"/>
              </w:rPr>
            </w:pPr>
            <w:r>
              <w:rPr>
                <w:rFonts w:ascii="Arial" w:cs="Arial" w:eastAsia="Arial" w:hAnsi="Arial"/>
                <w:sz w:val="16"/>
                <w:szCs w:val="16"/>
                <w:color w:val="auto"/>
                <w:w w:val="99"/>
              </w:rPr>
              <w:t>10%</w:t>
            </w:r>
          </w:p>
        </w:tc>
        <w:tc>
          <w:tcPr>
            <w:tcW w:w="300" w:type="dxa"/>
            <w:vAlign w:val="bottom"/>
          </w:tcPr>
          <w:p>
            <w:pPr>
              <w:spacing w:after="0"/>
              <w:rPr>
                <w:sz w:val="22"/>
                <w:szCs w:val="22"/>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4,598</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7.8 years</w:t>
            </w:r>
          </w:p>
        </w:tc>
      </w:tr>
      <w:tr>
        <w:trPr>
          <w:trHeight w:val="280"/>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2013</w:t>
            </w:r>
          </w:p>
        </w:tc>
        <w:tc>
          <w:tcPr>
            <w:tcW w:w="55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Reduced employer dollar caps</w:t>
            </w:r>
          </w:p>
        </w:tc>
        <w:tc>
          <w:tcPr>
            <w:tcW w:w="132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9"/>
              </w:rPr>
              <w:t>10%</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4,289</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7.5 years</w:t>
            </w:r>
          </w:p>
        </w:tc>
      </w:tr>
      <w:tr>
        <w:trPr>
          <w:trHeight w:val="260"/>
        </w:trPr>
        <w:tc>
          <w:tcPr>
            <w:tcW w:w="1460" w:type="dxa"/>
            <w:vAlign w:val="bottom"/>
          </w:tcPr>
          <w:p>
            <w:pPr>
              <w:ind w:left="20"/>
              <w:spacing w:after="0"/>
              <w:rPr>
                <w:sz w:val="20"/>
                <w:szCs w:val="20"/>
                <w:color w:val="auto"/>
              </w:rPr>
            </w:pPr>
            <w:r>
              <w:rPr>
                <w:rFonts w:ascii="Arial" w:cs="Arial" w:eastAsia="Arial" w:hAnsi="Arial"/>
                <w:sz w:val="16"/>
                <w:szCs w:val="16"/>
                <w:color w:val="auto"/>
              </w:rPr>
              <w:t>January 2014</w:t>
            </w:r>
          </w:p>
        </w:tc>
        <w:tc>
          <w:tcPr>
            <w:tcW w:w="5520" w:type="dxa"/>
            <w:vAlign w:val="bottom"/>
            <w:gridSpan w:val="2"/>
          </w:tcPr>
          <w:p>
            <w:pPr>
              <w:ind w:left="280"/>
              <w:spacing w:after="0"/>
              <w:rPr>
                <w:sz w:val="20"/>
                <w:szCs w:val="20"/>
                <w:color w:val="auto"/>
              </w:rPr>
            </w:pPr>
            <w:r>
              <w:rPr>
                <w:rFonts w:ascii="Arial" w:cs="Arial" w:eastAsia="Arial" w:hAnsi="Arial"/>
                <w:sz w:val="16"/>
                <w:szCs w:val="16"/>
                <w:color w:val="auto"/>
              </w:rPr>
              <w:t>Reduced employer dollar caps</w:t>
            </w:r>
          </w:p>
        </w:tc>
        <w:tc>
          <w:tcPr>
            <w:tcW w:w="1320" w:type="dxa"/>
            <w:vAlign w:val="bottom"/>
          </w:tcPr>
          <w:p>
            <w:pPr>
              <w:jc w:val="center"/>
              <w:ind w:left="39"/>
              <w:spacing w:after="0"/>
              <w:rPr>
                <w:sz w:val="20"/>
                <w:szCs w:val="20"/>
                <w:color w:val="auto"/>
              </w:rPr>
            </w:pPr>
            <w:r>
              <w:rPr>
                <w:rFonts w:ascii="Arial" w:cs="Arial" w:eastAsia="Arial" w:hAnsi="Arial"/>
                <w:sz w:val="16"/>
                <w:szCs w:val="16"/>
                <w:color w:val="auto"/>
                <w:w w:val="99"/>
              </w:rPr>
              <w:t>10%</w:t>
            </w:r>
          </w:p>
        </w:tc>
        <w:tc>
          <w:tcPr>
            <w:tcW w:w="300" w:type="dxa"/>
            <w:vAlign w:val="bottom"/>
          </w:tcPr>
          <w:p>
            <w:pPr>
              <w:spacing w:after="0"/>
              <w:rPr>
                <w:sz w:val="22"/>
                <w:szCs w:val="22"/>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3,580</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7.3 years</w:t>
            </w:r>
          </w:p>
        </w:tc>
      </w:tr>
      <w:tr>
        <w:trPr>
          <w:trHeight w:val="280"/>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2015</w:t>
            </w:r>
          </w:p>
        </w:tc>
        <w:tc>
          <w:tcPr>
            <w:tcW w:w="55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Reduced employer dollar caps</w:t>
            </w:r>
          </w:p>
        </w:tc>
        <w:tc>
          <w:tcPr>
            <w:tcW w:w="132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9"/>
              </w:rPr>
              <w:t>10%</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3,960</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7.1 years</w:t>
            </w:r>
          </w:p>
        </w:tc>
      </w:tr>
      <w:tr>
        <w:trPr>
          <w:trHeight w:val="218"/>
        </w:trPr>
        <w:tc>
          <w:tcPr>
            <w:tcW w:w="1460" w:type="dxa"/>
            <w:vAlign w:val="bottom"/>
          </w:tcPr>
          <w:p>
            <w:pPr>
              <w:ind w:left="20"/>
              <w:spacing w:after="0"/>
              <w:rPr>
                <w:sz w:val="20"/>
                <w:szCs w:val="20"/>
                <w:color w:val="auto"/>
              </w:rPr>
            </w:pPr>
            <w:r>
              <w:rPr>
                <w:rFonts w:ascii="Arial" w:cs="Arial" w:eastAsia="Arial" w:hAnsi="Arial"/>
                <w:sz w:val="16"/>
                <w:szCs w:val="16"/>
                <w:color w:val="auto"/>
              </w:rPr>
              <w:t>January 2016</w:t>
            </w:r>
          </w:p>
        </w:tc>
        <w:tc>
          <w:tcPr>
            <w:tcW w:w="5520" w:type="dxa"/>
            <w:vAlign w:val="bottom"/>
            <w:gridSpan w:val="2"/>
          </w:tcPr>
          <w:p>
            <w:pPr>
              <w:ind w:left="280"/>
              <w:spacing w:after="0"/>
              <w:rPr>
                <w:sz w:val="20"/>
                <w:szCs w:val="20"/>
                <w:color w:val="auto"/>
              </w:rPr>
            </w:pPr>
            <w:r>
              <w:rPr>
                <w:rFonts w:ascii="Arial" w:cs="Arial" w:eastAsia="Arial" w:hAnsi="Arial"/>
                <w:sz w:val="16"/>
                <w:szCs w:val="16"/>
                <w:color w:val="auto"/>
              </w:rPr>
              <w:t>Reduced employer dollar caps for retirees under age 65; discontinued</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5"/>
        </w:trPr>
        <w:tc>
          <w:tcPr>
            <w:tcW w:w="1460" w:type="dxa"/>
            <w:vAlign w:val="bottom"/>
          </w:tcPr>
          <w:p>
            <w:pPr>
              <w:spacing w:after="0"/>
              <w:rPr>
                <w:sz w:val="16"/>
                <w:szCs w:val="16"/>
                <w:color w:val="auto"/>
              </w:rPr>
            </w:pPr>
          </w:p>
        </w:tc>
        <w:tc>
          <w:tcPr>
            <w:tcW w:w="5520" w:type="dxa"/>
            <w:vAlign w:val="bottom"/>
            <w:gridSpan w:val="2"/>
          </w:tcPr>
          <w:p>
            <w:pPr>
              <w:ind w:left="280"/>
              <w:spacing w:after="0"/>
              <w:rPr>
                <w:sz w:val="20"/>
                <w:szCs w:val="20"/>
                <w:color w:val="auto"/>
              </w:rPr>
            </w:pPr>
            <w:r>
              <w:rPr>
                <w:rFonts w:ascii="Arial" w:cs="Arial" w:eastAsia="Arial" w:hAnsi="Arial"/>
                <w:sz w:val="16"/>
                <w:szCs w:val="16"/>
                <w:color w:val="auto"/>
              </w:rPr>
              <w:t>retiree benefits for retirees age 65 and over</w:t>
            </w:r>
          </w:p>
        </w:tc>
        <w:tc>
          <w:tcPr>
            <w:tcW w:w="1320" w:type="dxa"/>
            <w:vAlign w:val="bottom"/>
          </w:tcPr>
          <w:p>
            <w:pPr>
              <w:jc w:val="center"/>
              <w:ind w:left="39"/>
              <w:spacing w:after="0"/>
              <w:rPr>
                <w:sz w:val="20"/>
                <w:szCs w:val="20"/>
                <w:color w:val="auto"/>
              </w:rPr>
            </w:pPr>
            <w:r>
              <w:rPr>
                <w:rFonts w:ascii="Arial" w:cs="Arial" w:eastAsia="Arial" w:hAnsi="Arial"/>
                <w:sz w:val="16"/>
                <w:szCs w:val="16"/>
                <w:color w:val="auto"/>
                <w:w w:val="99"/>
              </w:rPr>
              <w:t>10%</w:t>
            </w:r>
          </w:p>
        </w:tc>
        <w:tc>
          <w:tcPr>
            <w:tcW w:w="300" w:type="dxa"/>
            <w:vAlign w:val="bottom"/>
          </w:tcPr>
          <w:p>
            <w:pPr>
              <w:spacing w:after="0"/>
              <w:rPr>
                <w:sz w:val="16"/>
                <w:szCs w:val="16"/>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28,596</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6.9 years</w:t>
            </w:r>
          </w:p>
        </w:tc>
      </w:tr>
      <w:tr>
        <w:trPr>
          <w:trHeight w:val="289"/>
        </w:trPr>
        <w:tc>
          <w:tcPr>
            <w:tcW w:w="1460" w:type="dxa"/>
            <w:vAlign w:val="bottom"/>
          </w:tcPr>
          <w:p>
            <w:pPr>
              <w:ind w:left="20"/>
              <w:spacing w:after="0"/>
              <w:rPr>
                <w:sz w:val="20"/>
                <w:szCs w:val="20"/>
                <w:color w:val="auto"/>
              </w:rPr>
            </w:pPr>
            <w:r>
              <w:rPr>
                <w:rFonts w:ascii="Arial" w:cs="Arial" w:eastAsia="Arial" w:hAnsi="Arial"/>
                <w:sz w:val="16"/>
                <w:szCs w:val="16"/>
                <w:color w:val="auto"/>
              </w:rPr>
              <w:t xml:space="preserve">January 2017 </w:t>
            </w:r>
            <w:r>
              <w:rPr>
                <w:rFonts w:ascii="Arial" w:cs="Arial" w:eastAsia="Arial" w:hAnsi="Arial"/>
                <w:sz w:val="21"/>
                <w:szCs w:val="21"/>
                <w:color w:val="auto"/>
                <w:vertAlign w:val="superscript"/>
              </w:rPr>
              <w:t>(2)</w:t>
            </w:r>
          </w:p>
        </w:tc>
        <w:tc>
          <w:tcPr>
            <w:tcW w:w="5520" w:type="dxa"/>
            <w:vAlign w:val="bottom"/>
            <w:gridSpan w:val="2"/>
          </w:tcPr>
          <w:p>
            <w:pPr>
              <w:ind w:left="280"/>
              <w:spacing w:after="0"/>
              <w:rPr>
                <w:sz w:val="20"/>
                <w:szCs w:val="20"/>
                <w:color w:val="auto"/>
              </w:rPr>
            </w:pPr>
            <w:r>
              <w:rPr>
                <w:rFonts w:ascii="Arial" w:cs="Arial" w:eastAsia="Arial" w:hAnsi="Arial"/>
                <w:sz w:val="16"/>
                <w:szCs w:val="16"/>
                <w:color w:val="auto"/>
              </w:rPr>
              <w:t>Terminated plan</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6,338</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0.2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-170815</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left="140" w:hanging="132"/>
        <w:spacing w:after="0" w:line="218"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Plan amendments were amortized on a straight-line basis over the expected remaining service period of active plan participants.</w:t>
      </w:r>
    </w:p>
    <w:p>
      <w:pPr>
        <w:ind w:right="100" w:firstLine="8"/>
        <w:spacing w:after="0" w:line="225" w:lineRule="auto"/>
        <w:tabs>
          <w:tab w:leader="none" w:pos="150"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In accordance with ASC 715, the effects of the plan amendment are accounted for at the date the amendment is adopted and has been communicated to plan participants. The effective date for this plan amendment was October 26, 2016.</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25,</w:t>
            </w:r>
          </w:p>
        </w:tc>
        <w:tc>
          <w:tcPr>
            <w:tcW w:w="22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27,</w:t>
            </w:r>
          </w:p>
        </w:tc>
        <w:tc>
          <w:tcPr>
            <w:tcW w:w="26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25,</w:t>
            </w:r>
          </w:p>
        </w:tc>
        <w:tc>
          <w:tcPr>
            <w:tcW w:w="240" w:type="dxa"/>
            <w:vAlign w:val="bottom"/>
          </w:tcPr>
          <w:p>
            <w:pPr>
              <w:spacing w:after="0"/>
              <w:rPr>
                <w:sz w:val="17"/>
                <w:szCs w:val="17"/>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b w:val="1"/>
                <w:bCs w:val="1"/>
                <w:color w:val="auto"/>
              </w:rPr>
              <w:t>February 27,</w:t>
            </w:r>
          </w:p>
        </w:tc>
      </w:tr>
      <w:tr>
        <w:trPr>
          <w:trHeight w:val="228"/>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r>
      <w:tr>
        <w:trPr>
          <w:trHeight w:val="257"/>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211</w:t>
            </w:r>
          </w:p>
        </w:tc>
      </w:tr>
      <w:tr>
        <w:trPr>
          <w:trHeight w:val="260"/>
        </w:trPr>
        <w:tc>
          <w:tcPr>
            <w:tcW w:w="418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22"/>
                <w:szCs w:val="22"/>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63</w:t>
            </w:r>
          </w:p>
        </w:tc>
      </w:tr>
      <w:tr>
        <w:trPr>
          <w:trHeight w:val="280"/>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(19,672)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(40,444)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(3,720)</w:t>
            </w:r>
          </w:p>
        </w:tc>
      </w:tr>
      <w:tr>
        <w:trPr>
          <w:trHeight w:val="264"/>
        </w:trPr>
        <w:tc>
          <w:tcPr>
            <w:tcW w:w="41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7,689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15,648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782</w:t>
            </w:r>
          </w:p>
        </w:tc>
      </w:tr>
      <w:tr>
        <w:trPr>
          <w:trHeight w:val="24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(11,983)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(24,751)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(2,664)</w:t>
            </w: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67"/>
        </w:trPr>
        <w:tc>
          <w:tcPr>
            <w:tcW w:w="4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4"/>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506</w:t>
            </w: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Shareholders'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We have a 2014 Omnibus Equity, Performance Award, and Incentive Compensation Plan (as amended, the "Plan") in place as approved by shareholders, which allows us to grant or issue non-qualified stock options, incentive stock options, share awards and other equity compensation to key employees and to non-employee directors.</w:t>
      </w:r>
    </w:p>
    <w:p>
      <w:pPr>
        <w:spacing w:after="0" w:line="147"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On October 11, 2016 and October 13, 2015 the Human Resources Committee of the Board of Directors granted an aggregate of 97,600 and 204,200 shares, respectively, of restricted common stock to our key employees and non-employee directors under the Plan. The value of the restricted stock award is determined using the intrinsic value method which, in this case, is based on the number of shares granted and the closing price of our common stock on the date of grant.</w:t>
      </w:r>
    </w:p>
    <w:p>
      <w:pPr>
        <w:spacing w:after="0" w:line="149" w:lineRule="exact"/>
        <w:rPr>
          <w:sz w:val="20"/>
          <w:szCs w:val="20"/>
          <w:color w:val="auto"/>
        </w:rPr>
      </w:pPr>
    </w:p>
    <w:p>
      <w:pPr>
        <w:jc w:val="both"/>
        <w:ind w:right="740"/>
        <w:spacing w:after="0" w:line="253" w:lineRule="auto"/>
        <w:rPr>
          <w:sz w:val="20"/>
          <w:szCs w:val="20"/>
          <w:color w:val="auto"/>
        </w:rPr>
      </w:pPr>
      <w:r>
        <w:rPr>
          <w:rFonts w:ascii="Arial" w:cs="Arial" w:eastAsia="Arial" w:hAnsi="Arial"/>
          <w:sz w:val="16"/>
          <w:szCs w:val="16"/>
          <w:color w:val="auto"/>
        </w:rPr>
        <w:t>Stock-based compensation expense was $0.7 million and $0.6 million during the second quarters of Fiscal 2017 and 2016, respectively. Stock-based compensation expense was $1.5 million and $1.3 million during the first six months of Fiscal 2017 and 2016, respectively. Compensation expense is recognized over the requisite service period of the award.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On December 14, 2016, the Board of Directors declared a quarterly cash dividend of $0.10 per share of common stock, which was paid on January 25, 2017 to shareholders of record at the close of business on January 11, 2017.</w:t>
      </w:r>
    </w:p>
    <w:p>
      <w:pPr>
        <w:spacing w:after="0" w:line="16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On March 15, 2017, the Board of Directors declared a quarterly cash dividend of $0.10 per share of common stock, payable on April 26, 2017 to shareholders of record at the close of business on April 12, 2017.</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Registration</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As a result of the acquisition of Grand Design, Winnebago agreed to register the 4,586,555 shares of common stock issued to the Summit Sellers and the RDB Sellers pursuant to the terms of a registration rights agreement. Under the registration rights agreement, Winnebago filed a shelf registration statement on January 20, 2017 to register these shares for resale.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 vehicles purchased.</w:t>
      </w:r>
    </w:p>
    <w:p>
      <w:pPr>
        <w:spacing w:after="0" w:line="147"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to the lending institution, or dealer invoice less periodic reductions based on the time since the date of the original invoice. Our total contingent liability on all repurchase agreements was approximately $640.2 million and $409.3 million at February 25, 2017 and August 27, 2016, respectively, with the increase attributed primarily to Grand Design.</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$10.9 million and $7.9 million at February 25, 2017 and August 27, 2016, respectively, with the increase attributed primarily to Grand Design.</w:t>
      </w:r>
    </w:p>
    <w:p>
      <w:pPr>
        <w:spacing w:after="0" w:line="14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risk of loss related to our repurchase commitments is significantly reduced by the potential resale value of any products that are subject to repurchase and is spread over numerous dealers and lenders although two dealer organizations account for approximately 26% of our revenues in the first six months of Fiscal 2017.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$1.5 million as of February 25, 2017 and $0.9 million as of August 27, 2016. Repurchase risk is affected by the credit worthiness of our dealer network and we do not believe there is a reasonable likelihood that there will be a material change in the estimates or assumptions used to establish the loss reserve for repurchase commitments.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20" w:type="dxa"/>
            <w:vAlign w:val="bottom"/>
            <w:gridSpan w:val="2"/>
          </w:tcPr>
          <w:p>
            <w:pPr>
              <w:spacing w:after="0"/>
              <w:rPr>
                <w:sz w:val="20"/>
                <w:szCs w:val="20"/>
                <w:color w:val="auto"/>
              </w:rPr>
            </w:pPr>
            <w:r>
              <w:rPr>
                <w:rFonts w:ascii="Arial" w:cs="Arial" w:eastAsia="Arial" w:hAnsi="Arial"/>
                <w:sz w:val="16"/>
                <w:szCs w:val="16"/>
                <w:color w:val="auto"/>
              </w:rPr>
              <w:t>A summary of repurchase activity is as follows: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91"/>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25,</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February 27,</w:t>
            </w:r>
          </w:p>
        </w:tc>
        <w:tc>
          <w:tcPr>
            <w:tcW w:w="16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25,</w:t>
            </w:r>
          </w:p>
        </w:tc>
        <w:tc>
          <w:tcPr>
            <w:tcW w:w="20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27,</w:t>
            </w:r>
          </w:p>
        </w:tc>
      </w:tr>
      <w:tr>
        <w:trPr>
          <w:trHeight w:val="228"/>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257"/>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5420" w:type="dxa"/>
            <w:vAlign w:val="bottom"/>
            <w:gridSpan w:val="2"/>
          </w:tcPr>
          <w:p>
            <w:pPr>
              <w:ind w:left="40"/>
              <w:spacing w:after="0"/>
              <w:rPr>
                <w:sz w:val="20"/>
                <w:szCs w:val="20"/>
                <w:color w:val="auto"/>
              </w:rPr>
            </w:pPr>
            <w:r>
              <w:rPr>
                <w:rFonts w:ascii="Arial" w:cs="Arial" w:eastAsia="Arial" w:hAnsi="Arial"/>
                <w:sz w:val="16"/>
                <w:szCs w:val="16"/>
                <w:color w:val="auto"/>
              </w:rPr>
              <w:t>Cash collected on resold inventory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36</w:t>
            </w:r>
          </w:p>
        </w:tc>
      </w:tr>
      <w:tr>
        <w:trPr>
          <w:trHeight w:val="280"/>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Loss (gain) realized on resold inventory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25"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As part of our acquisition of Grand Design, we acquired leases to two properties which hold Grand Design’s current principal facilities, and facilities under construction for expansion. The lessor under these leases is an Indiana limited liability company, Three Oaks, LLC, owned by three of Grand Design's selling equity holders. One of the selling equity holders, Mr. Don Clark, has assumed the position of Vice President for Winnebago and is the President of Grand Design. Upon joining our company, Mr. Clark has agreed that as long as he is an employee of Grand Design he has relinquished his voting rights in Three Oaks, LLC while retaining all other economic rights in Three Oaks, LLC.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460"/>
        </w:trPr>
        <w:tc>
          <w:tcPr>
            <w:tcW w:w="9940" w:type="dxa"/>
            <w:vAlign w:val="bottom"/>
            <w:gridSpan w:val="7"/>
          </w:tcPr>
          <w:p>
            <w:pPr>
              <w:spacing w:after="0"/>
              <w:rPr>
                <w:sz w:val="20"/>
                <w:szCs w:val="20"/>
                <w:color w:val="auto"/>
              </w:rPr>
            </w:pPr>
            <w:r>
              <w:rPr>
                <w:rFonts w:ascii="Arial" w:cs="Arial" w:eastAsia="Arial" w:hAnsi="Arial"/>
                <w:sz w:val="16"/>
                <w:szCs w:val="16"/>
                <w:color w:val="auto"/>
              </w:rPr>
              <w:t>Our future lease commitments included these related party leases as well as a non-related party lease of an office facility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9"/>
        </w:trPr>
        <w:tc>
          <w:tcPr>
            <w:tcW w:w="12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Related Party</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Non-related Party</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5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57"/>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5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2017</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1,082</w:t>
            </w:r>
          </w:p>
        </w:tc>
      </w:tr>
      <w:tr>
        <w:trPr>
          <w:trHeight w:val="260"/>
        </w:trPr>
        <w:tc>
          <w:tcPr>
            <w:tcW w:w="1260" w:type="dxa"/>
            <w:vAlign w:val="bottom"/>
          </w:tcPr>
          <w:p>
            <w:pPr>
              <w:spacing w:after="0"/>
              <w:rPr>
                <w:sz w:val="22"/>
                <w:szCs w:val="22"/>
                <w:color w:val="auto"/>
              </w:rPr>
            </w:pPr>
          </w:p>
        </w:tc>
        <w:tc>
          <w:tcPr>
            <w:tcW w:w="5600" w:type="dxa"/>
            <w:vAlign w:val="bottom"/>
          </w:tcPr>
          <w:p>
            <w:pPr>
              <w:ind w:left="260"/>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1,897</w:t>
            </w:r>
          </w:p>
        </w:tc>
        <w:tc>
          <w:tcPr>
            <w:tcW w:w="30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2,374</w:t>
            </w:r>
          </w:p>
        </w:tc>
      </w:tr>
      <w:tr>
        <w:trPr>
          <w:trHeight w:val="280"/>
        </w:trPr>
        <w:tc>
          <w:tcPr>
            <w:tcW w:w="1260" w:type="dxa"/>
            <w:vAlign w:val="bottom"/>
            <w:shd w:val="clear" w:color="auto" w:fill="CCEEFF"/>
          </w:tcPr>
          <w:p>
            <w:pPr>
              <w:spacing w:after="0"/>
              <w:rPr>
                <w:sz w:val="24"/>
                <w:szCs w:val="24"/>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2019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2,305</w:t>
            </w:r>
          </w:p>
        </w:tc>
      </w:tr>
      <w:tr>
        <w:trPr>
          <w:trHeight w:val="260"/>
        </w:trPr>
        <w:tc>
          <w:tcPr>
            <w:tcW w:w="1260" w:type="dxa"/>
            <w:vAlign w:val="bottom"/>
          </w:tcPr>
          <w:p>
            <w:pPr>
              <w:spacing w:after="0"/>
              <w:rPr>
                <w:sz w:val="22"/>
                <w:szCs w:val="22"/>
                <w:color w:val="auto"/>
              </w:rPr>
            </w:pPr>
          </w:p>
        </w:tc>
        <w:tc>
          <w:tcPr>
            <w:tcW w:w="5600" w:type="dxa"/>
            <w:vAlign w:val="bottom"/>
          </w:tcPr>
          <w:p>
            <w:pPr>
              <w:ind w:left="260"/>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1,800</w:t>
            </w:r>
          </w:p>
        </w:tc>
        <w:tc>
          <w:tcPr>
            <w:tcW w:w="30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518</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2,318</w:t>
            </w:r>
          </w:p>
        </w:tc>
      </w:tr>
      <w:tr>
        <w:trPr>
          <w:trHeight w:val="280"/>
        </w:trPr>
        <w:tc>
          <w:tcPr>
            <w:tcW w:w="1260" w:type="dxa"/>
            <w:vAlign w:val="bottom"/>
            <w:shd w:val="clear" w:color="auto" w:fill="CCEEFF"/>
          </w:tcPr>
          <w:p>
            <w:pPr>
              <w:spacing w:after="0"/>
              <w:rPr>
                <w:sz w:val="24"/>
                <w:szCs w:val="24"/>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523</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2,323</w:t>
            </w:r>
          </w:p>
        </w:tc>
      </w:tr>
      <w:tr>
        <w:trPr>
          <w:trHeight w:val="264"/>
        </w:trPr>
        <w:tc>
          <w:tcPr>
            <w:tcW w:w="1260" w:type="dxa"/>
            <w:vAlign w:val="bottom"/>
            <w:tcBorders>
              <w:bottom w:val="single" w:sz="8" w:color="CCEEFF"/>
            </w:tcBorders>
          </w:tcPr>
          <w:p>
            <w:pPr>
              <w:spacing w:after="0"/>
              <w:rPr>
                <w:sz w:val="22"/>
                <w:szCs w:val="22"/>
                <w:color w:val="auto"/>
              </w:rPr>
            </w:pPr>
          </w:p>
        </w:tc>
        <w:tc>
          <w:tcPr>
            <w:tcW w:w="574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8,374</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766</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9,140</w:t>
            </w:r>
          </w:p>
        </w:tc>
      </w:tr>
      <w:tr>
        <w:trPr>
          <w:trHeight w:val="240"/>
        </w:trPr>
        <w:tc>
          <w:tcPr>
            <w:tcW w:w="126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16,529</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3,013</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19,542</w:t>
            </w:r>
          </w:p>
        </w:tc>
      </w:tr>
      <w:tr>
        <w:trPr>
          <w:trHeight w:val="20"/>
        </w:trPr>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880"/>
        <w:spacing w:after="0" w:line="447" w:lineRule="auto"/>
        <w:rPr>
          <w:sz w:val="20"/>
          <w:szCs w:val="20"/>
          <w:color w:val="auto"/>
        </w:rPr>
      </w:pPr>
      <w:r>
        <w:rPr>
          <w:rFonts w:ascii="Arial" w:cs="Arial" w:eastAsia="Arial" w:hAnsi="Arial"/>
          <w:sz w:val="16"/>
          <w:szCs w:val="16"/>
          <w:color w:val="auto"/>
        </w:rPr>
        <w:t xml:space="preserve">No other significant changes have been made to lease commitments disclosed in our Form 10-K for the year ended August 27, 2016. </w:t>
      </w:r>
      <w:r>
        <w:rPr>
          <w:rFonts w:ascii="Arial" w:cs="Arial" w:eastAsia="Arial" w:hAnsi="Arial"/>
          <w:sz w:val="16"/>
          <w:szCs w:val="16"/>
          <w:b w:val="1"/>
          <w:bCs w:val="1"/>
          <w:color w:val="auto"/>
        </w:rPr>
        <w:t>Note 13: Income Taxes</w:t>
      </w:r>
    </w:p>
    <w:p>
      <w:pPr>
        <w:spacing w:after="0" w:line="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 by the IRS and various state taxing authorities, net operating loss carryforwards generated in those years may still be adjusted upon examination by the IRS or state taxing authorities if they have been or will be used in a future period. As of February 25, 2017, our federal returns from Fiscal 2012 to present continue to be subject to review by the IRS. The IRS review of our Fiscal 2014 Federal Return has been finalized with no material adjustment. With few exceptions, the state returns from Fiscal 2009 to present continue to be subject to review by the state taxing jurisdictions. We recently have concluded a state audit covering our Fiscal 2012-14 years with no material adjustment. A number of years may elapse before an uncertain tax position is audited and finally resolved, and it is often very difficult to predict the outcome of such audits.</w:t>
      </w:r>
    </w:p>
    <w:p>
      <w:pPr>
        <w:spacing w:after="0" w:line="18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As of February 25, 2017, our unrecognized tax benefits were $1.9 million including accrued interest and penalties of $0.6 million. If we were to prevail on all unrecognized tax benefits recorded, $1.5 million of the $1.9 million would benefit the overall effective tax rate. It is our policy to recognize interest and penalties accrued relative to unrecognized tax benefits as tax expense. We do not believe that there will be a significant change in the total amount of unrecognized tax benefits within the next twelve months.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net income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25,</w:t>
            </w: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27,</w:t>
            </w: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25,</w:t>
            </w:r>
          </w:p>
        </w:tc>
        <w:tc>
          <w:tcPr>
            <w:tcW w:w="1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27,</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15,278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9,354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27,016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17,912</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29,707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26,956</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0.48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0.66</w:t>
            </w:r>
          </w:p>
        </w:tc>
      </w:tr>
      <w:tr>
        <w:trPr>
          <w:trHeight w:val="293"/>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17,912</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31,577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26,936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29,707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26,956</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31,686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27,015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29,827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27,042</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0.66</w:t>
            </w:r>
          </w:p>
        </w:tc>
      </w:tr>
    </w:tbl>
    <w:p>
      <w:pPr>
        <w:spacing w:after="0" w:line="19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The computation of weighted average shares and potential dilutive shares outstanding excludes the effects of options to purchase 61,000 and 15,846 shares of common stock at February 25, 2017 and February 27, 2016, respectively. These amounts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Accumulated Other Comprehensive Income (Loss)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by component,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2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February 25, 2017</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February 27, 2016</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198"/>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Interest Rate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7"/>
                <w:szCs w:val="17"/>
                <w:color w:val="auto"/>
              </w:rPr>
            </w:pPr>
          </w:p>
        </w:tc>
        <w:tc>
          <w:tcPr>
            <w:tcW w:w="128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Pension Items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Swap</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Pension Items</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Swap</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7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6,952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6,952</w:t>
            </w: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14,598</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14,598</w:t>
            </w:r>
          </w:p>
        </w:tc>
      </w:tr>
      <w:tr>
        <w:trPr>
          <w:trHeight w:val="270"/>
        </w:trPr>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(439)</w:t>
            </w: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2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(7,413)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(7,413)</w:t>
            </w: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(982)</w:t>
            </w:r>
          </w:p>
        </w:tc>
      </w:tr>
      <w:tr>
        <w:trPr>
          <w:trHeight w:val="264"/>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(7,413)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(7,852)</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(982)</w:t>
            </w:r>
          </w:p>
        </w:tc>
      </w:tr>
      <w:tr>
        <w:trPr>
          <w:trHeight w:val="270"/>
        </w:trPr>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r>
      <w:tr>
        <w:trPr>
          <w:trHeight w:val="254"/>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(900)</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13,616</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13,616</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2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February 25, 2017</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February 27, 2016</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198"/>
        </w:trPr>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 Rate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7"/>
                <w:szCs w:val="17"/>
                <w:color w:val="auto"/>
              </w:rPr>
            </w:pPr>
          </w:p>
        </w:tc>
        <w:tc>
          <w:tcPr>
            <w:tcW w:w="128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rPr>
              <w:t>Interest Rate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8"/>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Pension Items</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Swap</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Pension Items</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Swap</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7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10,975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10,975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(2,274)</w:t>
            </w:r>
          </w:p>
        </w:tc>
        <w:tc>
          <w:tcPr>
            <w:tcW w:w="3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(2,274)</w:t>
            </w:r>
          </w:p>
        </w:tc>
      </w:tr>
      <w:tr>
        <w:trPr>
          <w:trHeight w:val="270"/>
        </w:trPr>
        <w:tc>
          <w:tcPr>
            <w:tcW w:w="2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3,903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3,464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17,701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17,701</w:t>
            </w:r>
          </w:p>
        </w:tc>
      </w:tr>
      <w:tr>
        <w:trPr>
          <w:trHeight w:val="264"/>
        </w:trPr>
        <w:tc>
          <w:tcPr>
            <w:tcW w:w="29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(15,339)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(15,339)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(1,811)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(1,811)</w:t>
            </w:r>
          </w:p>
        </w:tc>
      </w:tr>
      <w:tr>
        <w:trPr>
          <w:trHeight w:val="264"/>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(11,436)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(11,875)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15,890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15,890</w:t>
            </w:r>
          </w:p>
        </w:tc>
      </w:tr>
      <w:tr>
        <w:trPr>
          <w:trHeight w:val="270"/>
        </w:trPr>
        <w:tc>
          <w:tcPr>
            <w:tcW w:w="2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r>
      <w:tr>
        <w:trPr>
          <w:trHeight w:val="254"/>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(461)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13,616</w:t>
            </w:r>
          </w:p>
        </w:tc>
        <w:tc>
          <w:tcPr>
            <w:tcW w:w="3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13,616</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in net periodic benefit costs,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9"/>
                <w:szCs w:val="19"/>
                <w:color w:val="auto"/>
              </w:rPr>
            </w:pPr>
          </w:p>
        </w:tc>
        <w:tc>
          <w:tcPr>
            <w:tcW w:w="314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84"/>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 on</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r>
      <w:tr>
        <w:trPr>
          <w:trHeight w:val="189"/>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Statements</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b w:val="1"/>
                <w:bCs w:val="1"/>
                <w:color w:val="auto"/>
              </w:rPr>
              <w:t>of Income and</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Comprehensive</w:t>
            </w: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25,</w:t>
            </w:r>
          </w:p>
        </w:tc>
        <w:tc>
          <w:tcPr>
            <w:tcW w:w="22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27,</w:t>
            </w: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25,</w:t>
            </w:r>
          </w:p>
        </w:tc>
        <w:tc>
          <w:tcPr>
            <w:tcW w:w="220" w:type="dxa"/>
            <w:vAlign w:val="bottom"/>
          </w:tcPr>
          <w:p>
            <w:pPr>
              <w:spacing w:after="0"/>
              <w:rPr>
                <w:sz w:val="16"/>
                <w:szCs w:val="16"/>
                <w:color w:val="auto"/>
              </w:rPr>
            </w:pPr>
          </w:p>
        </w:tc>
        <w:tc>
          <w:tcPr>
            <w:tcW w:w="1400" w:type="dxa"/>
            <w:vAlign w:val="bottom"/>
          </w:tcPr>
          <w:p>
            <w:pPr>
              <w:jc w:val="right"/>
              <w:ind w:right="279"/>
              <w:spacing w:after="0"/>
              <w:rPr>
                <w:sz w:val="20"/>
                <w:szCs w:val="20"/>
                <w:color w:val="auto"/>
              </w:rPr>
            </w:pPr>
            <w:r>
              <w:rPr>
                <w:rFonts w:ascii="Arial" w:cs="Arial" w:eastAsia="Arial" w:hAnsi="Arial"/>
                <w:sz w:val="16"/>
                <w:szCs w:val="16"/>
                <w:b w:val="1"/>
                <w:bCs w:val="1"/>
                <w:color w:val="auto"/>
              </w:rPr>
              <w:t>February 27,</w:t>
            </w:r>
          </w:p>
        </w:tc>
      </w:tr>
      <w:tr>
        <w:trPr>
          <w:trHeight w:val="22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Income</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r>
      <w:tr>
        <w:trPr>
          <w:trHeight w:val="257"/>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(12,177)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(1,242)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(25,035)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(2,302)</w:t>
            </w:r>
          </w:p>
        </w:tc>
      </w:tr>
      <w:tr>
        <w:trPr>
          <w:trHeight w:val="264"/>
        </w:trPr>
        <w:tc>
          <w:tcPr>
            <w:tcW w:w="2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4,764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9,696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491</w:t>
            </w:r>
          </w:p>
        </w:tc>
      </w:tr>
      <w:tr>
        <w:trPr>
          <w:trHeight w:val="240"/>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1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(7,413)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(15,339)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(1,811)</w:t>
            </w: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Subsequent Event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On March 15, 2017 our Board of Directors declared a cash dividend of $0.10 per share as noted in Note 11.</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jc w:val="both"/>
        <w:ind w:right="40"/>
        <w:spacing w:after="0" w:line="191" w:lineRule="exact"/>
        <w:rPr>
          <w:sz w:val="20"/>
          <w:szCs w:val="20"/>
          <w:color w:val="auto"/>
        </w:rPr>
      </w:pPr>
      <w:r>
        <w:rPr>
          <w:rFonts w:ascii="Arial" w:cs="Arial" w:eastAsia="Arial" w:hAnsi="Arial"/>
          <w:sz w:val="16"/>
          <w:szCs w:val="16"/>
          <w:color w:val="auto"/>
        </w:rPr>
        <w:t>This management's discussion should be read in conjunction with the Unaudited Consolidated Financial Statements contained in this Form 10-Q as well as the Management's Discussion and Analysis and Risk Factors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27, 2016 and in Part II, Item 1A of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This Quarterly Report on Form 10-Q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w:t>
      </w:r>
    </w:p>
    <w:p>
      <w:pPr>
        <w:sectPr>
          <w:pgSz w:w="11900" w:h="16838" w:orient="portrait"/>
          <w:cols w:equalWidth="0" w:num="1">
            <w:col w:w="11420"/>
          </w:cols>
          <w:pgMar w:left="240" w:top="141"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integration of our acquisition of Grand Design including: risks inherent in the achievement of cost synergies and the timing thereof, risks related to the disruption of the transaction to Winnebago and Grand Design and its management, the effect of the transaction on Grand Design's ability to retain and hire key personnel and maintain relationships with customers, suppliers and other third parties, risk related to compliance with debt covenants and leverage ratios, risks related to integration of the two companies and other factors. Additional information concerning certain risks and uncertainties that could cause actual results to differ materially from that projected or suggested is contained in our filings with the SEC over the last 12 months, copies of which are available from the SEC or from us upon request. We disclaim any obligation or undertaking to disseminate any updates or revisions to any forward-looking statements contained in this release or to reflect any changes in expectations after the date of this release or any change in events, conditions or circumstances on which any statement is based, except as required by law.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7" w:lineRule="exact"/>
        <w:rPr>
          <w:sz w:val="20"/>
          <w:szCs w:val="20"/>
          <w:color w:val="auto"/>
        </w:rPr>
      </w:pPr>
    </w:p>
    <w:p>
      <w:pPr>
        <w:ind w:right="520"/>
        <w:spacing w:after="0" w:line="251"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currently produce the majority of our motorhomes in vertically integrated manufacturing facilities in Iowa and we produce all travel trailer and fifth wheel trailers in Indiana. We are in the process of expanding some motorhome manufacturing to Junction City, Oregon. We distribute our products primarily through independent dealers throughout the US and Canada, who then retail the products to the end consumer.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Transaction</w:t>
      </w: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 November 8, 2016, we closed on the acquisition of all the issued and outstanding capital stock of towable recreational vehicle manufacturer Grand Design for initial consideration of $520.5 million. This acquisition was funded from our cash on hand, $353.0 million from asset-based revolving and term loan credit facilities, as well as stock consideration as is more fully described in Note 2 and Note 9 to the Consolidated Financial Statements. We purchased Grand Design to significantly expand our existing towable RV product offerings and dealer base and acquire executive talent in the RV industry.</w:t>
      </w:r>
    </w:p>
    <w:p>
      <w:pPr>
        <w:spacing w:after="0" w:line="1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first quarter of Fiscal 2017, we revised our reporting segments. Previously we had one reporting segment which included all recreational vehicle products and services. With the acquisition of Grand Design in the first quarter, we expanded the number of reporting segments to two: (1) Motorized products and services and (2) Towable products and services. The Motorized segment includes all products that include a motorized chassis as well as other related manufactured products. The Towable segment includes all products which are not motorized and are generally towed by another vehicle. Prior year segment information has been restated to conform to the current reporting segment presentation.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Share</w:t>
      </w:r>
    </w:p>
    <w:p>
      <w:pPr>
        <w:spacing w:after="0" w:line="228" w:lineRule="exact"/>
        <w:rPr>
          <w:sz w:val="20"/>
          <w:szCs w:val="20"/>
          <w:color w:val="auto"/>
        </w:rPr>
      </w:pPr>
    </w:p>
    <w:p>
      <w:pPr>
        <w:ind w:right="64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Rolling 12 Months</w:t>
            </w: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6"/>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Through January</w:t>
            </w:r>
          </w:p>
        </w:tc>
        <w:tc>
          <w:tcPr>
            <w:tcW w:w="1400" w:type="dxa"/>
            <w:vAlign w:val="bottom"/>
          </w:tcPr>
          <w:p>
            <w:pPr>
              <w:spacing w:after="0"/>
              <w:rPr>
                <w:sz w:val="17"/>
                <w:szCs w:val="17"/>
                <w:color w:val="auto"/>
              </w:rPr>
            </w:pPr>
          </w:p>
        </w:tc>
        <w:tc>
          <w:tcPr>
            <w:tcW w:w="2580" w:type="dxa"/>
            <w:vAlign w:val="bottom"/>
            <w:gridSpan w:val="2"/>
          </w:tcPr>
          <w:p>
            <w:pPr>
              <w:jc w:val="right"/>
              <w:ind w:right="822"/>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Pr>
          <w:p>
            <w:pPr>
              <w:spacing w:after="0"/>
              <w:rPr>
                <w:sz w:val="17"/>
                <w:szCs w:val="17"/>
                <w:color w:val="auto"/>
              </w:rPr>
            </w:pPr>
          </w:p>
        </w:tc>
      </w:tr>
      <w:tr>
        <w:trPr>
          <w:trHeight w:val="250"/>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and Canada</w:t>
            </w:r>
          </w:p>
        </w:tc>
        <w:tc>
          <w:tcPr>
            <w:tcW w:w="12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2017</w:t>
            </w:r>
          </w:p>
        </w:tc>
        <w:tc>
          <w:tcPr>
            <w:tcW w:w="11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28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2015</w:t>
            </w:r>
          </w:p>
        </w:tc>
        <w:tc>
          <w:tcPr>
            <w:tcW w:w="130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2014</w:t>
            </w:r>
          </w:p>
        </w:tc>
        <w:tc>
          <w:tcPr>
            <w:tcW w:w="11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2013</w:t>
            </w: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320" w:type="dxa"/>
            <w:vAlign w:val="bottom"/>
            <w:shd w:val="clear" w:color="auto" w:fill="CCEEFF"/>
          </w:tcPr>
          <w:p>
            <w:pPr>
              <w:jc w:val="right"/>
              <w:ind w:right="304"/>
              <w:spacing w:after="0"/>
              <w:rPr>
                <w:sz w:val="20"/>
                <w:szCs w:val="20"/>
                <w:color w:val="auto"/>
              </w:rPr>
            </w:pPr>
            <w:r>
              <w:rPr>
                <w:rFonts w:ascii="Arial" w:cs="Arial" w:eastAsia="Arial" w:hAnsi="Arial"/>
                <w:sz w:val="16"/>
                <w:szCs w:val="16"/>
                <w:color w:val="auto"/>
              </w:rPr>
              <w:t>17.8%</w:t>
            </w:r>
          </w:p>
        </w:tc>
        <w:tc>
          <w:tcPr>
            <w:tcW w:w="11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18.0%</w:t>
            </w:r>
          </w:p>
        </w:tc>
        <w:tc>
          <w:tcPr>
            <w:tcW w:w="128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20.5%</w:t>
            </w:r>
          </w:p>
        </w:tc>
        <w:tc>
          <w:tcPr>
            <w:tcW w:w="13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20.7%</w:t>
            </w:r>
          </w:p>
        </w:tc>
        <w:tc>
          <w:tcPr>
            <w:tcW w:w="11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18.6%</w:t>
            </w:r>
          </w:p>
        </w:tc>
      </w:tr>
      <w:tr>
        <w:trPr>
          <w:trHeight w:val="324"/>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Travel trailer and fifth wheels</w:t>
            </w:r>
          </w:p>
        </w:tc>
        <w:tc>
          <w:tcPr>
            <w:tcW w:w="1320" w:type="dxa"/>
            <w:vAlign w:val="bottom"/>
          </w:tcPr>
          <w:p>
            <w:pPr>
              <w:jc w:val="right"/>
              <w:ind w:right="444"/>
              <w:spacing w:after="0"/>
              <w:rPr>
                <w:sz w:val="20"/>
                <w:szCs w:val="20"/>
                <w:color w:val="auto"/>
              </w:rPr>
            </w:pPr>
            <w:r>
              <w:rPr>
                <w:rFonts w:ascii="Arial" w:cs="Arial" w:eastAsia="Arial" w:hAnsi="Arial"/>
                <w:sz w:val="16"/>
                <w:szCs w:val="16"/>
                <w:color w:val="auto"/>
              </w:rPr>
              <w:t xml:space="preserve">1.9% </w:t>
            </w:r>
            <w:r>
              <w:rPr>
                <w:rFonts w:ascii="Arial" w:cs="Arial" w:eastAsia="Arial" w:hAnsi="Arial"/>
                <w:sz w:val="21"/>
                <w:szCs w:val="21"/>
                <w:color w:val="auto"/>
                <w:vertAlign w:val="superscript"/>
              </w:rPr>
              <w:t>(1)</w:t>
            </w:r>
          </w:p>
        </w:tc>
        <w:tc>
          <w:tcPr>
            <w:tcW w:w="1180" w:type="dxa"/>
            <w:vAlign w:val="bottom"/>
          </w:tcPr>
          <w:p>
            <w:pPr>
              <w:jc w:val="right"/>
              <w:ind w:right="202"/>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4"/>
                <w:szCs w:val="24"/>
                <w:color w:val="auto"/>
              </w:rPr>
            </w:pPr>
          </w:p>
        </w:tc>
        <w:tc>
          <w:tcPr>
            <w:tcW w:w="1400" w:type="dxa"/>
            <w:vAlign w:val="bottom"/>
          </w:tcPr>
          <w:p>
            <w:pPr>
              <w:jc w:val="right"/>
              <w:ind w:right="442"/>
              <w:spacing w:after="0"/>
              <w:rPr>
                <w:sz w:val="20"/>
                <w:szCs w:val="20"/>
                <w:color w:val="auto"/>
              </w:rPr>
            </w:pPr>
            <w:r>
              <w:rPr>
                <w:rFonts w:ascii="Arial" w:cs="Arial" w:eastAsia="Arial" w:hAnsi="Arial"/>
                <w:sz w:val="16"/>
                <w:szCs w:val="16"/>
                <w:color w:val="auto"/>
              </w:rPr>
              <w:t xml:space="preserve">1.7% </w:t>
            </w:r>
            <w:r>
              <w:rPr>
                <w:rFonts w:ascii="Arial" w:cs="Arial" w:eastAsia="Arial" w:hAnsi="Arial"/>
                <w:sz w:val="21"/>
                <w:szCs w:val="21"/>
                <w:color w:val="auto"/>
                <w:vertAlign w:val="superscript"/>
              </w:rPr>
              <w:t>(1)</w:t>
            </w:r>
          </w:p>
        </w:tc>
        <w:tc>
          <w:tcPr>
            <w:tcW w:w="1280" w:type="dxa"/>
            <w:vAlign w:val="bottom"/>
          </w:tcPr>
          <w:p>
            <w:pPr>
              <w:jc w:val="right"/>
              <w:ind w:right="303"/>
              <w:spacing w:after="0"/>
              <w:rPr>
                <w:sz w:val="20"/>
                <w:szCs w:val="20"/>
                <w:color w:val="auto"/>
              </w:rPr>
            </w:pPr>
            <w:r>
              <w:rPr>
                <w:rFonts w:ascii="Arial" w:cs="Arial" w:eastAsia="Arial" w:hAnsi="Arial"/>
                <w:sz w:val="16"/>
                <w:szCs w:val="16"/>
                <w:color w:val="auto"/>
              </w:rPr>
              <w:t>0.9%</w:t>
            </w: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0.8%</w:t>
            </w:r>
          </w:p>
        </w:tc>
        <w:tc>
          <w:tcPr>
            <w:tcW w:w="1180" w:type="dxa"/>
            <w:vAlign w:val="bottom"/>
          </w:tcPr>
          <w:p>
            <w:pPr>
              <w:jc w:val="right"/>
              <w:ind w:right="202"/>
              <w:spacing w:after="0"/>
              <w:rPr>
                <w:sz w:val="20"/>
                <w:szCs w:val="20"/>
                <w:color w:val="auto"/>
              </w:rPr>
            </w:pPr>
            <w:r>
              <w:rPr>
                <w:rFonts w:ascii="Arial" w:cs="Arial" w:eastAsia="Arial" w:hAnsi="Arial"/>
                <w:sz w:val="16"/>
                <w:szCs w:val="16"/>
                <w:color w:val="auto"/>
              </w:rPr>
              <w:t>1.0%</w:t>
            </w:r>
          </w:p>
        </w:tc>
      </w:tr>
    </w:tbl>
    <w:p>
      <w:pPr>
        <w:ind w:left="340" w:hanging="332"/>
        <w:spacing w:after="0" w:line="205"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retail unit market share for Grand Design since acquisition on November 8, 2016.</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 Trends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RVIA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the dealer, which is reported monthly by Stat Surveys</w:t>
      </w:r>
    </w:p>
    <w:p>
      <w:pPr>
        <w:spacing w:after="0" w:line="19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 The rolling twelve months shipment and retail information for 2017 and 2016 as noted in the next table illustrates that the RV industry continues to grow both at the wholesale and retail level. We believe that retail demand is the key driver to continued growth in the RV industry and that annual RV shipments will generally be in line with retail registrations in the future.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4"/>
                <w:szCs w:val="14"/>
                <w:b w:val="1"/>
                <w:bCs w:val="1"/>
                <w:color w:val="auto"/>
              </w:rPr>
              <w:t>US and Canada Industry</w:t>
            </w:r>
          </w:p>
        </w:tc>
        <w:tc>
          <w:tcPr>
            <w:tcW w:w="1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58"/>
        </w:trPr>
        <w:tc>
          <w:tcPr>
            <w:tcW w:w="1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Wholesale Unit Shipments per RVIA</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Retail Unit Registrations per Stat Surveys</w:t>
            </w:r>
          </w:p>
        </w:tc>
      </w:tr>
      <w:tr>
        <w:trPr>
          <w:trHeight w:val="276"/>
        </w:trPr>
        <w:tc>
          <w:tcPr>
            <w:tcW w:w="19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Rolling 12 Months through January</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Rolling 12 Months through January</w:t>
            </w:r>
          </w:p>
        </w:tc>
        <w:tc>
          <w:tcPr>
            <w:tcW w:w="1080" w:type="dxa"/>
            <w:vAlign w:val="bottom"/>
            <w:tcBorders>
              <w:bottom w:val="single" w:sz="8" w:color="auto"/>
            </w:tcBorders>
          </w:tcPr>
          <w:p>
            <w:pPr>
              <w:spacing w:after="0"/>
              <w:rPr>
                <w:sz w:val="24"/>
                <w:szCs w:val="24"/>
                <w:color w:val="auto"/>
              </w:rPr>
            </w:pPr>
          </w:p>
        </w:tc>
      </w:tr>
      <w:tr>
        <w:trPr>
          <w:trHeight w:val="250"/>
        </w:trPr>
        <w:tc>
          <w:tcPr>
            <w:tcW w:w="198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4"/>
                <w:szCs w:val="14"/>
                <w:b w:val="1"/>
                <w:bCs w:val="1"/>
                <w:color w:val="auto"/>
              </w:rPr>
              <w:t>2017</w:t>
            </w:r>
          </w:p>
        </w:tc>
        <w:tc>
          <w:tcPr>
            <w:tcW w:w="1140" w:type="dxa"/>
            <w:vAlign w:val="bottom"/>
          </w:tcPr>
          <w:p>
            <w:pPr>
              <w:jc w:val="right"/>
              <w:ind w:right="43"/>
              <w:spacing w:after="0"/>
              <w:rPr>
                <w:sz w:val="20"/>
                <w:szCs w:val="20"/>
                <w:color w:val="auto"/>
              </w:rPr>
            </w:pPr>
            <w:r>
              <w:rPr>
                <w:rFonts w:ascii="Arial" w:cs="Arial" w:eastAsia="Arial" w:hAnsi="Arial"/>
                <w:sz w:val="14"/>
                <w:szCs w:val="14"/>
                <w:b w:val="1"/>
                <w:bCs w:val="1"/>
                <w:color w:val="auto"/>
              </w:rPr>
              <w:t>2016</w:t>
            </w: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Unit Change</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3"/>
              <w:spacing w:after="0"/>
              <w:rPr>
                <w:sz w:val="20"/>
                <w:szCs w:val="20"/>
                <w:color w:val="auto"/>
              </w:rPr>
            </w:pPr>
            <w:r>
              <w:rPr>
                <w:rFonts w:ascii="Arial" w:cs="Arial" w:eastAsia="Arial" w:hAnsi="Arial"/>
                <w:sz w:val="14"/>
                <w:szCs w:val="14"/>
                <w:b w:val="1"/>
                <w:bCs w:val="1"/>
                <w:color w:val="auto"/>
              </w:rPr>
              <w:t>2017</w:t>
            </w:r>
          </w:p>
        </w:tc>
        <w:tc>
          <w:tcPr>
            <w:tcW w:w="1120" w:type="dxa"/>
            <w:vAlign w:val="bottom"/>
          </w:tcPr>
          <w:p>
            <w:pPr>
              <w:jc w:val="right"/>
              <w:ind w:right="43"/>
              <w:spacing w:after="0"/>
              <w:rPr>
                <w:sz w:val="20"/>
                <w:szCs w:val="20"/>
                <w:color w:val="auto"/>
              </w:rPr>
            </w:pPr>
            <w:r>
              <w:rPr>
                <w:rFonts w:ascii="Arial" w:cs="Arial" w:eastAsia="Arial" w:hAnsi="Arial"/>
                <w:sz w:val="14"/>
                <w:szCs w:val="14"/>
                <w:b w:val="1"/>
                <w:bCs w:val="1"/>
                <w:color w:val="auto"/>
              </w:rPr>
              <w:t>2016</w:t>
            </w: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Unit Change</w:t>
            </w:r>
          </w:p>
        </w:tc>
        <w:tc>
          <w:tcPr>
            <w:tcW w:w="1080" w:type="dxa"/>
            <w:vAlign w:val="bottom"/>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6"/>
        </w:trPr>
        <w:tc>
          <w:tcPr>
            <w:tcW w:w="1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Towable </w:t>
            </w:r>
            <w:r>
              <w:rPr>
                <w:rFonts w:ascii="Arial" w:cs="Arial" w:eastAsia="Arial" w:hAnsi="Arial"/>
                <w:sz w:val="21"/>
                <w:szCs w:val="21"/>
                <w:color w:val="auto"/>
                <w:vertAlign w:val="superscript"/>
              </w:rPr>
              <w:t>(1)</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364,642</w:t>
            </w:r>
          </w:p>
        </w:tc>
        <w:tc>
          <w:tcPr>
            <w:tcW w:w="11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316,808</w:t>
            </w:r>
          </w:p>
        </w:tc>
        <w:tc>
          <w:tcPr>
            <w:tcW w:w="140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47,834</w:t>
            </w:r>
          </w:p>
        </w:tc>
        <w:tc>
          <w:tcPr>
            <w:tcW w:w="10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15.1%</w:t>
            </w: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344,590</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311,026</w:t>
            </w:r>
          </w:p>
        </w:tc>
        <w:tc>
          <w:tcPr>
            <w:tcW w:w="140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33,564</w:t>
            </w:r>
          </w:p>
        </w:tc>
        <w:tc>
          <w:tcPr>
            <w:tcW w:w="10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10.8%</w:t>
            </w:r>
          </w:p>
        </w:tc>
      </w:tr>
      <w:tr>
        <w:trPr>
          <w:trHeight w:val="270"/>
        </w:trPr>
        <w:tc>
          <w:tcPr>
            <w:tcW w:w="1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Motorized </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55,391</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47,856</w:t>
            </w:r>
          </w:p>
        </w:tc>
        <w:tc>
          <w:tcPr>
            <w:tcW w:w="14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7,535</w:t>
            </w:r>
          </w:p>
        </w:tc>
        <w:tc>
          <w:tcPr>
            <w:tcW w:w="106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50,262</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45,363</w:t>
            </w:r>
          </w:p>
        </w:tc>
        <w:tc>
          <w:tcPr>
            <w:tcW w:w="14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4,899</w:t>
            </w: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10.8%</w:t>
            </w:r>
          </w:p>
        </w:tc>
      </w:tr>
      <w:tr>
        <w:trPr>
          <w:trHeight w:val="234"/>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420,033</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364,664</w:t>
            </w:r>
          </w:p>
        </w:tc>
        <w:tc>
          <w:tcPr>
            <w:tcW w:w="140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55,369</w:t>
            </w:r>
          </w:p>
        </w:tc>
        <w:tc>
          <w:tcPr>
            <w:tcW w:w="10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394,852</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356,389</w:t>
            </w:r>
          </w:p>
        </w:tc>
        <w:tc>
          <w:tcPr>
            <w:tcW w:w="140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38,463</w:t>
            </w:r>
          </w:p>
        </w:tc>
        <w:tc>
          <w:tcPr>
            <w:tcW w:w="10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10.8%</w:t>
            </w:r>
          </w:p>
        </w:tc>
      </w:tr>
      <w:tr>
        <w:trPr>
          <w:trHeight w:val="20"/>
        </w:trPr>
        <w:tc>
          <w:tcPr>
            <w:tcW w:w="1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Towable: Fifth wheel and travel trailer products</w:t>
      </w:r>
    </w:p>
    <w:p>
      <w:pPr>
        <w:ind w:left="340" w:hanging="332"/>
        <w:spacing w:after="0" w:line="199"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Motorized: Class A, B and C products</w:t>
      </w:r>
    </w:p>
    <w:p>
      <w:pPr>
        <w:spacing w:after="0" w:line="150"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 most recent towable and motorized RVIA wholesale shipment forecasts for calendar year 2017 compared to actual 2016 shipments as noted in the table below illustrates continued projected growth of the industry. The outlook for future growth in RV sales is based on continued modest gains in job and disposable income prospects as well as low inflation, and takes into account the impact of slowly rising interest rates, a strong U.S. dollar and continued weakness in energy production and prices.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jc w:val="right"/>
              <w:ind w:right="503"/>
              <w:spacing w:after="0"/>
              <w:rPr>
                <w:sz w:val="20"/>
                <w:szCs w:val="20"/>
                <w:color w:val="auto"/>
              </w:rPr>
            </w:pPr>
            <w:r>
              <w:rPr>
                <w:rFonts w:ascii="Arial" w:cs="Arial" w:eastAsia="Arial" w:hAnsi="Arial"/>
                <w:sz w:val="14"/>
                <w:szCs w:val="14"/>
                <w:b w:val="1"/>
                <w:bCs w:val="1"/>
                <w:color w:val="auto"/>
              </w:rPr>
              <w:t>Calendar Year</w:t>
            </w:r>
          </w:p>
        </w:tc>
        <w:tc>
          <w:tcPr>
            <w:tcW w:w="1400" w:type="dxa"/>
            <w:vAlign w:val="bottom"/>
            <w:tcBorders>
              <w:bottom w:val="single" w:sz="8" w:color="auto"/>
            </w:tcBorders>
          </w:tcPr>
          <w:p>
            <w:pPr>
              <w:spacing w:after="0"/>
              <w:rPr>
                <w:sz w:val="17"/>
                <w:szCs w:val="17"/>
                <w:color w:val="auto"/>
              </w:rPr>
            </w:pPr>
          </w:p>
        </w:tc>
      </w:tr>
      <w:tr>
        <w:trPr>
          <w:trHeight w:val="256"/>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Wholesale Unit Shipments per RVIA</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 xml:space="preserve">2017 Forecast </w:t>
            </w:r>
            <w:r>
              <w:rPr>
                <w:rFonts w:ascii="Arial" w:cs="Arial" w:eastAsia="Arial" w:hAnsi="Arial"/>
                <w:sz w:val="17"/>
                <w:szCs w:val="17"/>
                <w:b w:val="1"/>
                <w:bCs w:val="1"/>
                <w:color w:val="auto"/>
                <w:vertAlign w:val="superscript"/>
              </w:rPr>
              <w:t>(1)</w:t>
            </w:r>
          </w:p>
        </w:tc>
        <w:tc>
          <w:tcPr>
            <w:tcW w:w="11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2016 Actual</w:t>
            </w: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Unit Change</w:t>
            </w:r>
          </w:p>
        </w:tc>
        <w:tc>
          <w:tcPr>
            <w:tcW w:w="14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374,400</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362,685</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11,715</w:t>
            </w:r>
          </w:p>
        </w:tc>
        <w:tc>
          <w:tcPr>
            <w:tcW w:w="1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3.2%</w:t>
            </w:r>
          </w:p>
        </w:tc>
      </w:tr>
      <w:tr>
        <w:trPr>
          <w:trHeight w:val="264"/>
        </w:trPr>
        <w:tc>
          <w:tcPr>
            <w:tcW w:w="6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Motorized</w:t>
            </w: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57,700</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54,741</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2,959</w:t>
            </w:r>
          </w:p>
        </w:tc>
        <w:tc>
          <w:tcPr>
            <w:tcW w:w="14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5.4%</w:t>
            </w:r>
          </w:p>
        </w:tc>
      </w:tr>
      <w:tr>
        <w:trPr>
          <w:trHeight w:val="24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432,100</w:t>
            </w: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417,426</w:t>
            </w: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14,674</w:t>
            </w:r>
          </w:p>
        </w:tc>
        <w:tc>
          <w:tcPr>
            <w:tcW w:w="14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3.5%</w:t>
            </w:r>
          </w:p>
        </w:tc>
      </w:tr>
      <w:tr>
        <w:trPr>
          <w:trHeight w:val="20"/>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59" w:lineRule="exact"/>
        <w:rPr>
          <w:sz w:val="20"/>
          <w:szCs w:val="20"/>
          <w:color w:val="auto"/>
        </w:rPr>
      </w:pPr>
    </w:p>
    <w:p>
      <w:pPr>
        <w:ind w:left="180" w:right="380" w:hanging="172"/>
        <w:spacing w:after="0" w:line="218" w:lineRule="auto"/>
        <w:tabs>
          <w:tab w:leader="none" w:pos="1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Forecast prepared by Dr. Richard Curtin of the University of Michigan Consumer Survey Research Center for RVIA and reported in the Roadsigns RV Spring 2017 Industry Forecast Issue.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ERP System</w:t>
      </w:r>
    </w:p>
    <w:p>
      <w:pPr>
        <w:spacing w:after="0" w:line="214"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In the second quarter of Fiscal 2015, the Board of Directors approved the strategic initiative of implementing an ERP system to replace our legacy business applications. The new ERP platform will provide better support for our changing business needs and plans for future growth. Our initial cost estimates have grown for additional needs of the business such as the acquisition of the Junction City, Oregon plant and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its useful life.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cumulative project costs:</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w:t>
            </w:r>
          </w:p>
        </w:tc>
        <w:tc>
          <w:tcPr>
            <w:tcW w:w="30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w:t>
            </w:r>
          </w:p>
        </w:tc>
        <w:tc>
          <w:tcPr>
            <w:tcW w:w="8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Fiscal 2017</w:t>
            </w: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gridSpan w:val="2"/>
          </w:tcPr>
          <w:p>
            <w:pPr>
              <w:ind w:left="380"/>
              <w:spacing w:after="0"/>
              <w:rPr>
                <w:sz w:val="20"/>
                <w:szCs w:val="20"/>
                <w:color w:val="auto"/>
              </w:rPr>
            </w:pPr>
            <w:r>
              <w:rPr>
                <w:rFonts w:ascii="Arial" w:cs="Arial" w:eastAsia="Arial" w:hAnsi="Arial"/>
                <w:sz w:val="14"/>
                <w:szCs w:val="14"/>
                <w:b w:val="1"/>
                <w:bCs w:val="1"/>
                <w:color w:val="auto"/>
              </w:rPr>
              <w:t>Cumulative</w:t>
            </w:r>
          </w:p>
        </w:tc>
        <w:tc>
          <w:tcPr>
            <w:tcW w:w="700" w:type="dxa"/>
            <w:vAlign w:val="bottom"/>
          </w:tcPr>
          <w:p>
            <w:pPr>
              <w:spacing w:after="0"/>
              <w:rPr>
                <w:sz w:val="17"/>
                <w:szCs w:val="17"/>
                <w:color w:val="auto"/>
              </w:rPr>
            </w:pPr>
          </w:p>
        </w:tc>
      </w:tr>
      <w:tr>
        <w:trPr>
          <w:trHeight w:val="264"/>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Q1</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Q2</w:t>
            </w:r>
          </w:p>
        </w:tc>
        <w:tc>
          <w:tcPr>
            <w:tcW w:w="5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Investment</w:t>
            </w:r>
          </w:p>
        </w:tc>
        <w:tc>
          <w:tcPr>
            <w:tcW w:w="700" w:type="dxa"/>
            <w:vAlign w:val="bottom"/>
            <w:tcBorders>
              <w:bottom w:val="single" w:sz="8" w:color="auto"/>
            </w:tcBorders>
          </w:tcPr>
          <w:p>
            <w:pPr>
              <w:spacing w:after="0"/>
              <w:rPr>
                <w:sz w:val="22"/>
                <w:szCs w:val="22"/>
                <w:color w:val="auto"/>
              </w:rPr>
            </w:pPr>
          </w:p>
        </w:tc>
      </w:tr>
      <w:tr>
        <w:trPr>
          <w:trHeight w:val="27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Capitalized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7,798</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1,518</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c>
          <w:tcPr>
            <w:tcW w:w="5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13,137</w:t>
            </w: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64"/>
        </w:trPr>
        <w:tc>
          <w:tcPr>
            <w:tcW w:w="2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Expensed</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2,528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5,930</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1,165</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517</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10,140</w:t>
            </w:r>
          </w:p>
        </w:tc>
        <w:tc>
          <w:tcPr>
            <w:tcW w:w="3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67"/>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5,819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13,728</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2,683</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1,047</w:t>
            </w:r>
          </w:p>
        </w:tc>
        <w:tc>
          <w:tcPr>
            <w:tcW w:w="5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23,277</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$6.4 million of our cumulative capitalized investment has been placed in service and is being amortized over a 10-year life.</w:t>
      </w:r>
    </w:p>
    <w:p>
      <w:pPr>
        <w:spacing w:after="0" w:line="200" w:lineRule="exact"/>
        <w:rPr>
          <w:rFonts w:ascii="Arial" w:cs="Arial" w:eastAsia="Arial" w:hAnsi="Arial"/>
          <w:sz w:val="18"/>
          <w:szCs w:val="18"/>
          <w:color w:val="auto"/>
          <w:vertAlign w:val="superscript"/>
        </w:rPr>
      </w:pPr>
    </w:p>
    <w:p>
      <w:pPr>
        <w:spacing w:after="0" w:line="219" w:lineRule="exact"/>
        <w:rPr>
          <w:rFonts w:ascii="Arial" w:cs="Arial" w:eastAsia="Arial" w:hAnsi="Arial"/>
          <w:sz w:val="18"/>
          <w:szCs w:val="18"/>
          <w:color w:val="auto"/>
          <w:vertAlign w:val="superscript"/>
        </w:rPr>
      </w:pPr>
    </w:p>
    <w:p>
      <w:pPr>
        <w:ind w:left="5620"/>
        <w:spacing w:after="0"/>
        <w:rPr>
          <w:rFonts w:ascii="Arial" w:cs="Arial" w:eastAsia="Arial" w:hAnsi="Arial"/>
          <w:sz w:val="18"/>
          <w:szCs w:val="18"/>
          <w:color w:val="auto"/>
          <w:vertAlign w:val="superscript"/>
        </w:rPr>
      </w:pPr>
      <w:r>
        <w:rPr>
          <w:rFonts w:ascii="Arial" w:cs="Arial" w:eastAsia="Arial" w:hAnsi="Arial"/>
          <w:sz w:val="16"/>
          <w:szCs w:val="16"/>
          <w:color w:val="auto"/>
        </w:rPr>
        <w:t>20</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consolidated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98"/>
        </w:trPr>
        <w:tc>
          <w:tcPr>
            <w:tcW w:w="28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180" w:type="dxa"/>
            <w:vAlign w:val="bottom"/>
          </w:tcPr>
          <w:p>
            <w:pPr>
              <w:spacing w:after="0"/>
              <w:rPr>
                <w:sz w:val="17"/>
                <w:szCs w:val="17"/>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25,</w:t>
            </w:r>
          </w:p>
        </w:tc>
        <w:tc>
          <w:tcPr>
            <w:tcW w:w="148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27,</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180" w:type="dxa"/>
            <w:vAlign w:val="bottom"/>
          </w:tcPr>
          <w:p>
            <w:pPr>
              <w:jc w:val="right"/>
              <w:ind w:right="299"/>
              <w:spacing w:after="0"/>
              <w:rPr>
                <w:sz w:val="20"/>
                <w:szCs w:val="20"/>
                <w:color w:val="auto"/>
              </w:rPr>
            </w:pPr>
            <w:r>
              <w:rPr>
                <w:rFonts w:ascii="Arial" w:cs="Arial" w:eastAsia="Arial" w:hAnsi="Arial"/>
                <w:sz w:val="16"/>
                <w:szCs w:val="16"/>
                <w:b w:val="1"/>
                <w:bCs w:val="1"/>
                <w:color w:val="auto"/>
              </w:rPr>
              <w:t>Increase</w:t>
            </w: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38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(Decrease)</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370,510</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225,672</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144,838</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64.2 %</w:t>
            </w:r>
          </w:p>
        </w:tc>
      </w:tr>
      <w:tr>
        <w:trPr>
          <w:trHeight w:val="264"/>
        </w:trPr>
        <w:tc>
          <w:tcPr>
            <w:tcW w:w="28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321,194</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86.7 %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200,396</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88.8 %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120,798</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60.3 %</w:t>
            </w:r>
          </w:p>
        </w:tc>
      </w:tr>
      <w:tr>
        <w:trPr>
          <w:trHeight w:val="250"/>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49,316</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13.3 %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25,276</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11.2 %</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24,040</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95.1 %</w:t>
            </w:r>
          </w:p>
        </w:tc>
      </w:tr>
      <w:tr>
        <w:trPr>
          <w:trHeight w:val="284"/>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9,553</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4,929</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4,624</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93.8 %</w:t>
            </w:r>
          </w:p>
        </w:tc>
      </w:tr>
      <w:tr>
        <w:trPr>
          <w:trHeight w:val="260"/>
        </w:trPr>
        <w:tc>
          <w:tcPr>
            <w:tcW w:w="282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2"/>
                <w:szCs w:val="22"/>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12,540</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8,437</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4,103</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48.6 %</w:t>
            </w:r>
          </w:p>
        </w:tc>
      </w:tr>
      <w:tr>
        <w:trPr>
          <w:trHeight w:val="228"/>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4"/>
        </w:trPr>
        <w:tc>
          <w:tcPr>
            <w:tcW w:w="28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(11,983)</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(1,593)</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(10,390)</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652.2 %</w:t>
            </w:r>
          </w:p>
        </w:tc>
      </w:tr>
      <w:tr>
        <w:trPr>
          <w:trHeight w:val="260"/>
        </w:trPr>
        <w:tc>
          <w:tcPr>
            <w:tcW w:w="2820" w:type="dxa"/>
            <w:vAlign w:val="bottom"/>
            <w:gridSpan w:val="2"/>
          </w:tcPr>
          <w:p>
            <w:pPr>
              <w:ind w:left="40"/>
              <w:spacing w:after="0"/>
              <w:rPr>
                <w:sz w:val="20"/>
                <w:szCs w:val="20"/>
                <w:color w:val="auto"/>
              </w:rPr>
            </w:pPr>
            <w:r>
              <w:rPr>
                <w:rFonts w:ascii="Arial" w:cs="Arial" w:eastAsia="Arial" w:hAnsi="Arial"/>
                <w:sz w:val="16"/>
                <w:szCs w:val="16"/>
                <w:color w:val="auto"/>
              </w:rPr>
              <w:t>Transaction costs</w:t>
            </w:r>
          </w:p>
        </w:tc>
        <w:tc>
          <w:tcPr>
            <w:tcW w:w="180" w:type="dxa"/>
            <w:vAlign w:val="bottom"/>
          </w:tcPr>
          <w:p>
            <w:pPr>
              <w:spacing w:after="0"/>
              <w:rPr>
                <w:sz w:val="22"/>
                <w:szCs w:val="22"/>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463</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2"/>
                <w:szCs w:val="22"/>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463</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 %</w:t>
            </w:r>
          </w:p>
        </w:tc>
      </w:tr>
      <w:tr>
        <w:trPr>
          <w:trHeight w:val="273"/>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10,367</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10,367</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50"/>
        </w:trPr>
        <w:tc>
          <w:tcPr>
            <w:tcW w:w="28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20,940</w:t>
            </w:r>
          </w:p>
        </w:tc>
        <w:tc>
          <w:tcPr>
            <w:tcW w:w="13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5.7 %</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11,773</w:t>
            </w:r>
          </w:p>
        </w:tc>
        <w:tc>
          <w:tcPr>
            <w:tcW w:w="13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5.2 %</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9,167</w:t>
            </w: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77.9 %</w:t>
            </w:r>
          </w:p>
        </w:tc>
      </w:tr>
      <w:tr>
        <w:trPr>
          <w:trHeight w:val="284"/>
        </w:trPr>
        <w:tc>
          <w:tcPr>
            <w:tcW w:w="2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0"/>
        </w:trPr>
        <w:tc>
          <w:tcPr>
            <w:tcW w:w="28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180" w:type="dxa"/>
            <w:vAlign w:val="bottom"/>
          </w:tcPr>
          <w:p>
            <w:pPr>
              <w:spacing w:after="0"/>
              <w:rPr>
                <w:sz w:val="22"/>
                <w:szCs w:val="22"/>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28,376</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13,503</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6.0 %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14,873</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110.1 %</w:t>
            </w:r>
          </w:p>
        </w:tc>
      </w:tr>
      <w:tr>
        <w:trPr>
          <w:trHeight w:val="280"/>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5,178</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5,178</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64"/>
        </w:trPr>
        <w:tc>
          <w:tcPr>
            <w:tcW w:w="2820" w:type="dxa"/>
            <w:vAlign w:val="bottom"/>
            <w:gridSpan w:val="2"/>
          </w:tcPr>
          <w:p>
            <w:pPr>
              <w:ind w:left="40"/>
              <w:spacing w:after="0"/>
              <w:rPr>
                <w:sz w:val="20"/>
                <w:szCs w:val="20"/>
                <w:color w:val="auto"/>
              </w:rPr>
            </w:pPr>
            <w:r>
              <w:rPr>
                <w:rFonts w:ascii="Arial" w:cs="Arial" w:eastAsia="Arial" w:hAnsi="Arial"/>
                <w:sz w:val="16"/>
                <w:szCs w:val="16"/>
                <w:color w:val="auto"/>
              </w:rPr>
              <w:t>Non-operating income</w:t>
            </w:r>
          </w:p>
        </w:tc>
        <w:tc>
          <w:tcPr>
            <w:tcW w:w="180" w:type="dxa"/>
            <w:vAlign w:val="bottom"/>
          </w:tcPr>
          <w:p>
            <w:pPr>
              <w:spacing w:after="0"/>
              <w:rPr>
                <w:sz w:val="22"/>
                <w:szCs w:val="22"/>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4</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2"/>
                <w:szCs w:val="22"/>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18</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2"/>
                <w:szCs w:val="22"/>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(14)</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(77.8)%</w:t>
            </w:r>
          </w:p>
        </w:tc>
      </w:tr>
      <w:tr>
        <w:trPr>
          <w:trHeight w:val="257"/>
        </w:trPr>
        <w:tc>
          <w:tcPr>
            <w:tcW w:w="28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23,194</w:t>
            </w:r>
          </w:p>
        </w:tc>
        <w:tc>
          <w:tcPr>
            <w:tcW w:w="13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6.3 %</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13,485</w:t>
            </w:r>
          </w:p>
        </w:tc>
        <w:tc>
          <w:tcPr>
            <w:tcW w:w="13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6.0 %</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9,709</w:t>
            </w:r>
          </w:p>
        </w:tc>
        <w:tc>
          <w:tcPr>
            <w:tcW w:w="11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72.0 %</w:t>
            </w:r>
          </w:p>
        </w:tc>
      </w:tr>
      <w:tr>
        <w:trPr>
          <w:trHeight w:val="264"/>
        </w:trPr>
        <w:tc>
          <w:tcPr>
            <w:tcW w:w="28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7,916</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4,131</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3,785</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91.6 %</w:t>
            </w:r>
          </w:p>
        </w:tc>
      </w:tr>
      <w:tr>
        <w:trPr>
          <w:trHeight w:val="240"/>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15,278</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9,354</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5,924</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63.3 %</w:t>
            </w: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7"/>
        </w:trPr>
        <w:tc>
          <w:tcPr>
            <w:tcW w:w="2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0.48</w:t>
            </w: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0.35</w:t>
            </w: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0.13</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37.1 %</w:t>
            </w:r>
          </w:p>
        </w:tc>
      </w:tr>
      <w:tr>
        <w:trPr>
          <w:trHeight w:val="251"/>
        </w:trPr>
        <w:tc>
          <w:tcPr>
            <w:tcW w:w="2820" w:type="dxa"/>
            <w:vAlign w:val="bottom"/>
            <w:gridSpan w:val="2"/>
          </w:tcPr>
          <w:p>
            <w:pPr>
              <w:ind w:left="40"/>
              <w:spacing w:after="0"/>
              <w:rPr>
                <w:sz w:val="20"/>
                <w:szCs w:val="20"/>
                <w:color w:val="auto"/>
              </w:rPr>
            </w:pPr>
            <w:r>
              <w:rPr>
                <w:rFonts w:ascii="Arial" w:cs="Arial" w:eastAsia="Arial" w:hAnsi="Arial"/>
                <w:sz w:val="16"/>
                <w:szCs w:val="16"/>
                <w:color w:val="auto"/>
              </w:rPr>
              <w:t>Diluted average shares outstanding</w:t>
            </w:r>
          </w:p>
        </w:tc>
        <w:tc>
          <w:tcPr>
            <w:tcW w:w="180" w:type="dxa"/>
            <w:vAlign w:val="bottom"/>
          </w:tcPr>
          <w:p>
            <w:pPr>
              <w:spacing w:after="0"/>
              <w:rPr>
                <w:sz w:val="21"/>
                <w:szCs w:val="21"/>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31,686</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27,015</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4,671</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17.3 %</w:t>
            </w:r>
          </w:p>
        </w:tc>
      </w:tr>
    </w:tbl>
    <w:p>
      <w:pPr>
        <w:spacing w:after="0" w:line="44"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49"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Consolidated net revenues increased $144.8 million or 64.2% in the second quarter of Fiscal 2017 over the second quarter of Fiscal 2016. This was primarily due to the acquisition of Grand Design which added revenues of $143.6 million in the quarter. In addition, Winnebago-branded Towables revenues rose $7.5 million or 36.3% in the quarter over the second quarter of Fiscal 2016.</w:t>
      </w:r>
    </w:p>
    <w:p>
      <w:pPr>
        <w:spacing w:after="0" w:line="174"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Cost of goods sold was $321.2 million, or 86.7% of net revenues for the second quarter of Fiscal 2017 compared to $200.4 million, or 88.8% of net revenues for the same period a year ago due to the following:</w:t>
      </w:r>
    </w:p>
    <w:p>
      <w:pPr>
        <w:spacing w:after="0" w:line="1" w:lineRule="exact"/>
        <w:rPr>
          <w:sz w:val="20"/>
          <w:szCs w:val="20"/>
          <w:color w:val="auto"/>
        </w:rPr>
      </w:pPr>
    </w:p>
    <w:p>
      <w:pPr>
        <w:ind w:left="340" w:right="30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from 83.0% to 82.3%, primarily due to higher proportion of Towable revenue in the quarter.</w:t>
      </w:r>
    </w:p>
    <w:p>
      <w:pPr>
        <w:ind w:left="340" w:right="16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from 5.8% to 4.3% of net revenues due mainly to higher proportion of Towable revenue in the quarter.</w:t>
      </w: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11.2% to 13.3% of net revenues.</w:t>
      </w:r>
    </w:p>
    <w:p>
      <w:pPr>
        <w:spacing w:after="0" w:line="16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Selling expenses were $9.6 million and $4.9 million, or 2.6% and 2.2% of net revenues in the second quarter of Fiscal 2017 and Fiscal 2016, respectively. The increase in the second quarter of Fiscal 2017 was primarily due to additional $4.7 million in Towable selling expenses.</w:t>
      </w:r>
    </w:p>
    <w:p>
      <w:pPr>
        <w:spacing w:after="0" w:line="142"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General and administrative expenses were $12.5 million and $8.4 million, or 3.4% and 3.7% of net revenues in the second quarter of Fiscal 2017 and Fiscal 2016, respectively. This dollar increase was due to the addition of $3.5 million of general and administrative expenses related to Towable expenses and an increase in salaried wages, while the expenses as a percentage of revenues declined.</w:t>
      </w:r>
    </w:p>
    <w:p>
      <w:pPr>
        <w:spacing w:after="0" w:line="228"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Postretirement health care benefit income increased by $10.4 million in the second quarter of Fiscal 2017 due to a plan amendment that terminated the plan effective January 1, 2017. As a result of this amendment, our liability for postretirement health care was eliminated and a benefit was recorded on the statement of income.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Transaction costs of $0.5 million in the second quarter of Fiscal 2017 relate to the acquisition of Grand Design.</w:t>
      </w:r>
    </w:p>
    <w:p>
      <w:pPr>
        <w:spacing w:after="0" w:line="24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Amortization of intangible assets expense of $10.4 million is related to definite-lived intangibles established as of the acquisition of Grand Design in the first quarter of Fiscal 2017.</w:t>
      </w:r>
    </w:p>
    <w:p>
      <w:pPr>
        <w:sectPr>
          <w:pgSz w:w="11900" w:h="16838" w:orient="portrait"/>
          <w:cols w:equalWidth="0" w:num="1">
            <w:col w:w="11420"/>
          </w:cols>
          <w:pgMar w:left="240" w:top="141"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1" w:right="2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9"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Interest expense was $5.2 million in the second quarter of Fiscal 2017. It is related to the ABL and Term Loan agreements as we borrowed $353.0 million on November 8, 2016 for the acquisition of Grand Design. See Analysis of Financial Condition, Liquidity, and Resources and Note 9 for further information.</w:t>
      </w:r>
    </w:p>
    <w:p>
      <w:pPr>
        <w:spacing w:after="0" w:line="22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overall effective income tax rate for the second quarter of Fiscal 2017 was 34.1% compared to the effective tax rate of 30.6% for the same period in Fiscal 2016. The effective rate for the second quarter of Fiscal 2016 was favorably impacted by retroactive reinstatements of the federal research and development credit and other credits that were enacted in December 2015. Also, the increase in effective rate is due to higher pre-tax income associated with the acquisition of Grand Design resulting in lower permanent deductions as a percentage of pre-tax income.</w:t>
      </w:r>
    </w:p>
    <w:p>
      <w:pPr>
        <w:spacing w:after="0" w:line="14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Net income and diluted income per share were $15.3 million and $0.48 per share, respectively, for the second quarter of Fiscal 2017. In the second quarter of Fiscal 2016, net income was $9.4 million and diluted income was $0.35 per share.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5" w:lineRule="exact"/>
        <w:rPr>
          <w:sz w:val="20"/>
          <w:szCs w:val="20"/>
          <w:color w:val="auto"/>
        </w:rPr>
      </w:pPr>
    </w:p>
    <w:p>
      <w:pPr>
        <w:ind w:left="340" w:right="20" w:hanging="332"/>
        <w:spacing w:after="0" w:line="251"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provided the following non-GAAP financial measures, which are not calculated or presented in accordance with GAAP,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below may differ from similar measures used by other companies.</w:t>
      </w:r>
    </w:p>
    <w:p>
      <w:pPr>
        <w:spacing w:after="0" w:line="176"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6"/>
          <w:szCs w:val="16"/>
          <w:color w:val="auto"/>
        </w:rPr>
        <w:t>The following table reconciles net income to consolidated Adjusted EBITDA.</w:t>
      </w:r>
    </w:p>
    <w:p>
      <w:pPr>
        <w:spacing w:after="0" w:line="177" w:lineRule="exact"/>
        <w:rPr>
          <w:sz w:val="20"/>
          <w:szCs w:val="20"/>
          <w:color w:val="auto"/>
        </w:rPr>
      </w:pPr>
    </w:p>
    <w:tbl>
      <w:tblPr>
        <w:tblLayout w:type="fixed"/>
        <w:tblInd w:w="420" w:type="dxa"/>
        <w:tblCellMar>
          <w:top w:w="0" w:type="dxa"/>
          <w:left w:w="0" w:type="dxa"/>
          <w:bottom w:w="0" w:type="dxa"/>
          <w:right w:w="0" w:type="dxa"/>
        </w:tblCellMar>
      </w:tblPr>
      <w:tr>
        <w:trPr>
          <w:trHeight w:val="228"/>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gridSpan w:val="2"/>
          </w:tcPr>
          <w:p>
            <w:pPr>
              <w:ind w:left="200"/>
              <w:spacing w:after="0"/>
              <w:rPr>
                <w:sz w:val="20"/>
                <w:szCs w:val="20"/>
                <w:color w:val="auto"/>
              </w:rPr>
            </w:pPr>
            <w:r>
              <w:rPr>
                <w:rFonts w:ascii="Arial" w:cs="Arial" w:eastAsia="Arial" w:hAnsi="Arial"/>
                <w:sz w:val="16"/>
                <w:szCs w:val="16"/>
                <w:b w:val="1"/>
                <w:bCs w:val="1"/>
                <w:color w:val="auto"/>
              </w:rPr>
              <w:t>February 25,</w:t>
            </w:r>
          </w:p>
        </w:tc>
        <w:tc>
          <w:tcPr>
            <w:tcW w:w="280" w:type="dxa"/>
            <w:vAlign w:val="bottom"/>
          </w:tcPr>
          <w:p>
            <w:pPr>
              <w:spacing w:after="0"/>
              <w:rPr>
                <w:sz w:val="17"/>
                <w:szCs w:val="17"/>
                <w:color w:val="auto"/>
              </w:rPr>
            </w:pPr>
          </w:p>
        </w:tc>
        <w:tc>
          <w:tcPr>
            <w:tcW w:w="1620" w:type="dxa"/>
            <w:vAlign w:val="bottom"/>
          </w:tcPr>
          <w:p>
            <w:pPr>
              <w:jc w:val="right"/>
              <w:ind w:right="399"/>
              <w:spacing w:after="0"/>
              <w:rPr>
                <w:sz w:val="20"/>
                <w:szCs w:val="20"/>
                <w:color w:val="auto"/>
              </w:rPr>
            </w:pPr>
            <w:r>
              <w:rPr>
                <w:rFonts w:ascii="Arial" w:cs="Arial" w:eastAsia="Arial" w:hAnsi="Arial"/>
                <w:sz w:val="16"/>
                <w:szCs w:val="16"/>
                <w:b w:val="1"/>
                <w:bCs w:val="1"/>
                <w:color w:val="auto"/>
              </w:rPr>
              <w:t>February 27,</w:t>
            </w:r>
          </w:p>
        </w:tc>
      </w:tr>
      <w:tr>
        <w:trPr>
          <w:trHeight w:val="228"/>
        </w:trPr>
        <w:tc>
          <w:tcPr>
            <w:tcW w:w="6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2016</w:t>
            </w:r>
          </w:p>
        </w:tc>
      </w:tr>
      <w:tr>
        <w:trPr>
          <w:trHeight w:val="257"/>
        </w:trPr>
        <w:tc>
          <w:tcPr>
            <w:tcW w:w="6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15,278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9,354</w:t>
            </w:r>
          </w:p>
        </w:tc>
      </w:tr>
      <w:tr>
        <w:trPr>
          <w:trHeight w:val="260"/>
        </w:trPr>
        <w:tc>
          <w:tcPr>
            <w:tcW w:w="6980" w:type="dxa"/>
            <w:vAlign w:val="bottom"/>
            <w:gridSpan w:val="2"/>
          </w:tcPr>
          <w:p>
            <w:pPr>
              <w:ind w:left="16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2"/>
                <w:szCs w:val="22"/>
                <w:color w:val="auto"/>
              </w:rPr>
            </w:pP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5,178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69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Provision for income taxes</w:t>
            </w:r>
          </w:p>
        </w:tc>
        <w:tc>
          <w:tcPr>
            <w:tcW w:w="3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7,916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4,131</w:t>
            </w:r>
          </w:p>
        </w:tc>
      </w:tr>
      <w:tr>
        <w:trPr>
          <w:trHeight w:val="260"/>
        </w:trPr>
        <w:tc>
          <w:tcPr>
            <w:tcW w:w="6980" w:type="dxa"/>
            <w:vAlign w:val="bottom"/>
            <w:gridSpan w:val="2"/>
          </w:tcPr>
          <w:p>
            <w:pPr>
              <w:ind w:left="16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22"/>
                <w:szCs w:val="22"/>
                <w:color w:val="auto"/>
              </w:rPr>
            </w:pP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1,393</w:t>
            </w:r>
          </w:p>
        </w:tc>
      </w:tr>
      <w:tr>
        <w:trPr>
          <w:trHeight w:val="273"/>
        </w:trPr>
        <w:tc>
          <w:tcPr>
            <w:tcW w:w="69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10,367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4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320" w:type="dxa"/>
            <w:vAlign w:val="bottom"/>
          </w:tcPr>
          <w:p>
            <w:pPr>
              <w:spacing w:after="0"/>
              <w:rPr>
                <w:sz w:val="21"/>
                <w:szCs w:val="21"/>
                <w:color w:val="auto"/>
              </w:rPr>
            </w:pP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40,587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14,878</w:t>
            </w:r>
          </w:p>
        </w:tc>
      </w:tr>
      <w:tr>
        <w:trPr>
          <w:trHeight w:val="280"/>
        </w:trPr>
        <w:tc>
          <w:tcPr>
            <w:tcW w:w="69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Postretirement health care benefit income</w:t>
            </w:r>
          </w:p>
        </w:tc>
        <w:tc>
          <w:tcPr>
            <w:tcW w:w="3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(11,983)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(1,593)</w:t>
            </w:r>
          </w:p>
        </w:tc>
      </w:tr>
      <w:tr>
        <w:trPr>
          <w:trHeight w:val="260"/>
        </w:trPr>
        <w:tc>
          <w:tcPr>
            <w:tcW w:w="6980" w:type="dxa"/>
            <w:vAlign w:val="bottom"/>
            <w:gridSpan w:val="2"/>
          </w:tcPr>
          <w:p>
            <w:pPr>
              <w:ind w:left="160"/>
              <w:spacing w:after="0"/>
              <w:rPr>
                <w:sz w:val="20"/>
                <w:szCs w:val="20"/>
                <w:color w:val="auto"/>
              </w:rPr>
            </w:pPr>
            <w:r>
              <w:rPr>
                <w:rFonts w:ascii="Arial" w:cs="Arial" w:eastAsia="Arial" w:hAnsi="Arial"/>
                <w:sz w:val="16"/>
                <w:szCs w:val="16"/>
                <w:color w:val="auto"/>
              </w:rPr>
              <w:t>Transaction costs</w:t>
            </w:r>
          </w:p>
        </w:tc>
        <w:tc>
          <w:tcPr>
            <w:tcW w:w="320" w:type="dxa"/>
            <w:vAlign w:val="bottom"/>
          </w:tcPr>
          <w:p>
            <w:pPr>
              <w:spacing w:after="0"/>
              <w:rPr>
                <w:sz w:val="22"/>
                <w:szCs w:val="22"/>
                <w:color w:val="auto"/>
              </w:rPr>
            </w:pP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69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Non-operating income</w:t>
            </w:r>
          </w:p>
        </w:tc>
        <w:tc>
          <w:tcPr>
            <w:tcW w:w="3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18</w:t>
            </w:r>
          </w:p>
        </w:tc>
      </w:tr>
      <w:tr>
        <w:trPr>
          <w:trHeight w:val="24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29,071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13,303</w:t>
            </w: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quarter and improve comparability of our results from period to period.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These types of adjustments are also specified in the definition of certain measures required under the terms of our Credit Facility. Examples of items excluded from Adjusted EBITDA include the postretirement health care benefit income from terminating the plan and the transaction costs related to our acquisition of Grand Design.</w:t>
      </w:r>
    </w:p>
    <w:p>
      <w:pPr>
        <w:spacing w:after="0" w:line="18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our Credit Facility.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Motorized segment: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Motorized</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83"/>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299"/>
              <w:spacing w:after="0"/>
              <w:rPr>
                <w:sz w:val="20"/>
                <w:szCs w:val="20"/>
                <w:color w:val="auto"/>
              </w:rPr>
            </w:pPr>
            <w:r>
              <w:rPr>
                <w:rFonts w:ascii="Arial" w:cs="Arial" w:eastAsia="Arial" w:hAnsi="Arial"/>
                <w:sz w:val="16"/>
                <w:szCs w:val="16"/>
                <w:b w:val="1"/>
                <w:bCs w:val="1"/>
                <w:color w:val="auto"/>
              </w:rPr>
              <w:t>Feb 25,</w:t>
            </w: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27,</w:t>
            </w:r>
          </w:p>
        </w:tc>
        <w:tc>
          <w:tcPr>
            <w:tcW w:w="34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198,936</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205,138</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(6,202)</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21"/>
                <w:szCs w:val="21"/>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9,117</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11,740</w:t>
            </w:r>
          </w:p>
        </w:tc>
        <w:tc>
          <w:tcPr>
            <w:tcW w:w="340" w:type="dxa"/>
            <w:vAlign w:val="bottom"/>
          </w:tcPr>
          <w:p>
            <w:pPr>
              <w:spacing w:after="0"/>
              <w:rPr>
                <w:sz w:val="21"/>
                <w:szCs w:val="21"/>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(2,623)</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(22.3)%</w:t>
            </w:r>
          </w:p>
        </w:tc>
      </w:tr>
      <w:tr>
        <w:trPr>
          <w:trHeight w:val="48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299"/>
              <w:spacing w:after="0"/>
              <w:rPr>
                <w:sz w:val="20"/>
                <w:szCs w:val="20"/>
                <w:color w:val="auto"/>
              </w:rPr>
            </w:pPr>
            <w:r>
              <w:rPr>
                <w:rFonts w:ascii="Arial" w:cs="Arial" w:eastAsia="Arial" w:hAnsi="Arial"/>
                <w:sz w:val="16"/>
                <w:szCs w:val="16"/>
                <w:b w:val="1"/>
                <w:bCs w:val="1"/>
                <w:color w:val="auto"/>
              </w:rPr>
              <w:t>Feb 25,</w:t>
            </w: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Product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Feb 27,</w:t>
            </w:r>
          </w:p>
        </w:tc>
        <w:tc>
          <w:tcPr>
            <w:tcW w:w="34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24"/>
                <w:szCs w:val="24"/>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300" w:type="dxa"/>
            <w:vAlign w:val="bottom"/>
            <w:tcBorders>
              <w:bottom w:val="single" w:sz="8" w:color="auto"/>
            </w:tcBorders>
          </w:tcPr>
          <w:p>
            <w:pPr>
              <w:jc w:val="center"/>
              <w:ind w:right="5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800</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(36)</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2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376</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w:t>
            </w:r>
          </w:p>
        </w:tc>
        <w:tc>
          <w:tcPr>
            <w:tcW w:w="340" w:type="dxa"/>
            <w:vAlign w:val="bottom"/>
          </w:tcPr>
          <w:p>
            <w:pPr>
              <w:spacing w:after="0"/>
              <w:rPr>
                <w:sz w:val="22"/>
                <w:szCs w:val="22"/>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118</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45.7 %</w:t>
            </w: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931</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44.2%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r>
      <w:tr>
        <w:trPr>
          <w:trHeight w:val="240"/>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2,107</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74</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3.6 %</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4"/>
        </w:trPr>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 ASP</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94,379</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99,561</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(5,182)</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w:t>
            </w:r>
          </w:p>
        </w:tc>
      </w:tr>
      <w:tr>
        <w:trPr>
          <w:trHeight w:val="534"/>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1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25,</w:t>
            </w:r>
          </w:p>
        </w:tc>
        <w:tc>
          <w:tcPr>
            <w:tcW w:w="34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 27,</w:t>
            </w:r>
          </w:p>
        </w:tc>
        <w:tc>
          <w:tcPr>
            <w:tcW w:w="160" w:type="dxa"/>
            <w:vAlign w:val="bottom"/>
          </w:tcPr>
          <w:p>
            <w:pPr>
              <w:spacing w:after="0"/>
              <w:rPr>
                <w:sz w:val="17"/>
                <w:szCs w:val="17"/>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0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2,792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(649)</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(23.2)%</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191,522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253,492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(61,970)</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(24.4)%</w:t>
            </w:r>
          </w:p>
        </w:tc>
      </w:tr>
      <w:tr>
        <w:trPr>
          <w:trHeight w:val="553"/>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4,737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331</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7.0 %</w:t>
            </w:r>
          </w:p>
        </w:tc>
      </w:tr>
    </w:tbl>
    <w:p>
      <w:pPr>
        <w:spacing w:after="0" w:line="47"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14"/>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220"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Motorized net revenues decreased $6.2 million or 3.0% in the second quarter of Fiscal 2017 as compared to the second quarter of Fiscal 2016. This was primarily due to lower ASP on units sold and the $1.2 million reduction in sales to aluminum extrusion customers as we have ceased those activities, which were comparably low margin, in order to better utilize constrained labor resources in Iowa.</w:t>
      </w:r>
    </w:p>
    <w:p>
      <w:pPr>
        <w:spacing w:after="0" w:line="17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Motorized deliveries grew by 3.6% in the quarter which is lower than recent industry growth. Though unit deliveries were up, our overall motorized market share has moved from 20.2% to 17.8% when comparing shipments during the twelve month trailing periods ended January 2016 and January 2017. The decline has come in higher priced, Class A products. We have seen a related reduction in the backlog volumes. The unit growth we have generated has shifted our mix more towards Class B and Class C products which have a lower ASP. So although units increased 3.6%, motorhome ASP decreased 5.2%.</w:t>
      </w:r>
    </w:p>
    <w:p>
      <w:pPr>
        <w:spacing w:after="0" w:line="17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Motorized segment Adjusted EBITDA decreased $2.6 million or 22.3%. This reduction was primarily due to the mix of products sold in the quarter which had a lower ASP than Fiscal 2016. While unit volume grew 3.6%, revenues decreased by 3.0% due to the lower mix of higher priced Class A units. Adjusted EBITDA also decreased due to additional costs associated with the ramp up of our Junction City production facility and higher expenses related to additions to the management team.</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4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31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36"/>
        </w:trPr>
        <w:tc>
          <w:tcPr>
            <w:tcW w:w="6040" w:type="dxa"/>
            <w:vAlign w:val="bottom"/>
            <w:gridSpan w:val="7"/>
          </w:tcPr>
          <w:p>
            <w:pPr>
              <w:spacing w:after="0"/>
              <w:rPr>
                <w:sz w:val="20"/>
                <w:szCs w:val="20"/>
                <w:color w:val="auto"/>
              </w:rPr>
            </w:pPr>
            <w:r>
              <w:rPr>
                <w:rFonts w:ascii="Arial" w:cs="Arial" w:eastAsia="Arial" w:hAnsi="Arial"/>
                <w:sz w:val="16"/>
                <w:szCs w:val="16"/>
                <w:color w:val="auto"/>
              </w:rPr>
              <w:t>The following is an analysis of key changes in our Towable segment:</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160" w:type="dxa"/>
            <w:vAlign w:val="bottom"/>
            <w:gridSpan w:val="2"/>
          </w:tcPr>
          <w:p>
            <w:pPr>
              <w:ind w:left="40"/>
              <w:spacing w:after="0"/>
              <w:rPr>
                <w:sz w:val="20"/>
                <w:szCs w:val="20"/>
                <w:color w:val="auto"/>
              </w:rPr>
            </w:pPr>
            <w:r>
              <w:rPr>
                <w:rFonts w:ascii="Arial" w:cs="Arial" w:eastAsia="Arial" w:hAnsi="Arial"/>
                <w:sz w:val="16"/>
                <w:szCs w:val="16"/>
                <w:b w:val="1"/>
                <w:bCs w:val="1"/>
                <w:color w:val="auto"/>
              </w:rPr>
              <w:t>Towable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3"/>
        </w:trPr>
        <w:tc>
          <w:tcPr>
            <w:tcW w:w="316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339"/>
              <w:spacing w:after="0"/>
              <w:rPr>
                <w:sz w:val="20"/>
                <w:szCs w:val="20"/>
                <w:color w:val="auto"/>
              </w:rPr>
            </w:pPr>
            <w:r>
              <w:rPr>
                <w:rFonts w:ascii="Arial" w:cs="Arial" w:eastAsia="Arial" w:hAnsi="Arial"/>
                <w:sz w:val="16"/>
                <w:szCs w:val="16"/>
                <w:b w:val="1"/>
                <w:bCs w:val="1"/>
                <w:color w:val="auto"/>
              </w:rPr>
              <w:t>Feb 25,</w:t>
            </w: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Feb 27,</w:t>
            </w:r>
          </w:p>
        </w:tc>
        <w:tc>
          <w:tcPr>
            <w:tcW w:w="480" w:type="dxa"/>
            <w:vAlign w:val="bottom"/>
          </w:tcPr>
          <w:p>
            <w:pPr>
              <w:spacing w:after="0"/>
              <w:rPr>
                <w:sz w:val="17"/>
                <w:szCs w:val="17"/>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1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Change</w:t>
            </w:r>
          </w:p>
        </w:tc>
      </w:tr>
      <w:tr>
        <w:trPr>
          <w:trHeight w:val="270"/>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171,574</w:t>
            </w: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20,534</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151,040</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735.6%</w:t>
            </w:r>
          </w:p>
        </w:tc>
      </w:tr>
      <w:tr>
        <w:trPr>
          <w:trHeight w:val="251"/>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19,954</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1,563</w:t>
            </w:r>
          </w:p>
        </w:tc>
        <w:tc>
          <w:tcPr>
            <w:tcW w:w="480" w:type="dxa"/>
            <w:vAlign w:val="bottom"/>
          </w:tcPr>
          <w:p>
            <w:pPr>
              <w:spacing w:after="0"/>
              <w:rPr>
                <w:sz w:val="21"/>
                <w:szCs w:val="21"/>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18,391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1,176.6%</w:t>
            </w:r>
          </w:p>
        </w:tc>
      </w:tr>
      <w:tr>
        <w:trPr>
          <w:trHeight w:val="488"/>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339"/>
              <w:spacing w:after="0"/>
              <w:rPr>
                <w:sz w:val="20"/>
                <w:szCs w:val="20"/>
                <w:color w:val="auto"/>
              </w:rPr>
            </w:pPr>
            <w:r>
              <w:rPr>
                <w:rFonts w:ascii="Arial" w:cs="Arial" w:eastAsia="Arial" w:hAnsi="Arial"/>
                <w:sz w:val="16"/>
                <w:szCs w:val="16"/>
                <w:b w:val="1"/>
                <w:bCs w:val="1"/>
                <w:color w:val="auto"/>
              </w:rPr>
              <w:t>Feb 25,</w:t>
            </w: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Product</w:t>
            </w:r>
          </w:p>
        </w:tc>
        <w:tc>
          <w:tcPr>
            <w:tcW w:w="180" w:type="dxa"/>
            <w:vAlign w:val="bottom"/>
          </w:tcPr>
          <w:p>
            <w:pPr>
              <w:spacing w:after="0"/>
              <w:rPr>
                <w:sz w:val="24"/>
                <w:szCs w:val="24"/>
                <w:color w:val="auto"/>
              </w:rPr>
            </w:pP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Feb 27,</w:t>
            </w:r>
          </w:p>
        </w:tc>
        <w:tc>
          <w:tcPr>
            <w:tcW w:w="480" w:type="dxa"/>
            <w:vAlign w:val="bottom"/>
          </w:tcPr>
          <w:p>
            <w:pPr>
              <w:spacing w:after="0"/>
              <w:rPr>
                <w:sz w:val="24"/>
                <w:szCs w:val="2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9"/>
              </w:rPr>
              <w:t>Product</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60" w:type="dxa"/>
            <w:vAlign w:val="bottom"/>
            <w:gridSpan w:val="2"/>
          </w:tcPr>
          <w:p>
            <w:pPr>
              <w:ind w:left="4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420" w:type="dxa"/>
            <w:vAlign w:val="bottom"/>
            <w:gridSpan w:val="2"/>
          </w:tcPr>
          <w:p>
            <w:pPr>
              <w:jc w:val="center"/>
              <w:ind w:right="26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80" w:type="dxa"/>
            <w:vAlign w:val="bottom"/>
          </w:tcPr>
          <w:p>
            <w:pPr>
              <w:spacing w:after="0"/>
              <w:rPr>
                <w:sz w:val="20"/>
                <w:szCs w:val="20"/>
                <w:color w:val="auto"/>
              </w:rPr>
            </w:pPr>
          </w:p>
        </w:tc>
        <w:tc>
          <w:tcPr>
            <w:tcW w:w="940" w:type="dxa"/>
            <w:vAlign w:val="bottom"/>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1220" w:type="dxa"/>
            <w:vAlign w:val="bottom"/>
            <w:gridSpan w:val="2"/>
          </w:tcPr>
          <w:p>
            <w:pPr>
              <w:jc w:val="center"/>
              <w:ind w:right="50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80" w:type="dxa"/>
            <w:vAlign w:val="bottom"/>
          </w:tcPr>
          <w:p>
            <w:pPr>
              <w:spacing w:after="0"/>
              <w:rPr>
                <w:sz w:val="20"/>
                <w:szCs w:val="20"/>
                <w:color w:val="auto"/>
              </w:rPr>
            </w:pP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31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3,046</w:t>
            </w:r>
          </w:p>
        </w:tc>
        <w:tc>
          <w:tcPr>
            <w:tcW w:w="13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56.3%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48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83.4%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2,250</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282.7%</w:t>
            </w:r>
          </w:p>
        </w:tc>
      </w:tr>
      <w:tr>
        <w:trPr>
          <w:trHeight w:val="264"/>
        </w:trPr>
        <w:tc>
          <w:tcPr>
            <w:tcW w:w="3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2,365</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2,207</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1,396.8%</w:t>
            </w:r>
          </w:p>
        </w:tc>
      </w:tr>
      <w:tr>
        <w:trPr>
          <w:trHeight w:val="240"/>
        </w:trPr>
        <w:tc>
          <w:tcPr>
            <w:tcW w:w="3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5,411</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4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4,457</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467.2%</w:t>
            </w:r>
          </w:p>
        </w:tc>
      </w:tr>
      <w:tr>
        <w:trPr>
          <w:trHeight w:val="20"/>
        </w:trPr>
        <w:tc>
          <w:tcPr>
            <w:tcW w:w="1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32,310</w:t>
            </w: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21,586</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10,724</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49.7%</w:t>
            </w:r>
          </w:p>
        </w:tc>
      </w:tr>
      <w:tr>
        <w:trPr>
          <w:trHeight w:val="534"/>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rPr>
              <w:t>Feb 25,</w:t>
            </w:r>
          </w:p>
        </w:tc>
        <w:tc>
          <w:tcPr>
            <w:tcW w:w="480" w:type="dxa"/>
            <w:vAlign w:val="bottom"/>
          </w:tcPr>
          <w:p>
            <w:pPr>
              <w:spacing w:after="0"/>
              <w:rPr>
                <w:sz w:val="17"/>
                <w:szCs w:val="17"/>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Feb 27,</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6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8,490</w:t>
            </w: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8,322</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4,953.6%</w:t>
            </w:r>
          </w:p>
        </w:tc>
      </w:tr>
      <w:tr>
        <w:trPr>
          <w:trHeight w:val="251"/>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261,995</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3,336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258,659</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7,753.6%</w:t>
            </w:r>
          </w:p>
        </w:tc>
      </w:tr>
      <w:tr>
        <w:trPr>
          <w:trHeight w:val="553"/>
        </w:trPr>
        <w:tc>
          <w:tcPr>
            <w:tcW w:w="3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r>
      <w:tr>
        <w:trPr>
          <w:trHeight w:val="257"/>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9,216</w:t>
            </w: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2,306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6,910</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299.7%</w:t>
            </w:r>
          </w:p>
        </w:tc>
      </w:tr>
    </w:tbl>
    <w:p>
      <w:pPr>
        <w:spacing w:after="0" w:line="155"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15"/>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6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Towable net revenues increased $151.0 million in the second quarter of Fiscal 2017 as compared to the second quarter of Fiscal 2016. This significant increase was primarily due to the acquisition of Grand Design which added revenues of $143.6 million in the quarter. In addition, Winnebago-branded towable revenues rose $7.5 million or 36.3% in the quarter.</w:t>
      </w:r>
    </w:p>
    <w:p>
      <w:pPr>
        <w:spacing w:after="0" w:line="174"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Towable deliveries grew by 467.2% in the quarter primarily due to the acquisition of Grand Design and also due to Towables growth far in excess of recent industry trends. With the addition of Grand Design in November, our towables market share increased from 0.9% to 1.9% when comparing shipments during the twelve month trailing periods ended January 2016 and January 2017. The addition of Grand Design has also resulted in a higher ASP due to a greater proportion of higher-priced fifth wheel units for the second quarter of Fiscal 2017 compared to the same period in Fiscal 2016. Other strong increases in backlog and the dealer inventory turn ratio have been influenced by the acquisition of Grand Design.</w:t>
      </w:r>
    </w:p>
    <w:p>
      <w:pPr>
        <w:spacing w:after="0" w:line="176"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Towable segment Adjusted EBITDA excludes the costs associated with the acquisition of Grand Design and as such increased $18.4 million. This increase illustrates the favorable impact of Grand Design and the organic growth of the Winnebago-branded towables operating unit. We achieved strong results in our towables operations, where shipments grew much faster than the industry as a result of greater penetration of our new products and further expansion of our distribution base. We believe we can continue to achieve growth in excess of the overall towables market projections for the remainder of Fiscal 2017.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of Fiscal 2017 Compared to the Comparable Six Months of Fiscal 2016</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98"/>
        </w:trPr>
        <w:tc>
          <w:tcPr>
            <w:tcW w:w="29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14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25,</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rPr>
              <w:t>February 27,</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4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38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615,818</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439,895</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175,923</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40.0 %</w:t>
            </w:r>
          </w:p>
        </w:tc>
      </w:tr>
      <w:tr>
        <w:trPr>
          <w:trHeight w:val="264"/>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537,627</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87.3 %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389,370</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88.5 %</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148,257</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38.1 %</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78,191</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12.7 %</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50,525</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11.5 %</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27,666</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54.8 %</w:t>
            </w:r>
          </w:p>
        </w:tc>
      </w:tr>
      <w:tr>
        <w:trPr>
          <w:trHeight w:val="284"/>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15,423</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9,944</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5,479</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55.1 %</w:t>
            </w: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22,446</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17,257</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3.9 %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5,189</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30.1 %</w:t>
            </w:r>
          </w:p>
        </w:tc>
      </w:tr>
      <w:tr>
        <w:trPr>
          <w:trHeight w:val="228"/>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4"/>
        </w:trPr>
        <w:tc>
          <w:tcPr>
            <w:tcW w:w="29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(24,796)</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(2,938)</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(21,858)</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744.0 %</w:t>
            </w: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Transaction costs</w:t>
            </w:r>
          </w:p>
        </w:tc>
        <w:tc>
          <w:tcPr>
            <w:tcW w:w="14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5,925</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2"/>
                <w:szCs w:val="22"/>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5,925</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 %</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12,418</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12,418</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50"/>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13,073</w:t>
            </w:r>
          </w:p>
        </w:tc>
        <w:tc>
          <w:tcPr>
            <w:tcW w:w="13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5.1 %</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24,263</w:t>
            </w:r>
          </w:p>
        </w:tc>
        <w:tc>
          <w:tcPr>
            <w:tcW w:w="13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5.5 %</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7,153</w:t>
            </w: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29.5 %</w:t>
            </w:r>
          </w:p>
        </w:tc>
      </w:tr>
      <w:tr>
        <w:trPr>
          <w:trHeight w:val="284"/>
        </w:trPr>
        <w:tc>
          <w:tcPr>
            <w:tcW w:w="2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46,775</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7.6 %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26,262</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6.0 %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20,513</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78.1 %</w:t>
            </w:r>
          </w:p>
        </w:tc>
      </w:tr>
      <w:tr>
        <w:trPr>
          <w:trHeight w:val="28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6,306</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6,306</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64"/>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Non-operating income</w:t>
            </w:r>
          </w:p>
        </w:tc>
        <w:tc>
          <w:tcPr>
            <w:tcW w:w="140" w:type="dxa"/>
            <w:vAlign w:val="bottom"/>
          </w:tcPr>
          <w:p>
            <w:pPr>
              <w:spacing w:after="0"/>
              <w:rPr>
                <w:sz w:val="22"/>
                <w:szCs w:val="22"/>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(83)</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2"/>
                <w:szCs w:val="22"/>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(117)</w:t>
            </w: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2"/>
                <w:szCs w:val="22"/>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34</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(29.1)%</w:t>
            </w:r>
          </w:p>
        </w:tc>
      </w:tr>
      <w:tr>
        <w:trPr>
          <w:trHeight w:val="257"/>
        </w:trPr>
        <w:tc>
          <w:tcPr>
            <w:tcW w:w="29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40,552</w:t>
            </w:r>
          </w:p>
        </w:tc>
        <w:tc>
          <w:tcPr>
            <w:tcW w:w="13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6.6 %</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26,379</w:t>
            </w:r>
          </w:p>
        </w:tc>
        <w:tc>
          <w:tcPr>
            <w:tcW w:w="13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6.0 %</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14,173</w:t>
            </w:r>
          </w:p>
        </w:tc>
        <w:tc>
          <w:tcPr>
            <w:tcW w:w="11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53.7 %</w:t>
            </w:r>
          </w:p>
        </w:tc>
      </w:tr>
      <w:tr>
        <w:trPr>
          <w:trHeight w:val="264"/>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13,536</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8,467</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1.9 %</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5,069</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59.9 %</w:t>
            </w:r>
          </w:p>
        </w:tc>
      </w:tr>
      <w:tr>
        <w:trPr>
          <w:trHeight w:val="24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27,016</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17,912</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9,104</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50.8 %</w:t>
            </w: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7"/>
        </w:trPr>
        <w:tc>
          <w:tcPr>
            <w:tcW w:w="2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0.91</w:t>
            </w: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0.66</w:t>
            </w: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0.25</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37.9 %</w:t>
            </w:r>
          </w:p>
        </w:tc>
      </w:tr>
      <w:tr>
        <w:trPr>
          <w:trHeight w:val="251"/>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Diluted average shares outstanding</w:t>
            </w:r>
          </w:p>
        </w:tc>
        <w:tc>
          <w:tcPr>
            <w:tcW w:w="140" w:type="dxa"/>
            <w:vAlign w:val="bottom"/>
          </w:tcPr>
          <w:p>
            <w:pPr>
              <w:spacing w:after="0"/>
              <w:rPr>
                <w:sz w:val="21"/>
                <w:szCs w:val="21"/>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29,827</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27,042</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2,785</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10.3 %</w:t>
            </w:r>
          </w:p>
        </w:tc>
      </w:tr>
    </w:tbl>
    <w:p>
      <w:pPr>
        <w:spacing w:after="0" w:line="44"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jc w:val="both"/>
        <w:ind w:right="120"/>
        <w:spacing w:after="0" w:line="276" w:lineRule="auto"/>
        <w:rPr>
          <w:sz w:val="20"/>
          <w:szCs w:val="20"/>
          <w:color w:val="auto"/>
        </w:rPr>
      </w:pPr>
      <w:r>
        <w:rPr>
          <w:rFonts w:ascii="Arial" w:cs="Arial" w:eastAsia="Arial" w:hAnsi="Arial"/>
          <w:sz w:val="16"/>
          <w:szCs w:val="16"/>
          <w:color w:val="auto"/>
        </w:rPr>
        <w:t xml:space="preserve">Consolidated net revenues increased $175.9 million or 40.0% in the first six months of Fiscal 2017 over the first six months of Fiscal 2016. This was primarily due to the acquisition of Grand Design which added revenues of $169.4 million. In addition, Winnebago-branded towables rose $14.9 million or 39.9% in the first six months </w:t>
      </w:r>
      <w:r>
        <w:rPr>
          <w:rFonts w:ascii="Arial" w:cs="Arial" w:eastAsia="Arial" w:hAnsi="Arial"/>
          <w:sz w:val="18"/>
          <w:szCs w:val="18"/>
          <w:color w:val="auto"/>
        </w:rPr>
        <w:t>of</w:t>
      </w:r>
      <w:r>
        <w:rPr>
          <w:rFonts w:ascii="Arial" w:cs="Arial" w:eastAsia="Arial" w:hAnsi="Arial"/>
          <w:sz w:val="16"/>
          <w:szCs w:val="16"/>
          <w:color w:val="auto"/>
        </w:rPr>
        <w:t xml:space="preserve"> Fiscal 2017. Motorhome revenue was down modestly in the first six months </w:t>
      </w:r>
      <w:r>
        <w:rPr>
          <w:rFonts w:ascii="Arial" w:cs="Arial" w:eastAsia="Arial" w:hAnsi="Arial"/>
          <w:sz w:val="18"/>
          <w:szCs w:val="18"/>
          <w:color w:val="auto"/>
        </w:rPr>
        <w:t>of</w:t>
      </w:r>
      <w:r>
        <w:rPr>
          <w:rFonts w:ascii="Arial" w:cs="Arial" w:eastAsia="Arial" w:hAnsi="Arial"/>
          <w:sz w:val="16"/>
          <w:szCs w:val="16"/>
          <w:color w:val="auto"/>
        </w:rPr>
        <w:t xml:space="preserve"> Fiscal 2017 due primarily to a $6.1 million reduction in sales to aluminum extrusion customers compared to the first six months of Fiscal 2016 as we have ceased those activities in order to better utilize constrained labor resources in Iowa.</w:t>
      </w:r>
    </w:p>
    <w:p>
      <w:pPr>
        <w:spacing w:after="0" w:line="172" w:lineRule="exact"/>
        <w:rPr>
          <w:sz w:val="20"/>
          <w:szCs w:val="20"/>
          <w:color w:val="auto"/>
        </w:rPr>
      </w:pPr>
    </w:p>
    <w:p>
      <w:pPr>
        <w:ind w:right="220"/>
        <w:spacing w:after="0" w:line="244" w:lineRule="auto"/>
        <w:rPr>
          <w:sz w:val="20"/>
          <w:szCs w:val="20"/>
          <w:color w:val="auto"/>
        </w:rPr>
      </w:pPr>
      <w:r>
        <w:rPr>
          <w:rFonts w:ascii="Arial" w:cs="Arial" w:eastAsia="Arial" w:hAnsi="Arial"/>
          <w:sz w:val="16"/>
          <w:szCs w:val="16"/>
          <w:color w:val="auto"/>
        </w:rPr>
        <w:t>Cost of goods sold was $537.6 million, or 87.3% of net revenues for the first six months of Fiscal 2017 compared to $389.4 million, or 88.5% of net revenues for the first six months of Fiscal 2016 due to the following:</w:t>
      </w:r>
    </w:p>
    <w:p>
      <w:pPr>
        <w:spacing w:after="0" w:line="1" w:lineRule="exact"/>
        <w:rPr>
          <w:sz w:val="20"/>
          <w:szCs w:val="20"/>
          <w:color w:val="auto"/>
        </w:rPr>
      </w:pPr>
    </w:p>
    <w:p>
      <w:pPr>
        <w:ind w:left="340" w:right="20" w:hanging="332"/>
        <w:spacing w:after="0" w:line="27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6"/>
          <w:szCs w:val="16"/>
          <w:color w:val="auto"/>
        </w:rPr>
        <w:t xml:space="preserve">Total variable costs (materials, direct labor, variable overhead, delivery expense and warranty), as a percent of net revenues, decreased to 82.6% </w:t>
      </w:r>
      <w:r>
        <w:rPr>
          <w:rFonts w:ascii="Arial" w:cs="Arial" w:eastAsia="Arial" w:hAnsi="Arial"/>
          <w:sz w:val="18"/>
          <w:szCs w:val="18"/>
          <w:color w:val="auto"/>
        </w:rPr>
        <w:t>in</w:t>
      </w:r>
      <w:r>
        <w:rPr>
          <w:rFonts w:ascii="Arial" w:cs="Arial" w:eastAsia="Arial" w:hAnsi="Arial"/>
          <w:sz w:val="16"/>
          <w:szCs w:val="16"/>
          <w:color w:val="auto"/>
        </w:rPr>
        <w:t xml:space="preserve"> Fiscal 2017 compared to 83.3% in Fiscal 2016 primarily due to improved pricing, favorable product mix in part due to our decision to exit other manufactured products markets and cost savings related to our strategic sourcing project, partially offset by higher warranty expense.</w:t>
      </w:r>
    </w:p>
    <w:p>
      <w:pPr>
        <w:spacing w:after="0" w:line="17" w:lineRule="exact"/>
        <w:rPr>
          <w:rFonts w:ascii="Arial" w:cs="Arial" w:eastAsia="Arial" w:hAnsi="Arial"/>
          <w:sz w:val="18"/>
          <w:szCs w:val="18"/>
          <w:color w:val="auto"/>
        </w:rPr>
      </w:pPr>
    </w:p>
    <w:p>
      <w:pPr>
        <w:ind w:left="340" w:right="160" w:hanging="332"/>
        <w:spacing w:after="0" w:line="24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6"/>
          <w:szCs w:val="16"/>
          <w:color w:val="auto"/>
        </w:rPr>
        <w:t xml:space="preserve">Fixed overhead (manufacturing support labor, depreciation and facility costs) and research and development-related costs decreased as a percent of net revenues to 4.7% </w:t>
      </w:r>
      <w:r>
        <w:rPr>
          <w:rFonts w:ascii="Arial" w:cs="Arial" w:eastAsia="Arial" w:hAnsi="Arial"/>
          <w:sz w:val="18"/>
          <w:szCs w:val="18"/>
          <w:color w:val="auto"/>
        </w:rPr>
        <w:t>in</w:t>
      </w:r>
      <w:r>
        <w:rPr>
          <w:rFonts w:ascii="Arial" w:cs="Arial" w:eastAsia="Arial" w:hAnsi="Arial"/>
          <w:sz w:val="16"/>
          <w:szCs w:val="16"/>
          <w:color w:val="auto"/>
        </w:rPr>
        <w:t xml:space="preserve"> Fiscal 2017 compared to 5.3% Fiscal 2016.</w:t>
      </w:r>
    </w:p>
    <w:p>
      <w:pPr>
        <w:spacing w:after="0" w:line="4"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6"/>
          <w:szCs w:val="16"/>
          <w:color w:val="auto"/>
        </w:rPr>
        <w:t>All factors considered, gross profit increased to 12.7% from 11.5% of net revenues.</w:t>
      </w:r>
    </w:p>
    <w:p>
      <w:pPr>
        <w:spacing w:after="0" w:line="154"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Selling expenses were $15.4 million and $9.9 million, or 2.5% or 2.3% of net revenues in the first six months of Fiscal 2017 and Fiscal 2016</w:t>
      </w:r>
      <w:r>
        <w:rPr>
          <w:rFonts w:ascii="Arial" w:cs="Arial" w:eastAsia="Arial" w:hAnsi="Arial"/>
          <w:sz w:val="18"/>
          <w:szCs w:val="18"/>
          <w:color w:val="auto"/>
        </w:rPr>
        <w:t>,</w:t>
      </w:r>
      <w:r>
        <w:rPr>
          <w:rFonts w:ascii="Arial" w:cs="Arial" w:eastAsia="Arial" w:hAnsi="Arial"/>
          <w:sz w:val="16"/>
          <w:szCs w:val="16"/>
          <w:color w:val="auto"/>
        </w:rPr>
        <w:t xml:space="preserve"> respectively. The increase was primarily due to $5.8 million in additional Towable selling expenses.</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General and administrative expenses were 3.6% and 3.9% of net revenues in the first six months of Fiscal 2017 and Fiscal 2016, respectively. General and administrative expenses increased $5.2 million, or 30.1% in the first six months of Fiscal 2017 compared to the same period in Fiscal 2016. This dollar increase was due to the addition of $4.0 million of general and administrative expenses associated with Grand Design and an increase in salaried wages, while the expenses as a percentage of revenues declined.</w:t>
      </w:r>
    </w:p>
    <w:p>
      <w:pPr>
        <w:spacing w:after="0" w:line="21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Postretirement health care benefit income increased by $21.9 million in the first six months of Fiscal 2017 due to the plan termination which was announced on October 26, 2016. Effective January 1, 2017, postretirement health care benefits were discontinued for retirees under age 65. As a result of this amendment, our liability for postretirement health care was eliminated and a benefit was recorded on the statement of income.</w:t>
      </w:r>
    </w:p>
    <w:p>
      <w:pPr>
        <w:sectPr>
          <w:pgSz w:w="11900" w:h="16838" w:orient="portrait"/>
          <w:cols w:equalWidth="0" w:num="1">
            <w:col w:w="11420"/>
          </w:cols>
          <w:pgMar w:left="240" w:top="141"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41"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Transaction costs of $5.9 million in the first six months of Fiscal 2017 relate to the acquisition of Grand Design.</w:t>
      </w:r>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Amortization of intangibles expense of $12.4 million is related to definite-lived intangibles established as of the acquisition of Grand Design in the first quarter of Fiscal 2017.</w:t>
      </w:r>
    </w:p>
    <w:p>
      <w:pPr>
        <w:spacing w:after="0" w:line="223"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Interest expense was $6.3 million in the first six months of Fiscal 2017. It is related to the ABL and Term Loan agreements as we borrowed $353.0 million on November 8, 2016 for the acquisition of Grand Design. See Analysis of Financial Condition, Liquidity, and Resources and Note 9 for further information.</w:t>
      </w:r>
    </w:p>
    <w:p>
      <w:pPr>
        <w:spacing w:after="0" w:line="223"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overall effective income tax rate for the first six months of Fiscal 2017 was 33.4% compared to the effective income tax rate of 32.1% for the first six months of Fiscal 2016. The effective rate for the first six months of Fiscal 2016 was favorably impacted by retroactive reinstatements of the federal research and development credit and other credits that were enacted in December 2015. Also, the increase in effective rate is due to higher pre-tax income associated with the acquisition of Grand Design resulting in lower permanent deductions as a percentage of pre-tax income.</w:t>
      </w:r>
    </w:p>
    <w:p>
      <w:pPr>
        <w:spacing w:after="0" w:line="14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Net income and diluted income per share were $27.0 million and $0.91 per share, respectively, for the first six months of Fiscal 2017. In the first six months of Fiscal 2016, net income was $17.9 million and diluted net income was $0.66 per share.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5" w:lineRule="exact"/>
        <w:rPr>
          <w:sz w:val="20"/>
          <w:szCs w:val="20"/>
          <w:color w:val="auto"/>
        </w:rPr>
      </w:pPr>
    </w:p>
    <w:p>
      <w:pPr>
        <w:ind w:left="340" w:right="20" w:hanging="332"/>
        <w:spacing w:after="0" w:line="251"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provided the following non-GAAP financial measures, which are not calculated or presented in accordance with GAAP,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below may differ from similar measures used by other companies.</w:t>
      </w:r>
    </w:p>
    <w:p>
      <w:pPr>
        <w:spacing w:after="0" w:line="176"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6"/>
          <w:szCs w:val="16"/>
          <w:color w:val="auto"/>
        </w:rPr>
        <w:t>The following table reconciles net income to consolidated Adjusted EBITDA.</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6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4"/>
          </w:tcPr>
          <w:p>
            <w:pPr>
              <w:jc w:val="right"/>
              <w:ind w:right="135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February 25,</w:t>
            </w:r>
          </w:p>
        </w:tc>
        <w:tc>
          <w:tcPr>
            <w:tcW w:w="320" w:type="dxa"/>
            <w:vAlign w:val="bottom"/>
          </w:tcPr>
          <w:p>
            <w:pPr>
              <w:spacing w:after="0"/>
              <w:rPr>
                <w:sz w:val="17"/>
                <w:szCs w:val="17"/>
                <w:color w:val="auto"/>
              </w:rPr>
            </w:pPr>
          </w:p>
        </w:tc>
        <w:tc>
          <w:tcPr>
            <w:tcW w:w="1780" w:type="dxa"/>
            <w:vAlign w:val="bottom"/>
          </w:tcPr>
          <w:p>
            <w:pPr>
              <w:jc w:val="right"/>
              <w:ind w:right="519"/>
              <w:spacing w:after="0"/>
              <w:rPr>
                <w:sz w:val="20"/>
                <w:szCs w:val="20"/>
                <w:color w:val="auto"/>
              </w:rPr>
            </w:pPr>
            <w:r>
              <w:rPr>
                <w:rFonts w:ascii="Arial" w:cs="Arial" w:eastAsia="Arial" w:hAnsi="Arial"/>
                <w:sz w:val="16"/>
                <w:szCs w:val="16"/>
                <w:b w:val="1"/>
                <w:bCs w:val="1"/>
                <w:color w:val="auto"/>
              </w:rPr>
              <w:t>February 27,</w:t>
            </w:r>
          </w:p>
        </w:tc>
      </w:tr>
      <w:tr>
        <w:trPr>
          <w:trHeight w:val="228"/>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2016</w:t>
            </w:r>
          </w:p>
        </w:tc>
      </w:tr>
      <w:tr>
        <w:trPr>
          <w:trHeight w:val="257"/>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27,016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17,912</w:t>
            </w:r>
          </w:p>
        </w:tc>
      </w:tr>
      <w:tr>
        <w:trPr>
          <w:trHeight w:val="260"/>
        </w:trPr>
        <w:tc>
          <w:tcPr>
            <w:tcW w:w="6760" w:type="dxa"/>
            <w:vAlign w:val="bottom"/>
            <w:gridSpan w:val="2"/>
          </w:tcPr>
          <w:p>
            <w:pPr>
              <w:ind w:left="16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2"/>
                <w:szCs w:val="22"/>
                <w:color w:val="auto"/>
              </w:rPr>
            </w:pPr>
          </w:p>
        </w:tc>
        <w:tc>
          <w:tcPr>
            <w:tcW w:w="1760" w:type="dxa"/>
            <w:vAlign w:val="bottom"/>
          </w:tcPr>
          <w:p>
            <w:pPr>
              <w:jc w:val="right"/>
              <w:ind w:right="239"/>
              <w:spacing w:after="0"/>
              <w:rPr>
                <w:sz w:val="20"/>
                <w:szCs w:val="20"/>
                <w:color w:val="auto"/>
              </w:rPr>
            </w:pPr>
            <w:r>
              <w:rPr>
                <w:rFonts w:ascii="Arial" w:cs="Arial" w:eastAsia="Arial" w:hAnsi="Arial"/>
                <w:sz w:val="16"/>
                <w:szCs w:val="16"/>
                <w:color w:val="auto"/>
              </w:rPr>
              <w:t>6,306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67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Provision for income taxes</w:t>
            </w:r>
          </w:p>
        </w:tc>
        <w:tc>
          <w:tcPr>
            <w:tcW w:w="3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13,536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8,467</w:t>
            </w:r>
          </w:p>
        </w:tc>
      </w:tr>
      <w:tr>
        <w:trPr>
          <w:trHeight w:val="260"/>
        </w:trPr>
        <w:tc>
          <w:tcPr>
            <w:tcW w:w="6760" w:type="dxa"/>
            <w:vAlign w:val="bottom"/>
            <w:gridSpan w:val="2"/>
          </w:tcPr>
          <w:p>
            <w:pPr>
              <w:ind w:left="16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22"/>
                <w:szCs w:val="22"/>
                <w:color w:val="auto"/>
              </w:rPr>
            </w:pPr>
          </w:p>
        </w:tc>
        <w:tc>
          <w:tcPr>
            <w:tcW w:w="1760" w:type="dxa"/>
            <w:vAlign w:val="bottom"/>
          </w:tcPr>
          <w:p>
            <w:pPr>
              <w:jc w:val="right"/>
              <w:ind w:right="239"/>
              <w:spacing w:after="0"/>
              <w:rPr>
                <w:sz w:val="20"/>
                <w:szCs w:val="20"/>
                <w:color w:val="auto"/>
              </w:rPr>
            </w:pPr>
            <w:r>
              <w:rPr>
                <w:rFonts w:ascii="Arial" w:cs="Arial" w:eastAsia="Arial" w:hAnsi="Arial"/>
                <w:sz w:val="16"/>
                <w:szCs w:val="16"/>
                <w:color w:val="auto"/>
              </w:rPr>
              <w:t>3,428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color w:val="auto"/>
              </w:rPr>
              <w:t>2,763</w:t>
            </w:r>
          </w:p>
        </w:tc>
      </w:tr>
      <w:tr>
        <w:trPr>
          <w:trHeight w:val="273"/>
        </w:trPr>
        <w:tc>
          <w:tcPr>
            <w:tcW w:w="67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12,418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47"/>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EBITDA</w:t>
            </w:r>
          </w:p>
        </w:tc>
        <w:tc>
          <w:tcPr>
            <w:tcW w:w="340" w:type="dxa"/>
            <w:vAlign w:val="bottom"/>
          </w:tcPr>
          <w:p>
            <w:pPr>
              <w:spacing w:after="0"/>
              <w:rPr>
                <w:sz w:val="21"/>
                <w:szCs w:val="21"/>
                <w:color w:val="auto"/>
              </w:rPr>
            </w:pPr>
          </w:p>
        </w:tc>
        <w:tc>
          <w:tcPr>
            <w:tcW w:w="1760" w:type="dxa"/>
            <w:vAlign w:val="bottom"/>
          </w:tcPr>
          <w:p>
            <w:pPr>
              <w:jc w:val="right"/>
              <w:ind w:right="239"/>
              <w:spacing w:after="0"/>
              <w:rPr>
                <w:sz w:val="20"/>
                <w:szCs w:val="20"/>
                <w:color w:val="auto"/>
              </w:rPr>
            </w:pPr>
            <w:r>
              <w:rPr>
                <w:rFonts w:ascii="Arial" w:cs="Arial" w:eastAsia="Arial" w:hAnsi="Arial"/>
                <w:sz w:val="16"/>
                <w:szCs w:val="16"/>
                <w:color w:val="auto"/>
              </w:rPr>
              <w:t>62,704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color w:val="auto"/>
              </w:rPr>
              <w:t>29,142</w:t>
            </w:r>
          </w:p>
        </w:tc>
      </w:tr>
      <w:tr>
        <w:trPr>
          <w:trHeight w:val="280"/>
        </w:trPr>
        <w:tc>
          <w:tcPr>
            <w:tcW w:w="67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Postretirement health care benefit income</w:t>
            </w:r>
          </w:p>
        </w:tc>
        <w:tc>
          <w:tcPr>
            <w:tcW w:w="3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(24,796)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(2,938)</w:t>
            </w:r>
          </w:p>
        </w:tc>
      </w:tr>
      <w:tr>
        <w:trPr>
          <w:trHeight w:val="260"/>
        </w:trPr>
        <w:tc>
          <w:tcPr>
            <w:tcW w:w="6760" w:type="dxa"/>
            <w:vAlign w:val="bottom"/>
            <w:gridSpan w:val="2"/>
          </w:tcPr>
          <w:p>
            <w:pPr>
              <w:ind w:left="160"/>
              <w:spacing w:after="0"/>
              <w:rPr>
                <w:sz w:val="20"/>
                <w:szCs w:val="20"/>
                <w:color w:val="auto"/>
              </w:rPr>
            </w:pPr>
            <w:r>
              <w:rPr>
                <w:rFonts w:ascii="Arial" w:cs="Arial" w:eastAsia="Arial" w:hAnsi="Arial"/>
                <w:sz w:val="16"/>
                <w:szCs w:val="16"/>
                <w:color w:val="auto"/>
              </w:rPr>
              <w:t>Transaction costs</w:t>
            </w:r>
          </w:p>
        </w:tc>
        <w:tc>
          <w:tcPr>
            <w:tcW w:w="340" w:type="dxa"/>
            <w:vAlign w:val="bottom"/>
          </w:tcPr>
          <w:p>
            <w:pPr>
              <w:spacing w:after="0"/>
              <w:rPr>
                <w:sz w:val="22"/>
                <w:szCs w:val="22"/>
                <w:color w:val="auto"/>
              </w:rPr>
            </w:pPr>
          </w:p>
        </w:tc>
        <w:tc>
          <w:tcPr>
            <w:tcW w:w="1760" w:type="dxa"/>
            <w:vAlign w:val="bottom"/>
          </w:tcPr>
          <w:p>
            <w:pPr>
              <w:jc w:val="right"/>
              <w:ind w:right="239"/>
              <w:spacing w:after="0"/>
              <w:rPr>
                <w:sz w:val="20"/>
                <w:szCs w:val="20"/>
                <w:color w:val="auto"/>
              </w:rPr>
            </w:pPr>
            <w:r>
              <w:rPr>
                <w:rFonts w:ascii="Arial" w:cs="Arial" w:eastAsia="Arial" w:hAnsi="Arial"/>
                <w:sz w:val="16"/>
                <w:szCs w:val="16"/>
                <w:color w:val="auto"/>
              </w:rPr>
              <w:t>5,925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67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Non-operating income</w:t>
            </w:r>
          </w:p>
        </w:tc>
        <w:tc>
          <w:tcPr>
            <w:tcW w:w="34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(117)</w:t>
            </w:r>
          </w:p>
        </w:tc>
      </w:tr>
      <w:tr>
        <w:trPr>
          <w:trHeight w:val="240"/>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43,750</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26,087</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quarter and improve comparability of our results from period to period.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These types of adjustments are also specified in the definition of certain measures required under the terms of our credit facility. Examples of items excluded from Adjusted EBITDA include the postretirement health care benefit income from terminating the plan and the transaction costs related to our acquisition of Grand Design.</w:t>
      </w:r>
    </w:p>
    <w:p>
      <w:pPr>
        <w:spacing w:after="0" w:line="18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our credit facility.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Motorized segment: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Motorized</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83"/>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ind w:left="520"/>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299"/>
              <w:spacing w:after="0"/>
              <w:rPr>
                <w:sz w:val="20"/>
                <w:szCs w:val="20"/>
                <w:color w:val="auto"/>
              </w:rPr>
            </w:pPr>
            <w:r>
              <w:rPr>
                <w:rFonts w:ascii="Arial" w:cs="Arial" w:eastAsia="Arial" w:hAnsi="Arial"/>
                <w:sz w:val="16"/>
                <w:szCs w:val="16"/>
                <w:b w:val="1"/>
                <w:bCs w:val="1"/>
                <w:color w:val="auto"/>
              </w:rPr>
              <w:t>Feb 25,</w:t>
            </w: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27,</w:t>
            </w:r>
          </w:p>
        </w:tc>
        <w:tc>
          <w:tcPr>
            <w:tcW w:w="34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394,061</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402,478</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(8,417)</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21"/>
                <w:szCs w:val="21"/>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19,140</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23,464</w:t>
            </w:r>
          </w:p>
        </w:tc>
        <w:tc>
          <w:tcPr>
            <w:tcW w:w="340" w:type="dxa"/>
            <w:vAlign w:val="bottom"/>
          </w:tcPr>
          <w:p>
            <w:pPr>
              <w:spacing w:after="0"/>
              <w:rPr>
                <w:sz w:val="21"/>
                <w:szCs w:val="21"/>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(4,324)</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(18.4)%</w:t>
            </w:r>
          </w:p>
        </w:tc>
      </w:tr>
      <w:tr>
        <w:trPr>
          <w:trHeight w:val="48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299"/>
              <w:spacing w:after="0"/>
              <w:rPr>
                <w:sz w:val="20"/>
                <w:szCs w:val="20"/>
                <w:color w:val="auto"/>
              </w:rPr>
            </w:pPr>
            <w:r>
              <w:rPr>
                <w:rFonts w:ascii="Arial" w:cs="Arial" w:eastAsia="Arial" w:hAnsi="Arial"/>
                <w:sz w:val="16"/>
                <w:szCs w:val="16"/>
                <w:b w:val="1"/>
                <w:bCs w:val="1"/>
                <w:color w:val="auto"/>
              </w:rPr>
              <w:t>Feb 25,</w:t>
            </w: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Product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Feb 27,</w:t>
            </w:r>
          </w:p>
        </w:tc>
        <w:tc>
          <w:tcPr>
            <w:tcW w:w="34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24"/>
                <w:szCs w:val="24"/>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300" w:type="dxa"/>
            <w:vAlign w:val="bottom"/>
            <w:tcBorders>
              <w:bottom w:val="single" w:sz="8" w:color="auto"/>
            </w:tcBorders>
          </w:tcPr>
          <w:p>
            <w:pPr>
              <w:jc w:val="center"/>
              <w:ind w:right="5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1,466</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(121)</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w:t>
            </w: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2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677</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497</w:t>
            </w:r>
          </w:p>
        </w:tc>
        <w:tc>
          <w:tcPr>
            <w:tcW w:w="340" w:type="dxa"/>
            <w:vAlign w:val="bottom"/>
          </w:tcPr>
          <w:p>
            <w:pPr>
              <w:spacing w:after="0"/>
              <w:rPr>
                <w:sz w:val="22"/>
                <w:szCs w:val="22"/>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180</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36.2 %</w:t>
            </w: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1,964</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94</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5.0 %</w:t>
            </w:r>
          </w:p>
        </w:tc>
      </w:tr>
      <w:tr>
        <w:trPr>
          <w:trHeight w:val="240"/>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4,107</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3,954</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153</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3.9 %</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4"/>
        </w:trPr>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 ASP</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94,704</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98,748</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(4,044)</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r>
      <w:tr>
        <w:trPr>
          <w:trHeight w:val="534"/>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1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25,</w:t>
            </w:r>
          </w:p>
        </w:tc>
        <w:tc>
          <w:tcPr>
            <w:tcW w:w="34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 27,</w:t>
            </w:r>
          </w:p>
        </w:tc>
        <w:tc>
          <w:tcPr>
            <w:tcW w:w="160" w:type="dxa"/>
            <w:vAlign w:val="bottom"/>
          </w:tcPr>
          <w:p>
            <w:pPr>
              <w:spacing w:after="0"/>
              <w:rPr>
                <w:sz w:val="17"/>
                <w:szCs w:val="17"/>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0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2,792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(649)</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(23.2)%</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191,522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253,492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(61,970)</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(24.4)%</w:t>
            </w:r>
          </w:p>
        </w:tc>
      </w:tr>
      <w:tr>
        <w:trPr>
          <w:trHeight w:val="553"/>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4,737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331</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7.0 %</w:t>
            </w:r>
          </w:p>
        </w:tc>
      </w:tr>
    </w:tbl>
    <w:p>
      <w:pPr>
        <w:spacing w:after="0" w:line="47"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19"/>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220"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Motorized net revenues decreased $8.4 million or 2.1% in the first six months of Fiscal 2017 as compared to the first six months of Fiscal 2016. This was primarily due to lower ASP on units sold and the $6.1 million reduction in sales to aluminum extrusion customers as we have ceased those activities, which were comparably low margin, in order to better utilize constrained labor resources in Iowa.</w:t>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Motorized deliveries grew by 3.9% in the first six months which is lower than recent industry growth. Though unit deliveries were up, our overall motorized market share moved from 20.2% to 17.8% when comparing shipments during the twelve month trailing periods ended January 2016 and January 2017. The decline has come in higher priced, Class A products. We have seen a related reduction in the backlog volumes. The unit growth we have generated has shifted our mix more towards Class B and Class C products which have a lower average selling price. So although units increased 3.9%, motorhome ASP decreased 4.1%.</w:t>
      </w:r>
    </w:p>
    <w:p>
      <w:pPr>
        <w:spacing w:after="0" w:line="36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Motorized segment Adjusted EBITDA decreased $4.3 million or 18.4%. This reduction was primarily due to the mix of products which had a lower ASP than Fiscal 2016. While unit volume grew 3.9%, revenues decreased by 2.1% due to the lower mix of higher priced Class A units. Adjusted EBITDA also decreased due to additional costs associated with the ramp up of our Junction City production facility and higher expenses related to additions to the management team.</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4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32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36"/>
        </w:trPr>
        <w:tc>
          <w:tcPr>
            <w:tcW w:w="5940" w:type="dxa"/>
            <w:vAlign w:val="bottom"/>
            <w:gridSpan w:val="6"/>
          </w:tcPr>
          <w:p>
            <w:pPr>
              <w:spacing w:after="0"/>
              <w:rPr>
                <w:sz w:val="20"/>
                <w:szCs w:val="20"/>
                <w:color w:val="auto"/>
              </w:rPr>
            </w:pPr>
            <w:r>
              <w:rPr>
                <w:rFonts w:ascii="Arial" w:cs="Arial" w:eastAsia="Arial" w:hAnsi="Arial"/>
                <w:sz w:val="16"/>
                <w:szCs w:val="16"/>
                <w:color w:val="auto"/>
              </w:rPr>
              <w:t>The following is an analysis of key changes in our Towable segment: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280" w:type="dxa"/>
            <w:vAlign w:val="bottom"/>
            <w:gridSpan w:val="3"/>
          </w:tcPr>
          <w:p>
            <w:pPr>
              <w:ind w:left="40"/>
              <w:spacing w:after="0"/>
              <w:rPr>
                <w:sz w:val="20"/>
                <w:szCs w:val="20"/>
                <w:color w:val="auto"/>
              </w:rPr>
            </w:pPr>
            <w:r>
              <w:rPr>
                <w:rFonts w:ascii="Arial" w:cs="Arial" w:eastAsia="Arial" w:hAnsi="Arial"/>
                <w:sz w:val="16"/>
                <w:szCs w:val="16"/>
                <w:b w:val="1"/>
                <w:bCs w:val="1"/>
                <w:color w:val="auto"/>
              </w:rPr>
              <w:t>Towable</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3"/>
        </w:trPr>
        <w:tc>
          <w:tcPr>
            <w:tcW w:w="32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339"/>
              <w:spacing w:after="0"/>
              <w:rPr>
                <w:sz w:val="20"/>
                <w:szCs w:val="20"/>
                <w:color w:val="auto"/>
              </w:rPr>
            </w:pPr>
            <w:r>
              <w:rPr>
                <w:rFonts w:ascii="Arial" w:cs="Arial" w:eastAsia="Arial" w:hAnsi="Arial"/>
                <w:sz w:val="16"/>
                <w:szCs w:val="16"/>
                <w:b w:val="1"/>
                <w:bCs w:val="1"/>
                <w:color w:val="auto"/>
              </w:rPr>
              <w:t>Feb 25,</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Feb 27,</w:t>
            </w:r>
          </w:p>
        </w:tc>
        <w:tc>
          <w:tcPr>
            <w:tcW w:w="480" w:type="dxa"/>
            <w:vAlign w:val="bottom"/>
          </w:tcPr>
          <w:p>
            <w:pPr>
              <w:spacing w:after="0"/>
              <w:rPr>
                <w:sz w:val="17"/>
                <w:szCs w:val="17"/>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1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Change</w:t>
            </w:r>
          </w:p>
        </w:tc>
      </w:tr>
      <w:tr>
        <w:trPr>
          <w:trHeight w:val="270"/>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221,757</w:t>
            </w:r>
          </w:p>
        </w:tc>
        <w:tc>
          <w:tcPr>
            <w:tcW w:w="13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37,417</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184,340</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492.7%</w:t>
            </w:r>
          </w:p>
        </w:tc>
      </w:tr>
      <w:tr>
        <w:trPr>
          <w:trHeight w:val="251"/>
        </w:trPr>
        <w:tc>
          <w:tcPr>
            <w:tcW w:w="3280" w:type="dxa"/>
            <w:vAlign w:val="bottom"/>
            <w:gridSpan w:val="3"/>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24,610</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2,623</w:t>
            </w:r>
          </w:p>
        </w:tc>
        <w:tc>
          <w:tcPr>
            <w:tcW w:w="480" w:type="dxa"/>
            <w:vAlign w:val="bottom"/>
          </w:tcPr>
          <w:p>
            <w:pPr>
              <w:spacing w:after="0"/>
              <w:rPr>
                <w:sz w:val="21"/>
                <w:szCs w:val="21"/>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21,987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838.2%</w:t>
            </w:r>
          </w:p>
        </w:tc>
      </w:tr>
      <w:tr>
        <w:trPr>
          <w:trHeight w:val="488"/>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339"/>
              <w:spacing w:after="0"/>
              <w:rPr>
                <w:sz w:val="20"/>
                <w:szCs w:val="20"/>
                <w:color w:val="auto"/>
              </w:rPr>
            </w:pPr>
            <w:r>
              <w:rPr>
                <w:rFonts w:ascii="Arial" w:cs="Arial" w:eastAsia="Arial" w:hAnsi="Arial"/>
                <w:sz w:val="16"/>
                <w:szCs w:val="16"/>
                <w:b w:val="1"/>
                <w:bCs w:val="1"/>
                <w:color w:val="auto"/>
              </w:rPr>
              <w:t>Feb 25,</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Product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Feb 27,</w:t>
            </w:r>
          </w:p>
        </w:tc>
        <w:tc>
          <w:tcPr>
            <w:tcW w:w="480" w:type="dxa"/>
            <w:vAlign w:val="bottom"/>
          </w:tcPr>
          <w:p>
            <w:pPr>
              <w:spacing w:after="0"/>
              <w:rPr>
                <w:sz w:val="24"/>
                <w:szCs w:val="2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9"/>
              </w:rPr>
              <w:t>Product</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9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4,555</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3,035</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199.7%</w:t>
            </w:r>
          </w:p>
        </w:tc>
      </w:tr>
      <w:tr>
        <w:trPr>
          <w:trHeight w:val="264"/>
        </w:trPr>
        <w:tc>
          <w:tcPr>
            <w:tcW w:w="32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2,868</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2,618</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1,047.2%</w:t>
            </w:r>
          </w:p>
        </w:tc>
      </w:tr>
      <w:tr>
        <w:trPr>
          <w:trHeight w:val="240"/>
        </w:trPr>
        <w:tc>
          <w:tcPr>
            <w:tcW w:w="32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7,423</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4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5,653</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319.4%</w:t>
            </w:r>
          </w:p>
        </w:tc>
      </w:tr>
      <w:tr>
        <w:trPr>
          <w:trHeight w:val="20"/>
        </w:trPr>
        <w:tc>
          <w:tcPr>
            <w:tcW w:w="1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30,291</w:t>
            </w: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21,171</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9,120</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43.1%</w:t>
            </w:r>
          </w:p>
        </w:tc>
      </w:tr>
      <w:tr>
        <w:trPr>
          <w:trHeight w:val="534"/>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rPr>
              <w:t>Feb 25,</w:t>
            </w:r>
          </w:p>
        </w:tc>
        <w:tc>
          <w:tcPr>
            <w:tcW w:w="480" w:type="dxa"/>
            <w:vAlign w:val="bottom"/>
          </w:tcPr>
          <w:p>
            <w:pPr>
              <w:spacing w:after="0"/>
              <w:rPr>
                <w:sz w:val="17"/>
                <w:szCs w:val="17"/>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Feb 27,</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80" w:type="dxa"/>
            <w:vAlign w:val="bottom"/>
            <w:tcBorders>
              <w:bottom w:val="single" w:sz="8" w:color="auto"/>
            </w:tcBorders>
            <w:gridSpan w:val="3"/>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8,490</w:t>
            </w: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8,322</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4,953.6%</w:t>
            </w:r>
          </w:p>
        </w:tc>
      </w:tr>
      <w:tr>
        <w:trPr>
          <w:trHeight w:val="251"/>
        </w:trPr>
        <w:tc>
          <w:tcPr>
            <w:tcW w:w="3280" w:type="dxa"/>
            <w:vAlign w:val="bottom"/>
            <w:gridSpan w:val="3"/>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261,995</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3,336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258,659</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7,753.6%</w:t>
            </w:r>
          </w:p>
        </w:tc>
      </w:tr>
      <w:tr>
        <w:trPr>
          <w:trHeight w:val="553"/>
        </w:trPr>
        <w:tc>
          <w:tcPr>
            <w:tcW w:w="32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r>
      <w:tr>
        <w:trPr>
          <w:trHeight w:val="270"/>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9,216</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2,306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6,910</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299.7%</w:t>
            </w:r>
          </w:p>
        </w:tc>
      </w:tr>
    </w:tbl>
    <w:p>
      <w:pPr>
        <w:spacing w:after="0" w:line="155"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20"/>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7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Towable net revenues increased $184.3 million in the first six months of Fiscal 2017 as compared to the first six months of Fiscal 2016. This was primarily due to the acquisition of Grand Design which added revenues of $169.4 million in the first six months. In addition, Winnebago-branded towable revenues rose $14.9 million or 39.9% in the first six months.</w:t>
      </w:r>
    </w:p>
    <w:p>
      <w:pPr>
        <w:spacing w:after="0" w:line="16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Towable deliveries grew by 319.4% in the first six months of Fiscal 2017 primarily due to the acquisition of Grand Design and also due to Towables growth far in excess of recent industry trends. With the addition of Grand Design in November, our towables market share increased from 0.9% to 1.9% when comparing shipments during the twelve month trailing periods ended January 2016 and January 2017. The addition of Grand Design has also resulted in a higher ASP due to a greater proportion of higher-priced fifth wheel units for the first six months of Fiscal 2017 compared to the same period in Fiscal 2016. Other strong increases in backlog and the dealer inventory turn ratio have been influenced by the acquisition of Grand Design.</w:t>
      </w:r>
    </w:p>
    <w:p>
      <w:pPr>
        <w:spacing w:after="0" w:line="176"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Towable segment Adjusted EBITDA excludes the costs associated with the acquisition and as such increased $22.0 million. This increase illustrates the favorable impact of Grand Design and the organic growth of the Winnebago-branded towables operating unit. We achieved strong results in our Towables segment, where shipments grew much faster than the industry as a result of greater penetration of our new products and further expansion of our distribution base. We believe we can continue to achieve growth in excess of the overall towables market projections for the remainder of Fiscal 2017.</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Cash and cash equivalents decreased $74.7 million during the first six months of Fiscal 2017 and totaled $10.9 million as of February 25, 2017. Significant liquidity events that occurred during the first six months of Fiscal 2017 were:</w:t>
      </w:r>
    </w:p>
    <w:p>
      <w:pPr>
        <w:spacing w:after="0" w:line="14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Generation of net income of $27.0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Acquisition of Grand Design for $520.5 million of which $396.4 million was cash and $124.1 million was in Winnebago stock</w:t>
      </w:r>
    </w:p>
    <w:p>
      <w:pPr>
        <w:spacing w:after="0" w:line="5" w:lineRule="exact"/>
        <w:rPr>
          <w:rFonts w:ascii="Arial" w:cs="Arial" w:eastAsia="Arial" w:hAnsi="Arial"/>
          <w:sz w:val="16"/>
          <w:szCs w:val="16"/>
          <w:color w:val="auto"/>
        </w:rPr>
      </w:pPr>
    </w:p>
    <w:p>
      <w:pPr>
        <w:ind w:left="340" w:right="52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Entered into a new Credit Facility with $125.0 million available in an ABL and $300.0 million in Term Loan (see details below). Total borrowings at February 25, 2017 were $340.0 million, and we have an additional $85.0 million available to borrow under the revolving credit agreement, subject to sufficient borrowing base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 in receivables of $21.6 million, partially offset by increases in payables of $16.1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 in inventory of $11.2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Dividend payments of $6.4 million</w:t>
      </w:r>
    </w:p>
    <w:p>
      <w:pPr>
        <w:spacing w:after="0" w:line="194"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Working capital at February 25, 2017 and August 27, 2016 was $142.1 million and $187.6 million, respectively, a decrease of $45.5 million. We currently expect cash on hand, cash collected on receivables, funds generated from operations and the</w:t>
      </w:r>
    </w:p>
    <w:p>
      <w:pPr>
        <w:sectPr>
          <w:pgSz w:w="11900" w:h="16838" w:orient="portrait"/>
          <w:cols w:equalWidth="0" w:num="1">
            <w:col w:w="11420"/>
          </w:cols>
          <w:pgMar w:left="240" w:top="118"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18"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720"/>
        <w:spacing w:after="0" w:line="260" w:lineRule="auto"/>
        <w:rPr>
          <w:sz w:val="20"/>
          <w:szCs w:val="20"/>
          <w:color w:val="auto"/>
        </w:rPr>
      </w:pPr>
      <w:r>
        <w:rPr>
          <w:rFonts w:ascii="Arial" w:cs="Arial" w:eastAsia="Arial" w:hAnsi="Arial"/>
          <w:sz w:val="16"/>
          <w:szCs w:val="16"/>
          <w:color w:val="auto"/>
        </w:rPr>
        <w:t>availability under our ABL to be sufficient to cover both short-term and long-term operating requirements for the next 12 months. We anticipate capital expenditures in Fiscal 2017 to be approximately $15 - $17 million.</w:t>
      </w:r>
    </w:p>
    <w:p>
      <w:pPr>
        <w:spacing w:after="0" w:line="223"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Share repurchases of $1.4 million in the first six months of Fiscal 2017 were to satisfy tax obligations on employee equity awards vested. We continually evaluate if our common stock is trading at attractive levels and if share repurchases reflects a prudent use of our capital and, subject to compliance with the ABL and Term Loan, we may purchase shares in the remainder of Fiscal 2017. At February 25, 2017 we have $2.6 million remaining on our board repurchase authorization. See Part II, Item 2 of this Form 10-Q.</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Cash provided by operating activities was $5.1 million for the six months ended February 25, 2017 compared to cash used in operating activities of $8.8 million for the six months ended February 27, 2016. In Fiscal 2017 the combination of net income of $27.0 million partially offset by the non-cash reduction of the postretirement health care liability of $24.0 million, as well as other changes in non-cash charges (e.g. depreciation, LIFO, stock-based compensation, deferred income taxes) provided $27.9 million of operating cash. Changes in assets and liabilities (primarily increases in inventories and receivables that were partially offset by increases in accounts payable and accrued expenses) used $22.7 million of operating cash in the first six months ended February 25, 2017. In the six months ended February 27, 2016, the combination of net income of $17.9 million and changes in non-cash charges (e.g., depreciation, LIFO, stock-based compensation) provided $20.9 million of operating cash. Changes in assets and liabilities (primarily increases in inventories and receivables) used $29.7 million of operating cash.</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Cash used in investing activities of $400.9 million for the six months ended February 25, 2017 was due primarily to the acquisition of Grand Design for which we paid cash of $394.7 million, net of cash acquired, in addition to issuing Winnebago stock with a value of $124.1 million at closing. Capital expenditures were $6.9 million in the same period. In the six months ended February 27, 2016, cash used in investing activities of $16.1 million was due primarily to capital expenditures of $16.4 million.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9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Cash provided by financing activities of $321.2 million for the six months ended February 25, 2017 was primarily due to cash proceeds from the new Credit Facility (discussed below) of $366.4 million, partially offset by payments on the new Credit Facility of $26.4 million</w:t>
      </w:r>
      <w:r>
        <w:rPr>
          <w:rFonts w:ascii="Arial" w:cs="Arial" w:eastAsia="Arial" w:hAnsi="Arial"/>
          <w:sz w:val="18"/>
          <w:szCs w:val="18"/>
          <w:color w:val="auto"/>
        </w:rPr>
        <w:t>,</w:t>
      </w:r>
      <w:r>
        <w:rPr>
          <w:rFonts w:ascii="Arial" w:cs="Arial" w:eastAsia="Arial" w:hAnsi="Arial"/>
          <w:sz w:val="16"/>
          <w:szCs w:val="16"/>
          <w:color w:val="auto"/>
        </w:rPr>
        <w:t xml:space="preserve"> $11.0 million for the payment of debt issuance costs, and $6.4 million for the payment of dividends. Cash used in financing activities of $8.5 million for the six months ended February 27, 2016 was due to $5.5 million for payments of dividends and $3.1 million for repurchases of our stock.</w:t>
      </w:r>
    </w:p>
    <w:p>
      <w:pPr>
        <w:spacing w:after="0" w:line="170"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On November 8, 2016, we entered into new ABL and Term Loan agreements. Under the terms of the Credit Facility, we have a $125.0 million asset-based revolving credit facility and a $300.0 million term loan.</w:t>
      </w:r>
    </w:p>
    <w:p>
      <w:pPr>
        <w:spacing w:after="0" w:line="196"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Under the ABL agreement, we have a 5-year credit facility available on a revolving basis, subject to availability under a borrowing base consisting of 85% of eligible accounts receivable and generally 75% of eligible inventory. The line is available for issuance of letters of credit to a specified limit of $10.0 million.</w:t>
      </w:r>
    </w:p>
    <w:p>
      <w:pPr>
        <w:spacing w:after="0" w:line="19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Under the ABL agreement, to determine interest due, we can elect to base the rate on the alternate base rate (prime rate, NYFRB rate or adjusted LIBOR for one-month period) plus 0.5% to 1.0%, depending on the amount of borrowings outstanding, or an adjusted LIBOR rate for a period of one, two, three or six months as we select plus 1.50% to 2.0%, depending on the amount of borrowings outstanding. The interest rate we were paying as of February 25, 2017 was 2.5%. We also pay a commitment fee equal to 0.375% if the average utilized portion is less than or equal to 50%, or 0.25% if the utilized portion is greater than 50% of availability.</w:t>
      </w:r>
    </w:p>
    <w:p>
      <w:pPr>
        <w:spacing w:after="0" w:line="203"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Under the Term Loan agreement, we have a 7-year credit facility repayable in quarterly installments in an aggregate amount equal to 1.0% of the original amount of the term loan on March 31, June 30 and September 30, 2017; 1.25% each calendar quarter end thereafter; with the balance payable at the end of 7 years on November 8, 2023. There are mandatory prepayments for proceeds of new debt, sale of significant assets or subsidiaries and annually for 50% of excess cash flow beginning with Fiscal 2017 (the 50% is subject to step-downs to 25% and 0% if the total net leverage ratio is less than 2.5 to 1.0 and 2.0 to</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1.0, respectively, as of the last day of the period). Incremental term loans of up to $125.0 million are available if certain financial ratios and other conditions are met.</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Under the Term Loan agreement, to determine interest due, we can elect to base the rate on an alternate base rate (prime rate, NYFRB rate or adjusted LIBOR for one-month period with a floor of 2.0%) plus 3.50% or an adjusted LIBOR rate for the interest period selected plus 4.50%. The interest rate we were paying as of February 25, 2017 was 5.5%.</w:t>
      </w:r>
    </w:p>
    <w:p>
      <w:pPr>
        <w:spacing w:after="0" w:line="20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the Credit Facility, we are required to enter into a hedging arrangement to effectively fix the LIBOR component of interest cost at the prevailing swap rate with a notional amount of at least 50% of the projected outstanding principal amount of the Term Loan. The hedging arrangement needs to be maintained until the later of three years from closing date or the date the leverage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ratio is less than 2.0 to 1.0. In accordance with this requirement, we entered into an interest rate swap contract on January 23, 2017, which effectively fixed our interest rate on $200.0 million of our Term Loan at 6.32%. The notional amount of the swap decreases to $170.0 million on December 8, 2017, $120.0 million in December 10, 2018, and $60.0 million on December 9, 2019 and expires on December 8, 2020.</w:t>
      </w:r>
    </w:p>
    <w:p>
      <w:pPr>
        <w:spacing w:after="0" w:line="201" w:lineRule="exact"/>
        <w:rPr>
          <w:sz w:val="20"/>
          <w:szCs w:val="20"/>
          <w:color w:val="auto"/>
        </w:rPr>
      </w:pPr>
    </w:p>
    <w:p>
      <w:pPr>
        <w:jc w:val="both"/>
        <w:ind w:right="240"/>
        <w:spacing w:after="0" w:line="250" w:lineRule="auto"/>
        <w:rPr>
          <w:sz w:val="20"/>
          <w:szCs w:val="20"/>
          <w:color w:val="auto"/>
        </w:rPr>
      </w:pPr>
      <w:r>
        <w:rPr>
          <w:rFonts w:ascii="Arial" w:cs="Arial" w:eastAsia="Arial" w:hAnsi="Arial"/>
          <w:sz w:val="16"/>
          <w:szCs w:val="16"/>
          <w:color w:val="auto"/>
        </w:rPr>
        <w:t>The Term Loan agreement includes financial covenants that the fixed charge coverage ratio at the end of any four fiscal quarters be not less than 1.0 to 1.0, defined as consolidated EBITDA less capital expenditures (as defined), over fixed charges, generally defined as cash interest, cash income taxes, principal payments on loans, and dividends, as well as the senior secured net leverage ratio at the end of each fiscal quarter of not greater than 3.5 to 1.0 prior to the fiscal quarter ending November 24, 2018 and 3.25 to 1.0 for each quarter thereafter, defined generally as the ratio of total secured indebtedness minus cash and permitted investments, to consolidated EBITDA.</w:t>
      </w:r>
    </w:p>
    <w:p>
      <w:pPr>
        <w:spacing w:after="0" w:line="203"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ABL agreement generally contains similar covenants, and includes restrictions on indebtedness, liens, mergers, consolidations, investments, guarantees, acquisitions, sales of assets, transactions with affiliates. Dividends, redemptions and other payments on equity are generally limited to $20.0 million in any fiscal year; higher amounts may be paid if the total net leverage ratio does not exceed 3.0 to 1.0. Customary events of default (with customary grace periods, notice and cure periods and thresholds) include payment default, breach of representation in any material respect, breach of covenants, default to material indebtedness, bankruptcy, ERISA violations, material judgments, change in control and termination of invalidity of guaranty or security documents. As of February 25, 2017, we are in compliance with the financial covenants of the Credit Facility agreements.</w:t>
      </w:r>
    </w:p>
    <w:p>
      <w:pPr>
        <w:spacing w:after="0" w:line="20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ABL and Term Loan are guaranteed by Winnebago Industries, Inc. and all material direct and indirect domestic subsidiaries, and are secured by a security interest in any and all of our property except minor excluded assets.</w:t>
      </w:r>
    </w:p>
    <w:p>
      <w:pPr>
        <w:spacing w:after="0" w:line="16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April 25, 2016. Subject to market conditions, we have the ability to offer and sell up to $35.0 million of our common stock in one or more offerings pursuant to the Registration Statement. The Registration Statement will be available for three years from its effective date. We currently have no plans to offer and sell the common stock registered under the Registration Statement, however, it does provide another potential source of liquidity to raise capital if we need it, in addition to other alternatives already in place.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8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Our principal contractual obligations and commercial commitments that have significantly changed since our Annual Report on Form 10-K for the fiscal year ended August 27, 2016 are as follows as of February 25,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5"/>
          </w:tcPr>
          <w:p>
            <w:pPr>
              <w:jc w:val="center"/>
              <w:ind w:right="99"/>
              <w:spacing w:after="0"/>
              <w:rPr>
                <w:sz w:val="20"/>
                <w:szCs w:val="20"/>
                <w:color w:val="auto"/>
              </w:rPr>
            </w:pPr>
            <w:r>
              <w:rPr>
                <w:rFonts w:ascii="Arial" w:cs="Arial" w:eastAsia="Arial" w:hAnsi="Arial"/>
                <w:sz w:val="16"/>
                <w:szCs w:val="16"/>
                <w:b w:val="1"/>
                <w:bCs w:val="1"/>
                <w:color w:val="auto"/>
              </w:rPr>
              <w:t>Payments Due By Period</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198"/>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b w:val="1"/>
                <w:bCs w:val="1"/>
                <w:color w:val="auto"/>
              </w:rPr>
              <w:t>Fiscal</w:t>
            </w:r>
          </w:p>
        </w:tc>
        <w:tc>
          <w:tcPr>
            <w:tcW w:w="220" w:type="dxa"/>
            <w:vAlign w:val="bottom"/>
          </w:tcPr>
          <w:p>
            <w:pPr>
              <w:spacing w:after="0"/>
              <w:rPr>
                <w:sz w:val="17"/>
                <w:szCs w:val="17"/>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96"/>
              </w:rPr>
              <w:t>Fiscal</w:t>
            </w:r>
          </w:p>
        </w:tc>
        <w:tc>
          <w:tcPr>
            <w:tcW w:w="22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Fiscal</w:t>
            </w:r>
          </w:p>
        </w:tc>
        <w:tc>
          <w:tcPr>
            <w:tcW w:w="220" w:type="dxa"/>
            <w:vAlign w:val="bottom"/>
          </w:tcPr>
          <w:p>
            <w:pPr>
              <w:spacing w:after="0"/>
              <w:rPr>
                <w:sz w:val="17"/>
                <w:szCs w:val="17"/>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2018-2019</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2020-2021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5 Years</w:t>
            </w:r>
          </w:p>
        </w:tc>
      </w:tr>
      <w:tr>
        <w:trPr>
          <w:trHeight w:val="257"/>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Revolving credit agreement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r>
      <w:tr>
        <w:trPr>
          <w:trHeight w:val="270"/>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 xml:space="preserve">Term debt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300,000</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6,000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29,250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30,000</w:t>
            </w: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234,750</w:t>
            </w:r>
          </w:p>
        </w:tc>
      </w:tr>
      <w:tr>
        <w:trPr>
          <w:trHeight w:val="270"/>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Interest at variable rate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99,672</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8,887</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33,690</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30,412</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26,683</w:t>
            </w:r>
          </w:p>
        </w:tc>
      </w:tr>
      <w:tr>
        <w:trPr>
          <w:trHeight w:val="270"/>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 xml:space="preserve">Net swap payments </w:t>
            </w:r>
            <w:r>
              <w:rPr>
                <w:rFonts w:ascii="Arial" w:cs="Arial" w:eastAsia="Arial" w:hAnsi="Arial"/>
                <w:sz w:val="21"/>
                <w:szCs w:val="21"/>
                <w:color w:val="auto"/>
                <w:vertAlign w:val="superscript"/>
              </w:rPr>
              <w:t>(4)</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11,114</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827</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3,308</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3,308</w:t>
            </w: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3,671</w:t>
            </w:r>
          </w:p>
        </w:tc>
      </w:tr>
      <w:tr>
        <w:trPr>
          <w:trHeight w:val="270"/>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(5)</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19,542</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4,679</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4,641</w:t>
            </w: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9,140</w:t>
            </w:r>
          </w:p>
        </w:tc>
      </w:tr>
      <w:tr>
        <w:trPr>
          <w:trHeight w:val="234"/>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Total contractual cash obligations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470,328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314,244</w:t>
            </w: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40" w:right="100" w:hanging="232"/>
        <w:spacing w:after="0" w:line="211" w:lineRule="auto"/>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As of February 25, 2017, we had $40.0 million outstanding under our $125.0 million revolving credit agreement. Borrowings and repayments are expected to fluctuate over the term.</w:t>
      </w:r>
    </w:p>
    <w:p>
      <w:pPr>
        <w:ind w:left="240" w:right="200" w:hanging="232"/>
        <w:spacing w:after="0" w:line="220" w:lineRule="auto"/>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As of February 25, 2017, we had $300.0 million outstanding under our Term Loan agreement, that matures on November 8, 2023. The contractual principal payments are included in the previous table. As discussed in the liquidity section of the MD&amp;A above, additional principal payments are due annually on a formula based on 50% of excess cash flow. No amounts for this contingency are included in the above table.</w:t>
      </w:r>
    </w:p>
    <w:p>
      <w:pPr>
        <w:spacing w:after="0" w:line="1" w:lineRule="exact"/>
        <w:rPr>
          <w:rFonts w:ascii="Arial" w:cs="Arial" w:eastAsia="Arial" w:hAnsi="Arial"/>
          <w:sz w:val="18"/>
          <w:szCs w:val="18"/>
          <w:color w:val="auto"/>
          <w:vertAlign w:val="superscript"/>
        </w:rPr>
      </w:pPr>
    </w:p>
    <w:p>
      <w:pPr>
        <w:ind w:left="240" w:right="80" w:hanging="232"/>
        <w:spacing w:after="0" w:line="230" w:lineRule="auto"/>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All of the debt under the ABL and Term Loan are at variable rates and the interest in the table assumes the variable rates of 2.5% and 5.5%, respectively, at February 25, 2017 are constant through the maturity dates of the debt; the revolving credit balance remains constant at $40.0 million; and the principal payments on the term debt are made as scheduled. The variable rate is subject to change. For example, a 1.0% change in ABL and Term Loan rates for Fiscal 2017, would change the interest paid for the remainder of 2017 by $1.7 million. Additionally, included in interest payments due by period is a 0.4% commitment fee on the ABL for unused borrowings, which are assumed to be at $85.0 million. In addition to interest assumed to be paid, non-cash amortization of debt issuance costs will also be recorded within interest expense on the Consolidated Statements of Income and Comprehensive Income in future periods.</w:t>
      </w:r>
    </w:p>
    <w:p>
      <w:pPr>
        <w:spacing w:after="0" w:line="2" w:lineRule="exact"/>
        <w:rPr>
          <w:rFonts w:ascii="Arial" w:cs="Arial" w:eastAsia="Arial" w:hAnsi="Arial"/>
          <w:sz w:val="18"/>
          <w:szCs w:val="18"/>
          <w:color w:val="auto"/>
          <w:vertAlign w:val="superscript"/>
        </w:rPr>
      </w:pPr>
    </w:p>
    <w:p>
      <w:pPr>
        <w:ind w:left="240" w:right="200" w:hanging="232"/>
        <w:spacing w:after="0" w:line="211" w:lineRule="auto"/>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We have an interest rate swap agreement with a notional amount of $200.0 million as of February 25, 2017 that decreases to $170.0 million on December 8, 2017, to $120.0 million in December 10, 2018, and $60.0 million on December 9, 2019 and expires on December 8, 2020. We pay a fixed rate at 1.82%, and receive a floating rate that was</w:t>
      </w:r>
    </w:p>
    <w:p>
      <w:pPr>
        <w:ind w:left="240" w:right="120"/>
        <w:spacing w:after="0" w:line="241" w:lineRule="auto"/>
        <w:rPr>
          <w:rFonts w:ascii="Arial" w:cs="Arial" w:eastAsia="Arial" w:hAnsi="Arial"/>
          <w:sz w:val="18"/>
          <w:szCs w:val="18"/>
          <w:color w:val="auto"/>
          <w:vertAlign w:val="superscript"/>
        </w:rPr>
      </w:pPr>
      <w:r>
        <w:rPr>
          <w:rFonts w:ascii="Arial" w:cs="Arial" w:eastAsia="Arial" w:hAnsi="Arial"/>
          <w:sz w:val="14"/>
          <w:szCs w:val="14"/>
          <w:color w:val="auto"/>
        </w:rPr>
        <w:t>1.0% at February 25, 2017. In the previous table, we have assumed the floating rate will be constant through the expiration of the interest rate swap when calculating the net swap payments. The variable rate is subject to change. For example, a 1.0% increase in the floating rate for Fiscal 2017, would decrease the payments noted for the increase in ABL and Term for the remainder of 2017 by $1.0 million.</w:t>
      </w:r>
    </w:p>
    <w:p>
      <w:pPr>
        <w:spacing w:after="0" w:line="1" w:lineRule="exact"/>
        <w:rPr>
          <w:rFonts w:ascii="Arial" w:cs="Arial" w:eastAsia="Arial" w:hAnsi="Arial"/>
          <w:sz w:val="18"/>
          <w:szCs w:val="18"/>
          <w:color w:val="auto"/>
          <w:vertAlign w:val="superscript"/>
        </w:rPr>
      </w:pPr>
    </w:p>
    <w:p>
      <w:pPr>
        <w:ind w:left="240" w:hanging="232"/>
        <w:spacing w:after="0" w:line="199" w:lineRule="auto"/>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Represents the lease commitments from the Grand Design acquisition and the lease of an office facility. Refer to Note 12.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With the acquisition of Grand Design, we agreed to register the 4,586,555 shares of common stock issued to the former owners of Grand Design pursuant to the terms of a registration rights agreement. Under the registration rights agreement, we filed a shelf registration statement with the SEC on January 20, 2017 to register these shares for resale. We agreed to keep the registration statement effective for up to three years.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41"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There have been no material changes to the critical accounting policies described in our Form 10-K for the year ended August 27, 2016, except for those disclosed in our Form 10-Q for the quarter ended November 26, 2016.</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5"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We are exposed to market risks related to fluctuations in interest rates on the outstanding variable rate debt. As of February 25, 2017, we had $40.0 million outstanding under our ABL and $300.0 million outstanding under our Term Loan, subject to variable interest rates.</w:t>
      </w:r>
    </w:p>
    <w:p>
      <w:pPr>
        <w:spacing w:after="0" w:line="16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Under terms of the Credit Facility, we are required to maintain interest rate swaps to manage our interest rate exposure related to the variable component of interest cost on the Term Loan. This hedging arrangement must be maintained until the later of three years from November 8, 2016 or when our leverage ratio is 2.0 to 1.0 or less. On January 23, 2017, we entered into an interest rate swap to effectively convert $200.0 million of the Term Loan balance to a fixed rate. The notional amount of the swap is reduced to $170.0 million on December 8, 2017, $120.0 million in December 10, 2018, and $60.0 million on December 9, 2019 and expires on December 8, 2020. A hypothetical one percentage point increase in interest rates on the Term Loan would increase our interest expense (after consideration of the interest rate swap) for the last six months of 2017 by approximately $0.5 million. Due to the floor of 1% on LIBOR for the Term Loan, a 1% decrease would have no impact on interest expense for the last six months of 2017.</w:t>
      </w:r>
    </w:p>
    <w:p>
      <w:pPr>
        <w:spacing w:after="0" w:line="182"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For variable rate debt, interest rate changes generally do not affect the fair value of the debt instrument, but do impact future earnings and cash flows, assuming other factors are held constant.</w:t>
      </w:r>
    </w:p>
    <w:p>
      <w:pPr>
        <w:spacing w:after="0" w:line="15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Derivative instruments are accounted for at fair value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and have been designated for hedge accounting. The fair value of the interest rate swap is based on observable market data (Level 2) and was $(0.7) million as of February 25, 2017. The interest rate swap requires us to pay interest at a fixed rate of 1.82% through the December 8, 2020 expiration of the swap. A 1.0% increase in the interest rate would have changed the fair value of the swap as of February 25, 2017 by approximately $4.7 million and a 1.0% decrease would have changed the fair value by $(2.9) million. These increases and decreases would be recorded in OCI and the hedged value on our consolidated balance sheet (currently recorded within other non-current liabilities). While these are our best estimates of the impact of the specified interest rate scenario, actual results could differ from those projected. The sensitivity analysis presented assumes interest rate changes are instantaneous, parallel shifts in the yield curve. In reality, interest rate changes of this magnitude are rarely instantaneous or parallel.</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Assuming no change in outstanding balances from those at February 25, 2017, a 1.0% increase in ABL and Term Loan rates for Fiscal 2017, would change the interest expense (after consideration of the interest rate swap) for the last six months of 2017 by $0.7 million.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and believes such controls and procedures are effective at the reasonable assurance level.</w:t>
      </w:r>
    </w:p>
    <w:p>
      <w:pPr>
        <w:spacing w:after="0" w:line="16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During the first quarter of Fiscal 2017, we completed the acquisition of Grand Design RV, LLC which represents a material change in internal control over financial reporting since management's last assessment. Prior to the acquisition, Grand Design was a</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41"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private company and has not been subject to the Sarbanes-Oxley Act of 2002, the rules and regulations of the SEC, or other corporate governance requirements to which public reporting companies may be subject. As part of our ongoing integration activities, we are continuing to incorporate our controls and procedures into the acquired Grand Design subsidiaries and to augment our company-wide controls to reflect the risks inherent in an acquisition of this type. Our report on our internal control over financial reporting in the Annual Report on Form 10-K for the year ending August 26, 2017 will exclude the acquired Grand Design subsidiaries in order for management to have sufficient time to evaluate and implement our internal control over financial reporting.</w:t>
      </w:r>
    </w:p>
    <w:p>
      <w:pPr>
        <w:spacing w:after="0" w:line="176"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There were no changes in our internal control over financial reporting that occurred during the second quarter of Fiscal 2017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8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21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10K for the fiscal year ended August 27, 2016, except for those disclosed in our Form 10-Q for the quarter ended November 26, 2016.</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connection with our acquisition of Grand Design we issued 4,586,555 shares of our common stock on November 8, 2016 in a private sale under Section 4(2) of the Securities Act. Pursuant to the Securities Purchase Agreement, $105.0 million worth of common stock was issued based on the 10 trading days prior to execution of the Securities Purchase Agreement (stock increased to $124.1 million as of the closing date due to increases in stock price).</w:t>
      </w:r>
    </w:p>
    <w:p>
      <w:pPr>
        <w:spacing w:after="0" w:line="14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second quarter of Fiscal 2017, 1,448 shares were repurchased under the authorization, at an aggregate cost of $46,784. All of these shares were repurchased from employees who vested in Winnebago Industries shares during the second quarter of Fiscal 2017 and elected to pay their payroll tax via shares as opposed to cash. As of February 25, 2017, there was approximately $2.6 million remaining under this authorization.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second quarter of Fiscal 2017 were: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5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8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380" w:type="dxa"/>
            <w:vAlign w:val="bottom"/>
          </w:tcPr>
          <w:p>
            <w:pPr>
              <w:spacing w:after="0"/>
              <w:rPr>
                <w:sz w:val="16"/>
                <w:szCs w:val="16"/>
                <w:color w:val="auto"/>
              </w:rPr>
            </w:pPr>
          </w:p>
        </w:tc>
        <w:tc>
          <w:tcPr>
            <w:tcW w:w="214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Paid per Share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11/27/16 - 12/31/16</w:t>
            </w:r>
          </w:p>
        </w:tc>
        <w:tc>
          <w:tcPr>
            <w:tcW w:w="1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2,679,000</w:t>
            </w:r>
          </w:p>
        </w:tc>
      </w:tr>
      <w:tr>
        <w:trPr>
          <w:trHeight w:val="260"/>
        </w:trPr>
        <w:tc>
          <w:tcPr>
            <w:tcW w:w="3100" w:type="dxa"/>
            <w:vAlign w:val="bottom"/>
          </w:tcPr>
          <w:p>
            <w:pPr>
              <w:ind w:left="40"/>
              <w:spacing w:after="0"/>
              <w:rPr>
                <w:sz w:val="20"/>
                <w:szCs w:val="20"/>
                <w:color w:val="auto"/>
              </w:rPr>
            </w:pPr>
            <w:r>
              <w:rPr>
                <w:rFonts w:ascii="Arial" w:cs="Arial" w:eastAsia="Arial" w:hAnsi="Arial"/>
                <w:sz w:val="16"/>
                <w:szCs w:val="16"/>
                <w:color w:val="auto"/>
              </w:rPr>
              <w:t>01/01/17 - 01/28/17</w:t>
            </w: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1,332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32.21</w:t>
            </w:r>
          </w:p>
        </w:tc>
        <w:tc>
          <w:tcPr>
            <w:tcW w:w="2180" w:type="dxa"/>
            <w:vAlign w:val="bottom"/>
          </w:tcPr>
          <w:p>
            <w:pPr>
              <w:jc w:val="right"/>
              <w:ind w:right="119"/>
              <w:spacing w:after="0"/>
              <w:rPr>
                <w:sz w:val="20"/>
                <w:szCs w:val="20"/>
                <w:color w:val="auto"/>
              </w:rPr>
            </w:pPr>
            <w:r>
              <w:rPr>
                <w:rFonts w:ascii="Arial" w:cs="Arial" w:eastAsia="Arial" w:hAnsi="Arial"/>
                <w:sz w:val="16"/>
                <w:szCs w:val="16"/>
                <w:color w:val="auto"/>
              </w:rPr>
              <w:t>1,332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59"/>
              <w:spacing w:after="0"/>
              <w:rPr>
                <w:sz w:val="20"/>
                <w:szCs w:val="20"/>
                <w:color w:val="auto"/>
              </w:rPr>
            </w:pPr>
            <w:r>
              <w:rPr>
                <w:rFonts w:ascii="Arial" w:cs="Arial" w:eastAsia="Arial" w:hAnsi="Arial"/>
                <w:sz w:val="16"/>
                <w:szCs w:val="16"/>
                <w:color w:val="auto"/>
              </w:rPr>
              <w:t>2,636,000</w:t>
            </w:r>
          </w:p>
        </w:tc>
      </w:tr>
      <w:tr>
        <w:trPr>
          <w:trHeight w:val="273"/>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01/29/17 - 02/25/17</w:t>
            </w:r>
          </w:p>
        </w:tc>
        <w:tc>
          <w:tcPr>
            <w:tcW w:w="1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33.40</w:t>
            </w:r>
          </w:p>
        </w:tc>
        <w:tc>
          <w:tcPr>
            <w:tcW w:w="2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2,632,000</w:t>
            </w:r>
          </w:p>
        </w:tc>
      </w:tr>
      <w:tr>
        <w:trPr>
          <w:trHeight w:val="267"/>
        </w:trPr>
        <w:tc>
          <w:tcPr>
            <w:tcW w:w="3100" w:type="dxa"/>
            <w:vAlign w:val="bottom"/>
          </w:tcPr>
          <w:p>
            <w:pPr>
              <w:ind w:left="4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1,448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32.31</w:t>
            </w:r>
          </w:p>
        </w:tc>
        <w:tc>
          <w:tcPr>
            <w:tcW w:w="2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1,448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2,632,000</w:t>
            </w:r>
          </w:p>
        </w:tc>
      </w:tr>
      <w:tr>
        <w:trPr>
          <w:trHeight w:val="20"/>
        </w:trPr>
        <w:tc>
          <w:tcPr>
            <w:tcW w:w="3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Credit Facility contains covenants that limit our ability to pay certain cash dividends or repurchase our stock without impacting financial ratio covenants.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Pr>
          <w:p>
            <w:pPr>
              <w:jc w:val="right"/>
              <w:ind w:right="259"/>
              <w:spacing w:after="0"/>
              <w:rPr>
                <w:sz w:val="20"/>
                <w:szCs w:val="20"/>
                <w:color w:val="auto"/>
              </w:rPr>
            </w:pPr>
            <w:r>
              <w:rPr>
                <w:rFonts w:ascii="Arial" w:cs="Arial" w:eastAsia="Arial" w:hAnsi="Arial"/>
                <w:sz w:val="16"/>
                <w:szCs w:val="16"/>
                <w:color w:val="auto"/>
                <w:w w:val="96"/>
              </w:rPr>
              <w:t>31.1</w:t>
            </w:r>
          </w:p>
        </w:tc>
        <w:tc>
          <w:tcPr>
            <w:tcW w:w="9300" w:type="dxa"/>
            <w:vAlign w:val="bottom"/>
          </w:tcPr>
          <w:p>
            <w:pPr>
              <w:ind w:left="320"/>
              <w:spacing w:after="0"/>
              <w:rPr>
                <w:sz w:val="20"/>
                <w:szCs w:val="20"/>
                <w:color w:val="auto"/>
              </w:rPr>
            </w:pPr>
            <w:r>
              <w:rPr>
                <w:rFonts w:ascii="Arial" w:cs="Arial" w:eastAsia="Arial" w:hAnsi="Arial"/>
                <w:sz w:val="16"/>
                <w:szCs w:val="16"/>
                <w:color w:val="auto"/>
              </w:rPr>
              <w:t>Certification by the Chief Executive Officer pursuant to Section 302 of the Sarbanes-Oxley Act of 2002 dated March 22, 2017.</w:t>
            </w:r>
          </w:p>
        </w:tc>
      </w:tr>
      <w:tr>
        <w:trPr>
          <w:trHeight w:val="351"/>
        </w:trPr>
        <w:tc>
          <w:tcPr>
            <w:tcW w:w="660" w:type="dxa"/>
            <w:vAlign w:val="bottom"/>
          </w:tcPr>
          <w:p>
            <w:pPr>
              <w:jc w:val="right"/>
              <w:ind w:right="259"/>
              <w:spacing w:after="0"/>
              <w:rPr>
                <w:sz w:val="20"/>
                <w:szCs w:val="20"/>
                <w:color w:val="auto"/>
              </w:rPr>
            </w:pPr>
            <w:r>
              <w:rPr>
                <w:rFonts w:ascii="Arial" w:cs="Arial" w:eastAsia="Arial" w:hAnsi="Arial"/>
                <w:sz w:val="16"/>
                <w:szCs w:val="16"/>
                <w:color w:val="auto"/>
                <w:w w:val="96"/>
              </w:rPr>
              <w:t>31.2</w:t>
            </w:r>
          </w:p>
        </w:tc>
        <w:tc>
          <w:tcPr>
            <w:tcW w:w="9300" w:type="dxa"/>
            <w:vAlign w:val="bottom"/>
          </w:tcPr>
          <w:p>
            <w:pPr>
              <w:ind w:left="320"/>
              <w:spacing w:after="0"/>
              <w:rPr>
                <w:sz w:val="20"/>
                <w:szCs w:val="20"/>
                <w:color w:val="auto"/>
              </w:rPr>
            </w:pPr>
            <w:r>
              <w:rPr>
                <w:rFonts w:ascii="Arial" w:cs="Arial" w:eastAsia="Arial" w:hAnsi="Arial"/>
                <w:sz w:val="16"/>
                <w:szCs w:val="16"/>
                <w:color w:val="auto"/>
              </w:rPr>
              <w:t>Certification by the Chief Financial Officer pursuant to Section 302 of the Sarbanes-Oxley Act of 2002 dated March 22, 2017.</w:t>
            </w:r>
          </w:p>
        </w:tc>
      </w:tr>
      <w:tr>
        <w:trPr>
          <w:trHeight w:val="594"/>
        </w:trPr>
        <w:tc>
          <w:tcPr>
            <w:tcW w:w="660" w:type="dxa"/>
            <w:vAlign w:val="bottom"/>
          </w:tcPr>
          <w:p>
            <w:pPr>
              <w:spacing w:after="0"/>
              <w:rPr>
                <w:sz w:val="24"/>
                <w:szCs w:val="24"/>
                <w:color w:val="auto"/>
              </w:rPr>
            </w:pPr>
          </w:p>
        </w:tc>
        <w:tc>
          <w:tcPr>
            <w:tcW w:w="9300" w:type="dxa"/>
            <w:vAlign w:val="bottom"/>
          </w:tcPr>
          <w:p>
            <w:pPr>
              <w:jc w:val="right"/>
              <w:ind w:right="4079"/>
              <w:spacing w:after="0"/>
              <w:rPr>
                <w:sz w:val="20"/>
                <w:szCs w:val="20"/>
                <w:color w:val="auto"/>
              </w:rPr>
            </w:pPr>
            <w:r>
              <w:rPr>
                <w:rFonts w:ascii="Arial" w:cs="Arial" w:eastAsia="Arial" w:hAnsi="Arial"/>
                <w:sz w:val="16"/>
                <w:szCs w:val="16"/>
                <w:color w:val="auto"/>
              </w:rPr>
              <w:t>32</w:t>
            </w:r>
          </w:p>
        </w:tc>
      </w:tr>
    </w:tbl>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980" w:right="320" w:hanging="971"/>
        <w:spacing w:after="0" w:line="260" w:lineRule="auto"/>
        <w:tabs>
          <w:tab w:leader="none" w:pos="96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Certification by the Chief Executive Officer pursuant to Section 1350, as adopted pursuant to Section 906 of the Sarbanes-Oxley Act of 2002 dated March 22, 2017.</w:t>
      </w:r>
    </w:p>
    <w:p>
      <w:pPr>
        <w:spacing w:after="0" w:line="142" w:lineRule="exact"/>
        <w:rPr>
          <w:sz w:val="20"/>
          <w:szCs w:val="20"/>
          <w:color w:val="auto"/>
        </w:rPr>
      </w:pPr>
    </w:p>
    <w:p>
      <w:pPr>
        <w:ind w:left="980" w:right="380" w:hanging="971"/>
        <w:spacing w:after="0" w:line="260" w:lineRule="auto"/>
        <w:tabs>
          <w:tab w:leader="none" w:pos="96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 2002 dated March 22, 2017.</w:t>
      </w:r>
    </w:p>
    <w:p>
      <w:pPr>
        <w:sectPr>
          <w:pgSz w:w="11900" w:h="16838" w:orient="portrait"/>
          <w:cols w:equalWidth="0" w:num="1">
            <w:col w:w="11360"/>
          </w:cols>
          <w:pgMar w:left="240" w:top="141" w:right="29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660" w:space="32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720" w:space="26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20" w:space="26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380"/>
          </w:cols>
          <w:pgMar w:left="240" w:top="141" w:right="299" w:bottom="1440" w:gutter="0" w:footer="0" w:header="0"/>
          <w:type w:val="continuous"/>
        </w:sectPr>
      </w:pPr>
    </w:p>
    <w:p>
      <w:pPr>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February 25, 2017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WINNEBAGO INDUSTRIES, INC.</w:t>
      </w:r>
    </w:p>
    <w:p>
      <w:pPr>
        <w:spacing w:after="0" w:line="340"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22,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Executive Officer)</w:t>
      </w:r>
    </w:p>
    <w:p>
      <w:pPr>
        <w:spacing w:after="0" w:line="340"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22,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Vice President, Chief Financial Officer, Treasurer</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60"/>
          </w:cols>
          <w:pgMar w:left="240" w:top="141" w:right="29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certify that:</w:t>
      </w:r>
    </w:p>
    <w:p>
      <w:pPr>
        <w:spacing w:after="0" w:line="86"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120" w:hanging="328"/>
        <w:spacing w:after="0" w:line="253"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22,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20"/>
          </w:cols>
          <w:pgMar w:left="240" w:top="630"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certify that:</w:t>
      </w:r>
    </w:p>
    <w:p>
      <w:pPr>
        <w:spacing w:after="0" w:line="86"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120" w:hanging="328"/>
        <w:spacing w:after="0" w:line="253"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22,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6"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February 25, 2017, I, Michael J. Happe, Chief Executive Officer and President of Winnebago Industries, Inc., certify that pursuant to 18 U.S.C. §1350 as adopted pursuant to §906 of the Sarbanes-Oxley Act of 2002, that:</w:t>
      </w:r>
    </w:p>
    <w:p>
      <w:pPr>
        <w:spacing w:after="0" w:line="174" w:lineRule="exact"/>
        <w:rPr>
          <w:sz w:val="20"/>
          <w:szCs w:val="20"/>
          <w:color w:val="auto"/>
        </w:rPr>
      </w:pPr>
    </w:p>
    <w:p>
      <w:pPr>
        <w:ind w:left="660" w:right="140" w:hanging="328"/>
        <w:spacing w:after="0" w:line="253"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February 25, 2017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22,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00"/>
          </w:cols>
          <w:pgMar w:left="240" w:top="630" w:right="25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February 25, 2017, I, Sarah N. Nielsen, Vice President, Chief Financial Officer of Winnebago Industries, Inc., certify that pursuant to 18 U.S.C. §1350 as adopted pursuant to §906 of the Sarbanes-Oxley Act of 2002, that:</w:t>
      </w:r>
    </w:p>
    <w:p>
      <w:pPr>
        <w:spacing w:after="0" w:line="174" w:lineRule="exact"/>
        <w:rPr>
          <w:sz w:val="20"/>
          <w:szCs w:val="20"/>
          <w:color w:val="auto"/>
        </w:rPr>
      </w:pPr>
    </w:p>
    <w:p>
      <w:pPr>
        <w:ind w:left="660" w:right="100" w:hanging="328"/>
        <w:spacing w:after="0" w:line="253"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February 25, 2017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22,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2019-12-29T08:23:45Z</dcterms:created>
  <dcterms:modified xsi:type="dcterms:W3CDTF">2019-12-29T08:23:45Z</dcterms:modified>
</cp:coreProperties>
</file>