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  <w:gridSpan w:val="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Report (Date of earliest event reported)</w:t>
            </w:r>
          </w:p>
        </w:tc>
        <w:tc>
          <w:tcPr>
            <w:tcW w:w="3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March 30, 2005</w:t>
            </w:r>
          </w:p>
        </w:tc>
      </w:tr>
      <w:tr>
        <w:trPr>
          <w:trHeight w:val="20"/>
        </w:trPr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Winnebago Industries,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8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  <w:gridSpan w:val="1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(Exact Name of Registrant as Specified in Its Charter)</w:t>
            </w:r>
          </w:p>
        </w:tc>
      </w:tr>
      <w:tr>
        <w:trPr>
          <w:trHeight w:val="45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Iowa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001-06403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42-0802678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4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(State or Other Jurisdiction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(Commission File Number)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(IRS Employer</w:t>
            </w:r>
          </w:p>
        </w:tc>
      </w:tr>
      <w:tr>
        <w:trPr>
          <w:trHeight w:val="24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of Incorporation)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Identification No.)</w:t>
            </w:r>
          </w:p>
        </w:tc>
      </w:tr>
      <w:tr>
        <w:trPr>
          <w:trHeight w:val="45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P.O. Box 152, Forest City, Iowa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jc w:val="right"/>
              <w:ind w:righ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50436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  <w:gridSpan w:val="7"/>
          </w:tcPr>
          <w:p>
            <w:pPr>
              <w:jc w:val="center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(Address of Principal Executive Offices)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jc w:val="center"/>
              <w:ind w:righ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Registrant’s telephone number, including area code  641-585-3535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905510</wp:posOffset>
            </wp:positionH>
            <wp:positionV relativeFrom="paragraph">
              <wp:posOffset>525780</wp:posOffset>
            </wp:positionV>
            <wp:extent cx="544576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4163060</wp:posOffset>
            </wp:positionH>
            <wp:positionV relativeFrom="paragraph">
              <wp:posOffset>-13970</wp:posOffset>
            </wp:positionV>
            <wp:extent cx="12446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3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1840" w:hanging="535"/>
        <w:spacing w:after="0"/>
        <w:tabs>
          <w:tab w:leader="none" w:pos="18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5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840" w:hanging="535"/>
        <w:spacing w:after="0"/>
        <w:tabs>
          <w:tab w:leader="none" w:pos="18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5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840" w:hanging="535"/>
        <w:spacing w:after="0"/>
        <w:tabs>
          <w:tab w:leader="none" w:pos="18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5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840" w:hanging="535"/>
        <w:spacing w:after="0"/>
        <w:tabs>
          <w:tab w:leader="none" w:pos="18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231775</wp:posOffset>
            </wp:positionV>
            <wp:extent cx="7250430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1.01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Entry into a Material Definitive Agreement.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right="32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The Human Resources Committee of the Board of Directors of Winnebago Industries, Inc. (the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“Company”</w:t>
      </w:r>
      <w:r>
        <w:rPr>
          <w:rFonts w:ascii="Arial" w:cs="Arial" w:eastAsia="Arial" w:hAnsi="Arial"/>
          <w:sz w:val="18"/>
          <w:szCs w:val="18"/>
          <w:color w:val="auto"/>
        </w:rPr>
        <w:t>) recommended, and the full Board of Directors approved, effective February 1, 2005, an increase in the annual retainer for non-employee directors to $25,000 per year and an increase in fees for Board and Committee meetings attended in person to $1,000 per meeting day, with an increase in the additional fees for Committee chairman to $2,000 for meetings attended in person.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right="560" w:firstLine="341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 Summary of Director Compensation reflecting the above-referenced actions of the Board of the Company is attached hereto as Exhibit 99.1 and is incorporated herein by reference.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9.01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Financial Statements and Exhibits.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640" w:hanging="369"/>
        <w:spacing w:after="0"/>
        <w:tabs>
          <w:tab w:leader="none" w:pos="64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Exhibits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80"/>
        <w:spacing w:after="0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Number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Description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760"/>
        <w:spacing w:after="0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Summary of Director Compensation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IGNATURES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ectPr>
          <w:pgSz w:w="11900" w:h="16838" w:orient="portrait"/>
          <w:cols w:equalWidth="0" w:num="1">
            <w:col w:w="11340"/>
          </w:cols>
          <w:pgMar w:left="240" w:top="233" w:right="319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March 30, 2005</w:t>
            </w:r>
          </w:p>
        </w:tc>
        <w:tc>
          <w:tcPr>
            <w:tcW w:w="7060" w:type="dxa"/>
            <w:vAlign w:val="bottom"/>
            <w:gridSpan w:val="3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W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INNEBAGO</w:t>
            </w: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 xml:space="preserve"> I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NDUSTRIES,</w:t>
            </w: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 xml:space="preserve"> I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NC.</w:t>
            </w:r>
          </w:p>
        </w:tc>
      </w:tr>
      <w:tr>
        <w:trPr>
          <w:trHeight w:val="44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 Bruce D. Hertzke</w:t>
            </w:r>
          </w:p>
        </w:tc>
      </w:tr>
      <w:tr>
        <w:trPr>
          <w:trHeight w:val="26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Name:</w:t>
            </w:r>
          </w:p>
        </w:tc>
        <w:tc>
          <w:tcPr>
            <w:tcW w:w="4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Bruce D. Hertzke</w:t>
            </w:r>
          </w:p>
        </w:tc>
      </w:tr>
      <w:tr>
        <w:trPr>
          <w:trHeight w:val="243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E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XHIBIT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 I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NDEX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80"/>
        <w:spacing w:after="0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Number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Description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760"/>
        <w:spacing w:after="0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Summary of Director Compensation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-2-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146050</wp:posOffset>
            </wp:positionV>
            <wp:extent cx="7250430" cy="2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20"/>
          </w:cols>
          <w:pgMar w:left="240" w:top="115" w:right="739" w:bottom="1440" w:gutter="0" w:footer="0" w:header="0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99.1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Summary of Director Compensation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firstLine="351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Employee directors receive no additional compensation for serving on the Board of Directors of Winnebago Industries, Inc. (the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“Company”</w:t>
      </w:r>
      <w:r>
        <w:rPr>
          <w:rFonts w:ascii="Arial" w:cs="Arial" w:eastAsia="Arial" w:hAnsi="Arial"/>
          <w:sz w:val="18"/>
          <w:szCs w:val="18"/>
          <w:color w:val="auto"/>
        </w:rPr>
        <w:t>) or Committees of the Board. Non-employee directors receive a retainer of $2,083.34 per month or $25,000 per year, a $1,000 per day attendance fee for Board and Committee meetings attended in person (Committee Chairmen receive a $2,000 attendance fee for Committee meetings attended in person, which fee is in addition to other Board and Committee attendance fees) and a $500 fee for participation in any Board or Committee meetings held telephonically. Directors are also reimbursed for customary and usual travel expenses.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right="240" w:firstLine="351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 addition, each non-employee director under the Company’s 2004 Incentive Compensation Plan (the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“Incentive Compensation Plan”</w:t>
      </w:r>
      <w:r>
        <w:rPr>
          <w:rFonts w:ascii="Arial" w:cs="Arial" w:eastAsia="Arial" w:hAnsi="Arial"/>
          <w:sz w:val="18"/>
          <w:szCs w:val="18"/>
          <w:color w:val="auto"/>
        </w:rPr>
        <w:t>) annually receives options for 4,000 shares of the Company’s Common Stock. Newly elected non-employee directors are granted non-qualified stock options for 10,000 shares of the Company’s Common Stock.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right="320" w:firstLine="351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Under the Company’s Directors’ Deferred Compensation Plan (the </w:t>
      </w: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“Directors’ Deferred Compensation Plan”</w:t>
      </w:r>
      <w:r>
        <w:rPr>
          <w:rFonts w:ascii="Arial" w:cs="Arial" w:eastAsia="Arial" w:hAnsi="Arial"/>
          <w:sz w:val="16"/>
          <w:szCs w:val="16"/>
          <w:color w:val="auto"/>
        </w:rPr>
        <w:t>), each of the non-employee directors may elect to receive their fees and retainers as members of the Board of Directors and Committees of the Board in a form other than as direct payments.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right="60" w:firstLine="3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Incentive Compensation Plan and the Directors’ Deferred Compensation Plan and the forms of awards thereunder are filed as exhibits to the Company’s Annual Report on Form 10-K and the compensation, plans and agreements referenced above are discussed in further detail in the Company’s Proxy Statement relating to its Annual Meeting of Shareholders.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1927225</wp:posOffset>
            </wp:positionV>
            <wp:extent cx="7250430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2019-12-12T10:43:50Z</dcterms:created>
  <dcterms:modified xsi:type="dcterms:W3CDTF">2019-12-12T10:43:50Z</dcterms:modified>
</cp:coreProperties>
</file>