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488315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387985</wp:posOffset>
            </wp:positionV>
            <wp:extent cx="7250430"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4765"/>
                    </a:xfrm>
                    <a:prstGeom prst="rect">
                      <a:avLst/>
                    </a:prstGeom>
                    <a:noFill/>
                  </pic:spPr>
                </pic:pic>
              </a:graphicData>
            </a:graphic>
          </wp:anchor>
        </w:drawing>
        <w:t>UNITED STATES</w:t>
      </w:r>
    </w:p>
    <w:p>
      <w:pPr>
        <w:spacing w:after="0" w:line="36"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2838450</wp:posOffset>
            </wp:positionH>
            <wp:positionV relativeFrom="paragraph">
              <wp:posOffset>259080</wp:posOffset>
            </wp:positionV>
            <wp:extent cx="159639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6390" cy="1651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2838450</wp:posOffset>
            </wp:positionH>
            <wp:positionV relativeFrom="paragraph">
              <wp:posOffset>33655</wp:posOffset>
            </wp:positionV>
            <wp:extent cx="159639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6390" cy="16510"/>
                    </a:xfrm>
                    <a:prstGeom prst="rect">
                      <a:avLst/>
                    </a:prstGeom>
                    <a:noFill/>
                  </pic:spPr>
                </pic:pic>
              </a:graphicData>
            </a:graphic>
          </wp:anchor>
        </w:drawing>
      </w:r>
    </w:p>
    <w:p>
      <w:pPr>
        <w:spacing w:after="0" w:line="349" w:lineRule="exact"/>
        <w:rPr>
          <w:sz w:val="24"/>
          <w:szCs w:val="24"/>
          <w:color w:val="auto"/>
        </w:rPr>
      </w:pPr>
    </w:p>
    <w:p>
      <w:pPr>
        <w:jc w:val="center"/>
        <w:ind w:right="-279"/>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the Registrant </w:t>
      </w:r>
      <w:r>
        <w:rPr>
          <w:rFonts w:ascii="Arial" w:cs="Arial" w:eastAsia="Arial" w:hAnsi="Arial"/>
          <w:sz w:val="17"/>
          <w:szCs w:val="17"/>
          <w:color w:val="auto"/>
        </w:rPr>
        <w:t>x</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party other than the Registrant </w:t>
      </w:r>
      <w:r>
        <w:rPr>
          <w:rFonts w:ascii="Arial" w:cs="Arial" w:eastAsia="Arial" w:hAnsi="Arial"/>
          <w:sz w:val="17"/>
          <w:szCs w:val="17"/>
          <w:color w:val="auto"/>
        </w:rPr>
        <w:t>o</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6" w:lineRule="exact"/>
        <w:rPr>
          <w:sz w:val="24"/>
          <w:szCs w:val="24"/>
          <w:color w:val="auto"/>
        </w:rPr>
      </w:pPr>
    </w:p>
    <w:p>
      <w:pPr>
        <w:ind w:left="260" w:hanging="255"/>
        <w:spacing w:after="0"/>
        <w:tabs>
          <w:tab w:leader="none" w:pos="260" w:val="left"/>
        </w:tabs>
        <w:numPr>
          <w:ilvl w:val="0"/>
          <w:numId w:val="1"/>
        </w:numPr>
        <w:rPr>
          <w:rFonts w:ascii="Arial" w:cs="Arial" w:eastAsia="Arial" w:hAnsi="Arial"/>
          <w:sz w:val="17"/>
          <w:szCs w:val="17"/>
          <w:color w:val="auto"/>
        </w:rPr>
      </w:pPr>
      <w:r>
        <w:rPr>
          <w:rFonts w:ascii="Arial" w:cs="Arial" w:eastAsia="Arial" w:hAnsi="Arial"/>
          <w:sz w:val="16"/>
          <w:szCs w:val="16"/>
          <w:color w:val="auto"/>
        </w:rPr>
        <w:t>Preliminary Proxy Statement</w:t>
      </w:r>
    </w:p>
    <w:p>
      <w:pPr>
        <w:spacing w:after="0" w:line="21" w:lineRule="exact"/>
        <w:rPr>
          <w:rFonts w:ascii="Arial" w:cs="Arial" w:eastAsia="Arial" w:hAnsi="Arial"/>
          <w:sz w:val="17"/>
          <w:szCs w:val="17"/>
          <w:color w:val="auto"/>
        </w:rPr>
      </w:pPr>
    </w:p>
    <w:p>
      <w:pPr>
        <w:ind w:right="5260" w:firstLine="5"/>
        <w:spacing w:after="0" w:line="247" w:lineRule="auto"/>
        <w:tabs>
          <w:tab w:leader="none" w:pos="262" w:val="left"/>
        </w:tabs>
        <w:numPr>
          <w:ilvl w:val="0"/>
          <w:numId w:val="1"/>
        </w:numPr>
        <w:rPr>
          <w:rFonts w:ascii="Arial" w:cs="Arial" w:eastAsia="Arial" w:hAnsi="Arial"/>
          <w:sz w:val="17"/>
          <w:szCs w:val="17"/>
          <w:color w:val="auto"/>
        </w:rPr>
      </w:pPr>
      <w:r>
        <w:rPr>
          <w:rFonts w:ascii="Arial" w:cs="Arial" w:eastAsia="Arial" w:hAnsi="Arial"/>
          <w:sz w:val="16"/>
          <w:szCs w:val="16"/>
          <w:color w:val="auto"/>
        </w:rPr>
        <w:t xml:space="preserve">Confidential, For Use of the Commission Only (as permitted by Rule 14a-6(e)(2)) </w:t>
      </w:r>
      <w:r>
        <w:rPr>
          <w:rFonts w:ascii="Arial" w:cs="Arial" w:eastAsia="Arial" w:hAnsi="Arial"/>
          <w:sz w:val="17"/>
          <w:szCs w:val="17"/>
          <w:color w:val="auto"/>
        </w:rPr>
        <w:t xml:space="preserve">x </w:t>
      </w:r>
      <w:r>
        <w:rPr>
          <w:rFonts w:ascii="Arial" w:cs="Arial" w:eastAsia="Arial" w:hAnsi="Arial"/>
          <w:sz w:val="15"/>
          <w:szCs w:val="15"/>
          <w:color w:val="auto"/>
        </w:rPr>
        <w:t>Definitive Proxy Statement</w:t>
      </w:r>
    </w:p>
    <w:p>
      <w:pPr>
        <w:spacing w:after="0" w:line="9" w:lineRule="exact"/>
        <w:rPr>
          <w:rFonts w:ascii="Arial" w:cs="Arial" w:eastAsia="Arial" w:hAnsi="Arial"/>
          <w:sz w:val="17"/>
          <w:szCs w:val="17"/>
          <w:color w:val="auto"/>
        </w:rPr>
      </w:pPr>
    </w:p>
    <w:p>
      <w:pPr>
        <w:ind w:left="260" w:hanging="255"/>
        <w:spacing w:after="0"/>
        <w:tabs>
          <w:tab w:leader="none" w:pos="260" w:val="left"/>
        </w:tabs>
        <w:numPr>
          <w:ilvl w:val="0"/>
          <w:numId w:val="1"/>
        </w:numPr>
        <w:rPr>
          <w:rFonts w:ascii="Arial" w:cs="Arial" w:eastAsia="Arial" w:hAnsi="Arial"/>
          <w:sz w:val="17"/>
          <w:szCs w:val="17"/>
          <w:color w:val="auto"/>
        </w:rPr>
      </w:pPr>
      <w:r>
        <w:rPr>
          <w:rFonts w:ascii="Arial" w:cs="Arial" w:eastAsia="Arial" w:hAnsi="Arial"/>
          <w:sz w:val="16"/>
          <w:szCs w:val="16"/>
          <w:color w:val="auto"/>
        </w:rPr>
        <w:t>Definitive Additional Materials</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1"/>
        </w:numPr>
        <w:rPr>
          <w:rFonts w:ascii="Arial" w:cs="Arial" w:eastAsia="Arial" w:hAnsi="Arial"/>
          <w:sz w:val="17"/>
          <w:szCs w:val="17"/>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2314575</wp:posOffset>
            </wp:positionH>
            <wp:positionV relativeFrom="paragraph">
              <wp:posOffset>353060</wp:posOffset>
            </wp:positionV>
            <wp:extent cx="2635885" cy="374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5885" cy="3740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28"/>
          <w:szCs w:val="28"/>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7250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50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33"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6" w:lineRule="exact"/>
        <w:rPr>
          <w:sz w:val="24"/>
          <w:szCs w:val="24"/>
          <w:color w:val="auto"/>
        </w:rPr>
      </w:pPr>
    </w:p>
    <w:p>
      <w:pPr>
        <w:ind w:left="260" w:hanging="255"/>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6"/>
          <w:szCs w:val="16"/>
          <w:color w:val="auto"/>
        </w:rPr>
        <w:t>No fee required.</w:t>
      </w:r>
    </w:p>
    <w:p>
      <w:pPr>
        <w:spacing w:after="0" w:line="14" w:lineRule="exact"/>
        <w:rPr>
          <w:sz w:val="24"/>
          <w:szCs w:val="24"/>
          <w:color w:val="auto"/>
        </w:rPr>
      </w:pPr>
    </w:p>
    <w:p>
      <w:pPr>
        <w:ind w:left="260" w:hanging="25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6"/>
          <w:szCs w:val="16"/>
          <w:color w:val="auto"/>
        </w:rPr>
        <w:t>Fee computed on table below per Exchange Act Rules 14a-6(i)(1) and 0-11.</w:t>
      </w:r>
    </w:p>
    <w:p>
      <w:pPr>
        <w:spacing w:after="0" w:line="7" w:lineRule="exact"/>
        <w:rPr>
          <w:rFonts w:ascii="Arial" w:cs="Arial" w:eastAsia="Arial" w:hAnsi="Arial"/>
          <w:sz w:val="17"/>
          <w:szCs w:val="17"/>
          <w:color w:val="auto"/>
        </w:rPr>
      </w:pPr>
    </w:p>
    <w:p>
      <w:pPr>
        <w:ind w:left="940" w:hanging="307"/>
        <w:spacing w:after="0"/>
        <w:tabs>
          <w:tab w:leader="none" w:pos="9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ind w:left="940" w:hanging="307"/>
        <w:spacing w:after="0"/>
        <w:tabs>
          <w:tab w:leader="none" w:pos="9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ind w:left="940" w:hanging="307"/>
        <w:spacing w:after="0" w:line="239" w:lineRule="auto"/>
        <w:tabs>
          <w:tab w:leader="none" w:pos="9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940" w:hanging="307"/>
        <w:spacing w:after="0"/>
        <w:tabs>
          <w:tab w:leader="none" w:pos="9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ind w:left="940" w:hanging="307"/>
        <w:spacing w:after="0"/>
        <w:tabs>
          <w:tab w:leader="none" w:pos="9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5" w:lineRule="exact"/>
        <w:rPr>
          <w:rFonts w:ascii="Arial" w:cs="Arial" w:eastAsia="Arial" w:hAnsi="Arial"/>
          <w:sz w:val="16"/>
          <w:szCs w:val="16"/>
          <w:color w:val="auto"/>
        </w:rPr>
      </w:pPr>
    </w:p>
    <w:p>
      <w:pPr>
        <w:ind w:left="260" w:hanging="25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6"/>
          <w:szCs w:val="16"/>
          <w:color w:val="auto"/>
        </w:rPr>
        <w:t>Fee paid previously with preliminary materials.</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6"/>
          <w:szCs w:val="16"/>
          <w:color w:val="auto"/>
        </w:rPr>
        <w:t>Check box if any part of the fee is offset as provided by Exchange Act Rule 0-11(a)(2) and identify the filing for which the</w:t>
      </w:r>
    </w:p>
    <w:p>
      <w:pPr>
        <w:spacing w:after="0" w:line="8" w:lineRule="exact"/>
        <w:rPr>
          <w:sz w:val="24"/>
          <w:szCs w:val="24"/>
          <w:color w:val="auto"/>
        </w:rPr>
      </w:pPr>
    </w:p>
    <w:p>
      <w:pPr>
        <w:ind w:left="640" w:right="1920"/>
        <w:spacing w:after="0" w:line="239" w:lineRule="auto"/>
        <w:rPr>
          <w:sz w:val="20"/>
          <w:szCs w:val="20"/>
          <w:color w:val="auto"/>
        </w:rPr>
      </w:pPr>
      <w:r>
        <w:rPr>
          <w:rFonts w:ascii="Arial" w:cs="Arial" w:eastAsia="Arial" w:hAnsi="Arial"/>
          <w:sz w:val="16"/>
          <w:szCs w:val="16"/>
          <w:color w:val="auto"/>
        </w:rPr>
        <w:t>offsetting fee was paid previously. Identify the previous filing by registration statement number, or the Form or Schedule and the date of its filing.</w:t>
      </w:r>
    </w:p>
    <w:p>
      <w:pPr>
        <w:ind w:left="940" w:hanging="307"/>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ind w:left="940" w:hanging="307"/>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ind w:left="940" w:hanging="307"/>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ind w:left="940" w:hanging="307"/>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962660</wp:posOffset>
            </wp:positionV>
            <wp:extent cx="725043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880110</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140"/>
          </w:cols>
          <w:pgMar w:left="240" w:top="1387" w:right="5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2466975</wp:posOffset>
            </wp:positionH>
            <wp:positionV relativeFrom="page">
              <wp:posOffset>238760</wp:posOffset>
            </wp:positionV>
            <wp:extent cx="2635885" cy="374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635885" cy="374015"/>
                    </a:xfrm>
                    <a:prstGeom prst="rect">
                      <a:avLst/>
                    </a:prstGeom>
                    <a:noFill/>
                  </pic:spPr>
                </pic:pic>
              </a:graphicData>
            </a:graphic>
          </wp:anchor>
        </w:drawing>
        <w:t>Notice of Annual Meeting</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 Shareholders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be held December 15,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of Winnebago Industries, Inc.</w:t>
      </w:r>
    </w:p>
    <w:p>
      <w:pPr>
        <w:spacing w:after="0" w:line="287"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Annual Meeting of Shareholders of Winnebago Industries, Inc. will be held on Tuesday, December 15, 2015, at 4:00 p.m., Central Standard Time, in Winnebago Industries' South Office Complex Theater, 605 West Crystal Lake Road, Forest City, Iowa, for the following purposes:</w:t>
      </w:r>
    </w:p>
    <w:p>
      <w:pPr>
        <w:spacing w:after="0" w:line="97" w:lineRule="exact"/>
        <w:rPr>
          <w:sz w:val="20"/>
          <w:szCs w:val="20"/>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three Class I directors to hold office for three-year terms and to elect one Class III director to serve the remainder of the three year term;</w:t>
      </w:r>
    </w:p>
    <w:p>
      <w:pPr>
        <w:spacing w:after="0" w:line="104" w:lineRule="exact"/>
        <w:rPr>
          <w:rFonts w:ascii="Arial" w:cs="Arial" w:eastAsia="Arial" w:hAnsi="Arial"/>
          <w:sz w:val="16"/>
          <w:szCs w:val="16"/>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provide advisory approval of executive compensation;</w:t>
      </w:r>
    </w:p>
    <w:p>
      <w:pPr>
        <w:spacing w:after="0" w:line="104" w:lineRule="exact"/>
        <w:rPr>
          <w:rFonts w:ascii="Arial" w:cs="Arial" w:eastAsia="Arial" w:hAnsi="Arial"/>
          <w:sz w:val="16"/>
          <w:szCs w:val="16"/>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our independent registered public accountant for the fiscal year ending August 27, 2016; and</w:t>
      </w:r>
    </w:p>
    <w:p>
      <w:pPr>
        <w:spacing w:after="0" w:line="104" w:lineRule="exact"/>
        <w:rPr>
          <w:rFonts w:ascii="Arial" w:cs="Arial" w:eastAsia="Arial" w:hAnsi="Arial"/>
          <w:sz w:val="16"/>
          <w:szCs w:val="16"/>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04" w:lineRule="exact"/>
        <w:rPr>
          <w:sz w:val="20"/>
          <w:szCs w:val="20"/>
          <w:color w:val="auto"/>
        </w:rPr>
      </w:pPr>
    </w:p>
    <w:p>
      <w:pPr>
        <w:ind w:right="340"/>
        <w:spacing w:after="0" w:line="244" w:lineRule="auto"/>
        <w:rPr>
          <w:sz w:val="20"/>
          <w:szCs w:val="20"/>
          <w:color w:val="auto"/>
        </w:rPr>
      </w:pPr>
      <w:r>
        <w:rPr>
          <w:rFonts w:ascii="Arial" w:cs="Arial" w:eastAsia="Arial" w:hAnsi="Arial"/>
          <w:sz w:val="16"/>
          <w:szCs w:val="16"/>
          <w:color w:val="auto"/>
        </w:rPr>
        <w:t>The Board of Directors of the Company has fixed the close of business on October 13, 2015, as the record date for the determination of shareholders entitled to notice of and to vote at this meeting and at any and all adjournments thereof.</w:t>
      </w:r>
    </w:p>
    <w:p>
      <w:pPr>
        <w:spacing w:after="0" w:line="281"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By Order of the Board of Directors</w:t>
      </w:r>
    </w:p>
    <w:p>
      <w:pPr>
        <w:spacing w:after="0" w:line="337"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25400</wp:posOffset>
            </wp:positionV>
            <wp:extent cx="24612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74"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Scott C. Folkers</w:t>
      </w:r>
    </w:p>
    <w:p>
      <w:pPr>
        <w:spacing w:after="0" w:line="78"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Secretary</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Forest City, Iowa</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27, 2015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Your Vote Is Important</w:t>
      </w:r>
    </w:p>
    <w:p>
      <w:pPr>
        <w:spacing w:after="0" w:line="224" w:lineRule="exact"/>
        <w:rPr>
          <w:sz w:val="20"/>
          <w:szCs w:val="20"/>
          <w:color w:val="auto"/>
        </w:rPr>
      </w:pPr>
    </w:p>
    <w:p>
      <w:pPr>
        <w:spacing w:after="0" w:line="302" w:lineRule="auto"/>
        <w:rPr>
          <w:sz w:val="20"/>
          <w:szCs w:val="20"/>
          <w:color w:val="auto"/>
        </w:rPr>
      </w:pPr>
      <w:r>
        <w:rPr>
          <w:rFonts w:ascii="Arial" w:cs="Arial" w:eastAsia="Arial" w:hAnsi="Arial"/>
          <w:sz w:val="17"/>
          <w:szCs w:val="17"/>
          <w:b w:val="1"/>
          <w:bCs w:val="1"/>
          <w:color w:val="auto"/>
        </w:rPr>
        <w:t>Whether or not you expect to attend the meeting in person, please vote via the Internet or telephone or request a paper proxy card to complete, sign and return by mail so that your shares may be voted. A prompt response is helpful and your cooperation is appreciated.</w:t>
      </w:r>
    </w:p>
    <w:p>
      <w:pPr>
        <w:sectPr>
          <w:pgSz w:w="11900" w:h="16838" w:orient="portrait"/>
          <w:cols w:equalWidth="0" w:num="1">
            <w:col w:w="11420"/>
          </w:cols>
          <w:pgMar w:left="240" w:top="1361" w:right="239" w:bottom="1440" w:gutter="0" w:footer="0" w:header="0"/>
        </w:sectPr>
      </w:pPr>
    </w:p>
    <w:bookmarkStart w:id="2" w:name="page3"/>
    <w:bookmarkEnd w:id="2"/>
    <w:p>
      <w:pPr>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105410</wp:posOffset>
            </wp:positionV>
            <wp:extent cx="72504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360"/>
          </w:cols>
          <w:pgMar w:left="280" w:top="29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74"/>
              </w:rPr>
              <w:t>Page</w:t>
            </w:r>
          </w:p>
        </w:tc>
      </w:tr>
      <w:tr>
        <w:trPr>
          <w:trHeight w:val="373"/>
        </w:trPr>
        <w:tc>
          <w:tcPr>
            <w:tcW w:w="10620" w:type="dxa"/>
            <w:vAlign w:val="bottom"/>
            <w:gridSpan w:val="23"/>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FORWARD-LOOKING INFORMATION</w:t>
              </w:r>
            </w:hyperlink>
          </w:p>
        </w:tc>
        <w:tc>
          <w:tcPr>
            <w:tcW w:w="520" w:type="dxa"/>
            <w:vAlign w:val="bottom"/>
            <w:gridSpan w:val="2"/>
          </w:tcPr>
          <w:p>
            <w:pPr>
              <w:jc w:val="center"/>
              <w:ind w:left="361"/>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1</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720" w:type="dxa"/>
            <w:vAlign w:val="bottom"/>
            <w:gridSpan w:val="10"/>
          </w:tcPr>
          <w:p>
            <w:pPr>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PROXY STATEMENT</w:t>
              </w:r>
            </w:hyperlink>
          </w:p>
        </w:tc>
        <w:tc>
          <w:tcPr>
            <w:tcW w:w="7900" w:type="dxa"/>
            <w:vAlign w:val="bottom"/>
            <w:gridSpan w:val="13"/>
          </w:tcPr>
          <w:p>
            <w:pPr>
              <w:spacing w:after="0"/>
              <w:rPr>
                <w:sz w:val="18"/>
                <w:szCs w:val="18"/>
                <w:color w:val="auto"/>
              </w:rPr>
            </w:pPr>
          </w:p>
        </w:tc>
        <w:tc>
          <w:tcPr>
            <w:tcW w:w="520" w:type="dxa"/>
            <w:vAlign w:val="bottom"/>
            <w:gridSpan w:val="2"/>
          </w:tcPr>
          <w:p>
            <w:pPr>
              <w:jc w:val="center"/>
              <w:ind w:left="361"/>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0620" w:type="dxa"/>
            <w:vAlign w:val="bottom"/>
            <w:gridSpan w:val="23"/>
          </w:tcPr>
          <w:p>
            <w:pPr>
              <w:spacing w:after="0"/>
              <w:rPr>
                <w:rFonts w:ascii="Arial" w:cs="Arial" w:eastAsia="Arial" w:hAnsi="Arial"/>
                <w:sz w:val="16"/>
                <w:szCs w:val="16"/>
                <w:b w:val="1"/>
                <w:bCs w:val="1"/>
                <w:color w:val="0000FF"/>
              </w:rPr>
            </w:pPr>
            <w:hyperlink w:anchor="page5">
              <w:r>
                <w:rPr>
                  <w:rFonts w:ascii="Arial" w:cs="Arial" w:eastAsia="Arial" w:hAnsi="Arial"/>
                  <w:sz w:val="16"/>
                  <w:szCs w:val="16"/>
                  <w:b w:val="1"/>
                  <w:bCs w:val="1"/>
                  <w:color w:val="0000FF"/>
                </w:rPr>
                <w:t>VOTING SECURITIES AND PRINCIPAL HOLDERS THEREOF</w:t>
              </w:r>
            </w:hyperlink>
          </w:p>
        </w:tc>
        <w:tc>
          <w:tcPr>
            <w:tcW w:w="520" w:type="dxa"/>
            <w:vAlign w:val="bottom"/>
            <w:gridSpan w:val="2"/>
          </w:tcPr>
          <w:p>
            <w:pPr>
              <w:jc w:val="center"/>
              <w:ind w:left="361"/>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2</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180" w:type="dxa"/>
            <w:vAlign w:val="bottom"/>
            <w:gridSpan w:val="18"/>
          </w:tcPr>
          <w:p>
            <w:pPr>
              <w:spacing w:after="0"/>
              <w:rPr>
                <w:rFonts w:ascii="Arial" w:cs="Arial" w:eastAsia="Arial" w:hAnsi="Arial"/>
                <w:sz w:val="16"/>
                <w:szCs w:val="16"/>
                <w:b w:val="1"/>
                <w:bCs w:val="1"/>
                <w:color w:val="0000FF"/>
                <w:w w:val="97"/>
              </w:rPr>
            </w:pPr>
            <w:hyperlink w:anchor="page6">
              <w:r>
                <w:rPr>
                  <w:rFonts w:ascii="Arial" w:cs="Arial" w:eastAsia="Arial" w:hAnsi="Arial"/>
                  <w:sz w:val="16"/>
                  <w:szCs w:val="16"/>
                  <w:b w:val="1"/>
                  <w:bCs w:val="1"/>
                  <w:color w:val="0000FF"/>
                  <w:w w:val="97"/>
                </w:rPr>
                <w:t>SECTION 16(a) BENEFICIAL OWNERSHIP REPORTING COMPLIANCE</w:t>
              </w:r>
            </w:hyperlink>
          </w:p>
        </w:tc>
        <w:tc>
          <w:tcPr>
            <w:tcW w:w="5440" w:type="dxa"/>
            <w:vAlign w:val="bottom"/>
            <w:gridSpan w:val="5"/>
          </w:tcPr>
          <w:p>
            <w:pPr>
              <w:spacing w:after="0"/>
              <w:rPr>
                <w:sz w:val="18"/>
                <w:szCs w:val="18"/>
                <w:color w:val="auto"/>
              </w:rPr>
            </w:pPr>
          </w:p>
        </w:tc>
        <w:tc>
          <w:tcPr>
            <w:tcW w:w="520" w:type="dxa"/>
            <w:vAlign w:val="bottom"/>
            <w:gridSpan w:val="2"/>
          </w:tcPr>
          <w:p>
            <w:pPr>
              <w:jc w:val="center"/>
              <w:ind w:left="361"/>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3</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6760" w:type="dxa"/>
            <w:vAlign w:val="bottom"/>
            <w:gridSpan w:val="20"/>
          </w:tcPr>
          <w:p>
            <w:pPr>
              <w:spacing w:after="0"/>
              <w:rPr>
                <w:rFonts w:ascii="Arial" w:cs="Arial" w:eastAsia="Arial" w:hAnsi="Arial"/>
                <w:sz w:val="16"/>
                <w:szCs w:val="16"/>
                <w:b w:val="1"/>
                <w:bCs w:val="1"/>
                <w:color w:val="0000FF"/>
                <w:w w:val="97"/>
              </w:rPr>
            </w:pPr>
            <w:hyperlink w:anchor="page6">
              <w:r>
                <w:rPr>
                  <w:rFonts w:ascii="Arial" w:cs="Arial" w:eastAsia="Arial" w:hAnsi="Arial"/>
                  <w:sz w:val="16"/>
                  <w:szCs w:val="16"/>
                  <w:b w:val="1"/>
                  <w:bCs w:val="1"/>
                  <w:color w:val="0000FF"/>
                  <w:w w:val="97"/>
                </w:rPr>
                <w:t>BOARD OF DIRECTORS, COMMITTEES OF THE BOARD AND CORPORATE GOVERNANCE</w:t>
              </w:r>
            </w:hyperlink>
          </w:p>
        </w:tc>
        <w:tc>
          <w:tcPr>
            <w:tcW w:w="3860" w:type="dxa"/>
            <w:vAlign w:val="bottom"/>
            <w:gridSpan w:val="3"/>
          </w:tcPr>
          <w:p>
            <w:pPr>
              <w:spacing w:after="0"/>
              <w:rPr>
                <w:sz w:val="18"/>
                <w:szCs w:val="18"/>
                <w:color w:val="auto"/>
              </w:rPr>
            </w:pPr>
          </w:p>
        </w:tc>
        <w:tc>
          <w:tcPr>
            <w:tcW w:w="520" w:type="dxa"/>
            <w:vAlign w:val="bottom"/>
            <w:gridSpan w:val="2"/>
          </w:tcPr>
          <w:p>
            <w:pPr>
              <w:jc w:val="center"/>
              <w:ind w:left="361"/>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3</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6760" w:type="dxa"/>
            <w:vAlign w:val="bottom"/>
            <w:gridSpan w:val="20"/>
          </w:tcPr>
          <w:p>
            <w:pPr>
              <w:spacing w:after="0"/>
              <w:rPr>
                <w:rFonts w:ascii="Arial" w:cs="Arial" w:eastAsia="Arial" w:hAnsi="Arial"/>
                <w:sz w:val="16"/>
                <w:szCs w:val="16"/>
                <w:b w:val="1"/>
                <w:bCs w:val="1"/>
                <w:color w:val="0000FF"/>
              </w:rPr>
            </w:pPr>
            <w:hyperlink w:anchor="page11">
              <w:r>
                <w:rPr>
                  <w:rFonts w:ascii="Arial" w:cs="Arial" w:eastAsia="Arial" w:hAnsi="Arial"/>
                  <w:sz w:val="16"/>
                  <w:szCs w:val="16"/>
                  <w:b w:val="1"/>
                  <w:bCs w:val="1"/>
                  <w:color w:val="0000FF"/>
                </w:rPr>
                <w:t>DIRECTOR COMPENSATION</w:t>
              </w:r>
            </w:hyperlink>
          </w:p>
        </w:tc>
        <w:tc>
          <w:tcPr>
            <w:tcW w:w="3860" w:type="dxa"/>
            <w:vAlign w:val="bottom"/>
            <w:gridSpan w:val="3"/>
          </w:tcPr>
          <w:p>
            <w:pPr>
              <w:spacing w:after="0"/>
              <w:rPr>
                <w:sz w:val="18"/>
                <w:szCs w:val="18"/>
                <w:color w:val="auto"/>
              </w:rPr>
            </w:pPr>
          </w:p>
        </w:tc>
        <w:tc>
          <w:tcPr>
            <w:tcW w:w="520" w:type="dxa"/>
            <w:vAlign w:val="bottom"/>
            <w:gridSpan w:val="2"/>
          </w:tcPr>
          <w:p>
            <w:pPr>
              <w:jc w:val="center"/>
              <w:ind w:left="361"/>
              <w:spacing w:after="0"/>
              <w:rPr>
                <w:rFonts w:ascii="Arial" w:cs="Arial" w:eastAsia="Arial" w:hAnsi="Arial"/>
                <w:sz w:val="16"/>
                <w:szCs w:val="16"/>
                <w:color w:val="0000FF"/>
                <w:w w:val="89"/>
              </w:rPr>
            </w:pPr>
            <w:hyperlink w:anchor="page11">
              <w:r>
                <w:rPr>
                  <w:rFonts w:ascii="Arial" w:cs="Arial" w:eastAsia="Arial" w:hAnsi="Arial"/>
                  <w:sz w:val="16"/>
                  <w:szCs w:val="16"/>
                  <w:color w:val="0000FF"/>
                  <w:w w:val="89"/>
                </w:rPr>
                <w:t>8</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0620" w:type="dxa"/>
            <w:vAlign w:val="bottom"/>
            <w:gridSpan w:val="23"/>
          </w:tcPr>
          <w:p>
            <w:pPr>
              <w:spacing w:after="0"/>
              <w:rPr>
                <w:rFonts w:ascii="Arial" w:cs="Arial" w:eastAsia="Arial" w:hAnsi="Arial"/>
                <w:sz w:val="16"/>
                <w:szCs w:val="16"/>
                <w:b w:val="1"/>
                <w:bCs w:val="1"/>
                <w:color w:val="0000FF"/>
              </w:rPr>
            </w:pPr>
            <w:hyperlink w:anchor="page13">
              <w:r>
                <w:rPr>
                  <w:rFonts w:ascii="Arial" w:cs="Arial" w:eastAsia="Arial" w:hAnsi="Arial"/>
                  <w:sz w:val="16"/>
                  <w:szCs w:val="16"/>
                  <w:b w:val="1"/>
                  <w:bCs w:val="1"/>
                  <w:color w:val="0000FF"/>
                </w:rPr>
                <w:t>ITEM 1 ELECTION OF DIRECTORS</w:t>
              </w:r>
            </w:hyperlink>
          </w:p>
        </w:tc>
        <w:tc>
          <w:tcPr>
            <w:tcW w:w="520" w:type="dxa"/>
            <w:vAlign w:val="bottom"/>
            <w:gridSpan w:val="2"/>
          </w:tcPr>
          <w:p>
            <w:pPr>
              <w:jc w:val="center"/>
              <w:ind w:left="281"/>
              <w:spacing w:after="0"/>
              <w:rPr>
                <w:rFonts w:ascii="Arial" w:cs="Arial" w:eastAsia="Arial" w:hAnsi="Arial"/>
                <w:sz w:val="16"/>
                <w:szCs w:val="16"/>
                <w:color w:val="0000FF"/>
                <w:w w:val="89"/>
              </w:rPr>
            </w:pPr>
            <w:hyperlink w:anchor="page13">
              <w:r>
                <w:rPr>
                  <w:rFonts w:ascii="Arial" w:cs="Arial" w:eastAsia="Arial" w:hAnsi="Arial"/>
                  <w:sz w:val="16"/>
                  <w:szCs w:val="16"/>
                  <w:color w:val="0000FF"/>
                  <w:w w:val="89"/>
                </w:rPr>
                <w:t>10</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200" w:type="dxa"/>
            <w:vAlign w:val="bottom"/>
            <w:gridSpan w:val="8"/>
          </w:tcPr>
          <w:p>
            <w:pPr>
              <w:spacing w:after="0"/>
              <w:rPr>
                <w:rFonts w:ascii="Arial" w:cs="Arial" w:eastAsia="Arial" w:hAnsi="Arial"/>
                <w:sz w:val="16"/>
                <w:szCs w:val="16"/>
                <w:b w:val="1"/>
                <w:bCs w:val="1"/>
                <w:color w:val="0000FF"/>
                <w:w w:val="96"/>
              </w:rPr>
            </w:pPr>
            <w:hyperlink w:anchor="page16">
              <w:r>
                <w:rPr>
                  <w:rFonts w:ascii="Arial" w:cs="Arial" w:eastAsia="Arial" w:hAnsi="Arial"/>
                  <w:sz w:val="16"/>
                  <w:szCs w:val="16"/>
                  <w:b w:val="1"/>
                  <w:bCs w:val="1"/>
                  <w:color w:val="0000FF"/>
                  <w:w w:val="96"/>
                </w:rPr>
                <w:t>EXECUTIVE COMPENSATION</w:t>
              </w:r>
            </w:hyperlink>
          </w:p>
        </w:tc>
        <w:tc>
          <w:tcPr>
            <w:tcW w:w="360" w:type="dxa"/>
            <w:vAlign w:val="bottom"/>
          </w:tcPr>
          <w:p>
            <w:pPr>
              <w:spacing w:after="0"/>
              <w:rPr>
                <w:sz w:val="18"/>
                <w:szCs w:val="18"/>
                <w:color w:val="auto"/>
              </w:rPr>
            </w:pPr>
          </w:p>
        </w:tc>
        <w:tc>
          <w:tcPr>
            <w:tcW w:w="8060" w:type="dxa"/>
            <w:vAlign w:val="bottom"/>
            <w:gridSpan w:val="14"/>
          </w:tcPr>
          <w:p>
            <w:pPr>
              <w:spacing w:after="0"/>
              <w:rPr>
                <w:sz w:val="18"/>
                <w:szCs w:val="18"/>
                <w:color w:val="auto"/>
              </w:rPr>
            </w:pPr>
          </w:p>
        </w:tc>
        <w:tc>
          <w:tcPr>
            <w:tcW w:w="520" w:type="dxa"/>
            <w:vAlign w:val="bottom"/>
            <w:gridSpan w:val="2"/>
          </w:tcPr>
          <w:p>
            <w:pPr>
              <w:jc w:val="center"/>
              <w:ind w:left="281"/>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13</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700" w:type="dxa"/>
            <w:vAlign w:val="bottom"/>
            <w:gridSpan w:val="2"/>
          </w:tcPr>
          <w:p>
            <w:pPr>
              <w:spacing w:after="0"/>
              <w:rPr>
                <w:rFonts w:ascii="Arial" w:cs="Arial" w:eastAsia="Arial" w:hAnsi="Arial"/>
                <w:sz w:val="16"/>
                <w:szCs w:val="16"/>
                <w:b w:val="1"/>
                <w:bCs w:val="1"/>
                <w:color w:val="0000FF"/>
                <w:w w:val="95"/>
              </w:rPr>
            </w:pPr>
            <w:hyperlink w:anchor="page16">
              <w:r>
                <w:rPr>
                  <w:rFonts w:ascii="Arial" w:cs="Arial" w:eastAsia="Arial" w:hAnsi="Arial"/>
                  <w:sz w:val="16"/>
                  <w:szCs w:val="16"/>
                  <w:b w:val="1"/>
                  <w:bCs w:val="1"/>
                  <w:color w:val="0000FF"/>
                  <w:w w:val="95"/>
                </w:rPr>
                <w:t>Overview</w:t>
              </w:r>
            </w:hyperlink>
          </w:p>
        </w:tc>
        <w:tc>
          <w:tcPr>
            <w:tcW w:w="1320" w:type="dxa"/>
            <w:vAlign w:val="bottom"/>
            <w:gridSpan w:val="5"/>
          </w:tcPr>
          <w:p>
            <w:pPr>
              <w:spacing w:after="0"/>
              <w:rPr>
                <w:sz w:val="18"/>
                <w:szCs w:val="18"/>
                <w:color w:val="auto"/>
              </w:rPr>
            </w:pPr>
          </w:p>
        </w:tc>
        <w:tc>
          <w:tcPr>
            <w:tcW w:w="8420" w:type="dxa"/>
            <w:vAlign w:val="bottom"/>
            <w:gridSpan w:val="15"/>
          </w:tcPr>
          <w:p>
            <w:pPr>
              <w:spacing w:after="0"/>
              <w:rPr>
                <w:sz w:val="18"/>
                <w:szCs w:val="18"/>
                <w:color w:val="auto"/>
              </w:rPr>
            </w:pPr>
          </w:p>
        </w:tc>
        <w:tc>
          <w:tcPr>
            <w:tcW w:w="520" w:type="dxa"/>
            <w:vAlign w:val="bottom"/>
            <w:gridSpan w:val="2"/>
          </w:tcPr>
          <w:p>
            <w:pPr>
              <w:jc w:val="center"/>
              <w:ind w:left="281"/>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13</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22"/>
          </w:tcPr>
          <w:p>
            <w:pPr>
              <w:spacing w:after="0"/>
              <w:rPr>
                <w:rFonts w:ascii="Arial" w:cs="Arial" w:eastAsia="Arial" w:hAnsi="Arial"/>
                <w:sz w:val="16"/>
                <w:szCs w:val="16"/>
                <w:b w:val="1"/>
                <w:bCs w:val="1"/>
                <w:color w:val="0000FF"/>
              </w:rPr>
            </w:pPr>
            <w:hyperlink w:anchor="page16">
              <w:r>
                <w:rPr>
                  <w:rFonts w:ascii="Arial" w:cs="Arial" w:eastAsia="Arial" w:hAnsi="Arial"/>
                  <w:sz w:val="16"/>
                  <w:szCs w:val="16"/>
                  <w:b w:val="1"/>
                  <w:bCs w:val="1"/>
                  <w:color w:val="0000FF"/>
                </w:rPr>
                <w:t>Compensation Discussion and Analysis</w:t>
              </w:r>
            </w:hyperlink>
          </w:p>
        </w:tc>
        <w:tc>
          <w:tcPr>
            <w:tcW w:w="520" w:type="dxa"/>
            <w:vAlign w:val="bottom"/>
            <w:gridSpan w:val="2"/>
          </w:tcPr>
          <w:p>
            <w:pPr>
              <w:jc w:val="center"/>
              <w:ind w:left="281"/>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13</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2780" w:type="dxa"/>
            <w:vAlign w:val="bottom"/>
            <w:gridSpan w:val="11"/>
          </w:tcPr>
          <w:p>
            <w:pPr>
              <w:spacing w:after="0"/>
              <w:rPr>
                <w:rFonts w:ascii="Arial" w:cs="Arial" w:eastAsia="Arial" w:hAnsi="Arial"/>
                <w:sz w:val="16"/>
                <w:szCs w:val="16"/>
                <w:b w:val="1"/>
                <w:bCs w:val="1"/>
                <w:color w:val="0000FF"/>
                <w:w w:val="97"/>
              </w:rPr>
            </w:pPr>
            <w:hyperlink w:anchor="page27">
              <w:r>
                <w:rPr>
                  <w:rFonts w:ascii="Arial" w:cs="Arial" w:eastAsia="Arial" w:hAnsi="Arial"/>
                  <w:sz w:val="16"/>
                  <w:szCs w:val="16"/>
                  <w:b w:val="1"/>
                  <w:bCs w:val="1"/>
                  <w:color w:val="0000FF"/>
                  <w:w w:val="97"/>
                </w:rPr>
                <w:t>Human Resources Committee Report</w:t>
              </w:r>
            </w:hyperlink>
          </w:p>
        </w:tc>
        <w:tc>
          <w:tcPr>
            <w:tcW w:w="200" w:type="dxa"/>
            <w:vAlign w:val="bottom"/>
          </w:tcPr>
          <w:p>
            <w:pPr>
              <w:spacing w:after="0"/>
              <w:rPr>
                <w:sz w:val="18"/>
                <w:szCs w:val="18"/>
                <w:color w:val="auto"/>
              </w:rPr>
            </w:pPr>
          </w:p>
        </w:tc>
        <w:tc>
          <w:tcPr>
            <w:tcW w:w="7460" w:type="dxa"/>
            <w:vAlign w:val="bottom"/>
            <w:gridSpan w:val="10"/>
          </w:tcPr>
          <w:p>
            <w:pPr>
              <w:spacing w:after="0"/>
              <w:rPr>
                <w:sz w:val="18"/>
                <w:szCs w:val="18"/>
                <w:color w:val="auto"/>
              </w:rPr>
            </w:pPr>
          </w:p>
        </w:tc>
        <w:tc>
          <w:tcPr>
            <w:tcW w:w="520" w:type="dxa"/>
            <w:vAlign w:val="bottom"/>
            <w:gridSpan w:val="2"/>
          </w:tcPr>
          <w:p>
            <w:pPr>
              <w:jc w:val="center"/>
              <w:ind w:left="281"/>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24</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3520" w:type="dxa"/>
            <w:vAlign w:val="bottom"/>
            <w:gridSpan w:val="14"/>
          </w:tcPr>
          <w:p>
            <w:pPr>
              <w:spacing w:after="0"/>
              <w:rPr>
                <w:rFonts w:ascii="Arial" w:cs="Arial" w:eastAsia="Arial" w:hAnsi="Arial"/>
                <w:sz w:val="16"/>
                <w:szCs w:val="16"/>
                <w:b w:val="1"/>
                <w:bCs w:val="1"/>
                <w:color w:val="0000FF"/>
                <w:w w:val="97"/>
              </w:rPr>
            </w:pPr>
            <w:hyperlink w:anchor="page28">
              <w:r>
                <w:rPr>
                  <w:rFonts w:ascii="Arial" w:cs="Arial" w:eastAsia="Arial" w:hAnsi="Arial"/>
                  <w:sz w:val="16"/>
                  <w:szCs w:val="16"/>
                  <w:b w:val="1"/>
                  <w:bCs w:val="1"/>
                  <w:color w:val="0000FF"/>
                  <w:w w:val="97"/>
                </w:rPr>
                <w:t>Compensation Tables and Narrative Disclosure</w:t>
              </w:r>
            </w:hyperlink>
          </w:p>
        </w:tc>
        <w:tc>
          <w:tcPr>
            <w:tcW w:w="6920" w:type="dxa"/>
            <w:vAlign w:val="bottom"/>
            <w:gridSpan w:val="8"/>
          </w:tcPr>
          <w:p>
            <w:pPr>
              <w:spacing w:after="0"/>
              <w:rPr>
                <w:sz w:val="18"/>
                <w:szCs w:val="18"/>
                <w:color w:val="auto"/>
              </w:rPr>
            </w:pPr>
          </w:p>
        </w:tc>
        <w:tc>
          <w:tcPr>
            <w:tcW w:w="520" w:type="dxa"/>
            <w:vAlign w:val="bottom"/>
            <w:gridSpan w:val="2"/>
          </w:tcPr>
          <w:p>
            <w:pPr>
              <w:jc w:val="center"/>
              <w:ind w:left="281"/>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25</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0620" w:type="dxa"/>
            <w:vAlign w:val="bottom"/>
            <w:gridSpan w:val="23"/>
          </w:tcPr>
          <w:p>
            <w:pPr>
              <w:spacing w:after="0"/>
              <w:rPr>
                <w:rFonts w:ascii="Arial" w:cs="Arial" w:eastAsia="Arial" w:hAnsi="Arial"/>
                <w:sz w:val="16"/>
                <w:szCs w:val="16"/>
                <w:b w:val="1"/>
                <w:bCs w:val="1"/>
                <w:color w:val="0000FF"/>
              </w:rPr>
            </w:pPr>
            <w:hyperlink w:anchor="page36">
              <w:r>
                <w:rPr>
                  <w:rFonts w:ascii="Arial" w:cs="Arial" w:eastAsia="Arial" w:hAnsi="Arial"/>
                  <w:sz w:val="16"/>
                  <w:szCs w:val="16"/>
                  <w:b w:val="1"/>
                  <w:bCs w:val="1"/>
                  <w:color w:val="0000FF"/>
                </w:rPr>
                <w:t>ITEM 2 PROPOSAL FOR AN ADVISORY VOTE ON EXECUTIVE COMPENSATION (THE "SAY ON PAY" VOTE)</w:t>
              </w:r>
            </w:hyperlink>
          </w:p>
        </w:tc>
        <w:tc>
          <w:tcPr>
            <w:tcW w:w="520" w:type="dxa"/>
            <w:vAlign w:val="bottom"/>
            <w:gridSpan w:val="2"/>
          </w:tcPr>
          <w:p>
            <w:pPr>
              <w:jc w:val="center"/>
              <w:ind w:left="281"/>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33</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780" w:type="dxa"/>
            <w:vAlign w:val="bottom"/>
            <w:gridSpan w:val="11"/>
          </w:tcPr>
          <w:p>
            <w:pPr>
              <w:spacing w:after="0"/>
              <w:rPr>
                <w:rFonts w:ascii="Arial" w:cs="Arial" w:eastAsia="Arial" w:hAnsi="Arial"/>
                <w:sz w:val="16"/>
                <w:szCs w:val="16"/>
                <w:b w:val="1"/>
                <w:bCs w:val="1"/>
                <w:color w:val="0000FF"/>
                <w:w w:val="97"/>
              </w:rPr>
            </w:pPr>
            <w:hyperlink w:anchor="page36">
              <w:r>
                <w:rPr>
                  <w:rFonts w:ascii="Arial" w:cs="Arial" w:eastAsia="Arial" w:hAnsi="Arial"/>
                  <w:sz w:val="16"/>
                  <w:szCs w:val="16"/>
                  <w:b w:val="1"/>
                  <w:bCs w:val="1"/>
                  <w:color w:val="0000FF"/>
                  <w:w w:val="97"/>
                </w:rPr>
                <w:t>REPORT OF THE AUDIT COMMITTEE</w:t>
              </w:r>
            </w:hyperlink>
          </w:p>
        </w:tc>
        <w:tc>
          <w:tcPr>
            <w:tcW w:w="5200" w:type="dxa"/>
            <w:vAlign w:val="bottom"/>
            <w:gridSpan w:val="10"/>
          </w:tcPr>
          <w:p>
            <w:pPr>
              <w:spacing w:after="0"/>
              <w:rPr>
                <w:sz w:val="18"/>
                <w:szCs w:val="18"/>
                <w:color w:val="auto"/>
              </w:rPr>
            </w:pPr>
          </w:p>
        </w:tc>
        <w:tc>
          <w:tcPr>
            <w:tcW w:w="2640" w:type="dxa"/>
            <w:vAlign w:val="bottom"/>
            <w:gridSpan w:val="2"/>
          </w:tcPr>
          <w:p>
            <w:pPr>
              <w:spacing w:after="0"/>
              <w:rPr>
                <w:sz w:val="18"/>
                <w:szCs w:val="18"/>
                <w:color w:val="auto"/>
              </w:rPr>
            </w:pPr>
          </w:p>
        </w:tc>
        <w:tc>
          <w:tcPr>
            <w:tcW w:w="520" w:type="dxa"/>
            <w:vAlign w:val="bottom"/>
            <w:gridSpan w:val="2"/>
          </w:tcPr>
          <w:p>
            <w:pPr>
              <w:jc w:val="center"/>
              <w:ind w:left="281"/>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33</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740" w:type="dxa"/>
            <w:vAlign w:val="bottom"/>
            <w:gridSpan w:val="19"/>
          </w:tcPr>
          <w:p>
            <w:pPr>
              <w:spacing w:after="0"/>
              <w:rPr>
                <w:rFonts w:ascii="Arial" w:cs="Arial" w:eastAsia="Arial" w:hAnsi="Arial"/>
                <w:sz w:val="16"/>
                <w:szCs w:val="16"/>
                <w:b w:val="1"/>
                <w:bCs w:val="1"/>
                <w:color w:val="0000FF"/>
                <w:w w:val="97"/>
              </w:rPr>
            </w:pPr>
            <w:hyperlink w:anchor="page37">
              <w:r>
                <w:rPr>
                  <w:rFonts w:ascii="Arial" w:cs="Arial" w:eastAsia="Arial" w:hAnsi="Arial"/>
                  <w:sz w:val="16"/>
                  <w:szCs w:val="16"/>
                  <w:b w:val="1"/>
                  <w:bCs w:val="1"/>
                  <w:color w:val="0000FF"/>
                  <w:w w:val="97"/>
                </w:rPr>
                <w:t>INDEPENDENT REGISTERED PUBLIC ACCOUNTANTS FEES AND SERVICES</w:t>
              </w:r>
            </w:hyperlink>
          </w:p>
        </w:tc>
        <w:tc>
          <w:tcPr>
            <w:tcW w:w="4880" w:type="dxa"/>
            <w:vAlign w:val="bottom"/>
            <w:gridSpan w:val="4"/>
          </w:tcPr>
          <w:p>
            <w:pPr>
              <w:spacing w:after="0"/>
              <w:rPr>
                <w:sz w:val="18"/>
                <w:szCs w:val="18"/>
                <w:color w:val="auto"/>
              </w:rPr>
            </w:pPr>
          </w:p>
        </w:tc>
        <w:tc>
          <w:tcPr>
            <w:tcW w:w="520" w:type="dxa"/>
            <w:vAlign w:val="bottom"/>
            <w:gridSpan w:val="2"/>
          </w:tcPr>
          <w:p>
            <w:pPr>
              <w:jc w:val="center"/>
              <w:ind w:left="281"/>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34</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9"/>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3"/>
        </w:trPr>
        <w:tc>
          <w:tcPr>
            <w:tcW w:w="10620" w:type="dxa"/>
            <w:vAlign w:val="bottom"/>
            <w:gridSpan w:val="23"/>
          </w:tcPr>
          <w:p>
            <w:pPr>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ITEM 3 RATIFICATION OF THE APPOINTMENT OF INDEPENDENT REGISTERED PUBLIC ACCOUNTANTS FOR THE FISCAL YEAR ENDING</w:t>
              </w:r>
            </w:hyperlink>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280" w:type="dxa"/>
            <w:vAlign w:val="bottom"/>
            <w:tcBorders>
              <w:top w:val="single" w:sz="8" w:color="0000EE"/>
            </w:tcBorders>
            <w:gridSpan w:val="22"/>
          </w:tcPr>
          <w:p>
            <w:pPr>
              <w:spacing w:after="0" w:line="164" w:lineRule="exact"/>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AUGUST 27, 2016</w:t>
              </w:r>
            </w:hyperlink>
          </w:p>
        </w:tc>
        <w:tc>
          <w:tcPr>
            <w:tcW w:w="340" w:type="dxa"/>
            <w:vAlign w:val="bottom"/>
          </w:tcPr>
          <w:p>
            <w:pPr>
              <w:spacing w:after="0"/>
              <w:rPr>
                <w:sz w:val="14"/>
                <w:szCs w:val="14"/>
                <w:color w:val="auto"/>
              </w:rPr>
            </w:pPr>
          </w:p>
        </w:tc>
        <w:tc>
          <w:tcPr>
            <w:tcW w:w="520" w:type="dxa"/>
            <w:vAlign w:val="bottom"/>
            <w:gridSpan w:val="2"/>
          </w:tcPr>
          <w:p>
            <w:pPr>
              <w:jc w:val="center"/>
              <w:ind w:left="281"/>
              <w:spacing w:after="0" w:line="164" w:lineRule="exact"/>
              <w:rPr>
                <w:rFonts w:ascii="Arial" w:cs="Arial" w:eastAsia="Arial" w:hAnsi="Arial"/>
                <w:sz w:val="16"/>
                <w:szCs w:val="16"/>
                <w:color w:val="0000EE"/>
                <w:w w:val="89"/>
              </w:rPr>
            </w:pPr>
            <w:hyperlink w:anchor="page37">
              <w:r>
                <w:rPr>
                  <w:rFonts w:ascii="Arial" w:cs="Arial" w:eastAsia="Arial" w:hAnsi="Arial"/>
                  <w:sz w:val="16"/>
                  <w:szCs w:val="16"/>
                  <w:color w:val="0000EE"/>
                  <w:w w:val="89"/>
                </w:rPr>
                <w:t>35</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340" w:type="dxa"/>
            <w:vAlign w:val="bottom"/>
            <w:gridSpan w:val="5"/>
          </w:tcPr>
          <w:p>
            <w:pPr>
              <w:spacing w:after="0"/>
              <w:rPr>
                <w:rFonts w:ascii="Arial" w:cs="Arial" w:eastAsia="Arial" w:hAnsi="Arial"/>
                <w:sz w:val="16"/>
                <w:szCs w:val="16"/>
                <w:b w:val="1"/>
                <w:bCs w:val="1"/>
                <w:color w:val="0000FF"/>
                <w:w w:val="95"/>
              </w:rPr>
            </w:pPr>
            <w:hyperlink w:anchor="page38">
              <w:r>
                <w:rPr>
                  <w:rFonts w:ascii="Arial" w:cs="Arial" w:eastAsia="Arial" w:hAnsi="Arial"/>
                  <w:sz w:val="16"/>
                  <w:szCs w:val="16"/>
                  <w:b w:val="1"/>
                  <w:bCs w:val="1"/>
                  <w:color w:val="0000FF"/>
                  <w:w w:val="95"/>
                </w:rPr>
                <w:t>OTHER MATTERS</w:t>
              </w:r>
            </w:hyperlink>
          </w:p>
        </w:tc>
        <w:tc>
          <w:tcPr>
            <w:tcW w:w="9280" w:type="dxa"/>
            <w:vAlign w:val="bottom"/>
            <w:gridSpan w:val="18"/>
          </w:tcPr>
          <w:p>
            <w:pPr>
              <w:spacing w:after="0"/>
              <w:rPr>
                <w:sz w:val="18"/>
                <w:szCs w:val="18"/>
                <w:color w:val="auto"/>
              </w:rPr>
            </w:pPr>
          </w:p>
        </w:tc>
        <w:tc>
          <w:tcPr>
            <w:tcW w:w="520" w:type="dxa"/>
            <w:vAlign w:val="bottom"/>
            <w:gridSpan w:val="2"/>
          </w:tcPr>
          <w:p>
            <w:pPr>
              <w:jc w:val="center"/>
              <w:ind w:left="281"/>
              <w:spacing w:after="0"/>
              <w:rPr>
                <w:rFonts w:ascii="Arial" w:cs="Arial" w:eastAsia="Arial" w:hAnsi="Arial"/>
                <w:sz w:val="16"/>
                <w:szCs w:val="16"/>
                <w:color w:val="0000FF"/>
                <w:w w:val="89"/>
              </w:rPr>
            </w:pPr>
            <w:hyperlink w:anchor="page38">
              <w:r>
                <w:rPr>
                  <w:rFonts w:ascii="Arial" w:cs="Arial" w:eastAsia="Arial" w:hAnsi="Arial"/>
                  <w:sz w:val="16"/>
                  <w:szCs w:val="16"/>
                  <w:color w:val="0000FF"/>
                  <w:w w:val="89"/>
                </w:rPr>
                <w:t>35</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3720" w:type="dxa"/>
            <w:vAlign w:val="bottom"/>
            <w:gridSpan w:val="16"/>
          </w:tcPr>
          <w:p>
            <w:pPr>
              <w:spacing w:after="0"/>
              <w:rPr>
                <w:rFonts w:ascii="Arial" w:cs="Arial" w:eastAsia="Arial" w:hAnsi="Arial"/>
                <w:sz w:val="16"/>
                <w:szCs w:val="16"/>
                <w:b w:val="1"/>
                <w:bCs w:val="1"/>
                <w:color w:val="0000FF"/>
                <w:w w:val="97"/>
              </w:rPr>
            </w:pPr>
            <w:hyperlink w:anchor="page38">
              <w:r>
                <w:rPr>
                  <w:rFonts w:ascii="Arial" w:cs="Arial" w:eastAsia="Arial" w:hAnsi="Arial"/>
                  <w:sz w:val="16"/>
                  <w:szCs w:val="16"/>
                  <w:b w:val="1"/>
                  <w:bCs w:val="1"/>
                  <w:color w:val="0000FF"/>
                  <w:w w:val="97"/>
                </w:rPr>
                <w:t>FISCAL YEAR 2016 SHAREHOLDER PROPOSALS</w:t>
              </w:r>
            </w:hyperlink>
          </w:p>
        </w:tc>
        <w:tc>
          <w:tcPr>
            <w:tcW w:w="6900" w:type="dxa"/>
            <w:vAlign w:val="bottom"/>
            <w:gridSpan w:val="7"/>
          </w:tcPr>
          <w:p>
            <w:pPr>
              <w:spacing w:after="0"/>
              <w:rPr>
                <w:sz w:val="18"/>
                <w:szCs w:val="18"/>
                <w:color w:val="auto"/>
              </w:rPr>
            </w:pPr>
          </w:p>
        </w:tc>
        <w:tc>
          <w:tcPr>
            <w:tcW w:w="520" w:type="dxa"/>
            <w:vAlign w:val="bottom"/>
            <w:gridSpan w:val="2"/>
          </w:tcPr>
          <w:p>
            <w:pPr>
              <w:jc w:val="center"/>
              <w:ind w:left="281"/>
              <w:spacing w:after="0"/>
              <w:rPr>
                <w:rFonts w:ascii="Arial" w:cs="Arial" w:eastAsia="Arial" w:hAnsi="Arial"/>
                <w:sz w:val="16"/>
                <w:szCs w:val="16"/>
                <w:color w:val="0000FF"/>
                <w:w w:val="89"/>
              </w:rPr>
            </w:pPr>
            <w:hyperlink w:anchor="page38">
              <w:r>
                <w:rPr>
                  <w:rFonts w:ascii="Arial" w:cs="Arial" w:eastAsia="Arial" w:hAnsi="Arial"/>
                  <w:sz w:val="16"/>
                  <w:szCs w:val="16"/>
                  <w:color w:val="0000FF"/>
                  <w:w w:val="89"/>
                </w:rPr>
                <w:t>35</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2660" w:type="dxa"/>
            <w:vAlign w:val="bottom"/>
            <w:gridSpan w:val="1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60" w:type="dxa"/>
            <w:vAlign w:val="bottom"/>
            <w:gridSpan w:val="2"/>
          </w:tcPr>
          <w:p>
            <w:pPr>
              <w:spacing w:after="0"/>
              <w:rPr>
                <w:rFonts w:ascii="Arial" w:cs="Arial" w:eastAsia="Arial" w:hAnsi="Arial"/>
                <w:sz w:val="16"/>
                <w:szCs w:val="16"/>
                <w:b w:val="1"/>
                <w:bCs w:val="1"/>
                <w:color w:val="0000FF"/>
                <w:w w:val="94"/>
              </w:rPr>
            </w:pPr>
            <w:hyperlink w:anchor="page38">
              <w:r>
                <w:rPr>
                  <w:rFonts w:ascii="Arial" w:cs="Arial" w:eastAsia="Arial" w:hAnsi="Arial"/>
                  <w:sz w:val="16"/>
                  <w:szCs w:val="16"/>
                  <w:b w:val="1"/>
                  <w:bCs w:val="1"/>
                  <w:color w:val="0000FF"/>
                  <w:w w:val="94"/>
                </w:rPr>
                <w:t>GENERAL</w:t>
              </w:r>
            </w:hyperlink>
          </w:p>
        </w:tc>
        <w:tc>
          <w:tcPr>
            <w:tcW w:w="2960" w:type="dxa"/>
            <w:vAlign w:val="bottom"/>
            <w:gridSpan w:val="14"/>
          </w:tcPr>
          <w:p>
            <w:pPr>
              <w:spacing w:after="0"/>
              <w:rPr>
                <w:sz w:val="18"/>
                <w:szCs w:val="18"/>
                <w:color w:val="auto"/>
              </w:rPr>
            </w:pPr>
          </w:p>
        </w:tc>
        <w:tc>
          <w:tcPr>
            <w:tcW w:w="6900" w:type="dxa"/>
            <w:vAlign w:val="bottom"/>
            <w:gridSpan w:val="7"/>
          </w:tcPr>
          <w:p>
            <w:pPr>
              <w:spacing w:after="0"/>
              <w:rPr>
                <w:sz w:val="18"/>
                <w:szCs w:val="18"/>
                <w:color w:val="auto"/>
              </w:rPr>
            </w:pPr>
          </w:p>
        </w:tc>
        <w:tc>
          <w:tcPr>
            <w:tcW w:w="520" w:type="dxa"/>
            <w:vAlign w:val="bottom"/>
            <w:gridSpan w:val="2"/>
          </w:tcPr>
          <w:p>
            <w:pPr>
              <w:jc w:val="center"/>
              <w:ind w:left="281"/>
              <w:spacing w:after="0"/>
              <w:rPr>
                <w:rFonts w:ascii="Arial" w:cs="Arial" w:eastAsia="Arial" w:hAnsi="Arial"/>
                <w:sz w:val="16"/>
                <w:szCs w:val="16"/>
                <w:color w:val="0000FF"/>
                <w:w w:val="89"/>
              </w:rPr>
            </w:pPr>
            <w:hyperlink w:anchor="page38">
              <w:r>
                <w:rPr>
                  <w:rFonts w:ascii="Arial" w:cs="Arial" w:eastAsia="Arial" w:hAnsi="Arial"/>
                  <w:sz w:val="16"/>
                  <w:szCs w:val="16"/>
                  <w:color w:val="0000FF"/>
                  <w:w w:val="89"/>
                </w:rPr>
                <w:t>35</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2660" w:type="dxa"/>
            <w:vAlign w:val="bottom"/>
            <w:gridSpan w:val="12"/>
          </w:tcPr>
          <w:p>
            <w:pPr>
              <w:spacing w:after="0" w:line="20" w:lineRule="exact"/>
              <w:rPr>
                <w:sz w:val="1"/>
                <w:szCs w:val="1"/>
                <w:color w:val="auto"/>
              </w:rPr>
            </w:pPr>
          </w:p>
        </w:tc>
        <w:tc>
          <w:tcPr>
            <w:tcW w:w="7200" w:type="dxa"/>
            <w:vAlign w:val="bottom"/>
            <w:gridSpan w:val="9"/>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0620" w:type="dxa"/>
            <w:vAlign w:val="bottom"/>
            <w:gridSpan w:val="23"/>
          </w:tcPr>
          <w:p>
            <w:pPr>
              <w:spacing w:after="0"/>
              <w:rPr>
                <w:rFonts w:ascii="Arial" w:cs="Arial" w:eastAsia="Arial" w:hAnsi="Arial"/>
                <w:sz w:val="16"/>
                <w:szCs w:val="16"/>
                <w:b w:val="1"/>
                <w:bCs w:val="1"/>
                <w:color w:val="0000FF"/>
              </w:rPr>
            </w:pPr>
            <w:hyperlink w:anchor="page39">
              <w:r>
                <w:rPr>
                  <w:rFonts w:ascii="Arial" w:cs="Arial" w:eastAsia="Arial" w:hAnsi="Arial"/>
                  <w:sz w:val="16"/>
                  <w:szCs w:val="16"/>
                  <w:b w:val="1"/>
                  <w:bCs w:val="1"/>
                  <w:color w:val="0000FF"/>
                </w:rPr>
                <w:t>APPENDIX A — NOMINATION OF DIRECTORS</w:t>
              </w:r>
            </w:hyperlink>
          </w:p>
        </w:tc>
        <w:tc>
          <w:tcPr>
            <w:tcW w:w="740" w:type="dxa"/>
            <w:vAlign w:val="bottom"/>
            <w:gridSpan w:val="4"/>
          </w:tcPr>
          <w:p>
            <w:pPr>
              <w:ind w:left="340"/>
              <w:spacing w:after="0"/>
              <w:rPr>
                <w:rFonts w:ascii="Arial" w:cs="Arial" w:eastAsia="Arial" w:hAnsi="Arial"/>
                <w:sz w:val="16"/>
                <w:szCs w:val="16"/>
                <w:color w:val="0000FF"/>
              </w:rPr>
            </w:pPr>
            <w:r>
              <w:rPr>
                <w:rFonts w:ascii="Arial" w:cs="Arial" w:eastAsia="Arial" w:hAnsi="Arial"/>
                <w:sz w:val="16"/>
                <w:szCs w:val="16"/>
                <w:color w:val="0000FF"/>
              </w:rPr>
              <w:t xml:space="preserve">A- </w:t>
            </w:r>
            <w:hyperlink w:anchor="page39">
              <w:r>
                <w:rPr>
                  <w:rFonts w:ascii="Arial" w:cs="Arial" w:eastAsia="Arial" w:hAnsi="Arial"/>
                  <w:sz w:val="16"/>
                  <w:szCs w:val="16"/>
                  <w:color w:val="0000FF"/>
                </w:rPr>
                <w:t>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360"/>
          </w:cols>
          <w:pgMar w:left="280" w:top="298" w:right="259" w:bottom="1440" w:gutter="0" w:footer="0" w:header="0"/>
          <w:type w:val="continuous"/>
        </w:sectPr>
      </w:pPr>
    </w:p>
    <w:bookmarkStart w:id="3" w:name="page4"/>
    <w:bookmarkEnd w:id="3"/>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00"/>
          </w:cols>
          <w:pgMar w:left="240" w:top="298" w:right="259" w:bottom="1440" w:gutter="0" w:footer="0" w:header="0"/>
        </w:sectPr>
      </w:pPr>
    </w:p>
    <w:p>
      <w:pPr>
        <w:spacing w:after="0" w:line="396"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WINNEBAGO INDUSTRIES,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605 West Crystal Lake Road - Forest City, Iowa 50436</w:t>
      </w:r>
    </w:p>
    <w:p>
      <w:pPr>
        <w:sectPr>
          <w:pgSz w:w="11900" w:h="16838" w:orient="portrait"/>
          <w:cols w:equalWidth="0" w:num="1">
            <w:col w:w="11400"/>
          </w:cols>
          <w:pgMar w:left="240" w:top="298" w:right="259" w:bottom="1440" w:gutter="0" w:footer="0" w:header="0"/>
          <w:type w:val="continuous"/>
        </w:sect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76"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 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29, 2015 (the “2015 Form 10-K”) filed with the Securities and Exchange Commission (the “SEC”) for a list of such factors.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STATEMENT</w:t>
      </w:r>
    </w:p>
    <w:p>
      <w:pPr>
        <w:spacing w:after="0" w:line="124"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This Proxy Statement is furnished in connection with the solicitation by our Board of Directors of proxies to be used at the Annual Meeting of Shareholders to be held in our South Office Complex Theater, 605 West Crystal Lake Road, Forest City, Iowa on December 15, 2015, at 4:00 p.m., Central Standard Time, and at any and all adjournments thereof (the “Annual Meeting” or the “Meeting”).</w:t>
      </w:r>
    </w:p>
    <w:p>
      <w:pPr>
        <w:spacing w:after="0" w:line="87"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you specifically request a printed copy.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06"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It is anticipated that the Notice of Internet Availability of Proxy Materials will be mailed to shareholders on or about October 27, 2015.</w:t>
      </w:r>
    </w:p>
    <w:p>
      <w:pPr>
        <w:spacing w:after="0" w:line="97"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Only holders of Common Stock of record at the close of business on October 13, 2015 will be entitled to Notice of Internet Availability of Proxy Materials and to vote at the Annual Meeting. At such date, we had outstanding 27,312,576 shares of Common Stock, par value $.50 per share (“Common Stock”)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both"/>
        <w:ind w:right="220"/>
        <w:spacing w:after="0"/>
        <w:rPr>
          <w:sz w:val="20"/>
          <w:szCs w:val="20"/>
          <w:color w:val="auto"/>
        </w:rPr>
      </w:pPr>
      <w:r>
        <w:rPr>
          <w:rFonts w:ascii="Arial" w:cs="Arial" w:eastAsia="Arial" w:hAnsi="Arial"/>
          <w:sz w:val="16"/>
          <w:szCs w:val="16"/>
          <w:color w:val="auto"/>
        </w:rPr>
        <w:t>that were eligible to vote.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If you have returned your properly signed proxy or attend the Meeting in person, your Common Stock will be counted for the purpose of determining whether there is a quorum.</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If you hold shares in your own name, by submitting a proxy you may either vote for or withhold authority to vote for each nominee for the Board of Directors, you may vote in favor or against or abstain from the ratification of the appointment of independent registered public accountant, and you may vote in favor or against or abstain from the approval on an advisory basis of the executive compensation disclosed in this Proxy Statement. If you sign and submit your proxy card without voting instructions, your shares will be voted in favor of each director and each other item considered for shareholder approval. If you hold shares through a broker, follow the voting instructions provided by your broker. If you want to vote in person, a legal proxy must be obtained from your broker and brought to the Meeting. The New York Stock Exchange (“NYSE”) permits brokers to vote their customers' shares on routine matters when the brokers have not received voting instructions from their customers. The ratification of the appointment of independent registered public accountant is an example of a routine matter on which brokers may vote in this way. Brokers may not vote their customers' shares on non-routine matters such as shareholder proposals unless they have received voting instructions from their customers. Under NYSE rules, brokers are also not permitted to exercise discretionary voting authority with respect to shares for which voting instructions have not been received, as such voting authority pertains to the election of directors (whether contested or uncontested) and to matters relating to executive compensation. As a result of the NYSE rules, unless they have received voting instructions from their customers, brokers may not vote their customers' shares on any other matters other than ratification of our independent registered public accountant.</w:t>
      </w:r>
    </w:p>
    <w:p>
      <w:pPr>
        <w:spacing w:after="0" w:line="8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Directors must be elected by a plurality of the votes cast at the Meeting. This means that the four (five) nominees receiving the greatest number of votes will be elected as directors. Votes withheld from any nominee will still be counted for the purposes of establishing a quorum but will have no legal effect on the election of directors due to the fact that such elections are by a plurality of the votes cast. The ratification of the appointment of the independent registered public accountant requires the affirmative vote of a majority of those shares of Common Stock present in person or represented by proxy. Withheld votes and abstentions with respect to this Item will have the same effect as a vote against the matter.</w:t>
      </w:r>
    </w:p>
    <w:p>
      <w:pPr>
        <w:spacing w:after="0" w:line="106" w:lineRule="exact"/>
        <w:rPr>
          <w:sz w:val="20"/>
          <w:szCs w:val="20"/>
          <w:color w:val="auto"/>
        </w:rPr>
      </w:pPr>
    </w:p>
    <w:p>
      <w:pPr>
        <w:ind w:right="20"/>
        <w:spacing w:after="0"/>
        <w:rPr>
          <w:sz w:val="20"/>
          <w:szCs w:val="20"/>
          <w:color w:val="auto"/>
        </w:rPr>
      </w:pPr>
      <w:r>
        <w:rPr>
          <w:rFonts w:ascii="Arial" w:cs="Arial" w:eastAsia="Arial" w:hAnsi="Arial"/>
          <w:sz w:val="16"/>
          <w:szCs w:val="16"/>
          <w:color w:val="auto"/>
        </w:rPr>
        <w:t>In addition, while the Board of Directors intends to carefully consider the shareholder votes resulting from the proposal under Item (2): Proposal For an Advisory Vote on Executive Compensation (the "Say on Pay" Vote), the final votes of shareholders will not be binding on the Company, but will be advisory in nature.</w:t>
      </w:r>
    </w:p>
    <w:p>
      <w:pPr>
        <w:spacing w:after="0" w:line="200" w:lineRule="exact"/>
        <w:rPr>
          <w:sz w:val="20"/>
          <w:szCs w:val="20"/>
          <w:color w:val="auto"/>
        </w:rPr>
      </w:pPr>
    </w:p>
    <w:p>
      <w:pPr>
        <w:sectPr>
          <w:pgSz w:w="11900" w:h="16838" w:orient="portrait"/>
          <w:cols w:equalWidth="0" w:num="2">
            <w:col w:w="5580" w:space="240"/>
            <w:col w:w="5580"/>
          </w:cols>
          <w:pgMar w:left="240" w:top="298" w:right="259" w:bottom="1440" w:gutter="0" w:footer="0" w:header="0"/>
          <w:type w:val="continuous"/>
        </w:sectPr>
      </w:pP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00"/>
          </w:cols>
          <w:pgMar w:left="240" w:top="298" w:right="259" w:bottom="1440" w:gutter="0" w:footer="0" w:header="0"/>
          <w:type w:val="continuous"/>
        </w:sectPr>
      </w:pPr>
    </w:p>
    <w:bookmarkStart w:id="4" w:name="page5"/>
    <w:bookmarkEnd w:id="4"/>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We are not now aware of any matters to be presented at the Annual Meeting other than the election of the four nominees described in this Proxy Statement, the advisory approval of executive compensation, and the ratification of the appointment of independent registered public accountant.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106"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(http://www.eproxy.com/wgo/), (ii) by calling the toll-free telephone number (1-800-560-1965) or (iii) you may indicate your vote by completing, signing and dating the proxy card where indicated and returning the card to us by 12:00 p.m. Central Standard Time on December 14, 2015.</w:t>
      </w:r>
    </w:p>
    <w:p>
      <w:pPr>
        <w:spacing w:after="0" w:line="88"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If a proxy card is executed and returned, it may nevertheless be revoked at any time in accordance with the following instructions. A person may revoke a proxy electronically by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SECURITIES AND PRINCIPAL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color w:val="auto"/>
        </w:rPr>
        <w:t>entering a new vote via the Internet or by telephone or a proxy may be revoked by (i) giving written notice to the Secretary of the Company (the “Secretary”),</w:t>
      </w:r>
    </w:p>
    <w:p>
      <w:pPr>
        <w:ind w:right="40" w:firstLine="8"/>
        <w:spacing w:after="0" w:line="239" w:lineRule="auto"/>
        <w:tabs>
          <w:tab w:leader="none" w:pos="218"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subsequently granting a later-dated proxy, (iii) attending the Meeting and voting in person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14, 2015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w:t>
      </w:r>
    </w:p>
    <w:p>
      <w:pPr>
        <w:spacing w:after="0" w:line="86"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b w:val="1"/>
          <w:bCs w:val="1"/>
          <w:color w:val="auto"/>
        </w:rPr>
        <w:t>If no instructions are indicated on a proxy that is signed and received by us, it will be voted: (i) for the election of the four nominees for director named below (Item 1), (ii) for the advisory approval of executive compensation (Item 2), (iii) for the ratification of the appointment of Deloitte &amp; Touche LLP as our independent registered public accountant for Fiscal 2016 (Item 3), and (iv) in the discretion of the named proxies upon such other matters as may properly come before the Meeting.</w:t>
      </w:r>
    </w:p>
    <w:p>
      <w:pPr>
        <w:spacing w:after="0" w:line="451" w:lineRule="exact"/>
        <w:rPr>
          <w:sz w:val="20"/>
          <w:szCs w:val="20"/>
          <w:color w:val="auto"/>
        </w:rPr>
      </w:pPr>
    </w:p>
    <w:p>
      <w:pPr>
        <w:sectPr>
          <w:pgSz w:w="11900" w:h="16838" w:orient="portrait"/>
          <w:cols w:equalWidth="0" w:num="2">
            <w:col w:w="5560" w:space="260"/>
            <w:col w:w="5600"/>
          </w:cols>
          <w:pgMar w:left="240" w:top="298" w:right="239" w:bottom="1440" w:gutter="0" w:footer="0" w:header="0"/>
          <w:type w:val="continuous"/>
        </w:sectPr>
      </w:pPr>
    </w:p>
    <w:p>
      <w:pPr>
        <w:ind w:right="160"/>
        <w:spacing w:after="0" w:line="241" w:lineRule="auto"/>
        <w:rPr>
          <w:sz w:val="20"/>
          <w:szCs w:val="20"/>
          <w:color w:val="auto"/>
        </w:rPr>
      </w:pPr>
      <w:r>
        <w:rPr>
          <w:rFonts w:ascii="Arial" w:cs="Arial" w:eastAsia="Arial" w:hAnsi="Arial"/>
          <w:sz w:val="16"/>
          <w:szCs w:val="16"/>
          <w:color w:val="auto"/>
        </w:rPr>
        <w:t>The following table contains information with respect to the ownership of the Common Stock by each person known to us who is the beneficial owner of more than 5% of the outstanding Common Stock. This information is based on ownership reported as of December 31, 2014 according to SEC filings of the listed beneficial owner unless more recent information was appropriate to be used.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3820" w:type="dxa"/>
            <w:vAlign w:val="bottom"/>
          </w:tcPr>
          <w:p>
            <w:pPr>
              <w:jc w:val="center"/>
              <w:ind w:left="1901"/>
              <w:spacing w:after="0"/>
              <w:rPr>
                <w:sz w:val="20"/>
                <w:szCs w:val="20"/>
                <w:color w:val="auto"/>
              </w:rPr>
            </w:pPr>
            <w:r>
              <w:rPr>
                <w:rFonts w:ascii="Arial" w:cs="Arial" w:eastAsia="Arial" w:hAnsi="Arial"/>
                <w:sz w:val="16"/>
                <w:szCs w:val="16"/>
                <w:b w:val="1"/>
                <w:bCs w:val="1"/>
                <w:color w:val="auto"/>
                <w:w w:val="98"/>
              </w:rPr>
              <w:t>Shares of Common</w:t>
            </w:r>
          </w:p>
        </w:tc>
        <w:tc>
          <w:tcPr>
            <w:tcW w:w="8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3820" w:type="dxa"/>
            <w:vAlign w:val="bottom"/>
          </w:tcPr>
          <w:p>
            <w:pPr>
              <w:jc w:val="center"/>
              <w:ind w:left="1901"/>
              <w:spacing w:after="0"/>
              <w:rPr>
                <w:sz w:val="20"/>
                <w:szCs w:val="20"/>
                <w:color w:val="auto"/>
              </w:rPr>
            </w:pPr>
            <w:r>
              <w:rPr>
                <w:rFonts w:ascii="Arial" w:cs="Arial" w:eastAsia="Arial" w:hAnsi="Arial"/>
                <w:sz w:val="16"/>
                <w:szCs w:val="16"/>
                <w:b w:val="1"/>
                <w:bCs w:val="1"/>
                <w:color w:val="auto"/>
                <w:w w:val="98"/>
              </w:rPr>
              <w:t>Stock Owned</w:t>
            </w:r>
          </w:p>
        </w:tc>
        <w:tc>
          <w:tcPr>
            <w:tcW w:w="8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8"/>
              </w:rPr>
              <w:t>Common</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Address of Beneficial Owner</w:t>
            </w:r>
          </w:p>
        </w:tc>
        <w:tc>
          <w:tcPr>
            <w:tcW w:w="3820" w:type="dxa"/>
            <w:vAlign w:val="bottom"/>
            <w:tcBorders>
              <w:bottom w:val="single" w:sz="8" w:color="auto"/>
            </w:tcBorders>
          </w:tcPr>
          <w:p>
            <w:pPr>
              <w:jc w:val="center"/>
              <w:ind w:left="1901"/>
              <w:spacing w:after="0"/>
              <w:rPr>
                <w:sz w:val="20"/>
                <w:szCs w:val="20"/>
                <w:color w:val="auto"/>
              </w:rPr>
            </w:pPr>
            <w:r>
              <w:rPr>
                <w:rFonts w:ascii="Arial" w:cs="Arial" w:eastAsia="Arial" w:hAnsi="Arial"/>
                <w:sz w:val="16"/>
                <w:szCs w:val="16"/>
                <w:b w:val="1"/>
                <w:bCs w:val="1"/>
                <w:color w:val="auto"/>
                <w:w w:val="98"/>
              </w:rPr>
              <w:t>Beneficially</w:t>
            </w:r>
          </w:p>
        </w:tc>
        <w:tc>
          <w:tcPr>
            <w:tcW w:w="8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16"/>
                <w:szCs w:val="16"/>
                <w:b w:val="1"/>
                <w:bCs w:val="1"/>
                <w:color w:val="auto"/>
                <w:w w:val="93"/>
              </w:rPr>
              <w:t>Stock</w:t>
            </w:r>
            <w:r>
              <w:rPr>
                <w:rFonts w:ascii="Arial" w:cs="Arial" w:eastAsia="Arial" w:hAnsi="Arial"/>
                <w:sz w:val="20"/>
                <w:szCs w:val="20"/>
                <w:b w:val="1"/>
                <w:bCs w:val="1"/>
                <w:color w:val="auto"/>
                <w:w w:val="93"/>
                <w:vertAlign w:val="superscript"/>
              </w:rPr>
              <w:t>(1)</w:t>
            </w: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Royce &amp; Associates, LLC</w:t>
            </w:r>
          </w:p>
        </w:tc>
        <w:tc>
          <w:tcPr>
            <w:tcW w:w="3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745 Fifth Avenue</w:t>
            </w:r>
          </w:p>
        </w:tc>
        <w:tc>
          <w:tcPr>
            <w:tcW w:w="38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448"/>
              <w:spacing w:after="0"/>
              <w:rPr>
                <w:sz w:val="20"/>
                <w:szCs w:val="20"/>
                <w:color w:val="auto"/>
              </w:rPr>
            </w:pPr>
            <w:r>
              <w:rPr>
                <w:rFonts w:ascii="Arial" w:cs="Arial" w:eastAsia="Arial" w:hAnsi="Arial"/>
                <w:sz w:val="10"/>
                <w:szCs w:val="10"/>
                <w:color w:val="auto"/>
              </w:rPr>
              <w:t>(2)</w:t>
            </w: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1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New York, New York 10151</w:t>
            </w:r>
          </w:p>
        </w:tc>
        <w:tc>
          <w:tcPr>
            <w:tcW w:w="3820" w:type="dxa"/>
            <w:vAlign w:val="bottom"/>
            <w:vMerge w:val="restart"/>
            <w:shd w:val="clear" w:color="auto" w:fill="CCEEFF"/>
          </w:tcPr>
          <w:p>
            <w:pPr>
              <w:jc w:val="center"/>
              <w:ind w:left="1881"/>
              <w:spacing w:after="0"/>
              <w:rPr>
                <w:sz w:val="20"/>
                <w:szCs w:val="20"/>
                <w:color w:val="auto"/>
              </w:rPr>
            </w:pPr>
            <w:r>
              <w:rPr>
                <w:rFonts w:ascii="Arial" w:cs="Arial" w:eastAsia="Arial" w:hAnsi="Arial"/>
                <w:sz w:val="16"/>
                <w:szCs w:val="16"/>
                <w:color w:val="auto"/>
                <w:w w:val="98"/>
              </w:rPr>
              <w:t>2,728,377</w:t>
            </w:r>
          </w:p>
        </w:tc>
        <w:tc>
          <w:tcPr>
            <w:tcW w:w="820" w:type="dxa"/>
            <w:vAlign w:val="bottom"/>
            <w:vMerge w:val="continue"/>
            <w:shd w:val="clear" w:color="auto" w:fill="CCEEFF"/>
          </w:tcPr>
          <w:p>
            <w:pPr>
              <w:spacing w:after="0"/>
              <w:rPr>
                <w:sz w:val="10"/>
                <w:szCs w:val="10"/>
                <w:color w:val="auto"/>
              </w:rPr>
            </w:pP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10.1%</w:t>
            </w:r>
          </w:p>
        </w:tc>
        <w:tc>
          <w:tcPr>
            <w:tcW w:w="0" w:type="dxa"/>
            <w:vAlign w:val="bottom"/>
          </w:tcPr>
          <w:p>
            <w:pPr>
              <w:spacing w:after="0"/>
              <w:rPr>
                <w:sz w:val="1"/>
                <w:szCs w:val="1"/>
                <w:color w:val="auto"/>
              </w:rPr>
            </w:pPr>
          </w:p>
        </w:tc>
      </w:tr>
      <w:tr>
        <w:trPr>
          <w:trHeight w:val="88"/>
        </w:trPr>
        <w:tc>
          <w:tcPr>
            <w:tcW w:w="5160" w:type="dxa"/>
            <w:vAlign w:val="bottom"/>
            <w:vMerge w:val="continue"/>
            <w:shd w:val="clear" w:color="auto" w:fill="CCEEFF"/>
          </w:tcPr>
          <w:p>
            <w:pPr>
              <w:spacing w:after="0"/>
              <w:rPr>
                <w:sz w:val="7"/>
                <w:szCs w:val="7"/>
                <w:color w:val="auto"/>
              </w:rPr>
            </w:pPr>
          </w:p>
        </w:tc>
        <w:tc>
          <w:tcPr>
            <w:tcW w:w="3820" w:type="dxa"/>
            <w:vAlign w:val="bottom"/>
            <w:vMerge w:val="continue"/>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5160" w:type="dxa"/>
            <w:vAlign w:val="bottom"/>
          </w:tcPr>
          <w:p>
            <w:pPr>
              <w:ind w:left="140"/>
              <w:spacing w:after="0"/>
              <w:rPr>
                <w:sz w:val="20"/>
                <w:szCs w:val="20"/>
                <w:color w:val="auto"/>
              </w:rPr>
            </w:pPr>
            <w:r>
              <w:rPr>
                <w:rFonts w:ascii="Arial" w:cs="Arial" w:eastAsia="Arial" w:hAnsi="Arial"/>
                <w:sz w:val="16"/>
                <w:szCs w:val="16"/>
                <w:color w:val="auto"/>
              </w:rPr>
              <w:t>BlackRock, Inc.</w:t>
            </w:r>
          </w:p>
        </w:tc>
        <w:tc>
          <w:tcPr>
            <w:tcW w:w="3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160" w:type="dxa"/>
            <w:vAlign w:val="bottom"/>
          </w:tcPr>
          <w:p>
            <w:pPr>
              <w:ind w:left="140"/>
              <w:spacing w:after="0"/>
              <w:rPr>
                <w:sz w:val="20"/>
                <w:szCs w:val="20"/>
                <w:color w:val="auto"/>
              </w:rPr>
            </w:pPr>
            <w:r>
              <w:rPr>
                <w:rFonts w:ascii="Arial" w:cs="Arial" w:eastAsia="Arial" w:hAnsi="Arial"/>
                <w:sz w:val="16"/>
                <w:szCs w:val="16"/>
                <w:color w:val="auto"/>
              </w:rPr>
              <w:t>55 East 52nd Street</w:t>
            </w:r>
          </w:p>
        </w:tc>
        <w:tc>
          <w:tcPr>
            <w:tcW w:w="3820" w:type="dxa"/>
            <w:vAlign w:val="bottom"/>
          </w:tcPr>
          <w:p>
            <w:pPr>
              <w:spacing w:after="0"/>
              <w:rPr>
                <w:sz w:val="15"/>
                <w:szCs w:val="15"/>
                <w:color w:val="auto"/>
              </w:rPr>
            </w:pPr>
          </w:p>
        </w:tc>
        <w:tc>
          <w:tcPr>
            <w:tcW w:w="820" w:type="dxa"/>
            <w:vAlign w:val="bottom"/>
            <w:vMerge w:val="restart"/>
          </w:tcPr>
          <w:p>
            <w:pPr>
              <w:jc w:val="right"/>
              <w:ind w:right="448"/>
              <w:spacing w:after="0"/>
              <w:rPr>
                <w:sz w:val="20"/>
                <w:szCs w:val="20"/>
                <w:color w:val="auto"/>
              </w:rPr>
            </w:pPr>
            <w:r>
              <w:rPr>
                <w:rFonts w:ascii="Arial" w:cs="Arial" w:eastAsia="Arial" w:hAnsi="Arial"/>
                <w:sz w:val="10"/>
                <w:szCs w:val="10"/>
                <w:color w:val="auto"/>
              </w:rPr>
              <w:t>(3)</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160" w:type="dxa"/>
            <w:vAlign w:val="bottom"/>
            <w:vMerge w:val="restart"/>
          </w:tcPr>
          <w:p>
            <w:pPr>
              <w:ind w:left="140"/>
              <w:spacing w:after="0"/>
              <w:rPr>
                <w:sz w:val="20"/>
                <w:szCs w:val="20"/>
                <w:color w:val="auto"/>
              </w:rPr>
            </w:pPr>
            <w:r>
              <w:rPr>
                <w:rFonts w:ascii="Arial" w:cs="Arial" w:eastAsia="Arial" w:hAnsi="Arial"/>
                <w:sz w:val="16"/>
                <w:szCs w:val="16"/>
                <w:color w:val="auto"/>
              </w:rPr>
              <w:t>New York, New York 10055</w:t>
            </w:r>
          </w:p>
        </w:tc>
        <w:tc>
          <w:tcPr>
            <w:tcW w:w="3820" w:type="dxa"/>
            <w:vAlign w:val="bottom"/>
            <w:vMerge w:val="restart"/>
          </w:tcPr>
          <w:p>
            <w:pPr>
              <w:jc w:val="center"/>
              <w:ind w:left="1881"/>
              <w:spacing w:after="0"/>
              <w:rPr>
                <w:sz w:val="20"/>
                <w:szCs w:val="20"/>
                <w:color w:val="auto"/>
              </w:rPr>
            </w:pPr>
            <w:r>
              <w:rPr>
                <w:rFonts w:ascii="Arial" w:cs="Arial" w:eastAsia="Arial" w:hAnsi="Arial"/>
                <w:sz w:val="16"/>
                <w:szCs w:val="16"/>
                <w:color w:val="auto"/>
                <w:w w:val="98"/>
              </w:rPr>
              <w:t>2,292,055</w:t>
            </w:r>
          </w:p>
        </w:tc>
        <w:tc>
          <w:tcPr>
            <w:tcW w:w="82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w w:val="98"/>
              </w:rPr>
              <w:t>8.5%</w:t>
            </w:r>
          </w:p>
        </w:tc>
        <w:tc>
          <w:tcPr>
            <w:tcW w:w="0" w:type="dxa"/>
            <w:vAlign w:val="bottom"/>
          </w:tcPr>
          <w:p>
            <w:pPr>
              <w:spacing w:after="0"/>
              <w:rPr>
                <w:sz w:val="1"/>
                <w:szCs w:val="1"/>
                <w:color w:val="auto"/>
              </w:rPr>
            </w:pPr>
          </w:p>
        </w:tc>
      </w:tr>
      <w:tr>
        <w:trPr>
          <w:trHeight w:val="78"/>
        </w:trPr>
        <w:tc>
          <w:tcPr>
            <w:tcW w:w="5160" w:type="dxa"/>
            <w:vAlign w:val="bottom"/>
            <w:vMerge w:val="continue"/>
          </w:tcPr>
          <w:p>
            <w:pPr>
              <w:spacing w:after="0"/>
              <w:rPr>
                <w:sz w:val="6"/>
                <w:szCs w:val="6"/>
                <w:color w:val="auto"/>
              </w:rPr>
            </w:pPr>
          </w:p>
        </w:tc>
        <w:tc>
          <w:tcPr>
            <w:tcW w:w="38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Franklin Resources, Inc.</w:t>
            </w:r>
          </w:p>
        </w:tc>
        <w:tc>
          <w:tcPr>
            <w:tcW w:w="3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One Franklin Parkway</w:t>
            </w:r>
          </w:p>
        </w:tc>
        <w:tc>
          <w:tcPr>
            <w:tcW w:w="38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448"/>
              <w:spacing w:after="0"/>
              <w:rPr>
                <w:sz w:val="20"/>
                <w:szCs w:val="20"/>
                <w:color w:val="auto"/>
              </w:rPr>
            </w:pPr>
            <w:r>
              <w:rPr>
                <w:rFonts w:ascii="Arial" w:cs="Arial" w:eastAsia="Arial" w:hAnsi="Arial"/>
                <w:sz w:val="10"/>
                <w:szCs w:val="10"/>
                <w:color w:val="auto"/>
              </w:rPr>
              <w:t>(4)</w:t>
            </w: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1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San Mateo, California 94403</w:t>
            </w:r>
          </w:p>
        </w:tc>
        <w:tc>
          <w:tcPr>
            <w:tcW w:w="3820" w:type="dxa"/>
            <w:vAlign w:val="bottom"/>
            <w:vMerge w:val="restart"/>
            <w:shd w:val="clear" w:color="auto" w:fill="CCEEFF"/>
          </w:tcPr>
          <w:p>
            <w:pPr>
              <w:jc w:val="center"/>
              <w:ind w:left="1881"/>
              <w:spacing w:after="0"/>
              <w:rPr>
                <w:sz w:val="20"/>
                <w:szCs w:val="20"/>
                <w:color w:val="auto"/>
              </w:rPr>
            </w:pPr>
            <w:r>
              <w:rPr>
                <w:rFonts w:ascii="Arial" w:cs="Arial" w:eastAsia="Arial" w:hAnsi="Arial"/>
                <w:sz w:val="16"/>
                <w:szCs w:val="16"/>
                <w:color w:val="auto"/>
                <w:w w:val="98"/>
              </w:rPr>
              <w:t>1,412,000</w:t>
            </w:r>
          </w:p>
        </w:tc>
        <w:tc>
          <w:tcPr>
            <w:tcW w:w="820" w:type="dxa"/>
            <w:vAlign w:val="bottom"/>
            <w:vMerge w:val="continue"/>
            <w:shd w:val="clear" w:color="auto" w:fill="CCEEFF"/>
          </w:tcPr>
          <w:p>
            <w:pPr>
              <w:spacing w:after="0"/>
              <w:rPr>
                <w:sz w:val="10"/>
                <w:szCs w:val="10"/>
                <w:color w:val="auto"/>
              </w:rPr>
            </w:pP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5.2%</w:t>
            </w:r>
          </w:p>
        </w:tc>
        <w:tc>
          <w:tcPr>
            <w:tcW w:w="0" w:type="dxa"/>
            <w:vAlign w:val="bottom"/>
          </w:tcPr>
          <w:p>
            <w:pPr>
              <w:spacing w:after="0"/>
              <w:rPr>
                <w:sz w:val="1"/>
                <w:szCs w:val="1"/>
                <w:color w:val="auto"/>
              </w:rPr>
            </w:pPr>
          </w:p>
        </w:tc>
      </w:tr>
      <w:tr>
        <w:trPr>
          <w:trHeight w:val="88"/>
        </w:trPr>
        <w:tc>
          <w:tcPr>
            <w:tcW w:w="5160" w:type="dxa"/>
            <w:vAlign w:val="bottom"/>
            <w:vMerge w:val="continue"/>
            <w:shd w:val="clear" w:color="auto" w:fill="CCEEFF"/>
          </w:tcPr>
          <w:p>
            <w:pPr>
              <w:spacing w:after="0"/>
              <w:rPr>
                <w:sz w:val="7"/>
                <w:szCs w:val="7"/>
                <w:color w:val="auto"/>
              </w:rPr>
            </w:pPr>
          </w:p>
        </w:tc>
        <w:tc>
          <w:tcPr>
            <w:tcW w:w="3820" w:type="dxa"/>
            <w:vAlign w:val="bottom"/>
            <w:vMerge w:val="continue"/>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Based on 26,982,249 outstanding shares of Common Stock on October 13, 2015.</w:t>
      </w:r>
    </w:p>
    <w:p>
      <w:pPr>
        <w:ind w:left="320" w:hanging="315"/>
        <w:spacing w:after="0" w:line="234"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The number of shares listed for Royce &amp; Associates is based on a Schedule 13G/A filed with the SEC on August 4, 2015.</w:t>
      </w:r>
    </w:p>
    <w:p>
      <w:pPr>
        <w:ind w:left="320" w:hanging="315"/>
        <w:spacing w:after="0" w:line="234"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The number of shares listed for BlackRock, Inc. is based on a Schedule 13G/A filed with the SEC on January 15, 2015.</w:t>
      </w:r>
    </w:p>
    <w:p>
      <w:pPr>
        <w:ind w:left="320" w:hanging="315"/>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The number of shares listed for Franklin Resources, Inc. is based on a Schedule 13G/A filed with the SEC on February 6, 2015.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298" w:right="239" w:bottom="1440" w:gutter="0" w:footer="0" w:header="0"/>
          <w:type w:val="continuous"/>
        </w:sectPr>
      </w:pPr>
    </w:p>
    <w:bookmarkStart w:id="5" w:name="page6"/>
    <w:bookmarkEnd w:id="5"/>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98" w:lineRule="exact"/>
        <w:rPr>
          <w:sz w:val="20"/>
          <w:szCs w:val="20"/>
          <w:color w:val="auto"/>
        </w:rPr>
      </w:pPr>
    </w:p>
    <w:p>
      <w:pPr>
        <w:jc w:val="both"/>
        <w:ind w:right="460"/>
        <w:spacing w:after="0" w:line="276" w:lineRule="auto"/>
        <w:rPr>
          <w:sz w:val="20"/>
          <w:szCs w:val="20"/>
          <w:color w:val="auto"/>
        </w:rPr>
      </w:pPr>
      <w:r>
        <w:rPr>
          <w:rFonts w:ascii="Arial" w:cs="Arial" w:eastAsia="Arial" w:hAnsi="Arial"/>
          <w:sz w:val="16"/>
          <w:szCs w:val="16"/>
          <w:color w:val="auto"/>
        </w:rPr>
        <w:t>The following table sets forth certain information known to us with respect to beneficial ownership of our Common Stock, as defined in Rule 13(d)(3) under the Exchange Act, at October 13, 2015 for (i) each of our directors, (ii) each executive officer of the Company as of the end of Fiscal 2015 named in the summary compensation table below, (iii) all executive officers and directors as a group.</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2380" w:type="dxa"/>
            <w:vAlign w:val="bottom"/>
          </w:tcPr>
          <w:p>
            <w:pPr>
              <w:jc w:val="center"/>
              <w:ind w:left="621"/>
              <w:spacing w:after="0"/>
              <w:rPr>
                <w:sz w:val="20"/>
                <w:szCs w:val="20"/>
                <w:color w:val="auto"/>
              </w:rPr>
            </w:pPr>
            <w:r>
              <w:rPr>
                <w:rFonts w:ascii="Arial" w:cs="Arial" w:eastAsia="Arial" w:hAnsi="Arial"/>
                <w:sz w:val="16"/>
                <w:szCs w:val="16"/>
                <w:b w:val="1"/>
                <w:bCs w:val="1"/>
                <w:color w:val="auto"/>
                <w:w w:val="98"/>
              </w:rPr>
              <w:t>Shares of</w:t>
            </w: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jc w:val="center"/>
              <w:ind w:right="61"/>
              <w:spacing w:after="0"/>
              <w:rPr>
                <w:sz w:val="20"/>
                <w:szCs w:val="20"/>
                <w:color w:val="auto"/>
              </w:rPr>
            </w:pPr>
            <w:r>
              <w:rPr>
                <w:rFonts w:ascii="Arial" w:cs="Arial" w:eastAsia="Arial" w:hAnsi="Arial"/>
                <w:sz w:val="16"/>
                <w:szCs w:val="16"/>
                <w:b w:val="1"/>
                <w:bCs w:val="1"/>
                <w:color w:val="auto"/>
                <w:w w:val="95"/>
              </w:rPr>
              <w:t>Total Shares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2380" w:type="dxa"/>
            <w:vAlign w:val="bottom"/>
          </w:tcPr>
          <w:p>
            <w:pPr>
              <w:jc w:val="center"/>
              <w:ind w:left="621"/>
              <w:spacing w:after="0"/>
              <w:rPr>
                <w:sz w:val="20"/>
                <w:szCs w:val="20"/>
                <w:color w:val="auto"/>
              </w:rPr>
            </w:pPr>
            <w:r>
              <w:rPr>
                <w:rFonts w:ascii="Arial" w:cs="Arial" w:eastAsia="Arial" w:hAnsi="Arial"/>
                <w:sz w:val="16"/>
                <w:szCs w:val="16"/>
                <w:b w:val="1"/>
                <w:bCs w:val="1"/>
                <w:color w:val="auto"/>
                <w:w w:val="98"/>
              </w:rPr>
              <w:t>Common Stock</w:t>
            </w:r>
          </w:p>
        </w:tc>
        <w:tc>
          <w:tcPr>
            <w:tcW w:w="1240" w:type="dxa"/>
            <w:vAlign w:val="bottom"/>
          </w:tcPr>
          <w:p>
            <w:pPr>
              <w:jc w:val="center"/>
              <w:ind w:right="21"/>
              <w:spacing w:after="0"/>
              <w:rPr>
                <w:sz w:val="20"/>
                <w:szCs w:val="20"/>
                <w:color w:val="auto"/>
              </w:rPr>
            </w:pPr>
            <w:r>
              <w:rPr>
                <w:rFonts w:ascii="Arial" w:cs="Arial" w:eastAsia="Arial" w:hAnsi="Arial"/>
                <w:sz w:val="16"/>
                <w:szCs w:val="16"/>
                <w:b w:val="1"/>
                <w:bCs w:val="1"/>
                <w:color w:val="auto"/>
                <w:w w:val="96"/>
              </w:rPr>
              <w:t>Exercisable</w:t>
            </w:r>
          </w:p>
        </w:tc>
        <w:tc>
          <w:tcPr>
            <w:tcW w:w="1220" w:type="dxa"/>
            <w:vAlign w:val="bottom"/>
          </w:tcPr>
          <w:p>
            <w:pPr>
              <w:jc w:val="center"/>
              <w:ind w:right="1"/>
              <w:spacing w:after="0"/>
              <w:rPr>
                <w:sz w:val="20"/>
                <w:szCs w:val="20"/>
                <w:color w:val="auto"/>
              </w:rPr>
            </w:pPr>
            <w:r>
              <w:rPr>
                <w:rFonts w:ascii="Arial" w:cs="Arial" w:eastAsia="Arial" w:hAnsi="Arial"/>
                <w:sz w:val="16"/>
                <w:szCs w:val="16"/>
                <w:b w:val="1"/>
                <w:bCs w:val="1"/>
                <w:color w:val="auto"/>
                <w:w w:val="99"/>
              </w:rPr>
              <w:t>Winnebago</w:t>
            </w:r>
          </w:p>
        </w:tc>
        <w:tc>
          <w:tcPr>
            <w:tcW w:w="1420" w:type="dxa"/>
            <w:vAlign w:val="bottom"/>
          </w:tcPr>
          <w:p>
            <w:pPr>
              <w:jc w:val="center"/>
              <w:ind w:right="61"/>
              <w:spacing w:after="0"/>
              <w:rPr>
                <w:sz w:val="20"/>
                <w:szCs w:val="20"/>
                <w:color w:val="auto"/>
              </w:rPr>
            </w:pPr>
            <w:r>
              <w:rPr>
                <w:rFonts w:ascii="Arial" w:cs="Arial" w:eastAsia="Arial" w:hAnsi="Arial"/>
                <w:sz w:val="16"/>
                <w:szCs w:val="16"/>
                <w:b w:val="1"/>
                <w:bCs w:val="1"/>
                <w:color w:val="auto"/>
                <w:w w:val="98"/>
              </w:rPr>
              <w:t>of Common</w:t>
            </w:r>
          </w:p>
        </w:tc>
        <w:tc>
          <w:tcPr>
            <w:tcW w:w="1200" w:type="dxa"/>
            <w:vAlign w:val="bottom"/>
          </w:tcPr>
          <w:p>
            <w:pPr>
              <w:jc w:val="center"/>
              <w:ind w:right="41"/>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2380" w:type="dxa"/>
            <w:vAlign w:val="bottom"/>
          </w:tcPr>
          <w:p>
            <w:pPr>
              <w:jc w:val="center"/>
              <w:ind w:left="621"/>
              <w:spacing w:after="0"/>
              <w:rPr>
                <w:sz w:val="20"/>
                <w:szCs w:val="20"/>
                <w:color w:val="auto"/>
              </w:rPr>
            </w:pPr>
            <w:r>
              <w:rPr>
                <w:rFonts w:ascii="Arial" w:cs="Arial" w:eastAsia="Arial" w:hAnsi="Arial"/>
                <w:sz w:val="16"/>
                <w:szCs w:val="16"/>
                <w:b w:val="1"/>
                <w:bCs w:val="1"/>
                <w:color w:val="auto"/>
                <w:w w:val="97"/>
              </w:rPr>
              <w:t>Owned</w:t>
            </w:r>
          </w:p>
        </w:tc>
        <w:tc>
          <w:tcPr>
            <w:tcW w:w="1240" w:type="dxa"/>
            <w:vAlign w:val="bottom"/>
          </w:tcPr>
          <w:p>
            <w:pPr>
              <w:jc w:val="center"/>
              <w:ind w:right="21"/>
              <w:spacing w:after="0"/>
              <w:rPr>
                <w:sz w:val="20"/>
                <w:szCs w:val="20"/>
                <w:color w:val="auto"/>
              </w:rPr>
            </w:pPr>
            <w:r>
              <w:rPr>
                <w:rFonts w:ascii="Arial" w:cs="Arial" w:eastAsia="Arial" w:hAnsi="Arial"/>
                <w:sz w:val="16"/>
                <w:szCs w:val="16"/>
                <w:b w:val="1"/>
                <w:bCs w:val="1"/>
                <w:color w:val="auto"/>
                <w:w w:val="96"/>
              </w:rPr>
              <w:t>Stock</w:t>
            </w:r>
          </w:p>
        </w:tc>
        <w:tc>
          <w:tcPr>
            <w:tcW w:w="1220" w:type="dxa"/>
            <w:vAlign w:val="bottom"/>
          </w:tcPr>
          <w:p>
            <w:pPr>
              <w:jc w:val="center"/>
              <w:ind w:right="1"/>
              <w:spacing w:after="0"/>
              <w:rPr>
                <w:sz w:val="20"/>
                <w:szCs w:val="20"/>
                <w:color w:val="auto"/>
              </w:rPr>
            </w:pPr>
            <w:r>
              <w:rPr>
                <w:rFonts w:ascii="Arial" w:cs="Arial" w:eastAsia="Arial" w:hAnsi="Arial"/>
                <w:sz w:val="16"/>
                <w:szCs w:val="16"/>
                <w:b w:val="1"/>
                <w:bCs w:val="1"/>
                <w:color w:val="auto"/>
                <w:w w:val="96"/>
              </w:rPr>
              <w:t>Stock</w:t>
            </w:r>
          </w:p>
        </w:tc>
        <w:tc>
          <w:tcPr>
            <w:tcW w:w="1420" w:type="dxa"/>
            <w:vAlign w:val="bottom"/>
          </w:tcPr>
          <w:p>
            <w:pPr>
              <w:jc w:val="center"/>
              <w:ind w:right="61"/>
              <w:spacing w:after="0"/>
              <w:rPr>
                <w:sz w:val="20"/>
                <w:szCs w:val="20"/>
                <w:color w:val="auto"/>
              </w:rPr>
            </w:pPr>
            <w:r>
              <w:rPr>
                <w:rFonts w:ascii="Arial" w:cs="Arial" w:eastAsia="Arial" w:hAnsi="Arial"/>
                <w:sz w:val="16"/>
                <w:szCs w:val="16"/>
                <w:b w:val="1"/>
                <w:bCs w:val="1"/>
                <w:color w:val="auto"/>
                <w:w w:val="98"/>
              </w:rPr>
              <w:t>Stock Owned</w:t>
            </w:r>
          </w:p>
        </w:tc>
        <w:tc>
          <w:tcPr>
            <w:tcW w:w="1200" w:type="dxa"/>
            <w:vAlign w:val="bottom"/>
          </w:tcPr>
          <w:p>
            <w:pPr>
              <w:jc w:val="center"/>
              <w:ind w:right="61"/>
              <w:spacing w:after="0"/>
              <w:rPr>
                <w:sz w:val="20"/>
                <w:szCs w:val="20"/>
                <w:color w:val="auto"/>
              </w:rPr>
            </w:pPr>
            <w:r>
              <w:rPr>
                <w:rFonts w:ascii="Arial" w:cs="Arial" w:eastAsia="Arial" w:hAnsi="Arial"/>
                <w:sz w:val="16"/>
                <w:szCs w:val="16"/>
                <w:b w:val="1"/>
                <w:bCs w:val="1"/>
                <w:color w:val="auto"/>
                <w:w w:val="98"/>
              </w:rPr>
              <w:t>Common</w:t>
            </w:r>
          </w:p>
        </w:tc>
        <w:tc>
          <w:tcPr>
            <w:tcW w:w="0" w:type="dxa"/>
            <w:vAlign w:val="bottom"/>
          </w:tcPr>
          <w:p>
            <w:pPr>
              <w:spacing w:after="0"/>
              <w:rPr>
                <w:sz w:val="1"/>
                <w:szCs w:val="1"/>
                <w:color w:val="auto"/>
              </w:rPr>
            </w:pPr>
          </w:p>
        </w:tc>
      </w:tr>
      <w:tr>
        <w:trPr>
          <w:trHeight w:val="228"/>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380" w:type="dxa"/>
            <w:vAlign w:val="bottom"/>
            <w:tcBorders>
              <w:bottom w:val="single" w:sz="8" w:color="auto"/>
            </w:tcBorders>
          </w:tcPr>
          <w:p>
            <w:pPr>
              <w:jc w:val="center"/>
              <w:ind w:left="621"/>
              <w:spacing w:after="0" w:line="228" w:lineRule="exact"/>
              <w:rPr>
                <w:sz w:val="20"/>
                <w:szCs w:val="20"/>
                <w:color w:val="auto"/>
              </w:rPr>
            </w:pPr>
            <w:r>
              <w:rPr>
                <w:rFonts w:ascii="Arial" w:cs="Arial" w:eastAsia="Arial" w:hAnsi="Arial"/>
                <w:sz w:val="16"/>
                <w:szCs w:val="16"/>
                <w:b w:val="1"/>
                <w:bCs w:val="1"/>
                <w:color w:val="auto"/>
                <w:w w:val="92"/>
              </w:rPr>
              <w:t>Beneficially</w:t>
            </w:r>
            <w:r>
              <w:rPr>
                <w:rFonts w:ascii="Arial" w:cs="Arial" w:eastAsia="Arial" w:hAnsi="Arial"/>
                <w:sz w:val="20"/>
                <w:szCs w:val="20"/>
                <w:b w:val="1"/>
                <w:bCs w:val="1"/>
                <w:color w:val="auto"/>
                <w:w w:val="92"/>
                <w:vertAlign w:val="superscript"/>
              </w:rPr>
              <w:t>(1)(2)</w:t>
            </w:r>
          </w:p>
        </w:tc>
        <w:tc>
          <w:tcPr>
            <w:tcW w:w="124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95"/>
              </w:rPr>
              <w:t>Options</w:t>
            </w:r>
          </w:p>
        </w:tc>
        <w:tc>
          <w:tcPr>
            <w:tcW w:w="1220" w:type="dxa"/>
            <w:vAlign w:val="bottom"/>
            <w:tcBorders>
              <w:bottom w:val="single" w:sz="8" w:color="auto"/>
            </w:tcBorders>
          </w:tcPr>
          <w:p>
            <w:pPr>
              <w:jc w:val="center"/>
              <w:ind w:right="1"/>
              <w:spacing w:after="0" w:line="228" w:lineRule="exact"/>
              <w:rPr>
                <w:sz w:val="20"/>
                <w:szCs w:val="20"/>
                <w:color w:val="auto"/>
              </w:rPr>
            </w:pPr>
            <w:r>
              <w:rPr>
                <w:rFonts w:ascii="Arial" w:cs="Arial" w:eastAsia="Arial" w:hAnsi="Arial"/>
                <w:sz w:val="16"/>
                <w:szCs w:val="16"/>
                <w:b w:val="1"/>
                <w:bCs w:val="1"/>
                <w:color w:val="auto"/>
                <w:w w:val="95"/>
              </w:rPr>
              <w:t>Units</w:t>
            </w:r>
            <w:r>
              <w:rPr>
                <w:rFonts w:ascii="Arial" w:cs="Arial" w:eastAsia="Arial" w:hAnsi="Arial"/>
                <w:sz w:val="20"/>
                <w:szCs w:val="20"/>
                <w:b w:val="1"/>
                <w:bCs w:val="1"/>
                <w:color w:val="auto"/>
                <w:w w:val="95"/>
                <w:vertAlign w:val="superscript"/>
              </w:rPr>
              <w:t>(2)</w:t>
            </w:r>
          </w:p>
        </w:tc>
        <w:tc>
          <w:tcPr>
            <w:tcW w:w="1420" w:type="dxa"/>
            <w:vAlign w:val="bottom"/>
            <w:tcBorders>
              <w:bottom w:val="single" w:sz="8" w:color="auto"/>
            </w:tcBorders>
          </w:tcPr>
          <w:p>
            <w:pPr>
              <w:jc w:val="center"/>
              <w:ind w:right="61"/>
              <w:spacing w:after="0" w:line="228" w:lineRule="exact"/>
              <w:rPr>
                <w:sz w:val="20"/>
                <w:szCs w:val="20"/>
                <w:color w:val="auto"/>
              </w:rPr>
            </w:pPr>
            <w:r>
              <w:rPr>
                <w:rFonts w:ascii="Arial" w:cs="Arial" w:eastAsia="Arial" w:hAnsi="Arial"/>
                <w:sz w:val="16"/>
                <w:szCs w:val="16"/>
                <w:b w:val="1"/>
                <w:bCs w:val="1"/>
                <w:color w:val="auto"/>
                <w:w w:val="94"/>
              </w:rPr>
              <w:t>Beneficially</w:t>
            </w:r>
            <w:r>
              <w:rPr>
                <w:rFonts w:ascii="Arial" w:cs="Arial" w:eastAsia="Arial" w:hAnsi="Arial"/>
                <w:sz w:val="20"/>
                <w:szCs w:val="20"/>
                <w:b w:val="1"/>
                <w:bCs w:val="1"/>
                <w:color w:val="auto"/>
                <w:w w:val="94"/>
                <w:vertAlign w:val="superscript"/>
              </w:rPr>
              <w:t>(1)</w:t>
            </w:r>
          </w:p>
        </w:tc>
        <w:tc>
          <w:tcPr>
            <w:tcW w:w="1200" w:type="dxa"/>
            <w:vAlign w:val="bottom"/>
            <w:tcBorders>
              <w:bottom w:val="single" w:sz="8" w:color="auto"/>
            </w:tcBorders>
          </w:tcPr>
          <w:p>
            <w:pPr>
              <w:jc w:val="center"/>
              <w:ind w:right="41"/>
              <w:spacing w:after="0" w:line="228" w:lineRule="exact"/>
              <w:rPr>
                <w:sz w:val="20"/>
                <w:szCs w:val="20"/>
                <w:color w:val="auto"/>
              </w:rPr>
            </w:pPr>
            <w:r>
              <w:rPr>
                <w:rFonts w:ascii="Arial" w:cs="Arial" w:eastAsia="Arial" w:hAnsi="Arial"/>
                <w:sz w:val="16"/>
                <w:szCs w:val="16"/>
                <w:b w:val="1"/>
                <w:bCs w:val="1"/>
                <w:color w:val="auto"/>
                <w:w w:val="90"/>
              </w:rPr>
              <w:t>Stock</w:t>
            </w:r>
            <w:r>
              <w:rPr>
                <w:rFonts w:ascii="Arial" w:cs="Arial" w:eastAsia="Arial" w:hAnsi="Arial"/>
                <w:sz w:val="20"/>
                <w:szCs w:val="20"/>
                <w:b w:val="1"/>
                <w:bCs w:val="1"/>
                <w:color w:val="auto"/>
                <w:w w:val="90"/>
                <w:vertAlign w:val="superscript"/>
              </w:rPr>
              <w:t>(3)</w:t>
            </w:r>
          </w:p>
        </w:tc>
        <w:tc>
          <w:tcPr>
            <w:tcW w:w="0" w:type="dxa"/>
            <w:vAlign w:val="bottom"/>
          </w:tcPr>
          <w:p>
            <w:pPr>
              <w:spacing w:after="0"/>
              <w:rPr>
                <w:sz w:val="1"/>
                <w:szCs w:val="1"/>
                <w:color w:val="auto"/>
              </w:rPr>
            </w:pPr>
          </w:p>
        </w:tc>
      </w:tr>
      <w:tr>
        <w:trPr>
          <w:trHeight w:val="141"/>
        </w:trPr>
        <w:tc>
          <w:tcPr>
            <w:tcW w:w="3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Irvin E. Aal</w:t>
            </w:r>
          </w:p>
        </w:tc>
        <w:tc>
          <w:tcPr>
            <w:tcW w:w="23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18,000</w:t>
            </w:r>
          </w:p>
        </w:tc>
        <w:tc>
          <w:tcPr>
            <w:tcW w:w="12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4,000</w:t>
            </w:r>
          </w:p>
        </w:tc>
        <w:tc>
          <w:tcPr>
            <w:tcW w:w="12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21,822</w:t>
            </w:r>
          </w:p>
        </w:tc>
        <w:tc>
          <w:tcPr>
            <w:tcW w:w="142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43,822</w:t>
            </w: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88"/>
        </w:trPr>
        <w:tc>
          <w:tcPr>
            <w:tcW w:w="3960" w:type="dxa"/>
            <w:vAlign w:val="bottom"/>
            <w:vMerge w:val="continue"/>
            <w:shd w:val="clear" w:color="auto" w:fill="CCEEFF"/>
          </w:tcPr>
          <w:p>
            <w:pPr>
              <w:spacing w:after="0"/>
              <w:rPr>
                <w:sz w:val="7"/>
                <w:szCs w:val="7"/>
                <w:color w:val="auto"/>
              </w:rPr>
            </w:pPr>
          </w:p>
        </w:tc>
        <w:tc>
          <w:tcPr>
            <w:tcW w:w="2380" w:type="dxa"/>
            <w:vAlign w:val="bottom"/>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ind w:left="40"/>
              <w:spacing w:after="0"/>
              <w:rPr>
                <w:sz w:val="20"/>
                <w:szCs w:val="20"/>
                <w:color w:val="auto"/>
              </w:rPr>
            </w:pPr>
            <w:r>
              <w:rPr>
                <w:rFonts w:ascii="Arial" w:cs="Arial" w:eastAsia="Arial" w:hAnsi="Arial"/>
                <w:sz w:val="16"/>
                <w:szCs w:val="16"/>
                <w:color w:val="auto"/>
              </w:rPr>
              <w:t>Robert M. Chiusano</w:t>
            </w:r>
          </w:p>
        </w:tc>
        <w:tc>
          <w:tcPr>
            <w:tcW w:w="2380" w:type="dxa"/>
            <w:vAlign w:val="bottom"/>
            <w:vMerge w:val="restart"/>
          </w:tcPr>
          <w:p>
            <w:pPr>
              <w:jc w:val="right"/>
              <w:ind w:right="81"/>
              <w:spacing w:after="0"/>
              <w:rPr>
                <w:sz w:val="20"/>
                <w:szCs w:val="20"/>
                <w:color w:val="auto"/>
              </w:rPr>
            </w:pPr>
            <w:r>
              <w:rPr>
                <w:rFonts w:ascii="Arial" w:cs="Arial" w:eastAsia="Arial" w:hAnsi="Arial"/>
                <w:sz w:val="16"/>
                <w:szCs w:val="16"/>
                <w:color w:val="auto"/>
              </w:rPr>
              <w:t>19,960</w:t>
            </w:r>
          </w:p>
        </w:tc>
        <w:tc>
          <w:tcPr>
            <w:tcW w:w="124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61"/>
              <w:spacing w:after="0"/>
              <w:rPr>
                <w:sz w:val="20"/>
                <w:szCs w:val="20"/>
                <w:color w:val="auto"/>
              </w:rPr>
            </w:pPr>
            <w:r>
              <w:rPr>
                <w:rFonts w:ascii="Arial" w:cs="Arial" w:eastAsia="Arial" w:hAnsi="Arial"/>
                <w:sz w:val="16"/>
                <w:szCs w:val="16"/>
                <w:color w:val="auto"/>
              </w:rPr>
              <w:t>22,412</w:t>
            </w:r>
          </w:p>
        </w:tc>
        <w:tc>
          <w:tcPr>
            <w:tcW w:w="1420" w:type="dxa"/>
            <w:vAlign w:val="bottom"/>
            <w:vMerge w:val="restart"/>
          </w:tcPr>
          <w:p>
            <w:pPr>
              <w:jc w:val="right"/>
              <w:ind w:right="141"/>
              <w:spacing w:after="0"/>
              <w:rPr>
                <w:sz w:val="20"/>
                <w:szCs w:val="20"/>
                <w:color w:val="auto"/>
              </w:rPr>
            </w:pPr>
            <w:r>
              <w:rPr>
                <w:rFonts w:ascii="Arial" w:cs="Arial" w:eastAsia="Arial" w:hAnsi="Arial"/>
                <w:sz w:val="16"/>
                <w:szCs w:val="16"/>
                <w:color w:val="auto"/>
              </w:rPr>
              <w:t>42,372</w:t>
            </w:r>
          </w:p>
        </w:tc>
        <w:tc>
          <w:tcPr>
            <w:tcW w:w="1200" w:type="dxa"/>
            <w:vAlign w:val="bottom"/>
          </w:tcPr>
          <w:p>
            <w:pPr>
              <w:jc w:val="right"/>
              <w:ind w:right="38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78"/>
        </w:trPr>
        <w:tc>
          <w:tcPr>
            <w:tcW w:w="3960" w:type="dxa"/>
            <w:vAlign w:val="bottom"/>
            <w:vMerge w:val="continue"/>
          </w:tcPr>
          <w:p>
            <w:pPr>
              <w:spacing w:after="0"/>
              <w:rPr>
                <w:sz w:val="6"/>
                <w:szCs w:val="6"/>
                <w:color w:val="auto"/>
              </w:rPr>
            </w:pPr>
          </w:p>
        </w:tc>
        <w:tc>
          <w:tcPr>
            <w:tcW w:w="2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Jerry N. Currie</w:t>
            </w:r>
          </w:p>
        </w:tc>
        <w:tc>
          <w:tcPr>
            <w:tcW w:w="23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21,000</w:t>
            </w:r>
          </w:p>
        </w:tc>
        <w:tc>
          <w:tcPr>
            <w:tcW w:w="12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4,000</w:t>
            </w:r>
          </w:p>
        </w:tc>
        <w:tc>
          <w:tcPr>
            <w:tcW w:w="12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25,000</w:t>
            </w: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88"/>
        </w:trPr>
        <w:tc>
          <w:tcPr>
            <w:tcW w:w="3960" w:type="dxa"/>
            <w:vAlign w:val="bottom"/>
            <w:vMerge w:val="continue"/>
            <w:shd w:val="clear" w:color="auto" w:fill="CCEEFF"/>
          </w:tcPr>
          <w:p>
            <w:pPr>
              <w:spacing w:after="0"/>
              <w:rPr>
                <w:sz w:val="7"/>
                <w:szCs w:val="7"/>
                <w:color w:val="auto"/>
              </w:rPr>
            </w:pPr>
          </w:p>
        </w:tc>
        <w:tc>
          <w:tcPr>
            <w:tcW w:w="2380" w:type="dxa"/>
            <w:vAlign w:val="bottom"/>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ind w:left="40"/>
              <w:spacing w:after="0"/>
              <w:rPr>
                <w:sz w:val="20"/>
                <w:szCs w:val="20"/>
                <w:color w:val="auto"/>
              </w:rPr>
            </w:pPr>
            <w:r>
              <w:rPr>
                <w:rFonts w:ascii="Arial" w:cs="Arial" w:eastAsia="Arial" w:hAnsi="Arial"/>
                <w:sz w:val="16"/>
                <w:szCs w:val="16"/>
                <w:color w:val="auto"/>
              </w:rPr>
              <w:t>S. Scott Degnan</w:t>
            </w:r>
          </w:p>
        </w:tc>
        <w:tc>
          <w:tcPr>
            <w:tcW w:w="2380" w:type="dxa"/>
            <w:vAlign w:val="bottom"/>
            <w:vMerge w:val="restart"/>
          </w:tcPr>
          <w:p>
            <w:pPr>
              <w:jc w:val="right"/>
              <w:ind w:right="81"/>
              <w:spacing w:after="0"/>
              <w:rPr>
                <w:sz w:val="20"/>
                <w:szCs w:val="20"/>
                <w:color w:val="auto"/>
              </w:rPr>
            </w:pPr>
            <w:r>
              <w:rPr>
                <w:rFonts w:ascii="Arial" w:cs="Arial" w:eastAsia="Arial" w:hAnsi="Arial"/>
                <w:sz w:val="16"/>
                <w:szCs w:val="16"/>
                <w:color w:val="auto"/>
              </w:rPr>
              <w:t>35,389</w:t>
            </w:r>
          </w:p>
        </w:tc>
        <w:tc>
          <w:tcPr>
            <w:tcW w:w="124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ind w:right="141"/>
              <w:spacing w:after="0"/>
              <w:rPr>
                <w:sz w:val="20"/>
                <w:szCs w:val="20"/>
                <w:color w:val="auto"/>
              </w:rPr>
            </w:pPr>
            <w:r>
              <w:rPr>
                <w:rFonts w:ascii="Arial" w:cs="Arial" w:eastAsia="Arial" w:hAnsi="Arial"/>
                <w:sz w:val="16"/>
                <w:szCs w:val="16"/>
                <w:color w:val="auto"/>
              </w:rPr>
              <w:t>35,389</w:t>
            </w:r>
          </w:p>
        </w:tc>
        <w:tc>
          <w:tcPr>
            <w:tcW w:w="1200" w:type="dxa"/>
            <w:vAlign w:val="bottom"/>
          </w:tcPr>
          <w:p>
            <w:pPr>
              <w:jc w:val="right"/>
              <w:ind w:right="38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78"/>
        </w:trPr>
        <w:tc>
          <w:tcPr>
            <w:tcW w:w="3960" w:type="dxa"/>
            <w:vAlign w:val="bottom"/>
            <w:vMerge w:val="continue"/>
          </w:tcPr>
          <w:p>
            <w:pPr>
              <w:spacing w:after="0"/>
              <w:rPr>
                <w:sz w:val="6"/>
                <w:szCs w:val="6"/>
                <w:color w:val="auto"/>
              </w:rPr>
            </w:pPr>
          </w:p>
        </w:tc>
        <w:tc>
          <w:tcPr>
            <w:tcW w:w="2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Lawrence A. Erickson</w:t>
            </w:r>
          </w:p>
        </w:tc>
        <w:tc>
          <w:tcPr>
            <w:tcW w:w="23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18,000</w:t>
            </w:r>
          </w:p>
        </w:tc>
        <w:tc>
          <w:tcPr>
            <w:tcW w:w="12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4,000</w:t>
            </w:r>
          </w:p>
        </w:tc>
        <w:tc>
          <w:tcPr>
            <w:tcW w:w="12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32,613</w:t>
            </w:r>
          </w:p>
        </w:tc>
        <w:tc>
          <w:tcPr>
            <w:tcW w:w="142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54,613</w:t>
            </w: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88"/>
        </w:trPr>
        <w:tc>
          <w:tcPr>
            <w:tcW w:w="3960" w:type="dxa"/>
            <w:vAlign w:val="bottom"/>
            <w:vMerge w:val="continue"/>
            <w:shd w:val="clear" w:color="auto" w:fill="CCEEFF"/>
          </w:tcPr>
          <w:p>
            <w:pPr>
              <w:spacing w:after="0"/>
              <w:rPr>
                <w:sz w:val="7"/>
                <w:szCs w:val="7"/>
                <w:color w:val="auto"/>
              </w:rPr>
            </w:pPr>
          </w:p>
        </w:tc>
        <w:tc>
          <w:tcPr>
            <w:tcW w:w="2380" w:type="dxa"/>
            <w:vAlign w:val="bottom"/>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ind w:left="40"/>
              <w:spacing w:after="0"/>
              <w:rPr>
                <w:sz w:val="20"/>
                <w:szCs w:val="20"/>
                <w:color w:val="auto"/>
              </w:rPr>
            </w:pPr>
            <w:r>
              <w:rPr>
                <w:rFonts w:ascii="Arial" w:cs="Arial" w:eastAsia="Arial" w:hAnsi="Arial"/>
                <w:sz w:val="16"/>
                <w:szCs w:val="16"/>
                <w:color w:val="auto"/>
              </w:rPr>
              <w:t>William C. Fisher</w:t>
            </w:r>
          </w:p>
        </w:tc>
        <w:tc>
          <w:tcPr>
            <w:tcW w:w="2380" w:type="dxa"/>
            <w:vAlign w:val="bottom"/>
            <w:vMerge w:val="restart"/>
          </w:tcPr>
          <w:p>
            <w:pPr>
              <w:jc w:val="right"/>
              <w:ind w:right="81"/>
              <w:spacing w:after="0"/>
              <w:rPr>
                <w:sz w:val="20"/>
                <w:szCs w:val="20"/>
                <w:color w:val="auto"/>
              </w:rPr>
            </w:pPr>
            <w:r>
              <w:rPr>
                <w:rFonts w:ascii="Arial" w:cs="Arial" w:eastAsia="Arial" w:hAnsi="Arial"/>
                <w:sz w:val="16"/>
                <w:szCs w:val="16"/>
                <w:color w:val="auto"/>
              </w:rPr>
              <w:t>6,000</w:t>
            </w:r>
          </w:p>
        </w:tc>
        <w:tc>
          <w:tcPr>
            <w:tcW w:w="124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61"/>
              <w:spacing w:after="0"/>
              <w:rPr>
                <w:sz w:val="20"/>
                <w:szCs w:val="20"/>
                <w:color w:val="auto"/>
              </w:rPr>
            </w:pPr>
            <w:r>
              <w:rPr>
                <w:rFonts w:ascii="Arial" w:cs="Arial" w:eastAsia="Arial" w:hAnsi="Arial"/>
                <w:sz w:val="16"/>
                <w:szCs w:val="16"/>
                <w:color w:val="auto"/>
              </w:rPr>
              <w:t>703</w:t>
            </w:r>
          </w:p>
        </w:tc>
        <w:tc>
          <w:tcPr>
            <w:tcW w:w="1420" w:type="dxa"/>
            <w:vAlign w:val="bottom"/>
            <w:vMerge w:val="restart"/>
          </w:tcPr>
          <w:p>
            <w:pPr>
              <w:jc w:val="right"/>
              <w:ind w:right="141"/>
              <w:spacing w:after="0"/>
              <w:rPr>
                <w:sz w:val="20"/>
                <w:szCs w:val="20"/>
                <w:color w:val="auto"/>
              </w:rPr>
            </w:pPr>
            <w:r>
              <w:rPr>
                <w:rFonts w:ascii="Arial" w:cs="Arial" w:eastAsia="Arial" w:hAnsi="Arial"/>
                <w:sz w:val="16"/>
                <w:szCs w:val="16"/>
                <w:color w:val="auto"/>
              </w:rPr>
              <w:t>6,703</w:t>
            </w:r>
          </w:p>
        </w:tc>
        <w:tc>
          <w:tcPr>
            <w:tcW w:w="1200" w:type="dxa"/>
            <w:vAlign w:val="bottom"/>
          </w:tcPr>
          <w:p>
            <w:pPr>
              <w:jc w:val="right"/>
              <w:ind w:right="38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78"/>
        </w:trPr>
        <w:tc>
          <w:tcPr>
            <w:tcW w:w="3960" w:type="dxa"/>
            <w:vAlign w:val="bottom"/>
            <w:vMerge w:val="continue"/>
          </w:tcPr>
          <w:p>
            <w:pPr>
              <w:spacing w:after="0"/>
              <w:rPr>
                <w:sz w:val="6"/>
                <w:szCs w:val="6"/>
                <w:color w:val="auto"/>
              </w:rPr>
            </w:pPr>
          </w:p>
        </w:tc>
        <w:tc>
          <w:tcPr>
            <w:tcW w:w="2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23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35,246</w:t>
            </w:r>
          </w:p>
        </w:tc>
        <w:tc>
          <w:tcPr>
            <w:tcW w:w="12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35,246</w:t>
            </w: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88"/>
        </w:trPr>
        <w:tc>
          <w:tcPr>
            <w:tcW w:w="3960" w:type="dxa"/>
            <w:vAlign w:val="bottom"/>
            <w:vMerge w:val="continue"/>
            <w:shd w:val="clear" w:color="auto" w:fill="CCEEFF"/>
          </w:tcPr>
          <w:p>
            <w:pPr>
              <w:spacing w:after="0"/>
              <w:rPr>
                <w:sz w:val="7"/>
                <w:szCs w:val="7"/>
                <w:color w:val="auto"/>
              </w:rPr>
            </w:pPr>
          </w:p>
        </w:tc>
        <w:tc>
          <w:tcPr>
            <w:tcW w:w="2380" w:type="dxa"/>
            <w:vAlign w:val="bottom"/>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ind w:left="40"/>
              <w:spacing w:after="0"/>
              <w:rPr>
                <w:sz w:val="20"/>
                <w:szCs w:val="20"/>
                <w:color w:val="auto"/>
              </w:rPr>
            </w:pPr>
            <w:r>
              <w:rPr>
                <w:rFonts w:ascii="Arial" w:cs="Arial" w:eastAsia="Arial" w:hAnsi="Arial"/>
                <w:sz w:val="16"/>
                <w:szCs w:val="16"/>
                <w:color w:val="auto"/>
              </w:rPr>
              <w:t>Daryl W. Krieger</w:t>
            </w:r>
          </w:p>
        </w:tc>
        <w:tc>
          <w:tcPr>
            <w:tcW w:w="2380" w:type="dxa"/>
            <w:vAlign w:val="bottom"/>
            <w:vMerge w:val="restart"/>
          </w:tcPr>
          <w:p>
            <w:pPr>
              <w:jc w:val="right"/>
              <w:ind w:right="81"/>
              <w:spacing w:after="0"/>
              <w:rPr>
                <w:sz w:val="20"/>
                <w:szCs w:val="20"/>
                <w:color w:val="auto"/>
              </w:rPr>
            </w:pPr>
            <w:r>
              <w:rPr>
                <w:rFonts w:ascii="Arial" w:cs="Arial" w:eastAsia="Arial" w:hAnsi="Arial"/>
                <w:sz w:val="16"/>
                <w:szCs w:val="16"/>
                <w:color w:val="auto"/>
              </w:rPr>
              <w:t>42,510</w:t>
            </w:r>
          </w:p>
        </w:tc>
        <w:tc>
          <w:tcPr>
            <w:tcW w:w="1240" w:type="dxa"/>
            <w:vAlign w:val="bottom"/>
            <w:vMerge w:val="restart"/>
          </w:tcPr>
          <w:p>
            <w:pPr>
              <w:jc w:val="right"/>
              <w:ind w:right="81"/>
              <w:spacing w:after="0"/>
              <w:rPr>
                <w:sz w:val="20"/>
                <w:szCs w:val="20"/>
                <w:color w:val="auto"/>
              </w:rPr>
            </w:pPr>
            <w:r>
              <w:rPr>
                <w:rFonts w:ascii="Arial" w:cs="Arial" w:eastAsia="Arial" w:hAnsi="Arial"/>
                <w:sz w:val="16"/>
                <w:szCs w:val="16"/>
                <w:color w:val="auto"/>
              </w:rPr>
              <w:t>2,667</w:t>
            </w:r>
          </w:p>
        </w:tc>
        <w:tc>
          <w:tcPr>
            <w:tcW w:w="122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ind w:right="141"/>
              <w:spacing w:after="0"/>
              <w:rPr>
                <w:sz w:val="20"/>
                <w:szCs w:val="20"/>
                <w:color w:val="auto"/>
              </w:rPr>
            </w:pPr>
            <w:r>
              <w:rPr>
                <w:rFonts w:ascii="Arial" w:cs="Arial" w:eastAsia="Arial" w:hAnsi="Arial"/>
                <w:sz w:val="16"/>
                <w:szCs w:val="16"/>
                <w:color w:val="auto"/>
              </w:rPr>
              <w:t>45,177</w:t>
            </w:r>
          </w:p>
        </w:tc>
        <w:tc>
          <w:tcPr>
            <w:tcW w:w="1200" w:type="dxa"/>
            <w:vAlign w:val="bottom"/>
          </w:tcPr>
          <w:p>
            <w:pPr>
              <w:jc w:val="right"/>
              <w:ind w:right="38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78"/>
        </w:trPr>
        <w:tc>
          <w:tcPr>
            <w:tcW w:w="3960" w:type="dxa"/>
            <w:vAlign w:val="bottom"/>
            <w:vMerge w:val="continue"/>
          </w:tcPr>
          <w:p>
            <w:pPr>
              <w:spacing w:after="0"/>
              <w:rPr>
                <w:sz w:val="6"/>
                <w:szCs w:val="6"/>
                <w:color w:val="auto"/>
              </w:rPr>
            </w:pPr>
          </w:p>
        </w:tc>
        <w:tc>
          <w:tcPr>
            <w:tcW w:w="2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23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55,359</w:t>
            </w:r>
          </w:p>
        </w:tc>
        <w:tc>
          <w:tcPr>
            <w:tcW w:w="12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12,500</w:t>
            </w:r>
          </w:p>
        </w:tc>
        <w:tc>
          <w:tcPr>
            <w:tcW w:w="12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67,859</w:t>
            </w: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88"/>
        </w:trPr>
        <w:tc>
          <w:tcPr>
            <w:tcW w:w="3960" w:type="dxa"/>
            <w:vAlign w:val="bottom"/>
            <w:vMerge w:val="continue"/>
            <w:shd w:val="clear" w:color="auto" w:fill="CCEEFF"/>
          </w:tcPr>
          <w:p>
            <w:pPr>
              <w:spacing w:after="0"/>
              <w:rPr>
                <w:sz w:val="7"/>
                <w:szCs w:val="7"/>
                <w:color w:val="auto"/>
              </w:rPr>
            </w:pPr>
          </w:p>
        </w:tc>
        <w:tc>
          <w:tcPr>
            <w:tcW w:w="2380" w:type="dxa"/>
            <w:vAlign w:val="bottom"/>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ind w:left="40"/>
              <w:spacing w:after="0"/>
              <w:rPr>
                <w:sz w:val="20"/>
                <w:szCs w:val="20"/>
                <w:color w:val="auto"/>
              </w:rPr>
            </w:pPr>
            <w:r>
              <w:rPr>
                <w:rFonts w:ascii="Arial" w:cs="Arial" w:eastAsia="Arial" w:hAnsi="Arial"/>
                <w:sz w:val="16"/>
                <w:szCs w:val="16"/>
                <w:color w:val="auto"/>
              </w:rPr>
              <w:t>Robert J. Olson</w:t>
            </w:r>
          </w:p>
        </w:tc>
        <w:tc>
          <w:tcPr>
            <w:tcW w:w="2380" w:type="dxa"/>
            <w:vAlign w:val="bottom"/>
            <w:vMerge w:val="restart"/>
          </w:tcPr>
          <w:p>
            <w:pPr>
              <w:jc w:val="right"/>
              <w:ind w:right="81"/>
              <w:spacing w:after="0"/>
              <w:rPr>
                <w:sz w:val="20"/>
                <w:szCs w:val="20"/>
                <w:color w:val="auto"/>
              </w:rPr>
            </w:pPr>
            <w:r>
              <w:rPr>
                <w:rFonts w:ascii="Arial" w:cs="Arial" w:eastAsia="Arial" w:hAnsi="Arial"/>
                <w:sz w:val="16"/>
                <w:szCs w:val="16"/>
                <w:color w:val="auto"/>
              </w:rPr>
              <w:t>50,110</w:t>
            </w:r>
          </w:p>
        </w:tc>
        <w:tc>
          <w:tcPr>
            <w:tcW w:w="1240" w:type="dxa"/>
            <w:vAlign w:val="bottom"/>
            <w:vMerge w:val="restart"/>
          </w:tcPr>
          <w:p>
            <w:pPr>
              <w:jc w:val="right"/>
              <w:ind w:right="81"/>
              <w:spacing w:after="0"/>
              <w:rPr>
                <w:sz w:val="20"/>
                <w:szCs w:val="20"/>
                <w:color w:val="auto"/>
              </w:rPr>
            </w:pPr>
            <w:r>
              <w:rPr>
                <w:rFonts w:ascii="Arial" w:cs="Arial" w:eastAsia="Arial" w:hAnsi="Arial"/>
                <w:sz w:val="16"/>
                <w:szCs w:val="16"/>
                <w:color w:val="auto"/>
              </w:rPr>
              <w:t>8,787</w:t>
            </w:r>
          </w:p>
        </w:tc>
        <w:tc>
          <w:tcPr>
            <w:tcW w:w="122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ind w:right="141"/>
              <w:spacing w:after="0"/>
              <w:rPr>
                <w:sz w:val="20"/>
                <w:szCs w:val="20"/>
                <w:color w:val="auto"/>
              </w:rPr>
            </w:pPr>
            <w:r>
              <w:rPr>
                <w:rFonts w:ascii="Arial" w:cs="Arial" w:eastAsia="Arial" w:hAnsi="Arial"/>
                <w:sz w:val="16"/>
                <w:szCs w:val="16"/>
                <w:color w:val="auto"/>
              </w:rPr>
              <w:t>58,897</w:t>
            </w:r>
          </w:p>
        </w:tc>
        <w:tc>
          <w:tcPr>
            <w:tcW w:w="1200" w:type="dxa"/>
            <w:vAlign w:val="bottom"/>
          </w:tcPr>
          <w:p>
            <w:pPr>
              <w:jc w:val="right"/>
              <w:ind w:right="381"/>
              <w:spacing w:after="0"/>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78"/>
        </w:trPr>
        <w:tc>
          <w:tcPr>
            <w:tcW w:w="3960" w:type="dxa"/>
            <w:vAlign w:val="bottom"/>
            <w:vMerge w:val="continue"/>
          </w:tcPr>
          <w:p>
            <w:pPr>
              <w:spacing w:after="0"/>
              <w:rPr>
                <w:sz w:val="6"/>
                <w:szCs w:val="6"/>
                <w:color w:val="auto"/>
              </w:rPr>
            </w:pPr>
          </w:p>
        </w:tc>
        <w:tc>
          <w:tcPr>
            <w:tcW w:w="2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Martha T. Rodamaker</w:t>
            </w:r>
          </w:p>
        </w:tc>
        <w:tc>
          <w:tcPr>
            <w:tcW w:w="23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11,500</w:t>
            </w:r>
          </w:p>
        </w:tc>
        <w:tc>
          <w:tcPr>
            <w:tcW w:w="12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5,725</w:t>
            </w:r>
          </w:p>
        </w:tc>
        <w:tc>
          <w:tcPr>
            <w:tcW w:w="142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17,225</w:t>
            </w: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88"/>
        </w:trPr>
        <w:tc>
          <w:tcPr>
            <w:tcW w:w="3960" w:type="dxa"/>
            <w:vAlign w:val="bottom"/>
            <w:vMerge w:val="continue"/>
            <w:shd w:val="clear" w:color="auto" w:fill="CCEEFF"/>
          </w:tcPr>
          <w:p>
            <w:pPr>
              <w:spacing w:after="0"/>
              <w:rPr>
                <w:sz w:val="7"/>
                <w:szCs w:val="7"/>
                <w:color w:val="auto"/>
              </w:rPr>
            </w:pPr>
          </w:p>
        </w:tc>
        <w:tc>
          <w:tcPr>
            <w:tcW w:w="2380" w:type="dxa"/>
            <w:vAlign w:val="bottom"/>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ind w:left="40"/>
              <w:spacing w:after="0"/>
              <w:rPr>
                <w:sz w:val="20"/>
                <w:szCs w:val="20"/>
                <w:color w:val="auto"/>
              </w:rPr>
            </w:pPr>
            <w:r>
              <w:rPr>
                <w:rFonts w:ascii="Arial" w:cs="Arial" w:eastAsia="Arial" w:hAnsi="Arial"/>
                <w:sz w:val="16"/>
                <w:szCs w:val="16"/>
                <w:color w:val="auto"/>
              </w:rPr>
              <w:t>Mark T. Schroepfer</w:t>
            </w:r>
          </w:p>
        </w:tc>
        <w:tc>
          <w:tcPr>
            <w:tcW w:w="2380" w:type="dxa"/>
            <w:vAlign w:val="bottom"/>
            <w:vMerge w:val="restart"/>
          </w:tcPr>
          <w:p>
            <w:pPr>
              <w:jc w:val="right"/>
              <w:ind w:right="81"/>
              <w:spacing w:after="0"/>
              <w:rPr>
                <w:sz w:val="20"/>
                <w:szCs w:val="20"/>
                <w:color w:val="auto"/>
              </w:rPr>
            </w:pPr>
            <w:r>
              <w:rPr>
                <w:rFonts w:ascii="Arial" w:cs="Arial" w:eastAsia="Arial" w:hAnsi="Arial"/>
                <w:sz w:val="16"/>
                <w:szCs w:val="16"/>
                <w:color w:val="auto"/>
              </w:rPr>
              <w:t>29,500</w:t>
            </w:r>
          </w:p>
        </w:tc>
        <w:tc>
          <w:tcPr>
            <w:tcW w:w="124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61"/>
              <w:spacing w:after="0"/>
              <w:rPr>
                <w:sz w:val="20"/>
                <w:szCs w:val="20"/>
                <w:color w:val="auto"/>
              </w:rPr>
            </w:pPr>
            <w:r>
              <w:rPr>
                <w:rFonts w:ascii="Arial" w:cs="Arial" w:eastAsia="Arial" w:hAnsi="Arial"/>
                <w:sz w:val="16"/>
                <w:szCs w:val="16"/>
                <w:color w:val="auto"/>
              </w:rPr>
              <w:t>2,549</w:t>
            </w:r>
          </w:p>
        </w:tc>
        <w:tc>
          <w:tcPr>
            <w:tcW w:w="1420" w:type="dxa"/>
            <w:vAlign w:val="bottom"/>
            <w:vMerge w:val="restart"/>
          </w:tcPr>
          <w:p>
            <w:pPr>
              <w:jc w:val="right"/>
              <w:ind w:right="141"/>
              <w:spacing w:after="0"/>
              <w:rPr>
                <w:sz w:val="20"/>
                <w:szCs w:val="20"/>
                <w:color w:val="auto"/>
              </w:rPr>
            </w:pPr>
            <w:r>
              <w:rPr>
                <w:rFonts w:ascii="Arial" w:cs="Arial" w:eastAsia="Arial" w:hAnsi="Arial"/>
                <w:sz w:val="16"/>
                <w:szCs w:val="16"/>
                <w:color w:val="auto"/>
              </w:rPr>
              <w:t>32,049</w:t>
            </w:r>
          </w:p>
        </w:tc>
        <w:tc>
          <w:tcPr>
            <w:tcW w:w="1200" w:type="dxa"/>
            <w:vAlign w:val="bottom"/>
          </w:tcPr>
          <w:p>
            <w:pPr>
              <w:jc w:val="right"/>
              <w:ind w:right="38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78"/>
        </w:trPr>
        <w:tc>
          <w:tcPr>
            <w:tcW w:w="3960" w:type="dxa"/>
            <w:vAlign w:val="bottom"/>
            <w:vMerge w:val="continue"/>
          </w:tcPr>
          <w:p>
            <w:pPr>
              <w:spacing w:after="0"/>
              <w:rPr>
                <w:sz w:val="6"/>
                <w:szCs w:val="6"/>
                <w:color w:val="auto"/>
              </w:rPr>
            </w:pPr>
          </w:p>
        </w:tc>
        <w:tc>
          <w:tcPr>
            <w:tcW w:w="2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Directors and executive officers as a group</w:t>
            </w:r>
          </w:p>
        </w:tc>
        <w:tc>
          <w:tcPr>
            <w:tcW w:w="2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(15 persons)</w:t>
            </w:r>
          </w:p>
        </w:tc>
        <w:tc>
          <w:tcPr>
            <w:tcW w:w="23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404,231</w:t>
            </w: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35,954</w:t>
            </w: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85,824</w:t>
            </w:r>
          </w:p>
        </w:tc>
        <w:tc>
          <w:tcPr>
            <w:tcW w:w="1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526,009</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Includes shares held jointly with or by spouse and shares held as custodian, beneficial ownership of which is disclaimed.</w:t>
      </w:r>
    </w:p>
    <w:p>
      <w:pPr>
        <w:spacing w:after="0" w:line="48" w:lineRule="exact"/>
        <w:rPr>
          <w:rFonts w:ascii="Arial" w:cs="Arial" w:eastAsia="Arial" w:hAnsi="Arial"/>
          <w:sz w:val="12"/>
          <w:szCs w:val="12"/>
          <w:color w:val="auto"/>
        </w:rPr>
      </w:pPr>
    </w:p>
    <w:p>
      <w:pPr>
        <w:jc w:val="both"/>
        <w:ind w:left="320" w:right="240" w:hanging="315"/>
        <w:spacing w:after="0" w:line="239" w:lineRule="auto"/>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Winnebago Stock Units held under our Directors' Deferred Compensation Plan as of October 13, 2015 (see further discussion of the plan in the Director Compensation section). These units are to be settled 100% in Common Stock upon the earliest of the following events: director's termination of service, death or disability or a "change in control" of the Company, as defined in the plan.</w:t>
      </w:r>
    </w:p>
    <w:p>
      <w:pPr>
        <w:spacing w:after="0" w:line="42" w:lineRule="exact"/>
        <w:rPr>
          <w:rFonts w:ascii="Arial" w:cs="Arial" w:eastAsia="Arial" w:hAnsi="Arial"/>
          <w:sz w:val="12"/>
          <w:szCs w:val="12"/>
          <w:color w:val="auto"/>
        </w:rPr>
      </w:pPr>
    </w:p>
    <w:p>
      <w:pPr>
        <w:ind w:left="320" w:right="40" w:hanging="315"/>
        <w:spacing w:after="0" w:line="239" w:lineRule="auto"/>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Based on 26,982,249 outstanding shares of Common Stock on October 13, 2015, together with 35,954 shares that directors and executive officers as a group have the right to acquire within 60 days of October 13, 2015 through the exercise of stock options, and shares representing the 85,824 Winnebago Stock Units held by directors under our Directors' Deferred Compensation Plan as of October 13, 2015.</w:t>
      </w:r>
    </w:p>
    <w:p>
      <w:pPr>
        <w:spacing w:after="0" w:line="42" w:lineRule="exact"/>
        <w:rPr>
          <w:rFonts w:ascii="Arial" w:cs="Arial" w:eastAsia="Arial" w:hAnsi="Arial"/>
          <w:sz w:val="12"/>
          <w:szCs w:val="12"/>
          <w:color w:val="auto"/>
        </w:rPr>
      </w:pPr>
    </w:p>
    <w:p>
      <w:pPr>
        <w:ind w:left="320" w:hanging="315"/>
        <w:spacing w:after="0"/>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Less than 1%.</w:t>
      </w:r>
    </w:p>
    <w:p>
      <w:pPr>
        <w:spacing w:after="0" w:line="153" w:lineRule="exact"/>
        <w:rPr>
          <w:rFonts w:ascii="Arial" w:cs="Arial" w:eastAsia="Arial" w:hAnsi="Arial"/>
          <w:sz w:val="12"/>
          <w:szCs w:val="12"/>
          <w:color w:val="auto"/>
        </w:rPr>
      </w:pPr>
    </w:p>
    <w:p>
      <w:pPr>
        <w:ind w:left="320" w:hanging="315"/>
        <w:spacing w:after="0"/>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Mr. Olson served as Interim CEO from August 6, 2015 to September 24, 2015.</w:t>
      </w:r>
    </w:p>
    <w:p>
      <w:pPr>
        <w:sectPr>
          <w:pgSz w:w="11900" w:h="16838" w:orient="portrait"/>
          <w:cols w:equalWidth="0" w:num="1">
            <w:col w:w="11420"/>
          </w:cols>
          <w:pgMar w:left="240" w:top="298" w:right="239" w:bottom="1440" w:gutter="0" w:footer="0" w:header="0"/>
        </w:sect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Section 16(a) of the Exchange Act requires our officers and directors and persons who own more than 10% of the our Common Stock (collectively, “Reporting Persons”) to file reports of ownership and changes in ownership with the SEC. Reporting Persons are required by the SEC regulations to furnish us with copies of all Section 16(a) forms they file. Based solely on its review of the copies of such forms received or written representations from certain Reporting Persons that no Forms 5 were required for those persons, we believe that, during Fiscal 2015, all Reporting Persons complied with all applicable filing requirements.</w:t>
      </w:r>
    </w:p>
    <w:p>
      <w:pPr>
        <w:spacing w:after="0" w:line="164" w:lineRule="exact"/>
        <w:rPr>
          <w:sz w:val="20"/>
          <w:szCs w:val="20"/>
          <w:color w:val="auto"/>
        </w:rPr>
      </w:pPr>
    </w:p>
    <w:p>
      <w:pPr>
        <w:ind w:right="1000"/>
        <w:spacing w:after="0" w:line="270" w:lineRule="auto"/>
        <w:rPr>
          <w:sz w:val="20"/>
          <w:szCs w:val="20"/>
          <w:color w:val="auto"/>
        </w:rPr>
      </w:pPr>
      <w:r>
        <w:rPr>
          <w:rFonts w:ascii="Arial" w:cs="Arial" w:eastAsia="Arial" w:hAnsi="Arial"/>
          <w:sz w:val="16"/>
          <w:szCs w:val="16"/>
          <w:b w:val="1"/>
          <w:bCs w:val="1"/>
          <w:color w:val="auto"/>
        </w:rPr>
        <w:t>BOARD OF DIRECTORS, COMMITTEES OF THE BOARD AND CORPORATE GOVERNANCE</w:t>
      </w:r>
    </w:p>
    <w:p>
      <w:pPr>
        <w:spacing w:after="0" w:line="136" w:lineRule="exact"/>
        <w:rPr>
          <w:sz w:val="20"/>
          <w:szCs w:val="20"/>
          <w:color w:val="auto"/>
        </w:rPr>
      </w:pPr>
    </w:p>
    <w:p>
      <w:pPr>
        <w:spacing w:after="0" w:line="247" w:lineRule="auto"/>
        <w:rPr>
          <w:sz w:val="20"/>
          <w:szCs w:val="20"/>
          <w:color w:val="auto"/>
        </w:rPr>
      </w:pPr>
      <w:r>
        <w:rPr>
          <w:rFonts w:ascii="Arial" w:cs="Arial" w:eastAsia="Arial" w:hAnsi="Arial"/>
          <w:sz w:val="16"/>
          <w:szCs w:val="16"/>
          <w:b w:val="1"/>
          <w:bCs w:val="1"/>
          <w:color w:val="auto"/>
        </w:rPr>
        <w:t xml:space="preserve">Board Leadership Structure. </w:t>
      </w:r>
      <w:r>
        <w:rPr>
          <w:rFonts w:ascii="Arial" w:cs="Arial" w:eastAsia="Arial" w:hAnsi="Arial"/>
          <w:sz w:val="16"/>
          <w:szCs w:val="16"/>
          <w:color w:val="auto"/>
        </w:rPr>
        <w:t>Our By-Laws and Corporate Governance Policy</w:t>
      </w:r>
      <w:r>
        <w:rPr>
          <w:rFonts w:ascii="Arial" w:cs="Arial" w:eastAsia="Arial" w:hAnsi="Arial"/>
          <w:sz w:val="16"/>
          <w:szCs w:val="16"/>
          <w:b w:val="1"/>
          <w:bCs w:val="1"/>
          <w:color w:val="auto"/>
        </w:rPr>
        <w:t xml:space="preserve"> </w:t>
      </w:r>
      <w:r>
        <w:rPr>
          <w:rFonts w:ascii="Arial" w:cs="Arial" w:eastAsia="Arial" w:hAnsi="Arial"/>
          <w:sz w:val="16"/>
          <w:szCs w:val="16"/>
          <w:color w:val="auto"/>
        </w:rPr>
        <w:t>delegate to the Board of Directors the right to exercise its discretion to either separate or combine the offices of Board Chair and Chief Executive Officer ("CEO"). This decision is based upon the Board's determination of what is in the best interests of Winnebago Industries and our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160"/>
        <w:spacing w:after="0" w:line="185" w:lineRule="exact"/>
        <w:rPr>
          <w:sz w:val="20"/>
          <w:szCs w:val="20"/>
          <w:color w:val="auto"/>
        </w:rPr>
      </w:pPr>
      <w:r>
        <w:rPr>
          <w:rFonts w:ascii="Arial" w:cs="Arial" w:eastAsia="Arial" w:hAnsi="Arial"/>
          <w:sz w:val="16"/>
          <w:szCs w:val="16"/>
          <w:color w:val="auto"/>
        </w:rPr>
        <w:t>shareholders, in light of then</w:t>
      </w:r>
      <w:r>
        <w:rPr>
          <w:rFonts w:ascii="MS PGothic" w:cs="MS PGothic" w:eastAsia="MS PGothic" w:hAnsi="MS PGothic"/>
          <w:sz w:val="16"/>
          <w:szCs w:val="16"/>
          <w:color w:val="auto"/>
        </w:rPr>
        <w:t>‑</w:t>
      </w:r>
      <w:r>
        <w:rPr>
          <w:rFonts w:ascii="Arial" w:cs="Arial" w:eastAsia="Arial" w:hAnsi="Arial"/>
          <w:sz w:val="16"/>
          <w:szCs w:val="16"/>
          <w:color w:val="auto"/>
        </w:rPr>
        <w:t>current and anticipated future circumstances and taking into consideration succession planning, skills and experience of the individual(s) filling those positions, and other relevant factors.</w:t>
      </w:r>
    </w:p>
    <w:p>
      <w:pPr>
        <w:spacing w:after="0" w:line="179"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Mr. Potts, the former Chair, CEO, and President, retired effective August 6, 2015. At that time, Lawrence A. Erickson, then Lead Director, was elected as the Chair. At the October 14, 2015, Board meeting, the Board determined that, in their best judgment, the Chair and CEO role should be split, with the Chair being one of the independent directors and the CEO being a non-independent, employee director. The Board determined that this was a best corporate governance practice and would lead to better decision making, better shareholder value, and more clear cut lines of authority.</w:t>
      </w:r>
    </w:p>
    <w:p>
      <w:pPr>
        <w:spacing w:after="0" w:line="18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Following Mr. Potts' retirement, Robert J. Olson, former Chair and CEO who had retired from the Company's Board in December 2014, returned and was named the interim CEO and served as such from August 6, 2015 until September 24, 2015. On September 25, 2015, the Board elected Mr. Erickson to fill the role of CEO until a permanent CEO is found. Mr. Fisher was appointed at the March 18, 2015, Board meeting, effective May 1, 2015, to the opening in the Board created by</w:t>
      </w:r>
    </w:p>
    <w:p>
      <w:pPr>
        <w:spacing w:after="0" w:line="205" w:lineRule="exact"/>
        <w:rPr>
          <w:sz w:val="20"/>
          <w:szCs w:val="20"/>
          <w:color w:val="auto"/>
        </w:rPr>
      </w:pPr>
    </w:p>
    <w:p>
      <w:pPr>
        <w:sectPr>
          <w:pgSz w:w="11900" w:h="16838" w:orient="portrait"/>
          <w:cols w:equalWidth="0" w:num="2">
            <w:col w:w="5560" w:space="260"/>
            <w:col w:w="5600"/>
          </w:cols>
          <w:pgMar w:left="240" w:top="298" w:right="239" w:bottom="1440" w:gutter="0" w:footer="0" w:header="0"/>
          <w:type w:val="continuous"/>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20"/>
          </w:cols>
          <w:pgMar w:left="240" w:top="298" w:right="239" w:bottom="1440" w:gutter="0" w:footer="0" w:header="0"/>
          <w:type w:val="continuous"/>
        </w:sectPr>
      </w:pPr>
    </w:p>
    <w:bookmarkStart w:id="6" w:name="page7"/>
    <w:bookmarkEnd w:id="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Robert J. Olson's retirement from the Board in December 2014.</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Having an independent Chair provides us with a strong governance and leadership structure that is designed to exercise independent oversight of our management ("Management") and key issues related to strategy and risk. In addition, only independent Directors serve on the Audit Committee, the Human Resources Committee and the Nominating and Governance Committee of the Board; moreover, Non-Employee Directors regularly hold executive sessions of the Board outside the presence of the CEO or any other Winnebago Industries employee with the Corporate Governance Policy requiring the Board's independent Directors to hold executive sessions at least once each year; such executive sessions are led by the Chair; and we have established a Shareholder and Other Interested Party Communications Policy for all shareholders and other interested parties.</w:t>
      </w:r>
    </w:p>
    <w:p>
      <w:pPr>
        <w:spacing w:after="0" w:line="185"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The Board recognizes that, depending on the specific characteristics and circumstances of the Company, other leadership structures might also be appropriate. The Company is committed to reviewing this determination on an annual basis.</w:t>
      </w:r>
    </w:p>
    <w:p>
      <w:pPr>
        <w:spacing w:after="0" w:line="161"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b w:val="1"/>
          <w:bCs w:val="1"/>
          <w:color w:val="auto"/>
        </w:rPr>
        <w:t xml:space="preserve">Lead Director. </w:t>
      </w:r>
      <w:r>
        <w:rPr>
          <w:rFonts w:ascii="Arial" w:cs="Arial" w:eastAsia="Arial" w:hAnsi="Arial"/>
          <w:sz w:val="15"/>
          <w:szCs w:val="15"/>
          <w:color w:val="auto"/>
        </w:rPr>
        <w:t>According to the Company's Corporate Governance Policy,</w:t>
      </w:r>
      <w:r>
        <w:rPr>
          <w:rFonts w:ascii="Arial" w:cs="Arial" w:eastAsia="Arial" w:hAnsi="Arial"/>
          <w:sz w:val="15"/>
          <w:szCs w:val="15"/>
          <w:b w:val="1"/>
          <w:bCs w:val="1"/>
          <w:color w:val="auto"/>
        </w:rPr>
        <w:t xml:space="preserve"> </w:t>
      </w:r>
      <w:r>
        <w:rPr>
          <w:rFonts w:ascii="Arial" w:cs="Arial" w:eastAsia="Arial" w:hAnsi="Arial"/>
          <w:sz w:val="15"/>
          <w:szCs w:val="15"/>
          <w:color w:val="auto"/>
        </w:rPr>
        <w:t>when the Chair of the Board is also the CEO or an employee of the Company, the Non-Employee Directors shall select an independent director to preside or lead at each executive session (the “Lead Director”). The Company's Corporate Governance Policy sets forth the authority, duties and responsibilities of the Board of Directors' Lead Director as follows: convene and chair meetings of the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Non-Employee Directors in executive session at each Board meeting; convene and chair meetings of the independent directors in executive session no less than once each year; preside at all meetings of the Board at which the Chair and CEO is not present, including executive sessions of the non-management directors and independent directors; solicit the Non-Employee Directors for advice on agenda items for meetings of the Board; serve as a liaison between the Chair and CEO and the Non-Employee Directors; collaborate with the Chair and CEO in developing the agenda for meetings of the Board and approve such agendas; consult with the Chair and CEO on information that is sent to the Board; collaborate with the Chair and the Chairs of the standing committees in developing and managing the schedule of meetings of the Board and approve such schedules; and if requested by major shareholders, ensure that he or she is available for consultation and direct communication. In performing the duties described above, the Lead Director is expected to consult with the Chairs of the appropriate Board committees and solicit their participation. The Lead Director also performs such other duties as may be assigned to the Lead Director by the Company's By-Laws or the Board. Mr. Erickson was Lead Director and was named Board Chair when Mr. Potts retired on August 6, 2015. Mr. Erickson assumed the role of Interim CEO on September 25 and now serves as Chair and Interim CEO. Because his CEO role is interim, the Board has not designated a Lead Director and Mr. Erickson is acting as both Chair and Lead Director. In the event Mr. Erickson's role as CEO continues beyond the near term, the Board will re-examine the need to fill the Lead Director role with an independent director.</w:t>
      </w:r>
    </w:p>
    <w:p>
      <w:pPr>
        <w:spacing w:after="0" w:line="513" w:lineRule="exact"/>
        <w:rPr>
          <w:sz w:val="20"/>
          <w:szCs w:val="20"/>
          <w:color w:val="auto"/>
        </w:rPr>
      </w:pPr>
    </w:p>
    <w:p>
      <w:pPr>
        <w:sectPr>
          <w:pgSz w:w="11900" w:h="16838" w:orient="portrait"/>
          <w:cols w:equalWidth="0" w:num="2">
            <w:col w:w="5580" w:space="240"/>
            <w:col w:w="5600"/>
          </w:cols>
          <w:pgMar w:left="240" w:top="298" w:right="239" w:bottom="1440" w:gutter="0" w:footer="0" w:header="0"/>
          <w:type w:val="continuous"/>
        </w:sectPr>
      </w:pPr>
    </w:p>
    <w:p>
      <w:pPr>
        <w:spacing w:after="0" w:line="45" w:lineRule="exact"/>
        <w:rPr>
          <w:sz w:val="20"/>
          <w:szCs w:val="20"/>
          <w:color w:val="auto"/>
        </w:rPr>
      </w:pPr>
    </w:p>
    <w:p>
      <w:pPr>
        <w:ind w:right="420"/>
        <w:spacing w:after="0" w:line="270" w:lineRule="auto"/>
        <w:rPr>
          <w:sz w:val="20"/>
          <w:szCs w:val="20"/>
          <w:color w:val="auto"/>
        </w:rPr>
      </w:pPr>
      <w:r>
        <w:rPr>
          <w:rFonts w:ascii="Arial" w:cs="Arial" w:eastAsia="Arial" w:hAnsi="Arial"/>
          <w:sz w:val="16"/>
          <w:szCs w:val="16"/>
          <w:b w:val="1"/>
          <w:bCs w:val="1"/>
          <w:color w:val="auto"/>
        </w:rPr>
        <w:t xml:space="preserve">Committees of the Board. </w:t>
      </w:r>
      <w:r>
        <w:rPr>
          <w:rFonts w:ascii="Arial" w:cs="Arial" w:eastAsia="Arial" w:hAnsi="Arial"/>
          <w:sz w:val="16"/>
          <w:szCs w:val="16"/>
          <w:color w:val="auto"/>
        </w:rPr>
        <w:t>The Board has established standing Audit, Human Resources, Nominating and Governance, and Business Development Advisory</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to assist it in the discharge of its responsibilities. Each of such committees is governed by a written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64770</wp:posOffset>
            </wp:positionV>
            <wp:extent cx="3691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Committees of the Board</w:t>
            </w:r>
          </w:p>
        </w:tc>
        <w:tc>
          <w:tcPr>
            <w:tcW w:w="1420" w:type="dxa"/>
            <w:vAlign w:val="bottom"/>
            <w:tcBorders>
              <w:bottom w:val="single" w:sz="8" w:color="auto"/>
            </w:tcBorders>
          </w:tcPr>
          <w:p>
            <w:pPr>
              <w:spacing w:after="0"/>
              <w:rPr>
                <w:sz w:val="19"/>
                <w:szCs w:val="19"/>
                <w:color w:val="auto"/>
              </w:rPr>
            </w:pPr>
          </w:p>
        </w:tc>
      </w:tr>
      <w:tr>
        <w:trPr>
          <w:trHeight w:val="191"/>
        </w:trPr>
        <w:tc>
          <w:tcPr>
            <w:tcW w:w="5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8"/>
              </w:rPr>
              <w:t>Business</w:t>
            </w:r>
          </w:p>
        </w:tc>
      </w:tr>
      <w:tr>
        <w:trPr>
          <w:trHeight w:val="183"/>
        </w:trPr>
        <w:tc>
          <w:tcPr>
            <w:tcW w:w="5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jc w:val="center"/>
              <w:ind w:left="121"/>
              <w:spacing w:after="0"/>
              <w:rPr>
                <w:sz w:val="20"/>
                <w:szCs w:val="20"/>
                <w:color w:val="auto"/>
              </w:rPr>
            </w:pPr>
            <w:r>
              <w:rPr>
                <w:rFonts w:ascii="Arial" w:cs="Arial" w:eastAsia="Arial" w:hAnsi="Arial"/>
                <w:sz w:val="16"/>
                <w:szCs w:val="16"/>
                <w:b w:val="1"/>
                <w:bCs w:val="1"/>
                <w:color w:val="auto"/>
                <w:w w:val="95"/>
              </w:rPr>
              <w:t>Human</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7"/>
              </w:rPr>
              <w:t>Nominating and</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7"/>
              </w:rPr>
              <w:t>Development</w:t>
            </w:r>
          </w:p>
        </w:tc>
      </w:tr>
      <w:tr>
        <w:trPr>
          <w:trHeight w:val="221"/>
        </w:trPr>
        <w:tc>
          <w:tcPr>
            <w:tcW w:w="5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81"/>
              <w:spacing w:after="0"/>
              <w:rPr>
                <w:sz w:val="20"/>
                <w:szCs w:val="20"/>
                <w:color w:val="auto"/>
              </w:rPr>
            </w:pPr>
            <w:r>
              <w:rPr>
                <w:rFonts w:ascii="Arial" w:cs="Arial" w:eastAsia="Arial" w:hAnsi="Arial"/>
                <w:sz w:val="16"/>
                <w:szCs w:val="16"/>
                <w:b w:val="1"/>
                <w:bCs w:val="1"/>
                <w:color w:val="auto"/>
                <w:w w:val="97"/>
              </w:rPr>
              <w:t>Audit</w:t>
            </w:r>
          </w:p>
        </w:tc>
        <w:tc>
          <w:tcPr>
            <w:tcW w:w="144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b w:val="1"/>
                <w:bCs w:val="1"/>
                <w:color w:val="auto"/>
                <w:w w:val="97"/>
              </w:rPr>
              <w:t>Resources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Governance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Advisory</w:t>
            </w:r>
          </w:p>
        </w:tc>
      </w:tr>
      <w:tr>
        <w:trPr>
          <w:trHeight w:val="262"/>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Irvin E. Aal </w:t>
            </w:r>
            <w:r>
              <w:rPr>
                <w:rFonts w:ascii="Arial" w:cs="Arial" w:eastAsia="Arial" w:hAnsi="Arial"/>
                <w:sz w:val="20"/>
                <w:szCs w:val="20"/>
                <w:color w:val="auto"/>
                <w:vertAlign w:val="superscript"/>
              </w:rPr>
              <w:t>(1)</w:t>
            </w:r>
          </w:p>
        </w:tc>
        <w:tc>
          <w:tcPr>
            <w:tcW w:w="1360" w:type="dxa"/>
            <w:vAlign w:val="bottom"/>
            <w:shd w:val="clear" w:color="auto" w:fill="CCEEFF"/>
          </w:tcPr>
          <w:p>
            <w:pPr>
              <w:spacing w:after="0"/>
              <w:rPr>
                <w:sz w:val="22"/>
                <w:szCs w:val="22"/>
                <w:color w:val="auto"/>
              </w:rPr>
            </w:pPr>
          </w:p>
        </w:tc>
        <w:tc>
          <w:tcPr>
            <w:tcW w:w="144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93"/>
              </w:rPr>
              <w:t>X</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Chair</w:t>
            </w:r>
          </w:p>
        </w:tc>
        <w:tc>
          <w:tcPr>
            <w:tcW w:w="1420" w:type="dxa"/>
            <w:vAlign w:val="bottom"/>
            <w:shd w:val="clear" w:color="auto" w:fill="CCEEFF"/>
          </w:tcPr>
          <w:p>
            <w:pPr>
              <w:spacing w:after="0"/>
              <w:rPr>
                <w:sz w:val="22"/>
                <w:szCs w:val="22"/>
                <w:color w:val="auto"/>
              </w:rPr>
            </w:pP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Robert M. Chiusano </w:t>
            </w:r>
            <w:r>
              <w:rPr>
                <w:rFonts w:ascii="Arial" w:cs="Arial" w:eastAsia="Arial" w:hAnsi="Arial"/>
                <w:sz w:val="20"/>
                <w:szCs w:val="20"/>
                <w:color w:val="auto"/>
                <w:vertAlign w:val="superscript"/>
              </w:rPr>
              <w:t>(1)(3)</w:t>
            </w:r>
          </w:p>
        </w:tc>
        <w:tc>
          <w:tcPr>
            <w:tcW w:w="1360" w:type="dxa"/>
            <w:vAlign w:val="bottom"/>
          </w:tcPr>
          <w:p>
            <w:pPr>
              <w:spacing w:after="0"/>
              <w:rPr>
                <w:sz w:val="22"/>
                <w:szCs w:val="22"/>
                <w:color w:val="auto"/>
              </w:rPr>
            </w:pPr>
          </w:p>
        </w:tc>
        <w:tc>
          <w:tcPr>
            <w:tcW w:w="1440" w:type="dxa"/>
            <w:vAlign w:val="bottom"/>
          </w:tcPr>
          <w:p>
            <w:pPr>
              <w:jc w:val="center"/>
              <w:ind w:left="141"/>
              <w:spacing w:after="0"/>
              <w:rPr>
                <w:sz w:val="20"/>
                <w:szCs w:val="20"/>
                <w:color w:val="auto"/>
              </w:rPr>
            </w:pPr>
            <w:r>
              <w:rPr>
                <w:rFonts w:ascii="Arial" w:cs="Arial" w:eastAsia="Arial" w:hAnsi="Arial"/>
                <w:sz w:val="16"/>
                <w:szCs w:val="16"/>
                <w:color w:val="auto"/>
                <w:w w:val="93"/>
              </w:rPr>
              <w:t>X</w:t>
            </w:r>
          </w:p>
        </w:tc>
        <w:tc>
          <w:tcPr>
            <w:tcW w:w="16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262"/>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Jerry N. Currie </w:t>
            </w:r>
            <w:r>
              <w:rPr>
                <w:rFonts w:ascii="Arial" w:cs="Arial" w:eastAsia="Arial" w:hAnsi="Arial"/>
                <w:sz w:val="20"/>
                <w:szCs w:val="20"/>
                <w:color w:val="auto"/>
                <w:vertAlign w:val="superscript"/>
              </w:rPr>
              <w:t>(1)</w:t>
            </w:r>
          </w:p>
        </w:tc>
        <w:tc>
          <w:tcPr>
            <w:tcW w:w="1360" w:type="dxa"/>
            <w:vAlign w:val="bottom"/>
            <w:shd w:val="clear" w:color="auto" w:fill="CCEEFF"/>
          </w:tcPr>
          <w:p>
            <w:pPr>
              <w:jc w:val="center"/>
              <w:ind w:left="61"/>
              <w:spacing w:after="0"/>
              <w:rPr>
                <w:sz w:val="20"/>
                <w:szCs w:val="20"/>
                <w:color w:val="auto"/>
              </w:rPr>
            </w:pPr>
            <w:r>
              <w:rPr>
                <w:rFonts w:ascii="Arial" w:cs="Arial" w:eastAsia="Arial" w:hAnsi="Arial"/>
                <w:sz w:val="16"/>
                <w:szCs w:val="16"/>
                <w:color w:val="auto"/>
                <w:w w:val="93"/>
              </w:rPr>
              <w:t>X</w:t>
            </w:r>
          </w:p>
        </w:tc>
        <w:tc>
          <w:tcPr>
            <w:tcW w:w="144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420" w:type="dxa"/>
            <w:vAlign w:val="bottom"/>
            <w:shd w:val="clear" w:color="auto" w:fill="CCEEFF"/>
          </w:tcPr>
          <w:p>
            <w:pPr>
              <w:spacing w:after="0"/>
              <w:rPr>
                <w:sz w:val="22"/>
                <w:szCs w:val="22"/>
                <w:color w:val="auto"/>
              </w:rPr>
            </w:pP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Lawrence A. Erickson (Chair) </w:t>
            </w:r>
            <w:r>
              <w:rPr>
                <w:rFonts w:ascii="Arial" w:cs="Arial" w:eastAsia="Arial" w:hAnsi="Arial"/>
                <w:sz w:val="20"/>
                <w:szCs w:val="20"/>
                <w:color w:val="auto"/>
                <w:vertAlign w:val="superscript"/>
              </w:rPr>
              <w:t>(3)</w:t>
            </w:r>
          </w:p>
        </w:tc>
        <w:tc>
          <w:tcPr>
            <w:tcW w:w="1360" w:type="dxa"/>
            <w:vAlign w:val="bottom"/>
          </w:tcPr>
          <w:p>
            <w:pPr>
              <w:spacing w:after="0"/>
              <w:rPr>
                <w:sz w:val="22"/>
                <w:szCs w:val="22"/>
                <w:color w:val="auto"/>
              </w:rPr>
            </w:pPr>
          </w:p>
        </w:tc>
        <w:tc>
          <w:tcPr>
            <w:tcW w:w="1440" w:type="dxa"/>
            <w:vAlign w:val="bottom"/>
          </w:tcPr>
          <w:p>
            <w:pPr>
              <w:jc w:val="center"/>
              <w:ind w:left="141"/>
              <w:spacing w:after="0"/>
              <w:rPr>
                <w:sz w:val="20"/>
                <w:szCs w:val="20"/>
                <w:color w:val="auto"/>
              </w:rPr>
            </w:pPr>
            <w:r>
              <w:rPr>
                <w:rFonts w:ascii="Arial" w:cs="Arial" w:eastAsia="Arial" w:hAnsi="Arial"/>
                <w:sz w:val="16"/>
                <w:szCs w:val="16"/>
                <w:color w:val="auto"/>
                <w:w w:val="99"/>
              </w:rPr>
              <w:t>Chair</w:t>
            </w:r>
          </w:p>
        </w:tc>
        <w:tc>
          <w:tcPr>
            <w:tcW w:w="16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2"/>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William C. Fisher </w:t>
            </w:r>
            <w:r>
              <w:rPr>
                <w:rFonts w:ascii="Arial" w:cs="Arial" w:eastAsia="Arial" w:hAnsi="Arial"/>
                <w:sz w:val="20"/>
                <w:szCs w:val="20"/>
                <w:color w:val="auto"/>
                <w:vertAlign w:val="superscript"/>
              </w:rPr>
              <w:t>(1)</w:t>
            </w:r>
          </w:p>
        </w:tc>
        <w:tc>
          <w:tcPr>
            <w:tcW w:w="1360" w:type="dxa"/>
            <w:vAlign w:val="bottom"/>
            <w:shd w:val="clear" w:color="auto" w:fill="CCEEFF"/>
          </w:tcPr>
          <w:p>
            <w:pPr>
              <w:spacing w:after="0"/>
              <w:rPr>
                <w:sz w:val="22"/>
                <w:szCs w:val="22"/>
                <w:color w:val="auto"/>
              </w:rPr>
            </w:pPr>
          </w:p>
        </w:tc>
        <w:tc>
          <w:tcPr>
            <w:tcW w:w="144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93"/>
              </w:rPr>
              <w:t>X</w:t>
            </w:r>
          </w:p>
        </w:tc>
        <w:tc>
          <w:tcPr>
            <w:tcW w:w="16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Martha T. Rodamaker </w:t>
            </w:r>
            <w:r>
              <w:rPr>
                <w:rFonts w:ascii="Arial" w:cs="Arial" w:eastAsia="Arial" w:hAnsi="Arial"/>
                <w:sz w:val="20"/>
                <w:szCs w:val="20"/>
                <w:color w:val="auto"/>
                <w:vertAlign w:val="superscript"/>
              </w:rPr>
              <w:t>(1)</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w w:val="93"/>
              </w:rPr>
              <w:t>X</w:t>
            </w:r>
          </w:p>
        </w:tc>
        <w:tc>
          <w:tcPr>
            <w:tcW w:w="1440" w:type="dxa"/>
            <w:vAlign w:val="bottom"/>
          </w:tcPr>
          <w:p>
            <w:pPr>
              <w:jc w:val="center"/>
              <w:ind w:left="141"/>
              <w:spacing w:after="0"/>
              <w:rPr>
                <w:sz w:val="20"/>
                <w:szCs w:val="20"/>
                <w:color w:val="auto"/>
              </w:rPr>
            </w:pPr>
            <w:r>
              <w:rPr>
                <w:rFonts w:ascii="Arial" w:cs="Arial" w:eastAsia="Arial" w:hAnsi="Arial"/>
                <w:sz w:val="16"/>
                <w:szCs w:val="16"/>
                <w:color w:val="auto"/>
                <w:w w:val="93"/>
              </w:rPr>
              <w:t>X</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420" w:type="dxa"/>
            <w:vAlign w:val="bottom"/>
          </w:tcPr>
          <w:p>
            <w:pPr>
              <w:spacing w:after="0"/>
              <w:rPr>
                <w:sz w:val="22"/>
                <w:szCs w:val="22"/>
                <w:color w:val="auto"/>
              </w:rPr>
            </w:pPr>
          </w:p>
        </w:tc>
      </w:tr>
      <w:tr>
        <w:trPr>
          <w:trHeight w:val="262"/>
        </w:trPr>
        <w:tc>
          <w:tcPr>
            <w:tcW w:w="5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Mark T. Schroepfer </w:t>
            </w:r>
            <w:r>
              <w:rPr>
                <w:rFonts w:ascii="Arial" w:cs="Arial" w:eastAsia="Arial" w:hAnsi="Arial"/>
                <w:sz w:val="20"/>
                <w:szCs w:val="20"/>
                <w:color w:val="auto"/>
                <w:vertAlign w:val="superscript"/>
              </w:rPr>
              <w:t>(1)(2)</w:t>
            </w:r>
          </w:p>
        </w:tc>
        <w:tc>
          <w:tcPr>
            <w:tcW w:w="1360" w:type="dxa"/>
            <w:vAlign w:val="bottom"/>
            <w:tcBorders>
              <w:bottom w:val="single" w:sz="8" w:color="auto"/>
            </w:tcBorders>
            <w:shd w:val="clear" w:color="auto" w:fill="CCEEFF"/>
          </w:tcPr>
          <w:p>
            <w:pPr>
              <w:jc w:val="center"/>
              <w:ind w:left="61"/>
              <w:spacing w:after="0"/>
              <w:rPr>
                <w:sz w:val="20"/>
                <w:szCs w:val="20"/>
                <w:color w:val="auto"/>
              </w:rPr>
            </w:pPr>
            <w:r>
              <w:rPr>
                <w:rFonts w:ascii="Arial" w:cs="Arial" w:eastAsia="Arial" w:hAnsi="Arial"/>
                <w:sz w:val="16"/>
                <w:szCs w:val="16"/>
                <w:color w:val="auto"/>
                <w:w w:val="99"/>
              </w:rPr>
              <w:t>Chair</w:t>
            </w:r>
          </w:p>
        </w:tc>
        <w:tc>
          <w:tcPr>
            <w:tcW w:w="144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X</w:t>
            </w:r>
          </w:p>
        </w:tc>
      </w:tr>
      <w:tr>
        <w:trPr>
          <w:trHeight w:val="222"/>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Number of meetings in Fiscal 2015</w:t>
            </w:r>
          </w:p>
        </w:tc>
        <w:tc>
          <w:tcPr>
            <w:tcW w:w="1360" w:type="dxa"/>
            <w:vAlign w:val="bottom"/>
            <w:tcBorders>
              <w:bottom w:val="single" w:sz="8" w:color="auto"/>
            </w:tcBorders>
          </w:tcPr>
          <w:p>
            <w:pPr>
              <w:jc w:val="center"/>
              <w:ind w:left="81"/>
              <w:spacing w:after="0"/>
              <w:rPr>
                <w:sz w:val="20"/>
                <w:szCs w:val="20"/>
                <w:color w:val="auto"/>
              </w:rPr>
            </w:pPr>
            <w:r>
              <w:rPr>
                <w:rFonts w:ascii="Arial" w:cs="Arial" w:eastAsia="Arial" w:hAnsi="Arial"/>
                <w:sz w:val="16"/>
                <w:szCs w:val="16"/>
                <w:color w:val="auto"/>
                <w:w w:val="89"/>
              </w:rPr>
              <w:t>4</w:t>
            </w:r>
          </w:p>
        </w:tc>
        <w:tc>
          <w:tcPr>
            <w:tcW w:w="144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color w:val="auto"/>
                <w:w w:val="89"/>
              </w:rPr>
              <w:t>4</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3</w:t>
            </w:r>
          </w:p>
        </w:tc>
      </w:tr>
      <w:tr>
        <w:trPr>
          <w:trHeight w:val="242"/>
        </w:trPr>
        <w:tc>
          <w:tcPr>
            <w:tcW w:w="5600" w:type="dxa"/>
            <w:vAlign w:val="bottom"/>
          </w:tcPr>
          <w:p>
            <w:pPr>
              <w:ind w:left="40"/>
              <w:spacing w:after="0"/>
              <w:rPr>
                <w:sz w:val="20"/>
                <w:szCs w:val="20"/>
                <w:color w:val="auto"/>
              </w:rPr>
            </w:pPr>
            <w:r>
              <w:rPr>
                <w:rFonts w:ascii="Arial" w:cs="Arial" w:eastAsia="Arial" w:hAnsi="Arial"/>
                <w:sz w:val="16"/>
                <w:szCs w:val="16"/>
                <w:color w:val="auto"/>
              </w:rPr>
              <w:t>Conducted a self-assessment of its performance</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w w:val="93"/>
              </w:rPr>
              <w:t>X</w:t>
            </w:r>
          </w:p>
        </w:tc>
        <w:tc>
          <w:tcPr>
            <w:tcW w:w="1440" w:type="dxa"/>
            <w:vAlign w:val="bottom"/>
          </w:tcPr>
          <w:p>
            <w:pPr>
              <w:jc w:val="center"/>
              <w:ind w:left="141"/>
              <w:spacing w:after="0"/>
              <w:rPr>
                <w:sz w:val="20"/>
                <w:szCs w:val="20"/>
                <w:color w:val="auto"/>
              </w:rPr>
            </w:pPr>
            <w:r>
              <w:rPr>
                <w:rFonts w:ascii="Arial" w:cs="Arial" w:eastAsia="Arial" w:hAnsi="Arial"/>
                <w:sz w:val="16"/>
                <w:szCs w:val="16"/>
                <w:color w:val="auto"/>
                <w:w w:val="93"/>
              </w:rPr>
              <w:t>X</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2504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7"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2"/>
          <w:szCs w:val="12"/>
          <w:color w:val="auto"/>
        </w:rPr>
      </w:pPr>
      <w:r>
        <w:rPr>
          <w:rFonts w:ascii="Arial" w:cs="Arial" w:eastAsia="Arial" w:hAnsi="Arial"/>
          <w:sz w:val="14"/>
          <w:szCs w:val="14"/>
          <w:color w:val="auto"/>
        </w:rPr>
        <w:t>Determined to be "independent" under listing standards of the NYSE and our Director Nomination Policy (defined below).</w:t>
      </w:r>
    </w:p>
    <w:p>
      <w:pPr>
        <w:spacing w:after="0" w:line="48" w:lineRule="exact"/>
        <w:rPr>
          <w:rFonts w:ascii="Arial" w:cs="Arial" w:eastAsia="Arial" w:hAnsi="Arial"/>
          <w:sz w:val="12"/>
          <w:szCs w:val="12"/>
          <w:color w:val="auto"/>
        </w:rPr>
      </w:pPr>
    </w:p>
    <w:p>
      <w:pPr>
        <w:ind w:left="320" w:hanging="315"/>
        <w:spacing w:after="0"/>
        <w:tabs>
          <w:tab w:leader="none" w:pos="320" w:val="left"/>
        </w:tabs>
        <w:numPr>
          <w:ilvl w:val="0"/>
          <w:numId w:val="9"/>
        </w:numPr>
        <w:rPr>
          <w:rFonts w:ascii="Arial" w:cs="Arial" w:eastAsia="Arial" w:hAnsi="Arial"/>
          <w:sz w:val="12"/>
          <w:szCs w:val="12"/>
          <w:color w:val="auto"/>
        </w:rPr>
      </w:pPr>
      <w:r>
        <w:rPr>
          <w:rFonts w:ascii="Arial" w:cs="Arial" w:eastAsia="Arial" w:hAnsi="Arial"/>
          <w:sz w:val="14"/>
          <w:szCs w:val="14"/>
          <w:color w:val="auto"/>
        </w:rPr>
        <w:t>Designated as an "audit committee financial expert" for purposes of Item 407, Regulation S-K under the Securities Act of 1933, as amended.</w:t>
      </w:r>
    </w:p>
    <w:p>
      <w:pPr>
        <w:spacing w:after="0" w:line="48" w:lineRule="exact"/>
        <w:rPr>
          <w:rFonts w:ascii="Arial" w:cs="Arial" w:eastAsia="Arial" w:hAnsi="Arial"/>
          <w:sz w:val="12"/>
          <w:szCs w:val="12"/>
          <w:color w:val="auto"/>
        </w:rPr>
      </w:pPr>
    </w:p>
    <w:p>
      <w:pPr>
        <w:ind w:right="560" w:firstLine="5"/>
        <w:spacing w:after="0" w:line="245" w:lineRule="auto"/>
        <w:tabs>
          <w:tab w:leader="none" w:pos="209"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September 25, 2015, Mr. Erickson became the interim CEO and was no longer considered independent and, therefore, could no longer serve on any of the SEC/NYSE mandatory committees. During the time he remains as interim CEO Mr. Chiusano will be the chair of the HR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298" w:right="239" w:bottom="1440" w:gutter="0" w:footer="0" w:header="0"/>
          <w:type w:val="continuous"/>
        </w:sectPr>
      </w:pPr>
    </w:p>
    <w:bookmarkStart w:id="7" w:name="page8"/>
    <w:bookmarkEnd w:id="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principal responsibilities of each of these committees are described below.</w:t>
      </w:r>
    </w:p>
    <w:p>
      <w:pPr>
        <w:spacing w:after="0" w:line="163" w:lineRule="exact"/>
        <w:rPr>
          <w:sz w:val="20"/>
          <w:szCs w:val="20"/>
          <w:color w:val="auto"/>
        </w:rPr>
      </w:pPr>
    </w:p>
    <w:p>
      <w:pPr>
        <w:spacing w:after="0" w:line="257" w:lineRule="auto"/>
        <w:rPr>
          <w:sz w:val="20"/>
          <w:szCs w:val="20"/>
          <w:color w:val="auto"/>
        </w:rPr>
      </w:pPr>
      <w:r>
        <w:rPr>
          <w:rFonts w:ascii="Arial" w:cs="Arial" w:eastAsia="Arial" w:hAnsi="Arial"/>
          <w:sz w:val="15"/>
          <w:szCs w:val="15"/>
          <w:b w:val="1"/>
          <w:bCs w:val="1"/>
          <w:color w:val="auto"/>
        </w:rPr>
        <w:t xml:space="preserve">Audit Committee. </w:t>
      </w:r>
      <w:r>
        <w:rPr>
          <w:rFonts w:ascii="Arial" w:cs="Arial" w:eastAsia="Arial" w:hAnsi="Arial"/>
          <w:sz w:val="15"/>
          <w:szCs w:val="15"/>
          <w:color w:val="auto"/>
        </w:rPr>
        <w:t>Each year, the committee appoints the independent</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Audit Committee meeting typically include: the Chair; the CEO; the CFO; the Vice President, General Counsel and Secretary; and the Treasurer/Director of Finance. The Audit Committee meets at least annually with the CFO, the internal auditors and the independent auditors in separate executive sessions. The Audit Committee is also prepared to meet privately at any time at the request of the independent registered public accountant or members of our Management to review any special situation arising on any of the above subjects. The Audit Committee also performs other duties as set forth in its written charter which is available for review on our Web Site at http://www.winnebagoind.com/governance.html. The Audit Committee annually reviews its written charter and recommends to the Board such changes as it deems necessary. Reference is also made to the “Report of the Audit Committee” herein.</w:t>
      </w:r>
    </w:p>
    <w:p>
      <w:pPr>
        <w:spacing w:after="0" w:line="340"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b w:val="1"/>
          <w:bCs w:val="1"/>
          <w:color w:val="auto"/>
        </w:rPr>
        <w:t xml:space="preserve">Human Resources Committee. </w:t>
      </w:r>
      <w:r>
        <w:rPr>
          <w:rFonts w:ascii="Arial" w:cs="Arial" w:eastAsia="Arial" w:hAnsi="Arial"/>
          <w:sz w:val="15"/>
          <w:szCs w:val="15"/>
          <w:color w:val="auto"/>
        </w:rPr>
        <w:t>The Human Resources Committee's charter,</w:t>
      </w:r>
      <w:r>
        <w:rPr>
          <w:rFonts w:ascii="Arial" w:cs="Arial" w:eastAsia="Arial" w:hAnsi="Arial"/>
          <w:sz w:val="15"/>
          <w:szCs w:val="15"/>
          <w:b w:val="1"/>
          <w:bCs w:val="1"/>
          <w:color w:val="auto"/>
        </w:rPr>
        <w:t xml:space="preserve"> </w:t>
      </w:r>
      <w:r>
        <w:rPr>
          <w:rFonts w:ascii="Arial" w:cs="Arial" w:eastAsia="Arial" w:hAnsi="Arial"/>
          <w:sz w:val="15"/>
          <w:szCs w:val="15"/>
          <w:color w:val="auto"/>
        </w:rPr>
        <w:t>which is available for review on our Web Site at http://www.winnebagoind.com/governance.html,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w:t>
      </w:r>
    </w:p>
    <w:p>
      <w:pPr>
        <w:spacing w:after="0" w:line="1" w:lineRule="exact"/>
        <w:rPr>
          <w:sz w:val="20"/>
          <w:szCs w:val="20"/>
          <w:color w:val="auto"/>
        </w:rPr>
      </w:pPr>
    </w:p>
    <w:p>
      <w:pPr>
        <w:ind w:right="100" w:firstLine="5"/>
        <w:spacing w:after="0" w:line="255" w:lineRule="auto"/>
        <w:tabs>
          <w:tab w:leader="none" w:pos="236"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administering and approving awards under our incentive compensation and equity-based plan; (4) reviewing and approving any executive employment agreements, severance agreements, and change in control agreements;</w:t>
      </w:r>
    </w:p>
    <w:p>
      <w:pPr>
        <w:ind w:right="20" w:firstLine="5"/>
        <w:spacing w:after="0" w:line="239" w:lineRule="auto"/>
        <w:tabs>
          <w:tab w:leader="none" w:pos="2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from time to time, reviewing the list of peer group of companies to which we compare ourself for compensation purposes;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say on pay, as applicable for our Form 10-K and proxy statement; and (8) preparing an annual report on executive compensation for our Form 10-K and proxy statement.</w:t>
      </w:r>
    </w:p>
    <w:p>
      <w:pPr>
        <w:spacing w:after="0" w:line="166"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i w:val="1"/>
          <w:iCs w:val="1"/>
          <w:color w:val="auto"/>
        </w:rPr>
        <w:t xml:space="preserve">Role of Executive Officers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2015, the Human Resources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delegated authority to designated members of Management to approve employment compensation packages for certain employees, not including the Named Executive Officers (NEOs) (as defined below), under certain circumstances. During Fiscal 2015, Mr. Potts as CEO, recommended to the committee proposals for base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salary, target short-term incentive levels, actual short-term incentive payouts and long-term incentive grants for the other NEOs for Fiscal 2015. The committee separately considers, discusses, modifies as appropriate, and takes action on such proposals and the compensation of the CEO and other NEOs. See “Compensation Discussion and Analysis-Role of Executive Officers in Compensation Decisions” below for further detail.</w:t>
      </w:r>
    </w:p>
    <w:p>
      <w:pPr>
        <w:spacing w:after="0" w:line="161" w:lineRule="exact"/>
        <w:rPr>
          <w:sz w:val="20"/>
          <w:szCs w:val="20"/>
          <w:color w:val="auto"/>
        </w:rPr>
      </w:pPr>
    </w:p>
    <w:p>
      <w:pPr>
        <w:spacing w:after="0" w:line="243" w:lineRule="auto"/>
        <w:rPr>
          <w:sz w:val="20"/>
          <w:szCs w:val="20"/>
          <w:color w:val="auto"/>
        </w:rPr>
      </w:pPr>
      <w:r>
        <w:rPr>
          <w:rFonts w:ascii="Arial" w:cs="Arial" w:eastAsia="Arial" w:hAnsi="Arial"/>
          <w:sz w:val="16"/>
          <w:szCs w:val="16"/>
          <w:i w:val="1"/>
          <w:iCs w:val="1"/>
          <w:color w:val="auto"/>
        </w:rPr>
        <w:t xml:space="preserve">Role of Compensation Consultants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Human Resources Committee has</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periodically utilized an outside compensation consultant for matters relating to executive compensation. In Fiscal 2015, the committee retained a compensation consultant, Towers Watson, to conduct a new study on executive compensation that was reviewed by the committee in June 2015. As described in "Compensation Discussion and Analysis - Competitive Benchmarking" below, compensation decisions made during Fiscal 2015 relied in part upon the 2015 Towers Watson study.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Nominating and Governance Committee. </w:t>
      </w:r>
      <w:r>
        <w:rPr>
          <w:rFonts w:ascii="Arial" w:cs="Arial" w:eastAsia="Arial" w:hAnsi="Arial"/>
          <w:sz w:val="16"/>
          <w:szCs w:val="16"/>
          <w:color w:val="auto"/>
        </w:rPr>
        <w:t>The Nominating and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charter, which is available for review on our Web Site at http://www.winnebagoind.com/governance/html, establishes the scope of the committee's duties to include: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will be able to communicate with members of the Board; (4) developing and recommending to the Board a Corporate Governance Policy applicable to the Company; and (5) reviewing and approving Related Person Transactions (as defined below). The committee recommended to the Board the director-nominees proposed in this Proxy Statement for election by the shareholders. The Nominating and Governance Committee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our Director Nomination Policy, as discussed below. See also "Fiscal Year 2016 Shareholder Proposals" and Appendix A "Director Nomination Policy" below for a summary of the procedures that shareholders must follow to nominate a director.</w:t>
      </w:r>
    </w:p>
    <w:p>
      <w:pPr>
        <w:spacing w:after="0" w:line="168"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b w:val="1"/>
          <w:bCs w:val="1"/>
          <w:color w:val="auto"/>
        </w:rPr>
        <w:t xml:space="preserve">Business Development Advisory Committee. </w:t>
      </w:r>
      <w:r>
        <w:rPr>
          <w:rFonts w:ascii="Arial" w:cs="Arial" w:eastAsia="Arial" w:hAnsi="Arial"/>
          <w:sz w:val="16"/>
          <w:szCs w:val="16"/>
          <w:color w:val="auto"/>
        </w:rPr>
        <w:t>The Business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Advisory Committee's charter, which is available for review on our Web Site at http://www.winnebagoind.com/governance/html, establishes the scope of the committee's duties to include: (1) providing a Board of Director forum to Operational Leadership of Winnebago Industries to review, guide and advise members on subject matters of material importance as chosen by the Winnebago Operational Leadership and approved by the Board of Directors committee members; and (2) creating a working environment to permit topic related ideas, experiences and perspectives to be shared by all members to foster improved strategic analysis and decision making.</w:t>
      </w:r>
    </w:p>
    <w:p>
      <w:pPr>
        <w:spacing w:after="0" w:line="385" w:lineRule="exact"/>
        <w:rPr>
          <w:sz w:val="20"/>
          <w:szCs w:val="20"/>
          <w:color w:val="auto"/>
        </w:rPr>
      </w:pPr>
    </w:p>
    <w:p>
      <w:pPr>
        <w:sectPr>
          <w:pgSz w:w="11900" w:h="16838" w:orient="portrait"/>
          <w:cols w:equalWidth="0" w:num="2">
            <w:col w:w="5580" w:space="240"/>
            <w:col w:w="5600"/>
          </w:cols>
          <w:pgMar w:left="240" w:top="298" w:right="239" w:bottom="1440" w:gutter="0" w:footer="0" w:header="0"/>
          <w:type w:val="continuous"/>
        </w:sectPr>
      </w:pP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20"/>
          </w:cols>
          <w:pgMar w:left="240" w:top="298" w:right="239" w:bottom="1440" w:gutter="0" w:footer="0" w:header="0"/>
          <w:type w:val="continuous"/>
        </w:sectPr>
      </w:pPr>
    </w:p>
    <w:bookmarkStart w:id="8" w:name="page9"/>
    <w:bookmarkEnd w:id="8"/>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Our Board of Directors held five meetings during Fiscal 2015. Actions taken by any committee of the Board are reported generally to the Board of Directors at its next meeting. During Fiscal 2015, all of the directors attended more than 75% of the aggregate of Board of Directors' meetings and meetings of committees of the Board on which they served. Our Corporate Governance Policy, discussed below, encourages, but does not require, Board members to attend the Annual Meeting. At the last Annual Meeting, all of the then-current directors were in attendance.</w:t>
      </w:r>
    </w:p>
    <w:p>
      <w:pPr>
        <w:spacing w:after="0" w:line="166"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i w:val="1"/>
          <w:iCs w:val="1"/>
          <w:color w:val="auto"/>
        </w:rPr>
        <w:t xml:space="preserve">Executive Sessions of Non-Employee Directors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meet</w:t>
      </w:r>
      <w:r>
        <w:rPr>
          <w:rFonts w:ascii="Arial" w:cs="Arial" w:eastAsia="Arial" w:hAnsi="Arial"/>
          <w:sz w:val="16"/>
          <w:szCs w:val="16"/>
          <w:i w:val="1"/>
          <w:iCs w:val="1"/>
          <w:color w:val="auto"/>
        </w:rPr>
        <w:t xml:space="preserve"> </w:t>
      </w:r>
      <w:r>
        <w:rPr>
          <w:rFonts w:ascii="Arial" w:cs="Arial" w:eastAsia="Arial" w:hAnsi="Arial"/>
          <w:sz w:val="16"/>
          <w:szCs w:val="16"/>
          <w:color w:val="auto"/>
        </w:rPr>
        <w:t>privately in executive sessions to consider such matters as they deem appropriate, without Management being present, as a routinely scheduled agenda item for every Board meeting and at least once a year. pursuant to the requirements of the NYSE. During Fiscal 2015, all Non-Employee Directors were independent, except Robert Olson who retired in December 2014. See "Director Independence" below. Prior to Mr. Erickson being elected Chair in August 2015, he served as Lead Director since December 13, 2011 while Mr. Potts served as Chair and CEO.</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Board has adopted the Corporate Governance Policy which incorporates</w:t>
      </w:r>
    </w:p>
    <w:p>
      <w:pPr>
        <w:spacing w:after="0"/>
        <w:rPr>
          <w:sz w:val="20"/>
          <w:szCs w:val="20"/>
          <w:color w:val="auto"/>
        </w:rPr>
      </w:pPr>
      <w:r>
        <w:rPr>
          <w:rFonts w:ascii="Arial" w:cs="Arial" w:eastAsia="Arial" w:hAnsi="Arial"/>
          <w:sz w:val="16"/>
          <w:szCs w:val="16"/>
          <w:color w:val="auto"/>
        </w:rPr>
        <w:t>the corporate governance principles by which we operate. The Nominating and</w:t>
      </w:r>
    </w:p>
    <w:p>
      <w:pPr>
        <w:spacing w:after="0"/>
        <w:rPr>
          <w:sz w:val="20"/>
          <w:szCs w:val="20"/>
          <w:color w:val="auto"/>
        </w:rPr>
      </w:pPr>
      <w:r>
        <w:rPr>
          <w:rFonts w:ascii="Arial" w:cs="Arial" w:eastAsia="Arial" w:hAnsi="Arial"/>
          <w:sz w:val="15"/>
          <w:szCs w:val="15"/>
          <w:color w:val="auto"/>
        </w:rPr>
        <w:t>Governance Committee annually reviews the Corporate Governance Policy and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recommends any changes to the Board. A copy of our Corporate Governance</w:t>
      </w:r>
    </w:p>
    <w:p>
      <w:pPr>
        <w:spacing w:after="0"/>
        <w:rPr>
          <w:sz w:val="20"/>
          <w:szCs w:val="20"/>
          <w:color w:val="auto"/>
        </w:rPr>
      </w:pPr>
      <w:r>
        <w:rPr>
          <w:rFonts w:ascii="Arial" w:cs="Arial" w:eastAsia="Arial" w:hAnsi="Arial"/>
          <w:sz w:val="16"/>
          <w:szCs w:val="16"/>
          <w:color w:val="auto"/>
        </w:rPr>
        <w:t>Policy is available on our Web Site at</w:t>
      </w:r>
    </w:p>
    <w:p>
      <w:pPr>
        <w:spacing w:after="0"/>
        <w:rPr>
          <w:sz w:val="20"/>
          <w:szCs w:val="20"/>
          <w:color w:val="auto"/>
        </w:rPr>
      </w:pPr>
      <w:r>
        <w:rPr>
          <w:rFonts w:ascii="Arial" w:cs="Arial" w:eastAsia="Arial" w:hAnsi="Arial"/>
          <w:sz w:val="16"/>
          <w:szCs w:val="16"/>
          <w:color w:val="auto"/>
        </w:rPr>
        <w:t>http://www.winnebagoind.com/governance.html.</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uto"/>
        </w:rPr>
        <w:t xml:space="preserve">Nominations of Directors Policy. </w:t>
      </w:r>
      <w:r>
        <w:rPr>
          <w:rFonts w:ascii="Arial" w:cs="Arial" w:eastAsia="Arial" w:hAnsi="Arial"/>
          <w:sz w:val="16"/>
          <w:szCs w:val="16"/>
          <w:color w:val="auto"/>
        </w:rPr>
        <w:t>The Nominating and Governance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has adopted a Director Nomination Policy (attached as Appendix A to this Proxy Statement) (the "Director Nomination Policy") to assist it in fulfilling its duties and responsibilities in consideration of director nominations.</w:t>
      </w:r>
    </w:p>
    <w:p>
      <w:pPr>
        <w:spacing w:after="0" w:line="173"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Briefly, the Nominating and Governance Committee will consider as a candidate any director who has indicated to the Nominating and Governance Committee that he or she is willing to stand for re-election, and who has not reached the age of 75 years prior to the date of re-election to the Board, as well as any other person who is recommended by any shareholder who provides the required information and certifications within the specified time requirements, as set forth in the Director Nomination Policy. The Nominating and Governance Committee may also undertake its own search process for candidates and may retain the services of professional search firms or other third parties to assist in identifying and evaluating potential nominees.</w:t>
      </w:r>
    </w:p>
    <w:p>
      <w:pPr>
        <w:spacing w:after="0" w:line="184" w:lineRule="exact"/>
        <w:rPr>
          <w:sz w:val="20"/>
          <w:szCs w:val="20"/>
          <w:color w:val="auto"/>
        </w:rPr>
      </w:pPr>
    </w:p>
    <w:p>
      <w:pPr>
        <w:ind w:right="40"/>
        <w:spacing w:after="0" w:line="184" w:lineRule="exact"/>
        <w:rPr>
          <w:sz w:val="20"/>
          <w:szCs w:val="20"/>
          <w:color w:val="auto"/>
        </w:rPr>
      </w:pPr>
      <w:r>
        <w:rPr>
          <w:rFonts w:ascii="Arial" w:cs="Arial" w:eastAsia="Arial" w:hAnsi="Arial"/>
          <w:sz w:val="16"/>
          <w:szCs w:val="16"/>
          <w:color w:val="auto"/>
        </w:rPr>
        <w:t>In considering a potential nominee for the Board, candidates also will be assessed in the context of the then</w:t>
      </w:r>
      <w:r>
        <w:rPr>
          <w:rFonts w:ascii="MS PGothic" w:cs="MS PGothic" w:eastAsia="MS PGothic" w:hAnsi="MS PGothic"/>
          <w:sz w:val="16"/>
          <w:szCs w:val="16"/>
          <w:color w:val="auto"/>
        </w:rPr>
        <w:t>‑</w:t>
      </w:r>
      <w:r>
        <w:rPr>
          <w:rFonts w:ascii="Arial" w:cs="Arial" w:eastAsia="Arial" w:hAnsi="Arial"/>
          <w:sz w:val="16"/>
          <w:szCs w:val="16"/>
          <w:color w:val="auto"/>
        </w:rPr>
        <w:t>current composition of the Board, the operating requirements of the Company and the long</w:t>
      </w:r>
      <w:r>
        <w:rPr>
          <w:rFonts w:ascii="MS PGothic" w:cs="MS PGothic" w:eastAsia="MS PGothic" w:hAnsi="MS PGothic"/>
          <w:sz w:val="16"/>
          <w:szCs w:val="16"/>
          <w:color w:val="auto"/>
        </w:rPr>
        <w:t>‑</w:t>
      </w:r>
      <w:r>
        <w:rPr>
          <w:rFonts w:ascii="Arial" w:cs="Arial" w:eastAsia="Arial" w:hAnsi="Arial"/>
          <w:sz w:val="16"/>
          <w:szCs w:val="16"/>
          <w:color w:val="auto"/>
        </w:rPr>
        <w:t>term interests of all shareholders. In conducting this assessment, the Nominating and Governance Committee will consider diversity (including, but not limited to, age, experience and skills) and such other factors as it deems appropriate given the then</w:t>
      </w:r>
      <w:r>
        <w:rPr>
          <w:rFonts w:ascii="MS PGothic" w:cs="MS PGothic" w:eastAsia="MS PGothic" w:hAnsi="MS PGothic"/>
          <w:sz w:val="16"/>
          <w:szCs w:val="16"/>
          <w:color w:val="auto"/>
        </w:rPr>
        <w:t>‑</w:t>
      </w:r>
      <w:r>
        <w:rPr>
          <w:rFonts w:ascii="Arial" w:cs="Arial" w:eastAsia="Arial" w:hAnsi="Arial"/>
          <w:sz w:val="16"/>
          <w:szCs w:val="16"/>
          <w:color w:val="auto"/>
        </w:rPr>
        <w:t>current and anticipated future needs of the Board and the Company in order to maintain a balance of perspectives, qualifications, qualities and skills on the Board. Although the Nominating and Governance Committee may seek candidates that have different qualities and experiences at different times in order to maximize the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140" w:right="40"/>
        <w:spacing w:after="0" w:line="256" w:lineRule="auto"/>
        <w:rPr>
          <w:sz w:val="20"/>
          <w:szCs w:val="20"/>
          <w:color w:val="auto"/>
        </w:rPr>
      </w:pPr>
      <w:r>
        <w:rPr>
          <w:rFonts w:ascii="Arial" w:cs="Arial" w:eastAsia="Arial" w:hAnsi="Arial"/>
          <w:sz w:val="15"/>
          <w:szCs w:val="15"/>
          <w:color w:val="auto"/>
        </w:rPr>
        <w:t>aggregate experience, qualities and strengths of the Board members,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 or appointment of directors. The Nominating and Governance Committee considers and assesses the implementation and effectiveness of this process in connection with Board nominations annually to assure that the Board contains an effective mix of individuals to best further the Company's long-term business interests. Audit, Human Resources, and Nominating and Governance Committees all perform annual self-assessments of their effectiveness.</w:t>
      </w:r>
    </w:p>
    <w:p>
      <w:pPr>
        <w:spacing w:after="0" w:line="175" w:lineRule="exact"/>
        <w:rPr>
          <w:sz w:val="20"/>
          <w:szCs w:val="20"/>
          <w:color w:val="auto"/>
        </w:rPr>
      </w:pPr>
    </w:p>
    <w:p>
      <w:pPr>
        <w:ind w:left="140" w:right="80"/>
        <w:spacing w:after="0"/>
        <w:rPr>
          <w:sz w:val="20"/>
          <w:szCs w:val="20"/>
          <w:color w:val="auto"/>
        </w:rPr>
      </w:pPr>
      <w:r>
        <w:rPr>
          <w:rFonts w:ascii="Arial" w:cs="Arial" w:eastAsia="Arial" w:hAnsi="Arial"/>
          <w:sz w:val="16"/>
          <w:szCs w:val="16"/>
          <w:color w:val="auto"/>
        </w:rPr>
        <w:t>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and Audit Committee to meet the criteria as an "audit committee financial expert" as defined by SEC rules.</w:t>
      </w:r>
    </w:p>
    <w:p>
      <w:pPr>
        <w:spacing w:after="0" w:line="159" w:lineRule="exact"/>
        <w:rPr>
          <w:sz w:val="20"/>
          <w:szCs w:val="20"/>
          <w:color w:val="auto"/>
        </w:rPr>
      </w:pPr>
    </w:p>
    <w:p>
      <w:pPr>
        <w:ind w:left="140" w:right="100"/>
        <w:spacing w:after="0" w:line="261" w:lineRule="auto"/>
        <w:rPr>
          <w:sz w:val="20"/>
          <w:szCs w:val="20"/>
          <w:color w:val="auto"/>
        </w:rPr>
      </w:pPr>
      <w:r>
        <w:rPr>
          <w:rFonts w:ascii="Arial" w:cs="Arial" w:eastAsia="Arial" w:hAnsi="Arial"/>
          <w:sz w:val="15"/>
          <w:szCs w:val="15"/>
          <w:b w:val="1"/>
          <w:bCs w:val="1"/>
          <w:color w:val="auto"/>
        </w:rPr>
        <w:t xml:space="preserve">Policy and Procedures With Respect to Related Person Transactions.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adopted the Winnebago Industries, Inc. Related Person Transaction Policy and Procedures, which provides that the Nominating and Governance Committee will review and approve Related Person Transactions (as defined below); provided that the Human Resources Committee will review and approve the compensation of each employee who is an immediate family member of a director or executive officer and whose compensation exceeds $120,000. The Chair of the Nominating and Governance Committee has delegated authority to act between committee meetings.</w:t>
      </w:r>
    </w:p>
    <w:p>
      <w:pPr>
        <w:spacing w:after="0" w:line="165" w:lineRule="exact"/>
        <w:rPr>
          <w:sz w:val="20"/>
          <w:szCs w:val="20"/>
          <w:color w:val="auto"/>
        </w:rPr>
      </w:pPr>
    </w:p>
    <w:p>
      <w:pPr>
        <w:ind w:left="140" w:right="20"/>
        <w:spacing w:after="0" w:line="260" w:lineRule="auto"/>
        <w:rPr>
          <w:sz w:val="20"/>
          <w:szCs w:val="20"/>
          <w:color w:val="auto"/>
        </w:rPr>
      </w:pPr>
      <w:r>
        <w:rPr>
          <w:rFonts w:ascii="Arial" w:cs="Arial" w:eastAsia="Arial" w:hAnsi="Arial"/>
          <w:sz w:val="15"/>
          <w:szCs w:val="15"/>
          <w:color w:val="auto"/>
        </w:rPr>
        <w:t>The policy defines a “Related Person Transaction” as a transaction, arrangement or relationship (or any series of 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39" w:lineRule="exact"/>
        <w:rPr>
          <w:sz w:val="20"/>
          <w:szCs w:val="20"/>
          <w:color w:val="auto"/>
        </w:rPr>
      </w:pPr>
    </w:p>
    <w:p>
      <w:pPr>
        <w:ind w:left="460" w:hanging="31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competitively bid or regulated public utility services transactions,</w:t>
      </w:r>
    </w:p>
    <w:p>
      <w:pPr>
        <w:ind w:left="460" w:hanging="31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transactions involving trustee type services,</w:t>
      </w:r>
    </w:p>
    <w:p>
      <w:pPr>
        <w:ind w:left="460" w:right="200" w:hanging="312"/>
        <w:spacing w:after="0" w:line="239"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transactions in which the Related Person's interest arises solely from ownership of our equity securities and all equity security holders received the same benefit on a pro rata basis,</w:t>
      </w:r>
    </w:p>
    <w:p>
      <w:pPr>
        <w:ind w:left="460" w:hanging="312"/>
        <w:spacing w:after="0" w:line="239"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employment relationship or transaction involving an executive officer and any related compensation solely resulting from that employment relationship or transaction if:</w:t>
      </w:r>
    </w:p>
    <w:p>
      <w:pPr>
        <w:ind w:left="780" w:right="160" w:hanging="317"/>
        <w:spacing w:after="0" w:line="241" w:lineRule="auto"/>
        <w:tabs>
          <w:tab w:leader="none" w:pos="7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compensation arising from the relationship or transaction is or will be reported pursuant to the SEC's executive and director compensation proxy statement disclosure rules;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2">
            <w:col w:w="5600" w:space="80"/>
            <w:col w:w="5740"/>
          </w:cols>
          <w:pgMar w:left="240" w:top="298" w:right="239" w:bottom="1440" w:gutter="0" w:footer="0" w:header="0"/>
          <w:type w:val="continuous"/>
        </w:sectPr>
      </w:pPr>
    </w:p>
    <w:bookmarkStart w:id="9" w:name="page10"/>
    <w:bookmarkEnd w:id="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640" w:right="60" w:hanging="321"/>
        <w:spacing w:after="0" w:line="239" w:lineRule="auto"/>
        <w:tabs>
          <w:tab w:leader="none" w:pos="6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executive officer is not an immediate family member of another executive officer or director and such compensation would have been reported under the SEC's executive and director compensation proxy statement disclosure rules as compensation earned for services if the executive officer was a NEO, as that term is defined in the SEC's executive and director compensation proxy statement disclosure rules, and such compensation has been or will be approved, or recommended to our Board of Directors for approval, by the Human Resources Committee of our Board of Directors, or</w:t>
      </w:r>
    </w:p>
    <w:p>
      <w:pPr>
        <w:ind w:left="320" w:right="280" w:hanging="315"/>
        <w:spacing w:after="0" w:line="241"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compensation of or transaction with a director is or will be reported pursuant to the SEC's executive and director compensation proxy statement disclosure rules.</w:t>
      </w:r>
    </w:p>
    <w:p>
      <w:pPr>
        <w:spacing w:after="0" w:line="179"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“Related Person” is defined as (1) each director, director nominee and executive officer, (2) 5% or greater beneficial owners, (3) immediate family members of the foregoing persons and (4) any entity in which any of the foregoing persons is a general partner or principal or in a similar position or in which such person and all other related persons to such person has a 10% or greater beneficial interest.</w:t>
      </w:r>
    </w:p>
    <w:p>
      <w:pPr>
        <w:spacing w:after="0" w:line="166"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Nominating and Governance Committee will assess whether a proposed transaction is a Related Person Transaction for purposes of the policy. Under the policy, the Chair of the Nominating and Governance Committee has the authority to pre-approve or ratify (as applicable) any Related Person Transaction with a Related Person in which the aggregate amount involved is expected to be less than $500,000.</w:t>
      </w:r>
    </w:p>
    <w:p>
      <w:pPr>
        <w:spacing w:after="0" w:line="179"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The policy recognizes that certain Related Person Transactions are in our and our shareholders' best interests. Each of the following Related Person Transactions are deemed to be pre-approved by the Nominating and Governance Committee pursuant to the policy, even if the aggregate amount involved will exceed $120,000:</w:t>
      </w:r>
    </w:p>
    <w:p>
      <w:pPr>
        <w:spacing w:after="0" w:line="164" w:lineRule="exact"/>
        <w:rPr>
          <w:sz w:val="20"/>
          <w:szCs w:val="20"/>
          <w:color w:val="auto"/>
        </w:rPr>
      </w:pPr>
    </w:p>
    <w:p>
      <w:pPr>
        <w:ind w:left="320" w:right="160" w:hanging="315"/>
        <w:spacing w:after="0" w:line="242"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Certain transactions with other companies. </w:t>
      </w:r>
      <w:r>
        <w:rPr>
          <w:rFonts w:ascii="Arial" w:cs="Arial" w:eastAsia="Arial" w:hAnsi="Arial"/>
          <w:sz w:val="16"/>
          <w:szCs w:val="16"/>
          <w:color w:val="auto"/>
        </w:rPr>
        <w:t>Any transaction with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at which a Related Person's only relationship is as an employee (other than an executive officer), director or beneficial owner of less than 10% of that company's shares or other equity securities, if the aggregate amount involved does not exceed the greater of $1 million, or 2% of that company's total annual revenues.</w:t>
      </w:r>
    </w:p>
    <w:p>
      <w:pPr>
        <w:spacing w:after="0" w:line="2" w:lineRule="exact"/>
        <w:rPr>
          <w:rFonts w:ascii="Arial" w:cs="Arial" w:eastAsia="Arial" w:hAnsi="Arial"/>
          <w:sz w:val="16"/>
          <w:szCs w:val="16"/>
          <w:color w:val="auto"/>
        </w:rPr>
      </w:pPr>
    </w:p>
    <w:p>
      <w:pPr>
        <w:ind w:left="320" w:right="20" w:hanging="315"/>
        <w:spacing w:after="0" w:line="260" w:lineRule="auto"/>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 xml:space="preserve">Certain Company charitable contributions. </w:t>
      </w:r>
      <w:r>
        <w:rPr>
          <w:rFonts w:ascii="Arial" w:cs="Arial" w:eastAsia="Arial" w:hAnsi="Arial"/>
          <w:sz w:val="15"/>
          <w:szCs w:val="15"/>
          <w:color w:val="auto"/>
        </w:rPr>
        <w:t>Any charitable contribution, grant</w:t>
      </w:r>
      <w:r>
        <w:rPr>
          <w:rFonts w:ascii="Arial" w:cs="Arial" w:eastAsia="Arial" w:hAnsi="Arial"/>
          <w:sz w:val="15"/>
          <w:szCs w:val="15"/>
          <w:i w:val="1"/>
          <w:iCs w:val="1"/>
          <w:color w:val="auto"/>
        </w:rPr>
        <w:t xml:space="preserve"> </w:t>
      </w:r>
      <w:r>
        <w:rPr>
          <w:rFonts w:ascii="Arial" w:cs="Arial" w:eastAsia="Arial" w:hAnsi="Arial"/>
          <w:sz w:val="15"/>
          <w:szCs w:val="15"/>
          <w:color w:val="auto"/>
        </w:rPr>
        <w:t>or endowment by Winnebago Industries or the Winnebago Industries Foundation to a charitable organization, foundation or university at which a Related Person's only relationship is as an employee (other than an officer), if the aggregate amount involved does not exceed $100,000.</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all of the relevant facts and circumstances available to the Nominating and Governance Committee, including (if applicable) but not limited to: whether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140" w:right="120"/>
        <w:spacing w:after="0"/>
        <w:rPr>
          <w:sz w:val="20"/>
          <w:szCs w:val="20"/>
          <w:color w:val="auto"/>
        </w:rPr>
      </w:pPr>
      <w:r>
        <w:rPr>
          <w:rFonts w:ascii="Arial" w:cs="Arial" w:eastAsia="Arial" w:hAnsi="Arial"/>
          <w:sz w:val="16"/>
          <w:szCs w:val="16"/>
          <w:color w:val="auto"/>
        </w:rPr>
        <w:t>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 require disclosure under applicable SEC rules and regulations, NYSE listing requirements and our policies.</w:t>
      </w:r>
    </w:p>
    <w:p>
      <w:pPr>
        <w:spacing w:after="0" w:line="179" w:lineRule="exact"/>
        <w:rPr>
          <w:sz w:val="20"/>
          <w:szCs w:val="20"/>
          <w:color w:val="auto"/>
        </w:rPr>
      </w:pPr>
    </w:p>
    <w:p>
      <w:pPr>
        <w:ind w:left="140" w:right="340"/>
        <w:spacing w:after="0" w:line="262" w:lineRule="auto"/>
        <w:rPr>
          <w:sz w:val="20"/>
          <w:szCs w:val="20"/>
          <w:color w:val="auto"/>
        </w:rPr>
      </w:pPr>
      <w:r>
        <w:rPr>
          <w:rFonts w:ascii="Arial" w:cs="Arial" w:eastAsia="Arial" w:hAnsi="Arial"/>
          <w:sz w:val="15"/>
          <w:szCs w:val="15"/>
          <w:color w:val="auto"/>
        </w:rPr>
        <w:t>The policy provides for the annual pre-approval by the Nominating and Governance Committee of certain Related Person Transactions that are identified in the policy, as the policy may be supplemented and amended. During Fiscal 2015, there were no Related Person Transactions to disclose.</w:t>
      </w:r>
    </w:p>
    <w:p>
      <w:pPr>
        <w:spacing w:after="0" w:line="143" w:lineRule="exact"/>
        <w:rPr>
          <w:sz w:val="20"/>
          <w:szCs w:val="20"/>
          <w:color w:val="auto"/>
        </w:rPr>
      </w:pPr>
    </w:p>
    <w:p>
      <w:pPr>
        <w:ind w:left="140" w:right="220"/>
        <w:spacing w:after="0" w:line="247" w:lineRule="auto"/>
        <w:rPr>
          <w:sz w:val="20"/>
          <w:szCs w:val="20"/>
          <w:color w:val="auto"/>
        </w:rPr>
      </w:pPr>
      <w:r>
        <w:rPr>
          <w:rFonts w:ascii="Arial" w:cs="Arial" w:eastAsia="Arial" w:hAnsi="Arial"/>
          <w:sz w:val="16"/>
          <w:szCs w:val="16"/>
          <w:b w:val="1"/>
          <w:bCs w:val="1"/>
          <w:color w:val="auto"/>
        </w:rPr>
        <w:t xml:space="preserve">Corporate Governance Policies and Codes of Conduct. </w:t>
      </w:r>
      <w:r>
        <w:rPr>
          <w:rFonts w:ascii="Arial" w:cs="Arial" w:eastAsia="Arial" w:hAnsi="Arial"/>
          <w:sz w:val="16"/>
          <w:szCs w:val="16"/>
          <w:color w:val="auto"/>
        </w:rPr>
        <w:t>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has adopted a Corporate Governance Policy, a Director Nomination Policy, a Shareholder and Other Interested Party Communications Policy and written charters for its Audit Committee, Human Resources Committee and Nominating and Governance Committee.</w:t>
      </w:r>
    </w:p>
    <w:p>
      <w:pPr>
        <w:spacing w:after="0" w:line="173" w:lineRule="exact"/>
        <w:rPr>
          <w:sz w:val="20"/>
          <w:szCs w:val="20"/>
          <w:color w:val="auto"/>
        </w:rPr>
      </w:pPr>
    </w:p>
    <w:p>
      <w:pPr>
        <w:ind w:left="140"/>
        <w:spacing w:after="0" w:line="257" w:lineRule="auto"/>
        <w:rPr>
          <w:sz w:val="20"/>
          <w:szCs w:val="20"/>
          <w:color w:val="auto"/>
        </w:rPr>
      </w:pPr>
      <w:r>
        <w:rPr>
          <w:rFonts w:ascii="Arial" w:cs="Arial" w:eastAsia="Arial" w:hAnsi="Arial"/>
          <w:sz w:val="15"/>
          <w:szCs w:val="15"/>
          <w:color w:val="auto"/>
        </w:rPr>
        <w:t>The Board of Directors also has adopted a Code of Ethics applicable to all of our directors, officers and employees and the Code of Ethics for CEO and Senior Financial Officers (including the CFO and the Treasurer/Director of Finance). These policies, charters, codes and other items relating to our governance are available on our Web Site at http://www.winnebagoind.com/governance.html. These documents are also available in print free of charge to any shareholder who requests them in writing from: Winnebago Industries, Inc., Attn: Vice President-General Counsel and Secretary, 605 West Crystal Lake Road, Forest City, Iowa 50436. Information contained on our Web Site is not incorporated into this Proxy Statement or other securities filings.</w:t>
      </w:r>
    </w:p>
    <w:p>
      <w:pPr>
        <w:spacing w:after="0" w:line="150" w:lineRule="exact"/>
        <w:rPr>
          <w:sz w:val="20"/>
          <w:szCs w:val="20"/>
          <w:color w:val="auto"/>
        </w:rPr>
      </w:pPr>
    </w:p>
    <w:p>
      <w:pPr>
        <w:ind w:left="140" w:right="20"/>
        <w:spacing w:after="0" w:line="257" w:lineRule="auto"/>
        <w:rPr>
          <w:sz w:val="20"/>
          <w:szCs w:val="20"/>
          <w:color w:val="auto"/>
        </w:rPr>
      </w:pPr>
      <w:r>
        <w:rPr>
          <w:rFonts w:ascii="Arial" w:cs="Arial" w:eastAsia="Arial" w:hAnsi="Arial"/>
          <w:sz w:val="15"/>
          <w:szCs w:val="15"/>
          <w:b w:val="1"/>
          <w:bCs w:val="1"/>
          <w:color w:val="auto"/>
        </w:rPr>
        <w:t xml:space="preserve">Director Independence. </w:t>
      </w:r>
      <w:r>
        <w:rPr>
          <w:rFonts w:ascii="Arial" w:cs="Arial" w:eastAsia="Arial" w:hAnsi="Arial"/>
          <w:sz w:val="15"/>
          <w:szCs w:val="15"/>
          <w:color w:val="auto"/>
        </w:rPr>
        <w:t>Under our Corporate Governance Policy and NYSE</w:t>
      </w:r>
      <w:r>
        <w:rPr>
          <w:rFonts w:ascii="Arial" w:cs="Arial" w:eastAsia="Arial" w:hAnsi="Arial"/>
          <w:sz w:val="15"/>
          <w:szCs w:val="15"/>
          <w:b w:val="1"/>
          <w:bCs w:val="1"/>
          <w:color w:val="auto"/>
        </w:rPr>
        <w:t xml:space="preserve"> </w:t>
      </w:r>
      <w:r>
        <w:rPr>
          <w:rFonts w:ascii="Arial" w:cs="Arial" w:eastAsia="Arial" w:hAnsi="Arial"/>
          <w:sz w:val="15"/>
          <w:szCs w:val="15"/>
          <w:color w:val="auto"/>
        </w:rPr>
        <w:t>rules, the Board must have a majority of directors who meet the standards for independence under our Director Nomination Policy and applicable NYSE rules, respectively. The Board must determine, based on a review of all of the relevant facts and circumstances, whether each director satisfies the criteria for independence. In accordance with the Director Nomination Policy, the Board undertook its annual review of director and director nominee independence. During this review, the Board considered a variety of relevant facts and circumstances, including a review of all transactions and relationships between each director and director nominee or any member of his immediate family and the Company and its subsidiaries and affiliates known to the Company. The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 As provided in the Director Nomination Policy, the purpose of this review was to determine whether any such relationships or transactions existed or exist that were inconsistent with a determination that the director or nominee is independent. As a result of this review, the Board, at its meeting in October 2015, affirmatively determined that Mr. Aal (Class I director), Mr. Chiusano (Class II director), Mr. Currie (Class II director), Mr. Erickson (Class II director), Ms. Rodamaker (Class I director), Mr. Fisher (Class III director) and Mr. Schroepfer (Class III director), are independent as defined by the relevant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ectPr>
          <w:pgSz w:w="11900" w:h="16838" w:orient="portrait"/>
          <w:cols w:equalWidth="0" w:num="2">
            <w:col w:w="5600" w:space="80"/>
            <w:col w:w="5740"/>
          </w:cols>
          <w:pgMar w:left="240" w:top="298" w:right="239" w:bottom="1440" w:gutter="0" w:footer="0" w:header="0"/>
          <w:type w:val="continuous"/>
        </w:sectPr>
      </w:pPr>
    </w:p>
    <w:bookmarkStart w:id="10" w:name="page11"/>
    <w:bookmarkEnd w:id="1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provisions of applicable law, the NYSE listing standards and our Director Nomination Policy and that each independent director and nominee has no material relationship with Winnebago Industries. As a result of this review, the Board determined that a majority of directors are independent.</w:t>
      </w:r>
    </w:p>
    <w:p>
      <w:pPr>
        <w:spacing w:after="0" w:line="181"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As a result, all members of the Audit Committee, Human Resources Committee and Nominating and Governance Committee are independent under these standards.</w:t>
      </w:r>
    </w:p>
    <w:p>
      <w:pPr>
        <w:spacing w:after="0" w:line="179" w:lineRule="exact"/>
        <w:rPr>
          <w:sz w:val="20"/>
          <w:szCs w:val="20"/>
          <w:color w:val="auto"/>
        </w:rPr>
      </w:pPr>
    </w:p>
    <w:p>
      <w:pPr>
        <w:ind w:right="300"/>
        <w:spacing w:after="0" w:line="244" w:lineRule="auto"/>
        <w:rPr>
          <w:sz w:val="20"/>
          <w:szCs w:val="20"/>
          <w:color w:val="auto"/>
        </w:rPr>
      </w:pPr>
      <w:r>
        <w:rPr>
          <w:rFonts w:ascii="Arial" w:cs="Arial" w:eastAsia="Arial" w:hAnsi="Arial"/>
          <w:sz w:val="16"/>
          <w:szCs w:val="16"/>
          <w:color w:val="auto"/>
        </w:rPr>
        <w:t>Mr. Potts (Class III director) was not considered independent because of his employment as Chair, CEO and President of the Company.</w:t>
      </w:r>
    </w:p>
    <w:p>
      <w:pPr>
        <w:spacing w:after="0" w:line="156" w:lineRule="exact"/>
        <w:rPr>
          <w:sz w:val="20"/>
          <w:szCs w:val="20"/>
          <w:color w:val="auto"/>
        </w:rPr>
      </w:pPr>
    </w:p>
    <w:p>
      <w:pPr>
        <w:ind w:right="20"/>
        <w:spacing w:after="0"/>
        <w:rPr>
          <w:sz w:val="20"/>
          <w:szCs w:val="20"/>
          <w:color w:val="auto"/>
        </w:rPr>
      </w:pPr>
      <w:r>
        <w:rPr>
          <w:rFonts w:ascii="Arial" w:cs="Arial" w:eastAsia="Arial" w:hAnsi="Arial"/>
          <w:sz w:val="16"/>
          <w:szCs w:val="16"/>
          <w:b w:val="1"/>
          <w:bCs w:val="1"/>
          <w:color w:val="auto"/>
        </w:rPr>
        <w:t>Shareholder and Other Interested Party Communications with Directors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Nominating and Governance Committee has adopted a policy for shareholders and other interested parties to send communications to the Board. Shareholders and other interested parties who desire to communicate with our directors or a particular director may write to: Winnebago Industries, Inc., Attn: Vice President-General Counsel and Secretary, 605 West Crystal Lake Road, Forest City, Iowa 50436; or e-mail: sfolkers@winnebagoind.com. All communications must be accompanied by the following information (i) if the person submitting the communication is a shareholder, a statement of the number of shares of Common Stock that the person holds; (ii) if the person submitting the communication is not a shareholder and is submitting the communication to the non-Management directors as an interested party, the nature of the person's interest in Winnebago Industries;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non-Management members of the Board, and if they are relevant to, and consistent with, our operations and policies that are approved by all non-Management members of the Board, they will be forwarded to the Lead Director, or Board Chair if the Chair is an independent director, or applicable Board member or members as expeditiously as reasonably practicable.</w:t>
      </w:r>
    </w:p>
    <w:p>
      <w:pPr>
        <w:spacing w:after="0" w:line="167"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color w:val="auto"/>
        </w:rPr>
        <w:t xml:space="preserve">Risk Management Oversight Process. </w:t>
      </w:r>
      <w:r>
        <w:rPr>
          <w:rFonts w:ascii="Arial" w:cs="Arial" w:eastAsia="Arial" w:hAnsi="Arial"/>
          <w:sz w:val="16"/>
          <w:szCs w:val="16"/>
          <w:color w:val="auto"/>
        </w:rPr>
        <w:t>We face a number of risks,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technological, operational, strategic and competitive risks. Management is responsible for the day-to-day management of risks we face, while the Board has responsibility for the oversight of risk management. In its risk oversight role, the Board ensures that the processes for identification, management and mitigation of risk by our management are adequate and functioning as designed. Our Board is actively involved in overseeing risk management and it exercises its oversight both through the full Board and through three of the standing committees of the Board: the Audit Committee, the Human Resources Committee, and the Nominating and Governance Committee. These standing</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committees exercise oversight of the risks within their areas of responsibility, as disclosed in the descriptions of each of the committees above and in the charters of each of the committees. The Board and these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have engaged from time to time. At meetings of the Board, management makes presentations to the Board regarding our business strategy, operations, financial performance, annual budgets, technology and other matters. Many of these presentations include information relating to the challenges and risks to our business and the Board and management actively engage in discussion on these topics. Each of the committees also receives reports from management regarding matters relevant to the work of that committee. These management reports are supplemented by information relating to risk from our advisors. Additionally, following committee meetings, the Board receives reports by each committee chair regarding the committee’s considerations and actions. In this way, the Board also receives additional information regarding the risk oversight functions performed by each of these committees.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1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Fiscal 2015, the Human Resources Committee engaged an outside compensation consultant, Towers Watson, to conduct an updated analysis of the total compensation paid to the Board of Directors (hereinafter, the "2015 Compensation Analysis"). The Consultant was retained by the Committee and has not performed any services for Management. The Committee engaged the Consultant to perform the 2015 Compensation Analysis, in part, to update a prior analysis prepared by the Consultant in 2013 (the "2013 Compensation Analysis"). The Committee has the sole authority to retain or terminate any compensation consultant used in the evaluation of compensation packages and has the sole authority to approve the consultant's fees.</w:t>
      </w:r>
    </w:p>
    <w:p>
      <w:pPr>
        <w:spacing w:after="0" w:line="10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Employee directors receive no additional compensation for serving on the Board or its committees. Each of our Non-Employee Directors receives an annual retainer of $38,000, payable monthly, plus reimbursement of expenses incurred in attending Board and committee meetings. The Lead Director or Board Chair if CEO is not chair, receives an additional $5,000 annual retainer, payable monthly, due to the Chair or Lead Director's additional responsibilities. The Audit Committee Chair receives an additional annual retainer of $10,000, payable monthly, due to the Audit Chair's additional responsibilities. The Chairs of the other Board committees receive an annual retainer of $5,000, payable monthly. We also pay meeting fees of $1,200 per day (regardless of the number of meetings attended in that day). Compensation for participation in Board or committee meetings telephonically is $500 per telephonic meeting. While Mr. Erickson serves as Board Chair and Interim CEO, he will continue to receive director compensation, but will receive no compensation for his service as Interim CEO.</w:t>
      </w:r>
    </w:p>
    <w:p>
      <w:pPr>
        <w:spacing w:after="0" w:line="467" w:lineRule="exact"/>
        <w:rPr>
          <w:sz w:val="20"/>
          <w:szCs w:val="20"/>
          <w:color w:val="auto"/>
        </w:rPr>
      </w:pPr>
    </w:p>
    <w:p>
      <w:pPr>
        <w:sectPr>
          <w:pgSz w:w="11900" w:h="16838" w:orient="portrait"/>
          <w:cols w:equalWidth="0" w:num="2">
            <w:col w:w="5580" w:space="240"/>
            <w:col w:w="5600"/>
          </w:cols>
          <w:pgMar w:left="240" w:top="298" w:right="23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20"/>
          </w:cols>
          <w:pgMar w:left="240" w:top="298" w:right="239" w:bottom="1440" w:gutter="0" w:footer="0" w:header="0"/>
          <w:type w:val="continuous"/>
        </w:sectPr>
      </w:pPr>
    </w:p>
    <w:bookmarkStart w:id="11" w:name="page12"/>
    <w:bookmarkEnd w:id="11"/>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DIRECTOR COMPENSATION TABLE</w:t>
      </w:r>
    </w:p>
    <w:p>
      <w:pPr>
        <w:spacing w:after="0" w:line="183" w:lineRule="exact"/>
        <w:rPr>
          <w:sz w:val="20"/>
          <w:szCs w:val="20"/>
          <w:color w:val="auto"/>
        </w:rPr>
      </w:pPr>
    </w:p>
    <w:p>
      <w:pPr>
        <w:ind w:right="580"/>
        <w:spacing w:after="0" w:line="244" w:lineRule="auto"/>
        <w:rPr>
          <w:sz w:val="20"/>
          <w:szCs w:val="20"/>
          <w:color w:val="auto"/>
        </w:rPr>
      </w:pPr>
      <w:r>
        <w:rPr>
          <w:rFonts w:ascii="Arial" w:cs="Arial" w:eastAsia="Arial" w:hAnsi="Arial"/>
          <w:sz w:val="16"/>
          <w:szCs w:val="16"/>
          <w:color w:val="auto"/>
        </w:rPr>
        <w:t>During Fiscal 2015 there were no awards of options, stock appreciation rights, or changes in pension value or non-qualified deferred compensation earnings awarded to directors. The Company awarded a restricted stock grant of 3,000 shares to each Non-Employee Director during Fiscal 2015.</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total compensation paid to each Non-Employee Director for Fiscal 2015, other than reimbursement for travel 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40" w:type="dxa"/>
            <w:vAlign w:val="bottom"/>
          </w:tcPr>
          <w:p>
            <w:pPr>
              <w:jc w:val="right"/>
              <w:ind w:right="301"/>
              <w:spacing w:after="0"/>
              <w:rPr>
                <w:sz w:val="20"/>
                <w:szCs w:val="20"/>
                <w:color w:val="auto"/>
              </w:rPr>
            </w:pPr>
            <w:r>
              <w:rPr>
                <w:rFonts w:ascii="Arial" w:cs="Arial" w:eastAsia="Arial" w:hAnsi="Arial"/>
                <w:sz w:val="16"/>
                <w:szCs w:val="16"/>
                <w:b w:val="1"/>
                <w:bCs w:val="1"/>
                <w:color w:val="auto"/>
              </w:rPr>
              <w:t>Fees Earned or</w:t>
            </w:r>
          </w:p>
        </w:tc>
        <w:tc>
          <w:tcPr>
            <w:tcW w:w="460" w:type="dxa"/>
            <w:vAlign w:val="bottom"/>
          </w:tcPr>
          <w:p>
            <w:pPr>
              <w:spacing w:after="0"/>
              <w:rPr>
                <w:sz w:val="16"/>
                <w:szCs w:val="16"/>
                <w:color w:val="auto"/>
              </w:rPr>
            </w:pPr>
          </w:p>
        </w:tc>
        <w:tc>
          <w:tcPr>
            <w:tcW w:w="1480" w:type="dxa"/>
            <w:vAlign w:val="bottom"/>
          </w:tcPr>
          <w:p>
            <w:pPr>
              <w:jc w:val="right"/>
              <w:ind w:right="621"/>
              <w:spacing w:after="0"/>
              <w:rPr>
                <w:sz w:val="20"/>
                <w:szCs w:val="20"/>
                <w:color w:val="auto"/>
              </w:rPr>
            </w:pPr>
            <w:r>
              <w:rPr>
                <w:rFonts w:ascii="Arial" w:cs="Arial" w:eastAsia="Arial" w:hAnsi="Arial"/>
                <w:sz w:val="16"/>
                <w:szCs w:val="16"/>
                <w:b w:val="1"/>
                <w:bCs w:val="1"/>
                <w:color w:val="auto"/>
              </w:rPr>
              <w:t>Stock</w:t>
            </w:r>
          </w:p>
        </w:tc>
        <w:tc>
          <w:tcPr>
            <w:tcW w:w="300" w:type="dxa"/>
            <w:vAlign w:val="bottom"/>
          </w:tcPr>
          <w:p>
            <w:pPr>
              <w:spacing w:after="0"/>
              <w:rPr>
                <w:sz w:val="16"/>
                <w:szCs w:val="16"/>
                <w:color w:val="auto"/>
              </w:rPr>
            </w:pPr>
          </w:p>
        </w:tc>
        <w:tc>
          <w:tcPr>
            <w:tcW w:w="2140" w:type="dxa"/>
            <w:vAlign w:val="bottom"/>
          </w:tcPr>
          <w:p>
            <w:pPr>
              <w:ind w:left="380"/>
              <w:spacing w:after="0"/>
              <w:rPr>
                <w:sz w:val="20"/>
                <w:szCs w:val="20"/>
                <w:color w:val="auto"/>
              </w:rPr>
            </w:pPr>
            <w:r>
              <w:rPr>
                <w:rFonts w:ascii="Arial" w:cs="Arial" w:eastAsia="Arial" w:hAnsi="Arial"/>
                <w:sz w:val="16"/>
                <w:szCs w:val="16"/>
                <w:b w:val="1"/>
                <w:bCs w:val="1"/>
                <w:color w:val="auto"/>
              </w:rPr>
              <w:t>All Other</w:t>
            </w:r>
          </w:p>
        </w:tc>
        <w:tc>
          <w:tcPr>
            <w:tcW w:w="1500" w:type="dxa"/>
            <w:vAlign w:val="bottom"/>
          </w:tcPr>
          <w:p>
            <w:pPr>
              <w:spacing w:after="0"/>
              <w:rPr>
                <w:sz w:val="16"/>
                <w:szCs w:val="16"/>
                <w:color w:val="auto"/>
              </w:rPr>
            </w:pPr>
          </w:p>
        </w:tc>
      </w:tr>
      <w:tr>
        <w:trPr>
          <w:trHeight w:val="22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Director</w:t>
            </w:r>
          </w:p>
        </w:tc>
        <w:tc>
          <w:tcPr>
            <w:tcW w:w="1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21"/>
              <w:spacing w:after="0" w:line="228" w:lineRule="exact"/>
              <w:rPr>
                <w:sz w:val="20"/>
                <w:szCs w:val="20"/>
                <w:color w:val="auto"/>
              </w:rPr>
            </w:pPr>
            <w:r>
              <w:rPr>
                <w:rFonts w:ascii="Arial" w:cs="Arial" w:eastAsia="Arial" w:hAnsi="Arial"/>
                <w:sz w:val="16"/>
                <w:szCs w:val="16"/>
                <w:b w:val="1"/>
                <w:bCs w:val="1"/>
                <w:color w:val="auto"/>
              </w:rPr>
              <w:t>Paid in Cash</w:t>
            </w:r>
            <w:r>
              <w:rPr>
                <w:rFonts w:ascii="Arial" w:cs="Arial" w:eastAsia="Arial" w:hAnsi="Arial"/>
                <w:sz w:val="20"/>
                <w:szCs w:val="20"/>
                <w:b w:val="1"/>
                <w:bCs w:val="1"/>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81"/>
              <w:spacing w:after="0" w:line="228"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0"/>
                <w:szCs w:val="20"/>
                <w:b w:val="1"/>
                <w:bCs w:val="1"/>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ind w:left="100"/>
              <w:spacing w:after="0" w:line="228"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0"/>
                <w:szCs w:val="20"/>
                <w:b w:val="1"/>
                <w:bCs w:val="1"/>
                <w:color w:val="auto"/>
                <w:vertAlign w:val="superscript"/>
              </w:rPr>
              <w:t>(3)</w:t>
            </w:r>
          </w:p>
        </w:tc>
        <w:tc>
          <w:tcPr>
            <w:tcW w:w="150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Total</w:t>
            </w:r>
          </w:p>
        </w:tc>
      </w:tr>
      <w:tr>
        <w:trPr>
          <w:trHeight w:val="255"/>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Irvin E. Aal</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53,100</w:t>
            </w:r>
          </w:p>
        </w:tc>
        <w:tc>
          <w:tcPr>
            <w:tcW w:w="4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65,790</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118,890</w:t>
            </w:r>
          </w:p>
        </w:tc>
      </w:tr>
      <w:tr>
        <w:trPr>
          <w:trHeight w:val="252"/>
        </w:trPr>
        <w:tc>
          <w:tcPr>
            <w:tcW w:w="2620" w:type="dxa"/>
            <w:vAlign w:val="bottom"/>
          </w:tcPr>
          <w:p>
            <w:pPr>
              <w:ind w:left="40"/>
              <w:spacing w:after="0"/>
              <w:rPr>
                <w:sz w:val="20"/>
                <w:szCs w:val="20"/>
                <w:color w:val="auto"/>
              </w:rPr>
            </w:pPr>
            <w:r>
              <w:rPr>
                <w:rFonts w:ascii="Arial" w:cs="Arial" w:eastAsia="Arial" w:hAnsi="Arial"/>
                <w:sz w:val="16"/>
                <w:szCs w:val="16"/>
                <w:color w:val="auto"/>
              </w:rPr>
              <w:t>Robert M. Chiusano</w:t>
            </w:r>
          </w:p>
        </w:tc>
        <w:tc>
          <w:tcPr>
            <w:tcW w:w="1280" w:type="dxa"/>
            <w:vAlign w:val="bottom"/>
          </w:tcPr>
          <w:p>
            <w:pPr>
              <w:spacing w:after="0"/>
              <w:rPr>
                <w:sz w:val="21"/>
                <w:szCs w:val="21"/>
                <w:color w:val="auto"/>
              </w:rPr>
            </w:pP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53,100</w:t>
            </w:r>
          </w:p>
        </w:tc>
        <w:tc>
          <w:tcPr>
            <w:tcW w:w="460" w:type="dxa"/>
            <w:vAlign w:val="bottom"/>
          </w:tcPr>
          <w:p>
            <w:pPr>
              <w:spacing w:after="0"/>
              <w:rPr>
                <w:sz w:val="21"/>
                <w:szCs w:val="21"/>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65,790</w:t>
            </w:r>
          </w:p>
        </w:tc>
        <w:tc>
          <w:tcPr>
            <w:tcW w:w="300" w:type="dxa"/>
            <w:vAlign w:val="bottom"/>
          </w:tcPr>
          <w:p>
            <w:pPr>
              <w:spacing w:after="0"/>
              <w:rPr>
                <w:sz w:val="21"/>
                <w:szCs w:val="21"/>
                <w:color w:val="auto"/>
              </w:rPr>
            </w:pPr>
          </w:p>
        </w:tc>
        <w:tc>
          <w:tcPr>
            <w:tcW w:w="2140" w:type="dxa"/>
            <w:vAlign w:val="bottom"/>
          </w:tcPr>
          <w:p>
            <w:pPr>
              <w:ind w:left="13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118,890</w:t>
            </w:r>
          </w:p>
        </w:tc>
      </w:tr>
      <w:tr>
        <w:trPr>
          <w:trHeight w:val="272"/>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Jerry N. Currie</w:t>
            </w:r>
          </w:p>
        </w:tc>
        <w:tc>
          <w:tcPr>
            <w:tcW w:w="12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48,100</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65,790</w:t>
            </w:r>
          </w:p>
        </w:tc>
        <w:tc>
          <w:tcPr>
            <w:tcW w:w="300" w:type="dxa"/>
            <w:vAlign w:val="bottom"/>
            <w:shd w:val="clear" w:color="auto" w:fill="CCEEFF"/>
          </w:tcPr>
          <w:p>
            <w:pPr>
              <w:spacing w:after="0"/>
              <w:rPr>
                <w:sz w:val="23"/>
                <w:szCs w:val="23"/>
                <w:color w:val="auto"/>
              </w:rPr>
            </w:pPr>
          </w:p>
        </w:tc>
        <w:tc>
          <w:tcPr>
            <w:tcW w:w="214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113,890</w:t>
            </w:r>
          </w:p>
        </w:tc>
      </w:tr>
      <w:tr>
        <w:trPr>
          <w:trHeight w:val="252"/>
        </w:trPr>
        <w:tc>
          <w:tcPr>
            <w:tcW w:w="2620" w:type="dxa"/>
            <w:vAlign w:val="bottom"/>
          </w:tcPr>
          <w:p>
            <w:pPr>
              <w:ind w:left="40"/>
              <w:spacing w:after="0"/>
              <w:rPr>
                <w:sz w:val="20"/>
                <w:szCs w:val="20"/>
                <w:color w:val="auto"/>
              </w:rPr>
            </w:pPr>
            <w:r>
              <w:rPr>
                <w:rFonts w:ascii="Arial" w:cs="Arial" w:eastAsia="Arial" w:hAnsi="Arial"/>
                <w:sz w:val="16"/>
                <w:szCs w:val="16"/>
                <w:color w:val="auto"/>
              </w:rPr>
              <w:t>Lawrence A. Erickson</w:t>
            </w:r>
          </w:p>
        </w:tc>
        <w:tc>
          <w:tcPr>
            <w:tcW w:w="1280" w:type="dxa"/>
            <w:vAlign w:val="bottom"/>
          </w:tcPr>
          <w:p>
            <w:pPr>
              <w:spacing w:after="0"/>
              <w:rPr>
                <w:sz w:val="21"/>
                <w:szCs w:val="21"/>
                <w:color w:val="auto"/>
              </w:rPr>
            </w:pP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58,100</w:t>
            </w:r>
          </w:p>
        </w:tc>
        <w:tc>
          <w:tcPr>
            <w:tcW w:w="460" w:type="dxa"/>
            <w:vAlign w:val="bottom"/>
          </w:tcPr>
          <w:p>
            <w:pPr>
              <w:spacing w:after="0"/>
              <w:rPr>
                <w:sz w:val="21"/>
                <w:szCs w:val="21"/>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65,790</w:t>
            </w:r>
          </w:p>
        </w:tc>
        <w:tc>
          <w:tcPr>
            <w:tcW w:w="300" w:type="dxa"/>
            <w:vAlign w:val="bottom"/>
          </w:tcPr>
          <w:p>
            <w:pPr>
              <w:spacing w:after="0"/>
              <w:rPr>
                <w:sz w:val="21"/>
                <w:szCs w:val="21"/>
                <w:color w:val="auto"/>
              </w:rPr>
            </w:pPr>
          </w:p>
        </w:tc>
        <w:tc>
          <w:tcPr>
            <w:tcW w:w="2140" w:type="dxa"/>
            <w:vAlign w:val="bottom"/>
          </w:tcPr>
          <w:p>
            <w:pPr>
              <w:ind w:left="13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123,890</w:t>
            </w:r>
          </w:p>
        </w:tc>
      </w:tr>
      <w:tr>
        <w:trPr>
          <w:trHeight w:val="272"/>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C. Fisher</w:t>
            </w:r>
          </w:p>
        </w:tc>
        <w:tc>
          <w:tcPr>
            <w:tcW w:w="12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15,567</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214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15,567</w:t>
            </w:r>
          </w:p>
        </w:tc>
      </w:tr>
      <w:tr>
        <w:trPr>
          <w:trHeight w:val="252"/>
        </w:trPr>
        <w:tc>
          <w:tcPr>
            <w:tcW w:w="2620" w:type="dxa"/>
            <w:vAlign w:val="bottom"/>
          </w:tcPr>
          <w:p>
            <w:pPr>
              <w:ind w:left="40"/>
              <w:spacing w:after="0"/>
              <w:rPr>
                <w:sz w:val="20"/>
                <w:szCs w:val="20"/>
                <w:color w:val="auto"/>
              </w:rPr>
            </w:pPr>
            <w:r>
              <w:rPr>
                <w:rFonts w:ascii="Arial" w:cs="Arial" w:eastAsia="Arial" w:hAnsi="Arial"/>
                <w:sz w:val="16"/>
                <w:szCs w:val="16"/>
                <w:color w:val="auto"/>
              </w:rPr>
              <w:t>Robert J. Olson</w:t>
            </w:r>
          </w:p>
        </w:tc>
        <w:tc>
          <w:tcPr>
            <w:tcW w:w="1280" w:type="dxa"/>
            <w:vAlign w:val="bottom"/>
          </w:tcPr>
          <w:p>
            <w:pPr>
              <w:spacing w:after="0"/>
              <w:rPr>
                <w:sz w:val="21"/>
                <w:szCs w:val="21"/>
                <w:color w:val="auto"/>
              </w:rPr>
            </w:pP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14,734</w:t>
            </w:r>
          </w:p>
        </w:tc>
        <w:tc>
          <w:tcPr>
            <w:tcW w:w="460" w:type="dxa"/>
            <w:vAlign w:val="bottom"/>
          </w:tcPr>
          <w:p>
            <w:pPr>
              <w:spacing w:after="0"/>
              <w:rPr>
                <w:sz w:val="21"/>
                <w:szCs w:val="21"/>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65,790</w:t>
            </w:r>
          </w:p>
        </w:tc>
        <w:tc>
          <w:tcPr>
            <w:tcW w:w="300" w:type="dxa"/>
            <w:vAlign w:val="bottom"/>
          </w:tcPr>
          <w:p>
            <w:pPr>
              <w:spacing w:after="0"/>
              <w:rPr>
                <w:sz w:val="21"/>
                <w:szCs w:val="21"/>
                <w:color w:val="auto"/>
              </w:rPr>
            </w:pPr>
          </w:p>
        </w:tc>
        <w:tc>
          <w:tcPr>
            <w:tcW w:w="2140" w:type="dxa"/>
            <w:vAlign w:val="bottom"/>
          </w:tcPr>
          <w:p>
            <w:pPr>
              <w:ind w:left="13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80,524</w:t>
            </w:r>
          </w:p>
        </w:tc>
      </w:tr>
      <w:tr>
        <w:trPr>
          <w:trHeight w:val="272"/>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Martha T. Rodamaker</w:t>
            </w:r>
          </w:p>
        </w:tc>
        <w:tc>
          <w:tcPr>
            <w:tcW w:w="12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48,100</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65,790</w:t>
            </w:r>
          </w:p>
        </w:tc>
        <w:tc>
          <w:tcPr>
            <w:tcW w:w="300" w:type="dxa"/>
            <w:vAlign w:val="bottom"/>
            <w:shd w:val="clear" w:color="auto" w:fill="CCEEFF"/>
          </w:tcPr>
          <w:p>
            <w:pPr>
              <w:spacing w:after="0"/>
              <w:rPr>
                <w:sz w:val="23"/>
                <w:szCs w:val="23"/>
                <w:color w:val="auto"/>
              </w:rPr>
            </w:pPr>
          </w:p>
        </w:tc>
        <w:tc>
          <w:tcPr>
            <w:tcW w:w="214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113,890</w:t>
            </w:r>
          </w:p>
        </w:tc>
      </w:tr>
      <w:tr>
        <w:trPr>
          <w:trHeight w:val="242"/>
        </w:trPr>
        <w:tc>
          <w:tcPr>
            <w:tcW w:w="2620" w:type="dxa"/>
            <w:vAlign w:val="bottom"/>
          </w:tcPr>
          <w:p>
            <w:pPr>
              <w:ind w:left="40"/>
              <w:spacing w:after="0"/>
              <w:rPr>
                <w:sz w:val="20"/>
                <w:szCs w:val="20"/>
                <w:color w:val="auto"/>
              </w:rPr>
            </w:pPr>
            <w:r>
              <w:rPr>
                <w:rFonts w:ascii="Arial" w:cs="Arial" w:eastAsia="Arial" w:hAnsi="Arial"/>
                <w:sz w:val="16"/>
                <w:szCs w:val="16"/>
                <w:color w:val="auto"/>
              </w:rPr>
              <w:t>Mark T. Schroepfer</w:t>
            </w:r>
          </w:p>
        </w:tc>
        <w:tc>
          <w:tcPr>
            <w:tcW w:w="1280" w:type="dxa"/>
            <w:vAlign w:val="bottom"/>
          </w:tcPr>
          <w:p>
            <w:pPr>
              <w:spacing w:after="0"/>
              <w:rPr>
                <w:sz w:val="21"/>
                <w:szCs w:val="21"/>
                <w:color w:val="auto"/>
              </w:rPr>
            </w:pP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58,100</w:t>
            </w:r>
          </w:p>
        </w:tc>
        <w:tc>
          <w:tcPr>
            <w:tcW w:w="460" w:type="dxa"/>
            <w:vAlign w:val="bottom"/>
          </w:tcPr>
          <w:p>
            <w:pPr>
              <w:spacing w:after="0"/>
              <w:rPr>
                <w:sz w:val="21"/>
                <w:szCs w:val="21"/>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65,790</w:t>
            </w:r>
          </w:p>
        </w:tc>
        <w:tc>
          <w:tcPr>
            <w:tcW w:w="300" w:type="dxa"/>
            <w:vAlign w:val="bottom"/>
          </w:tcPr>
          <w:p>
            <w:pPr>
              <w:spacing w:after="0"/>
              <w:rPr>
                <w:sz w:val="21"/>
                <w:szCs w:val="21"/>
                <w:color w:val="auto"/>
              </w:rPr>
            </w:pPr>
          </w:p>
        </w:tc>
        <w:tc>
          <w:tcPr>
            <w:tcW w:w="2140" w:type="dxa"/>
            <w:vAlign w:val="bottom"/>
          </w:tcPr>
          <w:p>
            <w:pPr>
              <w:ind w:left="13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123,890</w:t>
            </w:r>
          </w:p>
        </w:tc>
      </w:tr>
    </w:tbl>
    <w:p>
      <w:pPr>
        <w:spacing w:after="0" w:line="24" w:lineRule="exact"/>
        <w:rPr>
          <w:sz w:val="20"/>
          <w:szCs w:val="20"/>
          <w:color w:val="auto"/>
        </w:rPr>
      </w:pPr>
    </w:p>
    <w:p>
      <w:pPr>
        <w:ind w:left="320" w:hanging="315"/>
        <w:spacing w:after="0"/>
        <w:tabs>
          <w:tab w:leader="none" w:pos="320" w:val="left"/>
        </w:tabs>
        <w:numPr>
          <w:ilvl w:val="0"/>
          <w:numId w:val="16"/>
        </w:numPr>
        <w:rPr>
          <w:rFonts w:ascii="Arial" w:cs="Arial" w:eastAsia="Arial" w:hAnsi="Arial"/>
          <w:sz w:val="12"/>
          <w:szCs w:val="12"/>
          <w:color w:val="auto"/>
        </w:rPr>
      </w:pPr>
      <w:r>
        <w:rPr>
          <w:rFonts w:ascii="Arial" w:cs="Arial" w:eastAsia="Arial" w:hAnsi="Arial"/>
          <w:sz w:val="14"/>
          <w:szCs w:val="14"/>
          <w:color w:val="auto"/>
        </w:rPr>
        <w:t>Our directors may elect to receive fees in cash or may defer their fees into the Directors' Deferred Compensation Plan.</w:t>
      </w:r>
    </w:p>
    <w:p>
      <w:pPr>
        <w:spacing w:after="0" w:line="48" w:lineRule="exact"/>
        <w:rPr>
          <w:rFonts w:ascii="Arial" w:cs="Arial" w:eastAsia="Arial" w:hAnsi="Arial"/>
          <w:sz w:val="12"/>
          <w:szCs w:val="12"/>
          <w:color w:val="auto"/>
        </w:rPr>
      </w:pPr>
    </w:p>
    <w:p>
      <w:pPr>
        <w:ind w:left="320" w:hanging="315"/>
        <w:spacing w:after="0"/>
        <w:tabs>
          <w:tab w:leader="none" w:pos="32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These awards are valued at $21.93 per share, the closing price on October 15, 2014, the date of the restricted stock grant.</w:t>
      </w:r>
    </w:p>
    <w:p>
      <w:pPr>
        <w:spacing w:after="0" w:line="48" w:lineRule="exact"/>
        <w:rPr>
          <w:rFonts w:ascii="Arial" w:cs="Arial" w:eastAsia="Arial" w:hAnsi="Arial"/>
          <w:sz w:val="12"/>
          <w:szCs w:val="12"/>
          <w:color w:val="auto"/>
        </w:rPr>
      </w:pPr>
    </w:p>
    <w:p>
      <w:pPr>
        <w:ind w:left="320" w:hanging="315"/>
        <w:spacing w:after="0"/>
        <w:tabs>
          <w:tab w:leader="none" w:pos="320" w:val="left"/>
        </w:tabs>
        <w:numPr>
          <w:ilvl w:val="0"/>
          <w:numId w:val="16"/>
        </w:numPr>
        <w:rPr>
          <w:rFonts w:ascii="Arial" w:cs="Arial" w:eastAsia="Arial" w:hAnsi="Arial"/>
          <w:sz w:val="12"/>
          <w:szCs w:val="12"/>
          <w:color w:val="auto"/>
        </w:rPr>
      </w:pPr>
      <w:r>
        <w:rPr>
          <w:rFonts w:ascii="Arial" w:cs="Arial" w:eastAsia="Arial" w:hAnsi="Arial"/>
          <w:sz w:val="14"/>
          <w:szCs w:val="14"/>
          <w:color w:val="auto"/>
        </w:rPr>
        <w:t>None of the directors received perquisites and other personal benefits in an aggregate amount of $10,000 or more.</w:t>
      </w:r>
    </w:p>
    <w:p>
      <w:pPr>
        <w:sectPr>
          <w:pgSz w:w="11900" w:h="16838" w:orient="portrait"/>
          <w:cols w:equalWidth="0" w:num="1">
            <w:col w:w="11420"/>
          </w:cols>
          <w:pgMar w:left="240" w:top="298" w:right="2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HOLDINGS AS OF OCTOBER 13, 2015</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As of October 13, 2015, the aggregate number of stock awards, stock purchased, stock option awards and Winnebago Stock Units held by each Non-Employee Director is shown in the Voting Securities and Principal Holders section.</w:t>
      </w:r>
    </w:p>
    <w:p>
      <w:pPr>
        <w:spacing w:after="0" w:line="207" w:lineRule="exact"/>
        <w:rPr>
          <w:sz w:val="20"/>
          <w:szCs w:val="20"/>
          <w:color w:val="auto"/>
        </w:rPr>
      </w:pPr>
    </w:p>
    <w:p>
      <w:pPr>
        <w:ind w:right="80"/>
        <w:spacing w:after="0"/>
        <w:rPr>
          <w:sz w:val="20"/>
          <w:szCs w:val="20"/>
          <w:color w:val="auto"/>
        </w:rPr>
      </w:pPr>
      <w:r>
        <w:rPr>
          <w:rFonts w:ascii="Arial" w:cs="Arial" w:eastAsia="Arial" w:hAnsi="Arial"/>
          <w:sz w:val="16"/>
          <w:szCs w:val="16"/>
          <w:color w:val="auto"/>
        </w:rPr>
        <w:t>Our Corporate Governance Policy states that Non-Employee Directors have guidelines encouraging ownership of Common Stock, Stock Units or other equity equivalents equal in value to 400% of their annual retainer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DIRECTORS' DEFFERRED COMPENSATION PLAN</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Effective April 1, 1997, the Board of Directors adopted the Winnebago Industries, Inc. Directors' Deferred Compensation Plan (as amended, the “Directors' Deferred Compensation Plan”). The purpose of the Directors' Deferred Compensation Plan is to enable Non-Employee Directors (the “Participants”) to receive their compensation for board service (the “Deferred Compensation”) in a form other than as direct payments and to defer taxes on such compensation. A Participant may elect to apply either 50% or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30-year Treasury bond yield as of the first business day of the plan year. The Board of Directors may from time to time prescribe additional methods for the accrual of interest on Money Credits with respect to Deferred</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auto"/>
        </w:rPr>
        <w:t>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our treasury shares and like all Common Stock, generally, will accrue dividends, if any, paid by us on our Common Stock. Winnebago Stock Units will be recorded in such Participant's account on the basis of the closing price of the Common Stock of the Company on the date upon which the account is to be credited, as officially reported by the NYSE. Prior to July 1, 2013, any Participant who elected to defer compensation in the form of Winnebago Stock Units received a matching contribution from the Company equal to 25% of the Deferred Compensation so invested, which was credited to the Participant's account and invested in Winnebago Stock Units. On March 20, 2013, the Board of Directors amended the Directors' Deferred Compensation Plan effective July 1, 2013 to remove the Company's matching contribution. All other material aspects of the Directors' Deferred Compensation Plan remain in place.</w:t>
      </w:r>
    </w:p>
    <w:p>
      <w:pPr>
        <w:spacing w:after="0" w:line="6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Prior to removal of the matching contribution provision, the matching contribution to a Participant's Winnebago Stock Unit account vested on a graduated basis at the rate of 33-1/3% for each complete 12-month period of service as a director following the effective date of the Directors' Deferred Compensation Plan. Any matching Winnebago Stock Units thereafter recorded in the Participant's account after the Participant's completion of 36 months of service after the effective date of the Directors' Deferred Compensation Plan will be fully vested and non-forfeitable. Notwithstanding the above, the Participant's Winnebago Stock Unit account will become fully vested upon his or her attainment of age 69-1/2 while serving as a director. Under the Directors' Deferred Compensation Plan, participants are restricted from selling the Common Stock underlying the Winnebago Stock Units until the date the participant retires from the Board of Directors. In the</w:t>
      </w:r>
    </w:p>
    <w:p>
      <w:pPr>
        <w:spacing w:after="0" w:line="630" w:lineRule="exact"/>
        <w:rPr>
          <w:sz w:val="20"/>
          <w:szCs w:val="20"/>
          <w:color w:val="auto"/>
        </w:rPr>
      </w:pPr>
    </w:p>
    <w:p>
      <w:pPr>
        <w:sectPr>
          <w:pgSz w:w="11900" w:h="16838" w:orient="portrait"/>
          <w:cols w:equalWidth="0" w:num="2">
            <w:col w:w="5540" w:space="280"/>
            <w:col w:w="5600"/>
          </w:cols>
          <w:pgMar w:left="240" w:top="298" w:right="239" w:bottom="1440" w:gutter="0" w:footer="0" w:header="0"/>
          <w:type w:val="continuous"/>
        </w:sectPr>
      </w:pP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20"/>
          </w:cols>
          <w:pgMar w:left="240" w:top="298" w:right="239" w:bottom="1440" w:gutter="0" w:footer="0" w:header="0"/>
          <w:type w:val="continuous"/>
        </w:sectPr>
      </w:pPr>
    </w:p>
    <w:bookmarkStart w:id="12" w:name="page13"/>
    <w:bookmarkEnd w:id="12"/>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00"/>
          </w:cols>
          <w:pgMar w:left="240" w:top="298"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event that a Participant terminates his or her service as a director, any unvested Winnebago Stock Units will be forfeited by the director. The Winnebago Stock Units credited to Participant's accounts are included in the Common Stock ownership table under the caption “Voting Securities and Principal Holders.” The directors, however, do not have any rights to vote or dispose of any shares of Common Stock underlying the stock units until their service as director ends.</w:t>
      </w:r>
    </w:p>
    <w:p>
      <w:pPr>
        <w:spacing w:after="0" w:line="62"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In the event of any change in the outstanding shares of Common Stock of the Company by reason of any stock dividend or split, recapitalization, merger, consolidation, spin-off, reorganization, combination or exchange of shares or other similar corporate change, if the Directors' Deferred Compensation Plan administrator determines, in its sole discretion, that such change equitably requires an adjustment in the number of Winnebago Stock Units then held in a Participant's Winnebago Stock Unit account, such adjustments will be made by the Directors' Deferred Compensation Plan administrator and will be conclusive and binding for all purposes of said plan.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a “change of control" of the Company, as defined in the Directors' Deferred Compensation Plan, a Participant will receive a lump-sum distribution of his or her account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The Winnebago Industries, Inc. 2014 Omnibus Equity, Performance Award and Incentive Compensation Plan (the "2014 Plan") provides that Non-Employee Directors may receive “Stock Awards,” “Performance Awards” or “Non-qualified Stock Options” each as defined under the 2014 Plan (collectively, “Director Awards”) and may not be granted incentive stock options. Terms, conditions and limitations applicable 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ten years after the grant date. Non-qualified Stock Options may not include provisions that “reload” the option upon exercise. Subject to the foregoing provisions, the terms, conditions and limitations applicable to any Non-qualified Stock Options awarded to directors pursuant to the 2014 Plan, including the grant price, the term of the Non-qualified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200" w:right="120"/>
        <w:spacing w:after="0" w:line="239" w:lineRule="auto"/>
        <w:rPr>
          <w:sz w:val="20"/>
          <w:szCs w:val="20"/>
          <w:color w:val="auto"/>
        </w:rPr>
      </w:pPr>
      <w:r>
        <w:rPr>
          <w:rFonts w:ascii="Arial" w:cs="Arial" w:eastAsia="Arial" w:hAnsi="Arial"/>
          <w:sz w:val="16"/>
          <w:szCs w:val="16"/>
          <w:color w:val="auto"/>
        </w:rPr>
        <w:t>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 Other than the 3,000 share restricted stock grant described above, no non-employee director received any other Director Awards in 2015.</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ITEM 1</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ELECTION OF DIRECTORS</w:t>
      </w:r>
    </w:p>
    <w:p>
      <w:pPr>
        <w:spacing w:after="0" w:line="203" w:lineRule="exact"/>
        <w:rPr>
          <w:sz w:val="20"/>
          <w:szCs w:val="20"/>
          <w:color w:val="auto"/>
        </w:rPr>
      </w:pPr>
    </w:p>
    <w:p>
      <w:pPr>
        <w:ind w:left="200"/>
        <w:spacing w:after="0" w:line="239" w:lineRule="auto"/>
        <w:rPr>
          <w:sz w:val="20"/>
          <w:szCs w:val="20"/>
          <w:color w:val="auto"/>
        </w:rPr>
      </w:pPr>
      <w:r>
        <w:rPr>
          <w:rFonts w:ascii="Arial" w:cs="Arial" w:eastAsia="Arial" w:hAnsi="Arial"/>
          <w:sz w:val="16"/>
          <w:szCs w:val="16"/>
          <w:color w:val="auto"/>
        </w:rPr>
        <w:t>Our Board of Directors is divided into three classes with staggered terms, each consisting of one-third of the total number of the members of the Board of Directors. Our bylaws provide that our Board is comprised of between three and fifteen directors. The Board set the number of directors at nine. The number of directors was increased from 8 to 9 at the June 17, 2015 Board Meeting and the number of Class I directors was increased to three. Directors are elected for a term of three years. At the Annual Meeting, the term of office of the Class I directors (Mr. Aal and Ms. Rodamaker) will expire, and three persons will be elected to serve in that class until the annual meeting following our Fiscal Year 2018 or until their respective successors are elected. Mr. Aal notified the Company at the June 2015 Board Meeting of his intention not to seek re-election to the Board as he no longer meets the age requirements for serving on the Board. The Nominating and Governance Committee is nominating Messrs. Braun and Miles, and Ms. Rodamaker as Class I Directors. In addition, Mr. Fisher, who was appointed by the Board to fill the vacancy in Class III created by Robert J. Olson's retirement from the Board in December 2014, will be nominated to fill the remainder of the Class III term until the Annual Meeting following our Fiscal Year 2017. The Board expects to operate with eight non-employee independent directors and after a permanent CEO is named, one employee, non-independent director. The terms of office of the Class II and Class III directors will expire at the annual meetings following our Fiscal Years 2016 and 2017, respectively.</w:t>
      </w:r>
    </w:p>
    <w:p>
      <w:pPr>
        <w:spacing w:after="0" w:line="166"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b w:val="1"/>
          <w:bCs w:val="1"/>
          <w:color w:val="auto"/>
        </w:rPr>
        <w:t>YOUR BOARD OF DIRECTORS UNANIMOUSLY RECOMMENDS THAT YOU VOTE FOR THE ELECTION OF THE DIRECTOR NOMINEES.</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ectPr>
          <w:pgSz w:w="11900" w:h="16838" w:orient="portrait"/>
          <w:cols w:equalWidth="0" w:num="2">
            <w:col w:w="5580" w:space="40"/>
            <w:col w:w="5780"/>
          </w:cols>
          <w:pgMar w:left="240" w:top="298" w:right="259" w:bottom="1440" w:gutter="0" w:footer="0" w:header="0"/>
          <w:type w:val="continuous"/>
        </w:sectPr>
      </w:pPr>
    </w:p>
    <w:bookmarkStart w:id="13" w:name="page14"/>
    <w:bookmarkEnd w:id="13"/>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360"/>
          </w:cols>
          <w:pgMar w:left="240" w:top="298" w:right="29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Class I Directors to be Elected to Serve Until the Annual Meeting Following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111125</wp:posOffset>
            </wp:positionV>
            <wp:extent cx="1072515" cy="136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72515" cy="136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200" w:right="40"/>
        <w:spacing w:after="0" w:line="245" w:lineRule="auto"/>
        <w:rPr>
          <w:sz w:val="20"/>
          <w:szCs w:val="20"/>
          <w:color w:val="auto"/>
        </w:rPr>
      </w:pPr>
      <w:r>
        <w:rPr>
          <w:rFonts w:ascii="Arial" w:cs="Arial" w:eastAsia="Arial" w:hAnsi="Arial"/>
          <w:sz w:val="16"/>
          <w:szCs w:val="16"/>
          <w:b w:val="1"/>
          <w:bCs w:val="1"/>
          <w:color w:val="auto"/>
        </w:rPr>
        <w:t>Christopher J. Braun</w:t>
      </w:r>
      <w:r>
        <w:rPr>
          <w:rFonts w:ascii="Arial" w:cs="Arial" w:eastAsia="Arial" w:hAnsi="Arial"/>
          <w:sz w:val="16"/>
          <w:szCs w:val="16"/>
          <w:color w:val="auto"/>
        </w:rPr>
        <w:t>, 55, is self-employed as a management consultant. Mr. Braun has over 30 years of leadership experience</w:t>
      </w:r>
      <w:r>
        <w:rPr>
          <w:rFonts w:ascii="Arial" w:cs="Arial" w:eastAsia="Arial" w:hAnsi="Arial"/>
          <w:sz w:val="16"/>
          <w:szCs w:val="16"/>
          <w:b w:val="1"/>
          <w:bCs w:val="1"/>
          <w:color w:val="auto"/>
        </w:rPr>
        <w:t xml:space="preserve"> </w:t>
      </w:r>
      <w:r>
        <w:rPr>
          <w:rFonts w:ascii="Arial" w:cs="Arial" w:eastAsia="Arial" w:hAnsi="Arial"/>
          <w:sz w:val="16"/>
          <w:szCs w:val="16"/>
          <w:color w:val="auto"/>
        </w:rPr>
        <w:t>encompassing manufacturing, finance and sales. He founded Teton Buildings in 2008 and held the position of CEO through 2013. His previous experience includes CEO of Teton Homes, Executive Vice President - RV Group at Fleetwood Enterprises and various senior management positions within PACCAR Corporation, manufacturer of Kenworth and Peterbilt trucks. Based upon Mr. Braun's experience in the RV industry and his financial knowledge, the Board concluded that Mr. Braun should be nominated to serve as a non-employee director of Winnebago Industries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443230</wp:posOffset>
            </wp:positionV>
            <wp:extent cx="1072515" cy="129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72515" cy="129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340"/>
        <w:spacing w:after="0" w:line="243" w:lineRule="auto"/>
        <w:rPr>
          <w:sz w:val="20"/>
          <w:szCs w:val="20"/>
          <w:color w:val="auto"/>
        </w:rPr>
      </w:pPr>
      <w:r>
        <w:rPr>
          <w:rFonts w:ascii="Arial" w:cs="Arial" w:eastAsia="Arial" w:hAnsi="Arial"/>
          <w:sz w:val="16"/>
          <w:szCs w:val="16"/>
          <w:b w:val="1"/>
          <w:bCs w:val="1"/>
          <w:color w:val="auto"/>
        </w:rPr>
        <w:t xml:space="preserve">David W. Miles, </w:t>
      </w:r>
      <w:r>
        <w:rPr>
          <w:rFonts w:ascii="Arial" w:cs="Arial" w:eastAsia="Arial" w:hAnsi="Arial"/>
          <w:sz w:val="16"/>
          <w:szCs w:val="16"/>
          <w:color w:val="auto"/>
        </w:rPr>
        <w:t>58, is a financial adviser, entrepreneur and investor. Mr. Miles is chairman and principal owner of Miles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Inc., a registered investment advisory firm with $4.3 billion in client assets under management, co-founder and Managing Principal of the venture capital firm ManchesterStory Group, LLC, and founder and Manager of The Miles Group, LLC, a firm focused on direct and indirect private equity investments. He is also president and director of the Miles Funds, Inc., and a director of Northwest Financial Corporation. He received his J.D. from Harvard Law School, a Master of Public Policy from Harvard’s Kennedy School of Government, and his B.A. from Drake University. Based upon Mr. Miles' financial and leadership experience, the Board concluded that Mr. Miles should be nominated to serve as a non-employee director of Winnebago Industries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295910</wp:posOffset>
            </wp:positionV>
            <wp:extent cx="1072515" cy="1313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72515" cy="131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340"/>
        <w:spacing w:after="0" w:line="262" w:lineRule="auto"/>
        <w:rPr>
          <w:sz w:val="20"/>
          <w:szCs w:val="20"/>
          <w:color w:val="auto"/>
        </w:rPr>
      </w:pPr>
      <w:r>
        <w:rPr>
          <w:rFonts w:ascii="Arial" w:cs="Arial" w:eastAsia="Arial" w:hAnsi="Arial"/>
          <w:sz w:val="15"/>
          <w:szCs w:val="15"/>
          <w:b w:val="1"/>
          <w:bCs w:val="1"/>
          <w:color w:val="auto"/>
        </w:rPr>
        <w:t>Martha (Marti) Tomson Rodamaker</w:t>
      </w:r>
      <w:r>
        <w:rPr>
          <w:rFonts w:ascii="Arial" w:cs="Arial" w:eastAsia="Arial" w:hAnsi="Arial"/>
          <w:sz w:val="15"/>
          <w:szCs w:val="15"/>
          <w:color w:val="auto"/>
        </w:rPr>
        <w:t>, age 53, has served as a director since 2012. Ms. Rodamaker has been the president, CEO,</w:t>
      </w:r>
      <w:r>
        <w:rPr>
          <w:rFonts w:ascii="Arial" w:cs="Arial" w:eastAsia="Arial" w:hAnsi="Arial"/>
          <w:sz w:val="15"/>
          <w:szCs w:val="15"/>
          <w:b w:val="1"/>
          <w:bCs w:val="1"/>
          <w:color w:val="auto"/>
        </w:rPr>
        <w:t xml:space="preserve"> </w:t>
      </w:r>
      <w:r>
        <w:rPr>
          <w:rFonts w:ascii="Arial" w:cs="Arial" w:eastAsia="Arial" w:hAnsi="Arial"/>
          <w:sz w:val="15"/>
          <w:szCs w:val="15"/>
          <w:color w:val="auto"/>
        </w:rPr>
        <w:t>and a board member of First Citizens National Bank in Mason City, Iowa since 1997, and has been with First Citizens since 1992. Prior to that she spent five years working as a commercial banker and internal auditor at Norwest Bank in Minneapolis. Her education includes a Bachelor of Arts degree in economics from the University of Northern Iowa and a MBA in finance from the University of St. Thomas in St. Paul, Minnesota. She has an extensive history of working with companies in northern Iowa and through her education and years of experience offers a broad base of knowledge about all facets of business. Based upon Ms. Rodamaker's financial experience and leadership experience, the Board concluded that Ms. Rodamaker should be nominated to serve as a non-employee director of Winnebago Industries at the time this Proxy Statement is filed with the SEC.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 Directors Whose Terms Expire at the Annual Meeting Following 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111125</wp:posOffset>
            </wp:positionV>
            <wp:extent cx="1072515" cy="128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72515" cy="1289050"/>
                    </a:xfrm>
                    <a:prstGeom prst="rect">
                      <a:avLst/>
                    </a:prstGeom>
                    <a:noFill/>
                  </pic:spPr>
                </pic:pic>
              </a:graphicData>
            </a:graphic>
          </wp:anchor>
        </w:drawing>
      </w:r>
    </w:p>
    <w:p>
      <w:pPr>
        <w:spacing w:after="0" w:line="320" w:lineRule="exact"/>
        <w:rPr>
          <w:sz w:val="20"/>
          <w:szCs w:val="20"/>
          <w:color w:val="auto"/>
        </w:rPr>
      </w:pPr>
    </w:p>
    <w:p>
      <w:pPr>
        <w:ind w:left="2340" w:right="160"/>
        <w:spacing w:after="0" w:line="243" w:lineRule="auto"/>
        <w:rPr>
          <w:sz w:val="20"/>
          <w:szCs w:val="20"/>
          <w:color w:val="auto"/>
        </w:rPr>
      </w:pPr>
      <w:r>
        <w:rPr>
          <w:rFonts w:ascii="Arial" w:cs="Arial" w:eastAsia="Arial" w:hAnsi="Arial"/>
          <w:sz w:val="16"/>
          <w:szCs w:val="16"/>
          <w:b w:val="1"/>
          <w:bCs w:val="1"/>
          <w:color w:val="auto"/>
        </w:rPr>
        <w:t>Robert M. Chiusano</w:t>
      </w:r>
      <w:r>
        <w:rPr>
          <w:rFonts w:ascii="Arial" w:cs="Arial" w:eastAsia="Arial" w:hAnsi="Arial"/>
          <w:sz w:val="16"/>
          <w:szCs w:val="16"/>
          <w:color w:val="auto"/>
        </w:rPr>
        <w:t>, 64, has been a director since 2008. Mr. Chiusano is currently a principal in RMC Consulting,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focused on leadership development and operational excellence. Additionally, Mr. Chiusano is a former Executive Vice President and Special Assistant to the CEO and a former Executive Vice President and Chief Operating Officer - Commercial Systems of Rockwell Collins, Inc. Based primarily upon Mr. Chiusano's extensive knowledge of strategic and organizational planning and acquisition management, his leadership experience as a former Executive Vice President at a communications and aviation electronics manufacturer, his tenure and contributions as a current Board and Board committee member, as well as his contributions as a community director to the University of Iowa Engineering Advisory Board and Coe College Board of Trustees, the Board concluded that Mr. Chiusano should continue to serve as a director of Winnebago Industries at the time this Proxy Statement is filed with the SEC.</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60"/>
          </w:cols>
          <w:pgMar w:left="240" w:top="298" w:right="299" w:bottom="1440" w:gutter="0" w:footer="0" w:header="0"/>
          <w:type w:val="continuous"/>
        </w:sectPr>
      </w:pPr>
    </w:p>
    <w:bookmarkStart w:id="14" w:name="page15"/>
    <w:bookmarkEnd w:id="14"/>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363220</wp:posOffset>
            </wp:positionV>
            <wp:extent cx="1064260" cy="1372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64260" cy="1372235"/>
                    </a:xfrm>
                    <a:prstGeom prst="rect">
                      <a:avLst/>
                    </a:prstGeom>
                    <a:noFill/>
                  </pic:spPr>
                </pic:pic>
              </a:graphicData>
            </a:graphic>
          </wp:anchor>
        </w:drawing>
      </w:r>
    </w:p>
    <w:p>
      <w:pPr>
        <w:sectPr>
          <w:pgSz w:w="11900" w:h="16838" w:orient="portrait"/>
          <w:cols w:equalWidth="0" w:num="1">
            <w:col w:w="11400"/>
          </w:cols>
          <w:pgMar w:left="240" w:top="29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340" w:right="20"/>
        <w:spacing w:after="0" w:line="244" w:lineRule="auto"/>
        <w:rPr>
          <w:sz w:val="20"/>
          <w:szCs w:val="20"/>
          <w:color w:val="auto"/>
        </w:rPr>
      </w:pPr>
      <w:r>
        <w:rPr>
          <w:rFonts w:ascii="Arial" w:cs="Arial" w:eastAsia="Arial" w:hAnsi="Arial"/>
          <w:sz w:val="16"/>
          <w:szCs w:val="16"/>
          <w:b w:val="1"/>
          <w:bCs w:val="1"/>
          <w:color w:val="auto"/>
        </w:rPr>
        <w:t>Jerry N. Currie</w:t>
      </w:r>
      <w:r>
        <w:rPr>
          <w:rFonts w:ascii="Arial" w:cs="Arial" w:eastAsia="Arial" w:hAnsi="Arial"/>
          <w:sz w:val="16"/>
          <w:szCs w:val="16"/>
          <w:color w:val="auto"/>
        </w:rPr>
        <w:t>, 70, a retired business executive, has been a director since 1996. Mr. Currie is the former President and CEO of</w:t>
      </w:r>
      <w:r>
        <w:rPr>
          <w:rFonts w:ascii="Arial" w:cs="Arial" w:eastAsia="Arial" w:hAnsi="Arial"/>
          <w:sz w:val="16"/>
          <w:szCs w:val="16"/>
          <w:b w:val="1"/>
          <w:bCs w:val="1"/>
          <w:color w:val="auto"/>
        </w:rPr>
        <w:t xml:space="preserve"> </w:t>
      </w:r>
      <w:r>
        <w:rPr>
          <w:rFonts w:ascii="Arial" w:cs="Arial" w:eastAsia="Arial" w:hAnsi="Arial"/>
          <w:sz w:val="16"/>
          <w:szCs w:val="16"/>
          <w:color w:val="auto"/>
        </w:rPr>
        <w:t>CURRIES Company, a manufacturer of steel doors and frames for the nonresidential construction industry, a position he left in March of 2014. CURRIES Company is owned by ASSA ABLOY, a global leader in door opening solutions. Based primarily upon Mr. Currie's significant experience gained in manufacturing management and operations, his leadership experience as the former President and CEO of a manufacturing company, and his tenure and contributions as a current Board and Board committee member, the Board concluded that Mr. Currie should continue to serve as a director of Winnebago Industries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394335</wp:posOffset>
            </wp:positionV>
            <wp:extent cx="1072515" cy="130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72515" cy="130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340" w:right="120"/>
        <w:spacing w:after="0" w:line="245" w:lineRule="auto"/>
        <w:rPr>
          <w:sz w:val="20"/>
          <w:szCs w:val="20"/>
          <w:color w:val="auto"/>
        </w:rPr>
      </w:pPr>
      <w:r>
        <w:rPr>
          <w:rFonts w:ascii="Arial" w:cs="Arial" w:eastAsia="Arial" w:hAnsi="Arial"/>
          <w:sz w:val="16"/>
          <w:szCs w:val="16"/>
          <w:b w:val="1"/>
          <w:bCs w:val="1"/>
          <w:color w:val="auto"/>
        </w:rPr>
        <w:t>Lawrence A. Erickson</w:t>
      </w:r>
      <w:r>
        <w:rPr>
          <w:rFonts w:ascii="Arial" w:cs="Arial" w:eastAsia="Arial" w:hAnsi="Arial"/>
          <w:sz w:val="16"/>
          <w:szCs w:val="16"/>
          <w:color w:val="auto"/>
        </w:rPr>
        <w:t>, 66, a retired business executive and Interim CEO, has been a director since 2005. Mr. Erickson is a</w:t>
      </w:r>
      <w:r>
        <w:rPr>
          <w:rFonts w:ascii="Arial" w:cs="Arial" w:eastAsia="Arial" w:hAnsi="Arial"/>
          <w:sz w:val="16"/>
          <w:szCs w:val="16"/>
          <w:b w:val="1"/>
          <w:bCs w:val="1"/>
          <w:color w:val="auto"/>
        </w:rPr>
        <w:t xml:space="preserve"> </w:t>
      </w:r>
      <w:r>
        <w:rPr>
          <w:rFonts w:ascii="Arial" w:cs="Arial" w:eastAsia="Arial" w:hAnsi="Arial"/>
          <w:sz w:val="16"/>
          <w:szCs w:val="16"/>
          <w:color w:val="auto"/>
        </w:rPr>
        <w:t>former Senior Vice President and CFO of Rockwell Collins, Inc. Based primarily upon Mr. Erickson's significant experience in the areas of finance, accounting and auditing with public companies, his leadership experiences as a former Senior Vice President and CFO at a communications and aviation electronics manufacturer, and his tenure and contributions as a current Board and Board committee member, the Board concluded that Mr. Erickson should continue to serve as a director of Winnebago Industries at the time this Proxy Statement is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III Directors Whose Terms Expire at the Annual Meeting Following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111125</wp:posOffset>
            </wp:positionV>
            <wp:extent cx="1039495" cy="1313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39495" cy="1313815"/>
                    </a:xfrm>
                    <a:prstGeom prst="rect">
                      <a:avLst/>
                    </a:prstGeom>
                    <a:noFill/>
                  </pic:spPr>
                </pic:pic>
              </a:graphicData>
            </a:graphic>
          </wp:anchor>
        </w:drawing>
      </w:r>
    </w:p>
    <w:p>
      <w:pPr>
        <w:spacing w:after="0" w:line="346" w:lineRule="exact"/>
        <w:rPr>
          <w:sz w:val="20"/>
          <w:szCs w:val="20"/>
          <w:color w:val="auto"/>
        </w:rPr>
      </w:pPr>
    </w:p>
    <w:p>
      <w:pPr>
        <w:ind w:left="2340"/>
        <w:spacing w:after="0" w:line="243" w:lineRule="auto"/>
        <w:rPr>
          <w:sz w:val="20"/>
          <w:szCs w:val="20"/>
          <w:color w:val="auto"/>
        </w:rPr>
      </w:pPr>
      <w:r>
        <w:rPr>
          <w:rFonts w:ascii="Arial" w:cs="Arial" w:eastAsia="Arial" w:hAnsi="Arial"/>
          <w:sz w:val="16"/>
          <w:szCs w:val="16"/>
          <w:b w:val="1"/>
          <w:bCs w:val="1"/>
          <w:color w:val="auto"/>
        </w:rPr>
        <w:t xml:space="preserve">William C. Fisher, </w:t>
      </w:r>
      <w:r>
        <w:rPr>
          <w:rFonts w:ascii="Arial" w:cs="Arial" w:eastAsia="Arial" w:hAnsi="Arial"/>
          <w:sz w:val="16"/>
          <w:szCs w:val="16"/>
          <w:color w:val="auto"/>
        </w:rPr>
        <w:t>61, a retired business executive, has been a director since March 2015. Mr. Fisher was the Vice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Information Officer of Polaris Industries, Inc. from November 2007 until he retired on December 31, 2014. During his tenure at Polaris he also served as the Chief Information Officer and the General Manager of Service overseeing all technical, dealer, and consumer service operations. Prior to joining Polaris, Mr. Fisher was employed by MTS Systems for 15 years in various positions in information services, software engineering, control product development, and general management. Before that time, Mr. Fisher worked as a civil engineer for Anderson-Nichols and he later joined Autocon Industries, where he developed process control software. Based upon Mr. Fisher's experience with information systems and his familiarity with highly discretionary consumer products, the Board concluded that Mr. Fisher should be nominated to serve as a director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377190</wp:posOffset>
            </wp:positionV>
            <wp:extent cx="1072515" cy="1372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72515"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0" w:right="20"/>
        <w:spacing w:after="0" w:line="243" w:lineRule="auto"/>
        <w:rPr>
          <w:sz w:val="20"/>
          <w:szCs w:val="20"/>
          <w:color w:val="auto"/>
        </w:rPr>
      </w:pPr>
      <w:r>
        <w:rPr>
          <w:rFonts w:ascii="Arial" w:cs="Arial" w:eastAsia="Arial" w:hAnsi="Arial"/>
          <w:sz w:val="16"/>
          <w:szCs w:val="16"/>
          <w:b w:val="1"/>
          <w:bCs w:val="1"/>
          <w:color w:val="auto"/>
        </w:rPr>
        <w:t>Mark T. Schroepfer</w:t>
      </w:r>
      <w:r>
        <w:rPr>
          <w:rFonts w:ascii="Arial" w:cs="Arial" w:eastAsia="Arial" w:hAnsi="Arial"/>
          <w:sz w:val="16"/>
          <w:szCs w:val="16"/>
          <w:color w:val="auto"/>
        </w:rPr>
        <w:t>, 68, a retired business executive, has been a director since 2011. Mr. Schroepfer is retired, but serves as an</w:t>
      </w:r>
      <w:r>
        <w:rPr>
          <w:rFonts w:ascii="Arial" w:cs="Arial" w:eastAsia="Arial" w:hAnsi="Arial"/>
          <w:sz w:val="16"/>
          <w:szCs w:val="16"/>
          <w:b w:val="1"/>
          <w:bCs w:val="1"/>
          <w:color w:val="auto"/>
        </w:rPr>
        <w:t xml:space="preserve"> </w:t>
      </w:r>
      <w:r>
        <w:rPr>
          <w:rFonts w:ascii="Arial" w:cs="Arial" w:eastAsia="Arial" w:hAnsi="Arial"/>
          <w:sz w:val="16"/>
          <w:szCs w:val="16"/>
          <w:color w:val="auto"/>
        </w:rPr>
        <w:t>adjunct professor at the University of St. Thomas in St. Paul, MN. He previously served as President, CEO, and Chairman of Lincoln Industrial Corp, a world leading designer and supplier of highly engineered lubrication systems from 1996 to 2005. From 1987 to 1995, Mr. Schroepfer served as Pentair Inc.'s Vice President of Finance and MIS, Corporate Controller, and President of Penwald Insurance Company. Based upon Mr. Schroepfer's significant skills and experience in mergers and acquisitions, strategic planning, manufacturing and financial operations and his leadership experience, the Board concluded that Mr. Schroepfer should continue to serve as a director of Winnebago Industries at the time this Proxy Statement is filed with the SEC. Due to Mr. Schroepfer's experience, he is considered an audit committee financial expert.</w:t>
      </w:r>
    </w:p>
    <w:p>
      <w:pPr>
        <w:spacing w:after="0" w:line="200" w:lineRule="exact"/>
        <w:rPr>
          <w:sz w:val="20"/>
          <w:szCs w:val="20"/>
          <w:color w:val="auto"/>
        </w:rPr>
      </w:pPr>
    </w:p>
    <w:p>
      <w:pPr>
        <w:spacing w:after="0" w:line="359"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76" w:lineRule="exact"/>
        <w:rPr>
          <w:sz w:val="20"/>
          <w:szCs w:val="20"/>
          <w:color w:val="auto"/>
        </w:rPr>
      </w:pPr>
    </w:p>
    <w:p>
      <w:pPr>
        <w:ind w:right="540"/>
        <w:spacing w:after="0" w:line="244" w:lineRule="auto"/>
        <w:rPr>
          <w:sz w:val="20"/>
          <w:szCs w:val="20"/>
          <w:color w:val="auto"/>
        </w:rPr>
      </w:pPr>
      <w:r>
        <w:rPr>
          <w:rFonts w:ascii="Arial" w:cs="Arial" w:eastAsia="Arial" w:hAnsi="Arial"/>
          <w:sz w:val="16"/>
          <w:szCs w:val="16"/>
          <w:color w:val="auto"/>
        </w:rPr>
        <w:t>The Nominating and Governance Committee recommended, and the Board approved, the nomination of Mr. Braun, Mr. Miles and Ms. Rodamaker as Class I directors and Mr. Fisher as a Class III director.</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298" w:right="259" w:bottom="1440" w:gutter="0" w:footer="0" w:header="0"/>
          <w:type w:val="continuous"/>
        </w:sectPr>
      </w:pPr>
    </w:p>
    <w:bookmarkStart w:id="15" w:name="page16"/>
    <w:bookmarkEnd w:id="15"/>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00"/>
          </w:cols>
          <w:pgMar w:left="240" w:top="298" w:right="25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Discretionary authority is solicited to vote for the election of a substitute for any of the Class I and III director nominees (Messrs. Braun, Fisher, and Miles and Ms. Rodamaker) who, for any reason currently unknown, cannot be a candidate for election. The shares represented by proxy will be voted for the election as directors of the Class I and III directors named above if no direction is made otherwise. Please refer to “Voting Securities and Principal Holders” herein with respect to beneficial ownership of our Common Stock for each of our directors and nominees for director.</w:t>
      </w:r>
    </w:p>
    <w:p>
      <w:pPr>
        <w:sectPr>
          <w:pgSz w:w="11900" w:h="16838" w:orient="portrait"/>
          <w:cols w:equalWidth="0" w:num="1">
            <w:col w:w="11400"/>
          </w:cols>
          <w:pgMar w:left="240" w:top="298" w:right="25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1"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Our success has been and will continue to be dependent on, among other things, our ability to attract, retain, motivate and reward the best talent available to us, including the employees identified in this Proxy Statement. The following provides an overview of the more detailed disclosure set forth in this section.</w:t>
      </w:r>
    </w:p>
    <w:p>
      <w:pPr>
        <w:spacing w:after="0" w:line="163"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w:t>
      </w:r>
    </w:p>
    <w:p>
      <w:pPr>
        <w:spacing w:after="0" w:line="17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Overall, we normally compensate our executive officers with base salary, annual incentive awards and long-term incentives. For our executives as a group, we generally emphasize a conservative base salary compensation. We alternatively provide the potential for a greater incentive compensation component of total executive compensation. Annual and long-term operational and strategic goals identified by Management and approved by the Human Resources Committee of the Board of Directors (the “Committee”) are the foundation for the performance measurements used to determine annual and long-term incentive payouts to our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2015 in Brief</w:t>
      </w:r>
    </w:p>
    <w:p>
      <w:pPr>
        <w:spacing w:after="0" w:line="1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Company's compensation program, designed to reward performance, led to the following actions and actual compensation being earned due to the Company's performance in Fiscal 2015 and in the three-year period 2013-2015:</w:t>
      </w:r>
    </w:p>
    <w:p>
      <w:pPr>
        <w:spacing w:after="0" w:line="160" w:lineRule="exact"/>
        <w:rPr>
          <w:sz w:val="20"/>
          <w:szCs w:val="20"/>
          <w:color w:val="auto"/>
        </w:rPr>
      </w:pPr>
    </w:p>
    <w:p>
      <w:pPr>
        <w:ind w:left="320" w:right="100" w:hanging="315"/>
        <w:spacing w:after="0" w:line="255" w:lineRule="auto"/>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Fiscal 2015 annual incentive awards were earned and 1/3 of those awards were required to be paid in stock awards with one-year holding period which were granted subsequent to Fiscal 2015 per the terms of this plan.</w:t>
      </w:r>
    </w:p>
    <w:p>
      <w:pPr>
        <w:ind w:left="320" w:right="60" w:hanging="315"/>
        <w:spacing w:after="0" w:line="239"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Fiscal 2013-2015 Long-Term Incentive Plan incentive awards were earned, thus stock awards subject to a one year holding period were granted subsequent to Fiscal 2015 per the terms of this plan.</w:t>
      </w:r>
    </w:p>
    <w:p>
      <w:pPr>
        <w:ind w:left="320" w:right="80" w:hanging="315"/>
        <w:spacing w:after="0" w:line="241"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Time-based restricted stock awards were granted to executive officers during Fiscal 2015 as described below (see "Long-Term Incentives" below) vesting over a three year period.</w:t>
      </w:r>
    </w:p>
    <w:p>
      <w:pPr>
        <w:spacing w:after="0" w:line="179"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In light of the philosophy and objectives of our executive compensation program described below, we believe that the basic elements of compensation offered to our executives were appropriate for Fiscal 2015.</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Discussion and Analysis</w:t>
      </w:r>
    </w:p>
    <w:p>
      <w:pPr>
        <w:spacing w:after="0" w:line="201"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The following Compensation Discussion and Analysis describes the material elements of our executive compensation program. Throughout this discussion, we refer to our NEOs. The following individuals are our NEOs for Fiscal 2015:</w:t>
      </w:r>
    </w:p>
    <w:p>
      <w:pPr>
        <w:spacing w:after="0" w:line="159"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Robert J. Olson, interim CEO</w:t>
      </w: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Sarah N. Nielsen, Vice President, CFO</w:t>
      </w: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 Scott Degnan, Vice President, Sales and Product Management</w:t>
      </w: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Scott C. Folkers, Vice President, General Counsel and Secretary</w:t>
      </w: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Daryl W. Krieger, Vice President, Manufacturing</w:t>
      </w: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Randy J. Potts, former Chair of the Board, CEO and President</w:t>
      </w:r>
    </w:p>
    <w:p>
      <w:pPr>
        <w:spacing w:after="0" w:line="183" w:lineRule="exact"/>
        <w:rPr>
          <w:sz w:val="20"/>
          <w:szCs w:val="20"/>
          <w:color w:val="auto"/>
        </w:rPr>
      </w:pPr>
    </w:p>
    <w:p>
      <w:pPr>
        <w:ind w:right="20"/>
        <w:spacing w:after="0"/>
        <w:rPr>
          <w:sz w:val="20"/>
          <w:szCs w:val="20"/>
          <w:color w:val="auto"/>
        </w:rPr>
      </w:pPr>
      <w:r>
        <w:rPr>
          <w:rFonts w:ascii="Arial" w:cs="Arial" w:eastAsia="Arial" w:hAnsi="Arial"/>
          <w:sz w:val="16"/>
          <w:szCs w:val="16"/>
          <w:color w:val="auto"/>
        </w:rPr>
        <w:t>On August 6, 2015, the Company and Randy Potts entered into a Retirement Agreement pursuant to which Mr. Potts retired from the Company, and the Board of Directors effective August 6, 2015. The Company also announced the appointment of former Chair and Chief Executive Officer, Robert Olson, age 64, to serve as interim CEO while the Board conducts a search for the Company’s next CEO. The Company’s lead director, Larry Erickson, has been elected Chair of the Board.</w:t>
      </w:r>
    </w:p>
    <w:p>
      <w:pPr>
        <w:spacing w:after="0" w:line="179"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Both the Human Resources Committee and the Board of Directors approved the compensation to Mr. Potts and Mr. Olson under their respective agreements as described below:</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Retirement Agreement:</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Under the terms of the Retirement Agreement Mr. Potts received an amount equal to his current annual base salary plus 3 weeks paid in two installments, the first installment of $189,360 was paid on August 21, 2015 and the second installment of $331,380 will be paid within 15 days following January 1, 2016. The Company will also pay Mr. Potts a lump sum of $275,012 within fifteen days of January 1, 2016, in lieu of any participation in 2015 incentive compensation plans. Mr. Potts will also receive a lump sum of $15,360 which is approximately equivalent to the premium cost of COBRA coverage for one year. All other Company benefits such as life insurance, disability insurance, 401(k) plan, and vacation accruals ceased effective with Mr. Potts retirement on August 6, 2015. Mr. Potts’ stock awards granted in 2012, 2013 and 2014 that were unvested at his retirement totaled 33,001 shares of common stock. The Human Resources Committee and other independent members of the Board of Directors agreed to waive the vesting requirements and permit these shares to vest upon the Retirement Agreement becoming enforceable. The value of these awards based on the Company's stock price on August 14, 2015 was approximately $695,000. Mr. Potts may exercise outstanding options in accordance with applicable option terms and conditions, and payment of any applicable exercise price.</w:t>
      </w:r>
    </w:p>
    <w:p>
      <w:pPr>
        <w:spacing w:after="0" w:line="200" w:lineRule="exact"/>
        <w:rPr>
          <w:sz w:val="20"/>
          <w:szCs w:val="20"/>
          <w:color w:val="auto"/>
        </w:rPr>
      </w:pPr>
    </w:p>
    <w:p>
      <w:pPr>
        <w:sectPr>
          <w:pgSz w:w="11900" w:h="16838" w:orient="portrait"/>
          <w:cols w:equalWidth="0" w:num="2">
            <w:col w:w="5580" w:space="240"/>
            <w:col w:w="5580"/>
          </w:cols>
          <w:pgMar w:left="240" w:top="298" w:right="259" w:bottom="1440" w:gutter="0" w:footer="0" w:header="0"/>
          <w:type w:val="continuous"/>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298" w:right="259" w:bottom="1440" w:gutter="0" w:footer="0" w:header="0"/>
          <w:type w:val="continuous"/>
        </w:sectPr>
      </w:pPr>
    </w:p>
    <w:bookmarkStart w:id="16" w:name="page17"/>
    <w:bookmarkEnd w:id="1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right="420"/>
        <w:spacing w:after="0"/>
        <w:rPr>
          <w:sz w:val="20"/>
          <w:szCs w:val="20"/>
          <w:color w:val="auto"/>
        </w:rPr>
      </w:pPr>
      <w:r>
        <w:rPr>
          <w:rFonts w:ascii="Arial" w:cs="Arial" w:eastAsia="Arial" w:hAnsi="Arial"/>
          <w:sz w:val="16"/>
          <w:szCs w:val="16"/>
          <w:color w:val="auto"/>
        </w:rPr>
        <w:t>Under the Retirement Agreement, Mr. Potts agrees that he will not solicit Company employees or compete against the Company for a period of two years. Mr. Potts also has agreed to a general release of claims against the Company arising under various employment laws.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w:t>
      </w:r>
    </w:p>
    <w:p>
      <w:pPr>
        <w:spacing w:after="0" w:line="203"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Under the terms of the Employment Agreement, Mr. Olson was engaged as the Company’s interim CEO reporting to the Company’s Board of Directors on August 6, 2015. He received pro rata compensation based on annual base compensation of $492,385, payable according to the Company’s regular payroll practices including withholding and other applicable deductions. Mr. Olson was eligible to participate in all applicable employee benefit plans of the Company under the terms and conditions of such benefit plans, except he was not eligible to participate in the Company’s annual or long term incentive compensation programs for 2015 and 2016. The Company agreed to reimburse Mr. Olson for reasonable and necessary out-of-pocket expenses. His employment under the Employment Agreement continued until either party gave fifteen days’ notice of termination; Mr. Olson did provide notice on September 10, 2015 that his last day of employment was September 24, 2015. He was not eligible to receive any severance of other benefits as a result of such separation.</w:t>
      </w:r>
    </w:p>
    <w:p>
      <w:pPr>
        <w:spacing w:after="0" w:line="154" w:lineRule="exact"/>
        <w:rPr>
          <w:sz w:val="20"/>
          <w:szCs w:val="20"/>
          <w:color w:val="auto"/>
        </w:rPr>
      </w:pPr>
    </w:p>
    <w:p>
      <w:pPr>
        <w:spacing w:after="0" w:line="241" w:lineRule="auto"/>
        <w:rPr>
          <w:sz w:val="20"/>
          <w:szCs w:val="20"/>
          <w:color w:val="auto"/>
        </w:rPr>
      </w:pPr>
      <w:r>
        <w:rPr>
          <w:rFonts w:ascii="Arial" w:cs="Arial" w:eastAsia="Arial" w:hAnsi="Arial"/>
          <w:sz w:val="16"/>
          <w:szCs w:val="16"/>
          <w:b w:val="1"/>
          <w:bCs w:val="1"/>
          <w:color w:val="auto"/>
        </w:rPr>
        <w:t xml:space="preserve">The Human Resources Committee. </w:t>
      </w:r>
      <w:r>
        <w:rPr>
          <w:rFonts w:ascii="Arial" w:cs="Arial" w:eastAsia="Arial" w:hAnsi="Arial"/>
          <w:sz w:val="16"/>
          <w:szCs w:val="16"/>
          <w:color w:val="auto"/>
        </w:rPr>
        <w:t>The Committee is responsible for</w:t>
      </w:r>
      <w:r>
        <w:rPr>
          <w:rFonts w:ascii="Arial" w:cs="Arial" w:eastAsia="Arial" w:hAnsi="Arial"/>
          <w:sz w:val="16"/>
          <w:szCs w:val="16"/>
          <w:b w:val="1"/>
          <w:bCs w:val="1"/>
          <w:color w:val="auto"/>
        </w:rPr>
        <w:t xml:space="preserve"> </w:t>
      </w:r>
      <w:r>
        <w:rPr>
          <w:rFonts w:ascii="Arial" w:cs="Arial" w:eastAsia="Arial" w:hAnsi="Arial"/>
          <w:sz w:val="16"/>
          <w:szCs w:val="16"/>
          <w:color w:val="auto"/>
        </w:rPr>
        <w:t>discharging the Board's responsibilities relating to the compensation of the NEOs, for approving and evaluating all compensation of NEOs, including salaries, bonuses, compensation plans and policies, and other incentive programs. The Committee members are all "independent" in accordance with the New York Stock Exchange rules and the Company's Director Nomination Policy. The Committee acts pursuant to a charter that has been approved by our Board. Committee meetings are held regularly throughout the year, with four meetings typically held per fiscal year. The Committee meetings, in most instances, occur prior to regularly scheduled Board meetings, with telephonic meetings occurring as necessary. Other members of our Board of Directors are sometimes invited to attend the Committee meetings. In addition, others in regular attendance at the Committee meeting typically include the Chair and CEO and the Vice President, Administration.</w:t>
      </w:r>
    </w:p>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b w:val="1"/>
          <w:bCs w:val="1"/>
          <w:color w:val="auto"/>
        </w:rPr>
        <w:t xml:space="preserve">Compensation Philosophy. </w:t>
      </w:r>
      <w:r>
        <w:rPr>
          <w:rFonts w:ascii="Arial" w:cs="Arial" w:eastAsia="Arial" w:hAnsi="Arial"/>
          <w:sz w:val="15"/>
          <w:szCs w:val="15"/>
          <w:color w:val="auto"/>
        </w:rPr>
        <w:t>The Committee believes that the most effective</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program is one that is designed to reward the achievement of our specific annual, long-term and strategic goals, and which aligns executives' interests with those of the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Peers (as defined below). Accordingly, the Committee believes executive compensation packages provided to our executives, including the NEOs, should include both cash and stock-based compensation that reward performance as measured against established goals.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200" w:right="200"/>
        <w:spacing w:after="0" w:line="247" w:lineRule="auto"/>
        <w:rPr>
          <w:sz w:val="20"/>
          <w:szCs w:val="20"/>
          <w:color w:val="auto"/>
        </w:rPr>
      </w:pPr>
      <w:r>
        <w:rPr>
          <w:rFonts w:ascii="Arial" w:cs="Arial" w:eastAsia="Arial" w:hAnsi="Arial"/>
          <w:sz w:val="16"/>
          <w:szCs w:val="16"/>
          <w:b w:val="1"/>
          <w:bCs w:val="1"/>
          <w:color w:val="auto"/>
        </w:rPr>
        <w:t xml:space="preserve">Compensation Objectives. </w:t>
      </w:r>
      <w:r>
        <w:rPr>
          <w:rFonts w:ascii="Arial" w:cs="Arial" w:eastAsia="Arial" w:hAnsi="Arial"/>
          <w:sz w:val="16"/>
          <w:szCs w:val="16"/>
          <w:color w:val="auto"/>
        </w:rPr>
        <w:t>The Committee has worked with Management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design the current executive compensation programs, following the belief that compensation should reflect the value created for the shareholders while furthering our strategic goals. In doing so, we instituted our compensation programs to achieve the following goals:</w:t>
      </w:r>
    </w:p>
    <w:p>
      <w:pPr>
        <w:spacing w:after="0" w:line="146" w:lineRule="exact"/>
        <w:rPr>
          <w:sz w:val="20"/>
          <w:szCs w:val="20"/>
          <w:color w:val="auto"/>
        </w:rPr>
      </w:pPr>
    </w:p>
    <w:p>
      <w:pPr>
        <w:ind w:left="520" w:hanging="3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align the interests of Management with those of shareholders;</w:t>
      </w:r>
    </w:p>
    <w:p>
      <w:pPr>
        <w:ind w:left="520" w:hanging="3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fair and competitive compensation;</w:t>
      </w:r>
    </w:p>
    <w:p>
      <w:pPr>
        <w:ind w:left="520" w:hanging="3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integrate compensation with our business plans;</w:t>
      </w:r>
    </w:p>
    <w:p>
      <w:pPr>
        <w:ind w:left="520" w:hanging="3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reward both business and individual performance; and</w:t>
      </w:r>
    </w:p>
    <w:p>
      <w:pPr>
        <w:ind w:left="520" w:hanging="3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attract and retain key executives critical to our success.</w:t>
      </w:r>
    </w:p>
    <w:p>
      <w:pPr>
        <w:spacing w:after="0" w:line="156" w:lineRule="exact"/>
        <w:rPr>
          <w:sz w:val="20"/>
          <w:szCs w:val="20"/>
          <w:color w:val="auto"/>
        </w:rPr>
      </w:pPr>
    </w:p>
    <w:p>
      <w:pPr>
        <w:ind w:left="200" w:right="380"/>
        <w:spacing w:after="0" w:line="244" w:lineRule="auto"/>
        <w:rPr>
          <w:sz w:val="20"/>
          <w:szCs w:val="20"/>
          <w:color w:val="auto"/>
        </w:rPr>
      </w:pPr>
      <w:r>
        <w:rPr>
          <w:rFonts w:ascii="Arial" w:cs="Arial" w:eastAsia="Arial" w:hAnsi="Arial"/>
          <w:sz w:val="16"/>
          <w:szCs w:val="16"/>
          <w:color w:val="auto"/>
        </w:rPr>
        <w:t>These objectives emphasize pay for performance by providing an incentive opportunity for at or above average performance.</w:t>
      </w:r>
    </w:p>
    <w:p>
      <w:pPr>
        <w:spacing w:after="0" w:line="156" w:lineRule="exact"/>
        <w:rPr>
          <w:sz w:val="20"/>
          <w:szCs w:val="20"/>
          <w:color w:val="auto"/>
        </w:rPr>
      </w:pPr>
    </w:p>
    <w:p>
      <w:pPr>
        <w:ind w:left="200"/>
        <w:spacing w:after="0" w:line="241" w:lineRule="auto"/>
        <w:rPr>
          <w:sz w:val="20"/>
          <w:szCs w:val="20"/>
          <w:color w:val="auto"/>
        </w:rPr>
      </w:pPr>
      <w:r>
        <w:rPr>
          <w:rFonts w:ascii="Arial" w:cs="Arial" w:eastAsia="Arial" w:hAnsi="Arial"/>
          <w:sz w:val="16"/>
          <w:szCs w:val="16"/>
          <w:b w:val="1"/>
          <w:bCs w:val="1"/>
          <w:color w:val="auto"/>
        </w:rPr>
        <w:t xml:space="preserve">Competitive Benchmarking. </w:t>
      </w:r>
      <w:r>
        <w:rPr>
          <w:rFonts w:ascii="Arial" w:cs="Arial" w:eastAsia="Arial" w:hAnsi="Arial"/>
          <w:sz w:val="16"/>
          <w:szCs w:val="16"/>
          <w:color w:val="auto"/>
        </w:rPr>
        <w:t>In making compensation decisions,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at times, compares certain elements of total compensation against other comparable publicly traded and privately held companies. In Fiscal 2015, the Committee engaged an outside compensation consultant, Towers Watson, to conduct an updated analysis of the total compensation paid to our key executives, compared to companies of two comparative groups to which we may compete for talent (hereinafter, the "2015 Compensation Analysis"). The Consultant was retained by the Committee and has not performed any services for Management. The Committee engaged the Consultant to perform the 2015 Compensation Analysis, in part, to update a prior analysis prepared by the Consultant in 2013 (the "2013 Compensation Analysis"). The Committee has the sole authority to retain or terminate any compensation consultant used in the evaluation of compensation packages and has the sole authority to approve the consultant's fees.</w:t>
      </w:r>
    </w:p>
    <w:p>
      <w:pPr>
        <w:spacing w:after="0" w:line="183" w:lineRule="exact"/>
        <w:rPr>
          <w:sz w:val="20"/>
          <w:szCs w:val="20"/>
          <w:color w:val="auto"/>
        </w:rPr>
      </w:pPr>
    </w:p>
    <w:p>
      <w:pPr>
        <w:ind w:left="200" w:right="60"/>
        <w:spacing w:after="0" w:line="239" w:lineRule="auto"/>
        <w:rPr>
          <w:sz w:val="20"/>
          <w:szCs w:val="20"/>
          <w:color w:val="auto"/>
        </w:rPr>
      </w:pPr>
      <w:r>
        <w:rPr>
          <w:rFonts w:ascii="Arial" w:cs="Arial" w:eastAsia="Arial" w:hAnsi="Arial"/>
          <w:sz w:val="16"/>
          <w:szCs w:val="16"/>
          <w:color w:val="auto"/>
        </w:rPr>
        <w:t>The Consultant maintains a proprietary executive compensation database that contains information on the various compensation elements of over 800 publicly traded and privately held companies across several industries (the "General Consultant Database").</w:t>
      </w:r>
    </w:p>
    <w:p>
      <w:pPr>
        <w:ind w:left="200" w:right="220"/>
        <w:spacing w:after="0" w:line="276" w:lineRule="auto"/>
        <w:rPr>
          <w:sz w:val="20"/>
          <w:szCs w:val="20"/>
          <w:color w:val="auto"/>
        </w:rPr>
      </w:pPr>
      <w:r>
        <w:rPr>
          <w:rFonts w:ascii="Arial" w:cs="Arial" w:eastAsia="Arial" w:hAnsi="Arial"/>
          <w:sz w:val="15"/>
          <w:szCs w:val="15"/>
          <w:color w:val="auto"/>
        </w:rPr>
        <w:t>In connection with the 2015 Compensation Analysis, the Committee reviewed compensation information contained in the General Consultant Database.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ectPr>
          <w:pgSz w:w="11900" w:h="16838" w:orient="portrait"/>
          <w:cols w:equalWidth="0" w:num="2">
            <w:col w:w="5580" w:space="40"/>
            <w:col w:w="5800"/>
          </w:cols>
          <w:pgMar w:left="240" w:top="298" w:right="239" w:bottom="1440" w:gutter="0" w:footer="0" w:header="0"/>
          <w:type w:val="continuous"/>
        </w:sectPr>
      </w:pPr>
    </w:p>
    <w:bookmarkStart w:id="17" w:name="page18"/>
    <w:bookmarkEnd w:id="1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Committee and the Consultant also considered data from proxy statements filed with the SEC by the following public companies that were generally considered to be in the same or related industry as ours, information for which may or may not have been made part of the General Consultant Database (the "Proxy Industry Group"):</w:t>
      </w:r>
    </w:p>
    <w:p>
      <w:pPr>
        <w:spacing w:after="0" w:line="157"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Accuride Corp.</w:t>
      </w:r>
      <w:r>
        <w:rPr>
          <w:sz w:val="20"/>
          <w:szCs w:val="20"/>
          <w:color w:val="auto"/>
        </w:rPr>
        <w:tab/>
      </w:r>
      <w:r>
        <w:rPr>
          <w:rFonts w:ascii="Arial" w:cs="Arial" w:eastAsia="Arial" w:hAnsi="Arial"/>
          <w:sz w:val="13"/>
          <w:szCs w:val="13"/>
          <w:color w:val="auto"/>
        </w:rPr>
        <w:t>Johnson Outdoors</w:t>
      </w:r>
    </w:p>
    <w:p>
      <w:pPr>
        <w:spacing w:after="0" w:line="49"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Alamo Group Inc.</w:t>
      </w:r>
      <w:r>
        <w:rPr>
          <w:sz w:val="20"/>
          <w:szCs w:val="20"/>
          <w:color w:val="auto"/>
        </w:rPr>
        <w:tab/>
      </w:r>
      <w:r>
        <w:rPr>
          <w:rFonts w:ascii="Arial" w:cs="Arial" w:eastAsia="Arial" w:hAnsi="Arial"/>
          <w:sz w:val="13"/>
          <w:szCs w:val="13"/>
          <w:color w:val="auto"/>
        </w:rPr>
        <w:t>Polaris Industries</w:t>
      </w:r>
    </w:p>
    <w:p>
      <w:pPr>
        <w:spacing w:after="0" w:line="49"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American Railcar Industries, Inc.</w:t>
      </w:r>
      <w:r>
        <w:rPr>
          <w:sz w:val="20"/>
          <w:szCs w:val="20"/>
          <w:color w:val="auto"/>
        </w:rPr>
        <w:tab/>
      </w:r>
      <w:r>
        <w:rPr>
          <w:rFonts w:ascii="Arial" w:cs="Arial" w:eastAsia="Arial" w:hAnsi="Arial"/>
          <w:sz w:val="13"/>
          <w:szCs w:val="13"/>
          <w:color w:val="auto"/>
        </w:rPr>
        <w:t>Shiloh Industries, Inc.</w:t>
      </w:r>
    </w:p>
    <w:p>
      <w:pPr>
        <w:spacing w:after="0" w:line="49"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Arctic Cat Inc.</w:t>
      </w:r>
      <w:r>
        <w:rPr>
          <w:sz w:val="20"/>
          <w:szCs w:val="20"/>
          <w:color w:val="auto"/>
        </w:rPr>
        <w:tab/>
      </w:r>
      <w:r>
        <w:rPr>
          <w:rFonts w:ascii="Arial" w:cs="Arial" w:eastAsia="Arial" w:hAnsi="Arial"/>
          <w:sz w:val="13"/>
          <w:szCs w:val="13"/>
          <w:color w:val="auto"/>
        </w:rPr>
        <w:t>Spartan Motors, Inc.</w:t>
      </w:r>
    </w:p>
    <w:p>
      <w:pPr>
        <w:spacing w:after="0" w:line="49"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Columbus McKinnon Corp.</w:t>
      </w:r>
      <w:r>
        <w:rPr>
          <w:sz w:val="20"/>
          <w:szCs w:val="20"/>
          <w:color w:val="auto"/>
        </w:rPr>
        <w:tab/>
      </w:r>
      <w:r>
        <w:rPr>
          <w:rFonts w:ascii="Arial" w:cs="Arial" w:eastAsia="Arial" w:hAnsi="Arial"/>
          <w:sz w:val="13"/>
          <w:szCs w:val="13"/>
          <w:color w:val="auto"/>
        </w:rPr>
        <w:t>Standard Motor Products Inc.</w:t>
      </w:r>
    </w:p>
    <w:p>
      <w:pPr>
        <w:spacing w:after="0" w:line="49"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Drew Industries, Inc.</w:t>
      </w:r>
      <w:r>
        <w:rPr>
          <w:sz w:val="20"/>
          <w:szCs w:val="20"/>
          <w:color w:val="auto"/>
        </w:rPr>
        <w:tab/>
      </w:r>
      <w:r>
        <w:rPr>
          <w:rFonts w:ascii="Arial" w:cs="Arial" w:eastAsia="Arial" w:hAnsi="Arial"/>
          <w:sz w:val="13"/>
          <w:szCs w:val="13"/>
          <w:color w:val="auto"/>
        </w:rPr>
        <w:t>Standex International Corp.</w:t>
      </w:r>
    </w:p>
    <w:p>
      <w:pPr>
        <w:spacing w:after="0" w:line="49"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Federal Signal Corp.</w:t>
      </w:r>
      <w:r>
        <w:rPr>
          <w:sz w:val="20"/>
          <w:szCs w:val="20"/>
          <w:color w:val="auto"/>
        </w:rPr>
        <w:tab/>
      </w:r>
      <w:r>
        <w:rPr>
          <w:rFonts w:ascii="Arial" w:cs="Arial" w:eastAsia="Arial" w:hAnsi="Arial"/>
          <w:sz w:val="13"/>
          <w:szCs w:val="13"/>
          <w:color w:val="auto"/>
        </w:rPr>
        <w:t>Stoneridge Inc.</w:t>
      </w:r>
    </w:p>
    <w:p>
      <w:pPr>
        <w:spacing w:after="0" w:line="49"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Flexsteel Industries, Inc.</w:t>
      </w:r>
      <w:r>
        <w:rPr>
          <w:sz w:val="20"/>
          <w:szCs w:val="20"/>
          <w:color w:val="auto"/>
        </w:rPr>
        <w:tab/>
      </w:r>
      <w:r>
        <w:rPr>
          <w:rFonts w:ascii="Arial" w:cs="Arial" w:eastAsia="Arial" w:hAnsi="Arial"/>
          <w:sz w:val="13"/>
          <w:szCs w:val="13"/>
          <w:color w:val="auto"/>
        </w:rPr>
        <w:t>Tecumseh Products Company</w:t>
      </w:r>
    </w:p>
    <w:p>
      <w:pPr>
        <w:spacing w:after="0" w:line="49"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Freightcar America, Inc.</w:t>
      </w:r>
      <w:r>
        <w:rPr>
          <w:sz w:val="20"/>
          <w:szCs w:val="20"/>
          <w:color w:val="auto"/>
        </w:rPr>
        <w:tab/>
      </w:r>
      <w:r>
        <w:rPr>
          <w:rFonts w:ascii="Arial" w:cs="Arial" w:eastAsia="Arial" w:hAnsi="Arial"/>
          <w:sz w:val="13"/>
          <w:szCs w:val="13"/>
          <w:color w:val="auto"/>
        </w:rPr>
        <w:t>Tennant Company</w:t>
      </w:r>
    </w:p>
    <w:p>
      <w:pPr>
        <w:spacing w:after="0" w:line="49"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Gentherm, Inc.</w:t>
      </w:r>
      <w:r>
        <w:rPr>
          <w:sz w:val="20"/>
          <w:szCs w:val="20"/>
          <w:color w:val="auto"/>
        </w:rPr>
        <w:tab/>
      </w:r>
      <w:r>
        <w:rPr>
          <w:rFonts w:ascii="Arial" w:cs="Arial" w:eastAsia="Arial" w:hAnsi="Arial"/>
          <w:sz w:val="13"/>
          <w:szCs w:val="13"/>
          <w:color w:val="auto"/>
        </w:rPr>
        <w:t>Thor Industries Inc.</w:t>
      </w:r>
    </w:p>
    <w:p>
      <w:pPr>
        <w:spacing w:after="0" w:line="49"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Graco, Inc.</w:t>
      </w:r>
      <w:r>
        <w:rPr>
          <w:sz w:val="20"/>
          <w:szCs w:val="20"/>
          <w:color w:val="auto"/>
        </w:rPr>
        <w:tab/>
      </w:r>
      <w:r>
        <w:rPr>
          <w:rFonts w:ascii="Arial" w:cs="Arial" w:eastAsia="Arial" w:hAnsi="Arial"/>
          <w:sz w:val="13"/>
          <w:szCs w:val="13"/>
          <w:color w:val="auto"/>
        </w:rPr>
        <w:t>Wabash National Corp.</w:t>
      </w:r>
    </w:p>
    <w:p>
      <w:pPr>
        <w:spacing w:after="0" w:line="203" w:lineRule="exact"/>
        <w:rPr>
          <w:sz w:val="20"/>
          <w:szCs w:val="20"/>
          <w:color w:val="auto"/>
        </w:rPr>
      </w:pPr>
    </w:p>
    <w:p>
      <w:pPr>
        <w:ind w:right="40"/>
        <w:spacing w:after="0"/>
        <w:rPr>
          <w:sz w:val="20"/>
          <w:szCs w:val="20"/>
          <w:color w:val="auto"/>
        </w:rPr>
      </w:pPr>
      <w:r>
        <w:rPr>
          <w:rFonts w:ascii="Arial" w:cs="Arial" w:eastAsia="Arial" w:hAnsi="Arial"/>
          <w:sz w:val="16"/>
          <w:szCs w:val="16"/>
          <w:color w:val="auto"/>
        </w:rPr>
        <w:t>The Committee reviewed and considered changes to the comparable groups used in prior Compensation Analyses. While the Committee desires to maintain relatively consistent peer groups over time, the Committee adds and removes companies from the peer group for each Analysis.</w:t>
      </w:r>
    </w:p>
    <w:p>
      <w:pPr>
        <w:spacing w:after="0" w:line="181"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Factors used in selecting companies in each of the Consultant Industry Group and the Proxy Industry Group, included:</w:t>
      </w:r>
    </w:p>
    <w:p>
      <w:pPr>
        <w:spacing w:after="0" w:line="175" w:lineRule="exact"/>
        <w:rPr>
          <w:sz w:val="20"/>
          <w:szCs w:val="20"/>
          <w:color w:val="auto"/>
        </w:rPr>
      </w:pPr>
    </w:p>
    <w:p>
      <w:pPr>
        <w:ind w:left="320" w:hanging="315"/>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company's focus on manufacturing;</w:t>
      </w:r>
    </w:p>
    <w:p>
      <w:pPr>
        <w:ind w:left="320" w:hanging="315"/>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revenue and market capitalization size in comparison with ours; and</w:t>
      </w:r>
    </w:p>
    <w:p>
      <w:pPr>
        <w:ind w:left="320" w:right="700" w:hanging="315"/>
        <w:spacing w:after="0" w:line="244"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participation in automotive, transportation, recreational or lifestyle industries.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As part of the 2015 Compensation Analysis, the Committee and Consultant compared data from each of the General Consultant Database and Proxy Industry Group (together, the "Market Data") and utilized, among other information, observations relating to data pertaining to specific job categories and responsibilities. Market Data were adjusted according to these observations and regressed to our revenue size. The market analysis included data on fixed pay (base pay), and variable compensation (annual and long-term incentives).</w:t>
      </w:r>
    </w:p>
    <w:p>
      <w:pPr>
        <w:spacing w:after="0" w:line="169"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The Committee utilized benchmark information derived from the updated Fiscal 2015 Consultant Industry Group and the Proxy Industry Group as a basis for decisions to be made for base salary adjustments and for any adjustments relating to increased responsibility and promotion, and for future annual and long-term incentive awards.</w:t>
      </w:r>
    </w:p>
    <w:p>
      <w:pPr>
        <w:spacing w:after="0" w:line="160"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b w:val="1"/>
          <w:bCs w:val="1"/>
          <w:color w:val="auto"/>
        </w:rPr>
        <w:t xml:space="preserve">Compensation Process. </w:t>
      </w:r>
      <w:r>
        <w:rPr>
          <w:rFonts w:ascii="Arial" w:cs="Arial" w:eastAsia="Arial" w:hAnsi="Arial"/>
          <w:sz w:val="15"/>
          <w:szCs w:val="15"/>
          <w:color w:val="auto"/>
        </w:rPr>
        <w:t>The Committee reviews the benchmarking and</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evaluations prepared by Management in determining the appropriate aggregate and individual compensation levels for the performance year. In conducting its review, the Committee considers our quantitative performance results; the overall need of the Company to attract, retain and motivate the executive team and the total cost of compensation programs.</w:t>
      </w:r>
    </w:p>
    <w:p>
      <w:pPr>
        <w:spacing w:after="0" w:line="134" w:lineRule="exact"/>
        <w:rPr>
          <w:sz w:val="20"/>
          <w:szCs w:val="20"/>
          <w:color w:val="auto"/>
        </w:rPr>
      </w:pPr>
    </w:p>
    <w:p>
      <w:pPr>
        <w:jc w:val="both"/>
        <w:ind w:right="200"/>
        <w:spacing w:after="0" w:line="241" w:lineRule="auto"/>
        <w:rPr>
          <w:sz w:val="20"/>
          <w:szCs w:val="20"/>
          <w:color w:val="auto"/>
        </w:rPr>
      </w:pPr>
      <w:r>
        <w:rPr>
          <w:rFonts w:ascii="Arial" w:cs="Arial" w:eastAsia="Arial" w:hAnsi="Arial"/>
          <w:sz w:val="16"/>
          <w:szCs w:val="16"/>
          <w:color w:val="auto"/>
        </w:rPr>
        <w:t>In addition to the above, the Committee, at least annually, reviews executive compensation and benefits of the NEOs through the use of tally sheets. Each tally sheet identifies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anticipated dollar amounts for individual components of executive compensation, including base salary, annual incentives, long-term incentives, equity awards, deferred compensation, benefits, perquisites and potential change in control and severance payments and accumulation of wealth over time from prior awards and stock sales and stock price performance. Each year's decisions for setting compensation targets for each annual and three-year incentive compensation measuring period are based on the Committee's evaluation of our business needs, goals and environment for that year, as well as the Company's stock price performance and return to shareholders.</w:t>
      </w:r>
    </w:p>
    <w:p>
      <w:pPr>
        <w:spacing w:after="0" w:line="138"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b w:val="1"/>
          <w:bCs w:val="1"/>
          <w:color w:val="auto"/>
        </w:rPr>
        <w:t xml:space="preserve">Role of Executive Officers in Compensation Decisions. </w:t>
      </w:r>
      <w:r>
        <w:rPr>
          <w:rFonts w:ascii="Arial" w:cs="Arial" w:eastAsia="Arial" w:hAnsi="Arial"/>
          <w:sz w:val="16"/>
          <w:szCs w:val="16"/>
          <w:color w:val="auto"/>
        </w:rPr>
        <w:t>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makes all compensation decisions for NEOs and approves recommendations regarding salaries, bonuses, and compensation plans and policies, and other incentive programs.</w:t>
      </w:r>
    </w:p>
    <w:p>
      <w:pPr>
        <w:spacing w:after="0" w:line="147"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The CEO, at least annually, reviews the performance of each NEO (other than the CEO, whose performance is reviewed by the Committee). The conclusions reached and recommendations made by the CEO, including any salary adjustments and annual award amounts, are presented to the Committee. The Committee independently reviews and often modifies or makes adjustments to or on awards to each of the NEOs.</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As noted above, the Committee directly evaluated the performance of the CEO. The Committee's review of the Chair and CEO is conducted at least annually with full Board participation (excluding the CEO). The Committee ultimately must approve all compensation decisions for all executives, including the CEO.</w:t>
      </w:r>
    </w:p>
    <w:p>
      <w:pPr>
        <w:spacing w:after="0" w:line="147" w:lineRule="exact"/>
        <w:rPr>
          <w:sz w:val="20"/>
          <w:szCs w:val="20"/>
          <w:color w:val="auto"/>
        </w:rPr>
      </w:pPr>
    </w:p>
    <w:p>
      <w:pPr>
        <w:jc w:val="both"/>
        <w:ind w:right="60"/>
        <w:spacing w:after="0" w:line="245" w:lineRule="auto"/>
        <w:rPr>
          <w:sz w:val="20"/>
          <w:szCs w:val="20"/>
          <w:color w:val="auto"/>
        </w:rPr>
      </w:pPr>
      <w:r>
        <w:rPr>
          <w:rFonts w:ascii="Arial" w:cs="Arial" w:eastAsia="Arial" w:hAnsi="Arial"/>
          <w:sz w:val="16"/>
          <w:szCs w:val="16"/>
          <w:i w:val="1"/>
          <w:iCs w:val="1"/>
          <w:color w:val="auto"/>
        </w:rPr>
        <w:t xml:space="preserve">Determining the CEO's Compensation. </w:t>
      </w:r>
      <w:r>
        <w:rPr>
          <w:rFonts w:ascii="Arial" w:cs="Arial" w:eastAsia="Arial" w:hAnsi="Arial"/>
          <w:sz w:val="16"/>
          <w:szCs w:val="16"/>
          <w:color w:val="auto"/>
        </w:rPr>
        <w:t>For Fiscal 2015, the Committee sets the</w:t>
      </w:r>
      <w:r>
        <w:rPr>
          <w:rFonts w:ascii="Arial" w:cs="Arial" w:eastAsia="Arial" w:hAnsi="Arial"/>
          <w:sz w:val="16"/>
          <w:szCs w:val="16"/>
          <w:i w:val="1"/>
          <w:iCs w:val="1"/>
          <w:color w:val="auto"/>
        </w:rPr>
        <w:t xml:space="preserve"> </w:t>
      </w:r>
      <w:r>
        <w:rPr>
          <w:rFonts w:ascii="Arial" w:cs="Arial" w:eastAsia="Arial" w:hAnsi="Arial"/>
          <w:sz w:val="16"/>
          <w:szCs w:val="16"/>
          <w:color w:val="auto"/>
        </w:rPr>
        <w:t>CEO's total compensation package. The Committee meets in executive session to set the CEO's base pay, target annual and long-term incentive compensation and stock-based compensation for the NEOs. These determinations are based upon:</w:t>
      </w:r>
    </w:p>
    <w:p>
      <w:pPr>
        <w:spacing w:after="0" w:line="151" w:lineRule="exact"/>
        <w:rPr>
          <w:sz w:val="20"/>
          <w:szCs w:val="20"/>
          <w:color w:val="auto"/>
        </w:rPr>
      </w:pPr>
    </w:p>
    <w:p>
      <w:pPr>
        <w:ind w:left="320" w:right="360" w:hanging="312"/>
        <w:spacing w:after="0" w:line="239"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evaluation of total compensation made to chief executive officers by certain issuers in the Company's Proxy Industry Group;</w:t>
      </w:r>
    </w:p>
    <w:p>
      <w:pPr>
        <w:ind w:left="320" w:right="300" w:hanging="312"/>
        <w:spacing w:after="0" w:line="239"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evaluation of the CEO's performance for the fiscal year and previous three fiscal years conducted by the Committee;</w:t>
      </w:r>
    </w:p>
    <w:p>
      <w:pPr>
        <w:ind w:left="320" w:hanging="312"/>
        <w:spacing w:after="0" w:line="239"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evaluation of the proposed total compensation of the CEO in comparison to other NEOs;</w:t>
      </w:r>
    </w:p>
    <w:p>
      <w:pPr>
        <w:ind w:left="320" w:right="20" w:hanging="312"/>
        <w:spacing w:after="0" w:line="239"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comparison of the differential of total compensation made to chief executive officers in certain issuers in the Company's Proxy Industry Group; and</w:t>
      </w:r>
    </w:p>
    <w:p>
      <w:pPr>
        <w:ind w:left="320" w:right="140" w:hanging="312"/>
        <w:spacing w:after="0" w:line="244"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shareholder return, financial condition and Company strategic goals.</w:t>
      </w:r>
    </w:p>
    <w:p>
      <w:pPr>
        <w:spacing w:after="0" w:line="160"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i w:val="1"/>
          <w:iCs w:val="1"/>
          <w:color w:val="auto"/>
        </w:rPr>
        <w:t xml:space="preserve">Determining Compensation for other NEOs. </w:t>
      </w:r>
      <w:r>
        <w:rPr>
          <w:rFonts w:ascii="Arial" w:cs="Arial" w:eastAsia="Arial" w:hAnsi="Arial"/>
          <w:sz w:val="16"/>
          <w:szCs w:val="16"/>
          <w:color w:val="auto"/>
        </w:rPr>
        <w:t>The Committee approves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compensation (including salary, target annual and long-term incentive compensation and stock-based compensation) for our NEOs (excluding the CEO), based upon:</w:t>
      </w:r>
    </w:p>
    <w:p>
      <w:pPr>
        <w:spacing w:after="0" w:line="14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executive's scope of responsibilities;</w:t>
      </w:r>
    </w:p>
    <w:p>
      <w:pPr>
        <w:spacing w:after="0" w:line="1120" w:lineRule="exact"/>
        <w:rPr>
          <w:sz w:val="20"/>
          <w:szCs w:val="20"/>
          <w:color w:val="auto"/>
        </w:rPr>
      </w:pPr>
    </w:p>
    <w:p>
      <w:pPr>
        <w:sectPr>
          <w:pgSz w:w="11900" w:h="16838" w:orient="portrait"/>
          <w:cols w:equalWidth="0" w:num="2">
            <w:col w:w="5560" w:space="260"/>
            <w:col w:w="5600"/>
          </w:cols>
          <w:pgMar w:left="240" w:top="298" w:right="239" w:bottom="1440" w:gutter="0" w:footer="0" w:header="0"/>
          <w:type w:val="continuous"/>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98" w:right="239" w:bottom="1440" w:gutter="0" w:footer="0" w:header="0"/>
          <w:type w:val="continuous"/>
        </w:sectPr>
      </w:pPr>
    </w:p>
    <w:bookmarkStart w:id="18" w:name="page19"/>
    <w:bookmarkEnd w:id="18"/>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320" w:right="240" w:hanging="315"/>
        <w:spacing w:after="0" w:line="239"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market competitive assessment of similar roles at certain issuers in the Proxy Industry Group;</w:t>
      </w:r>
    </w:p>
    <w:p>
      <w:pPr>
        <w:ind w:left="320" w:right="360" w:hanging="315"/>
        <w:spacing w:after="0" w:line="239"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internal comparisons to the compensation of other NEOs, including the CEO;</w:t>
      </w:r>
    </w:p>
    <w:p>
      <w:pPr>
        <w:ind w:left="320" w:right="200" w:hanging="315"/>
        <w:spacing w:after="0" w:line="239"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evaluations of performance for the fiscal year, as submitted by the CEO, and supported by performance evaluation documents, which may include feedback from the executive's peers, direct reports and other employees within the executive's division;</w:t>
      </w:r>
    </w:p>
    <w:p>
      <w:pPr>
        <w:ind w:left="320" w:right="400" w:hanging="315"/>
        <w:spacing w:after="0" w:line="255" w:lineRule="auto"/>
        <w:tabs>
          <w:tab w:leader="none" w:pos="3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CEO's recommendations for each other NEO's base pay, incentive compensation and stock-based compensation amounts; and</w:t>
      </w:r>
    </w:p>
    <w:p>
      <w:pPr>
        <w:ind w:left="320" w:right="180" w:hanging="315"/>
        <w:spacing w:after="0" w:line="24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financial condition, shareholder return and Company strategic goals. .</w:t>
      </w:r>
    </w:p>
    <w:p>
      <w:pPr>
        <w:spacing w:after="0" w:line="134"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i w:val="1"/>
          <w:iCs w:val="1"/>
          <w:color w:val="auto"/>
        </w:rPr>
        <w:t xml:space="preserve">Timing of Compensation Decisions and Awards. </w:t>
      </w:r>
      <w:r>
        <w:rPr>
          <w:rFonts w:ascii="Arial" w:cs="Arial" w:eastAsia="Arial" w:hAnsi="Arial"/>
          <w:sz w:val="16"/>
          <w:szCs w:val="16"/>
          <w:color w:val="auto"/>
        </w:rPr>
        <w:t>The Board and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 meeting schedules annually, well in advance of each meeting to ensure a thorough and thoughtful decision process and ample deliberation. Incentive compensation awards are made after the close of the fiscal year. The following is a discussion of the timing of certain compensation decisions for Fiscal 2015 at the Company:</w:t>
      </w:r>
    </w:p>
    <w:p>
      <w:pPr>
        <w:spacing w:after="0" w:line="151" w:lineRule="exact"/>
        <w:rPr>
          <w:sz w:val="20"/>
          <w:szCs w:val="20"/>
          <w:color w:val="auto"/>
        </w:rPr>
      </w:pPr>
    </w:p>
    <w:p>
      <w:pPr>
        <w:ind w:left="320" w:right="340" w:hanging="315"/>
        <w:spacing w:after="0" w:line="239"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Fiscal 2015 annual and long-term incentive plans were approved at the June 2014 Committee meeting;</w:t>
      </w:r>
    </w:p>
    <w:p>
      <w:pPr>
        <w:ind w:left="320" w:right="300" w:hanging="315"/>
        <w:spacing w:after="0" w:line="239"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NEOs' base salaries for Fiscal 2015 were reviewed beginning at the October 2014 Committee meeting and throughout Fiscal 2015.</w:t>
      </w:r>
    </w:p>
    <w:p>
      <w:pPr>
        <w:ind w:left="320" w:hanging="315"/>
        <w:spacing w:after="0" w:line="255"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financial metrics for potential Fiscal 2015 annual and long-term incentive awards were established at the October 2014 Committee meeting;</w:t>
      </w:r>
    </w:p>
    <w:p>
      <w:pPr>
        <w:ind w:left="320" w:right="160" w:hanging="315"/>
        <w:spacing w:after="0" w:line="241"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final determinations of annual and long-term achievement for awards payable for Fiscal 2015 and Fiscal 2013-2015, respectively, were made at the October 2015 Committee meeting.</w:t>
      </w:r>
    </w:p>
    <w:p>
      <w:pPr>
        <w:spacing w:after="0" w:line="153" w:lineRule="exact"/>
        <w:rPr>
          <w:sz w:val="20"/>
          <w:szCs w:val="20"/>
          <w:color w:val="auto"/>
        </w:rPr>
      </w:pPr>
    </w:p>
    <w:p>
      <w:pPr>
        <w:ind w:right="80"/>
        <w:spacing w:after="0"/>
        <w:rPr>
          <w:sz w:val="20"/>
          <w:szCs w:val="20"/>
          <w:color w:val="auto"/>
        </w:rPr>
      </w:pPr>
      <w:r>
        <w:rPr>
          <w:rFonts w:ascii="Arial" w:cs="Arial" w:eastAsia="Arial" w:hAnsi="Arial"/>
          <w:sz w:val="16"/>
          <w:szCs w:val="16"/>
          <w:color w:val="auto"/>
        </w:rPr>
        <w:t>Decisions relating to material elements of compensation are fully deliberated by the Committee at each Committee meeting and, when appropriate, over the course of several Committee meetings. This allows for any follow-up to questions from Committee members in advance of the final decision.</w:t>
      </w:r>
    </w:p>
    <w:p>
      <w:pPr>
        <w:spacing w:after="0" w:line="138" w:lineRule="exact"/>
        <w:rPr>
          <w:sz w:val="20"/>
          <w:szCs w:val="20"/>
          <w:color w:val="auto"/>
        </w:rPr>
      </w:pPr>
    </w:p>
    <w:p>
      <w:pPr>
        <w:ind w:right="80"/>
        <w:spacing w:after="0" w:line="259" w:lineRule="auto"/>
        <w:rPr>
          <w:sz w:val="20"/>
          <w:szCs w:val="20"/>
          <w:color w:val="auto"/>
        </w:rPr>
      </w:pPr>
      <w:r>
        <w:rPr>
          <w:rFonts w:ascii="Arial" w:cs="Arial" w:eastAsia="Arial" w:hAnsi="Arial"/>
          <w:sz w:val="15"/>
          <w:szCs w:val="15"/>
          <w:i w:val="1"/>
          <w:iCs w:val="1"/>
          <w:color w:val="auto"/>
        </w:rPr>
        <w:t xml:space="preserve">Risk Assessment of Compensation Decisions. </w:t>
      </w:r>
      <w:r>
        <w:rPr>
          <w:rFonts w:ascii="Arial" w:cs="Arial" w:eastAsia="Arial" w:hAnsi="Arial"/>
          <w:sz w:val="15"/>
          <w:szCs w:val="15"/>
          <w:color w:val="auto"/>
        </w:rPr>
        <w:t>In formulating and evaluating</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 elements of compensation available to our employees, including the NEOs, both the Board and the Committee takes into consideration whether any such programs may encourage excessive risk taking behavior. As part of these considerations and consistent with its compensation philosophy, the Committee seeks to formulate annual and long-term incentive compensation programs without encouraging excessive risk taking as an integral part of the applicable plan design. The Committee believes that the annual and long-term incentive programs as outlined below minimize risks that the NEO's short-term interests may not align with longer-term interests of shareholders, in that:</w:t>
      </w:r>
    </w:p>
    <w:p>
      <w:pPr>
        <w:spacing w:after="0" w:line="145" w:lineRule="exact"/>
        <w:rPr>
          <w:sz w:val="20"/>
          <w:szCs w:val="20"/>
          <w:color w:val="auto"/>
        </w:rPr>
      </w:pPr>
    </w:p>
    <w:p>
      <w:pPr>
        <w:ind w:left="320" w:right="60" w:hanging="315"/>
        <w:spacing w:after="0" w:line="239"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significant elements of the compensation rewards under our annual and long-term incentive compensation plans include stock-based compensation with required retention periods;</w:t>
      </w:r>
    </w:p>
    <w:p>
      <w:pPr>
        <w:ind w:left="320" w:right="220" w:hanging="315"/>
        <w:spacing w:after="0" w:line="244"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financial metrics utilized under each of these plans are widely utilized measurements of shareholder value;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520" w:right="180" w:hanging="312"/>
        <w:spacing w:after="0" w:line="255" w:lineRule="auto"/>
        <w:tabs>
          <w:tab w:leader="none" w:pos="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excessive compensation payment opportunities are avoided by the establishment of maximum levels of incentive payment opportunities; and</w:t>
      </w:r>
    </w:p>
    <w:p>
      <w:pPr>
        <w:ind w:left="520" w:right="40" w:hanging="312"/>
        <w:spacing w:after="0" w:line="244" w:lineRule="auto"/>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changes to annual or long-term incentive program financial metrics have been made after the Committee initially establishes such metrics.</w:t>
      </w:r>
    </w:p>
    <w:p>
      <w:pPr>
        <w:spacing w:after="0" w:line="176" w:lineRule="exact"/>
        <w:rPr>
          <w:sz w:val="20"/>
          <w:szCs w:val="20"/>
          <w:color w:val="auto"/>
        </w:rPr>
      </w:pPr>
    </w:p>
    <w:p>
      <w:pPr>
        <w:ind w:left="200" w:right="140"/>
        <w:spacing w:after="0" w:line="239" w:lineRule="auto"/>
        <w:rPr>
          <w:sz w:val="20"/>
          <w:szCs w:val="20"/>
          <w:color w:val="auto"/>
        </w:rPr>
      </w:pPr>
      <w:r>
        <w:rPr>
          <w:rFonts w:ascii="Arial" w:cs="Arial" w:eastAsia="Arial" w:hAnsi="Arial"/>
          <w:sz w:val="16"/>
          <w:szCs w:val="16"/>
          <w:color w:val="auto"/>
        </w:rPr>
        <w:t>Beginning with Fiscal 2012 incentive compensation programs, the Committee has included “clawback” provisions for each of the annual and long-term incentive programs which, in part, provide for the recoupment of incentive compensation payouts in the event that payments are made based upon the achievement of financial results that are subsequently subject to a restatement due to material noncompliance with financial reporting requirements. See “Annual Incentive Plan” and “Long-Term Incentives” below. In addition, the Committee will amend its clawback policy as appropriate to comply with the requirements of the Dodd-Frank Wall Street Reform and Consumer Protection Act.</w:t>
      </w:r>
    </w:p>
    <w:p>
      <w:pPr>
        <w:spacing w:after="0" w:line="184" w:lineRule="exact"/>
        <w:rPr>
          <w:sz w:val="20"/>
          <w:szCs w:val="20"/>
          <w:color w:val="auto"/>
        </w:rPr>
      </w:pPr>
    </w:p>
    <w:p>
      <w:pPr>
        <w:ind w:left="200" w:right="240"/>
        <w:spacing w:after="0"/>
        <w:rPr>
          <w:sz w:val="20"/>
          <w:szCs w:val="20"/>
          <w:color w:val="auto"/>
        </w:rPr>
      </w:pPr>
      <w:r>
        <w:rPr>
          <w:rFonts w:ascii="Arial" w:cs="Arial" w:eastAsia="Arial" w:hAnsi="Arial"/>
          <w:sz w:val="16"/>
          <w:szCs w:val="16"/>
          <w:color w:val="auto"/>
        </w:rPr>
        <w:t>Based upon the above considerations, the Board determined that the Company's compensation policies and practices are not reasonably likely to have a material adverse effect on the Company or encourage excessive risk-taking behavior.</w:t>
      </w:r>
    </w:p>
    <w:p>
      <w:pPr>
        <w:spacing w:after="0" w:line="161" w:lineRule="exact"/>
        <w:rPr>
          <w:sz w:val="20"/>
          <w:szCs w:val="20"/>
          <w:color w:val="auto"/>
        </w:rPr>
      </w:pPr>
    </w:p>
    <w:p>
      <w:pPr>
        <w:ind w:left="200" w:right="20"/>
        <w:spacing w:after="0" w:line="247" w:lineRule="auto"/>
        <w:rPr>
          <w:sz w:val="20"/>
          <w:szCs w:val="20"/>
          <w:color w:val="auto"/>
        </w:rPr>
      </w:pPr>
      <w:r>
        <w:rPr>
          <w:rFonts w:ascii="Arial" w:cs="Arial" w:eastAsia="Arial" w:hAnsi="Arial"/>
          <w:sz w:val="16"/>
          <w:szCs w:val="16"/>
          <w:b w:val="1"/>
          <w:bCs w:val="1"/>
          <w:color w:val="auto"/>
        </w:rPr>
        <w:t xml:space="preserve">Accounting and Tax Effects. </w:t>
      </w:r>
      <w:r>
        <w:rPr>
          <w:rFonts w:ascii="Arial" w:cs="Arial" w:eastAsia="Arial" w:hAnsi="Arial"/>
          <w:sz w:val="16"/>
          <w:szCs w:val="16"/>
          <w:color w:val="auto"/>
        </w:rPr>
        <w:t>The Committee considers both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reporting and the tax treatment of compensation elements in its decision-making process. The Committee seeks a balance among the Company's best interests, fair treatment of the NEOs, minimizing taxation of the compensation offered to the NEOs, and striving for deductibility by the Company.</w:t>
      </w:r>
    </w:p>
    <w:p>
      <w:pPr>
        <w:spacing w:after="0" w:line="95" w:lineRule="exact"/>
        <w:rPr>
          <w:sz w:val="20"/>
          <w:szCs w:val="20"/>
          <w:color w:val="auto"/>
        </w:rPr>
      </w:pPr>
    </w:p>
    <w:p>
      <w:pPr>
        <w:ind w:left="200" w:right="80"/>
        <w:spacing w:after="0"/>
        <w:rPr>
          <w:sz w:val="20"/>
          <w:szCs w:val="20"/>
          <w:color w:val="auto"/>
        </w:rPr>
      </w:pPr>
      <w:r>
        <w:rPr>
          <w:rFonts w:ascii="Arial" w:cs="Arial" w:eastAsia="Arial" w:hAnsi="Arial"/>
          <w:sz w:val="16"/>
          <w:szCs w:val="16"/>
          <w:color w:val="auto"/>
        </w:rPr>
        <w:t>The Committee reviews the Accounting Standards Codification (ASC) 718 to determine the expense of each stock-based compensation grant made and its impact on our earnings per share. As a result, the Committee has limited grants of stock options and directed the use of more restricted stock grants and increased cash compensation for executives, including our NEOs, in part because of the more direct valuation and expensing of those awards.</w:t>
      </w:r>
    </w:p>
    <w:p>
      <w:pPr>
        <w:spacing w:after="0" w:line="101" w:lineRule="exact"/>
        <w:rPr>
          <w:sz w:val="20"/>
          <w:szCs w:val="20"/>
          <w:color w:val="auto"/>
        </w:rPr>
      </w:pPr>
    </w:p>
    <w:p>
      <w:pPr>
        <w:ind w:left="200"/>
        <w:spacing w:after="0" w:line="256" w:lineRule="auto"/>
        <w:rPr>
          <w:sz w:val="20"/>
          <w:szCs w:val="20"/>
          <w:color w:val="auto"/>
        </w:rPr>
      </w:pPr>
      <w:r>
        <w:rPr>
          <w:rFonts w:ascii="Arial" w:cs="Arial" w:eastAsia="Arial" w:hAnsi="Arial"/>
          <w:sz w:val="15"/>
          <w:szCs w:val="15"/>
          <w:color w:val="auto"/>
        </w:rPr>
        <w:t>From a tax perspective, IRC Section 409A made the taxation of certain grants more costly to the executives with no offsetting benefit to the Company. In response, the Committee froze its Executive Share Option Program in 2004 and all grants not vested before 2005 were terminated as permitted under the transition rule in the regulations under IRC Section 409A. The Committee established the Executive Deferred Compensation Plan, discussed below, to deliver that same element of the executives' competitive pay packages on a more cost-effective basis for the Company because the benefit is now provided with less tax exposure to the executive under IRC Section 409A. In addition, the Committee designed change of control agreements for executives, including the NEOs, to reduce amounts payable that otherwise would have been subject to an excise tax known as “excess golden parachute payments” as defined under IRC Section 280G and further amended such agreements in Fiscal 2009 in order to comply with IRC Section 409A. As described below under “Supplemental</w:t>
      </w:r>
    </w:p>
    <w:p>
      <w:pPr>
        <w:spacing w:after="0" w:line="96" w:lineRule="exact"/>
        <w:rPr>
          <w:sz w:val="20"/>
          <w:szCs w:val="20"/>
          <w:color w:val="auto"/>
        </w:rPr>
      </w:pPr>
    </w:p>
    <w:p>
      <w:pPr>
        <w:ind w:left="200" w:right="100"/>
        <w:spacing w:after="0"/>
        <w:rPr>
          <w:sz w:val="20"/>
          <w:szCs w:val="20"/>
          <w:color w:val="auto"/>
        </w:rPr>
      </w:pPr>
      <w:r>
        <w:rPr>
          <w:rFonts w:ascii="Arial" w:cs="Arial" w:eastAsia="Arial" w:hAnsi="Arial"/>
          <w:sz w:val="16"/>
          <w:szCs w:val="16"/>
          <w:color w:val="auto"/>
        </w:rPr>
        <w:t>Executive Retirement Plan (SERP)/Split Dollar Life Insurance,” we converted benefits payable under the Executive Split Dollar Life Program to a Supplemental Executive Retirement Plan in Fiscal 2009 in order to comply with IRC Section 409A.</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ectPr>
          <w:pgSz w:w="11900" w:h="16838" w:orient="portrait"/>
          <w:cols w:equalWidth="0" w:num="2">
            <w:col w:w="5600" w:space="20"/>
            <w:col w:w="5800"/>
          </w:cols>
          <w:pgMar w:left="240" w:top="298" w:right="239" w:bottom="1440" w:gutter="0" w:footer="0" w:header="0"/>
          <w:type w:val="continuous"/>
        </w:sectPr>
      </w:pPr>
    </w:p>
    <w:bookmarkStart w:id="19" w:name="page20"/>
    <w:bookmarkEnd w:id="1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The Committee also is aware that IRC Section 162(m) limits deductions for compensation paid in excess of $1 million. IRC Section 162(m) generally exempts qualifying performance based compensation from the deduction limit if certain conditions are met. Among other requirements, compensation in excess of $1 million must be granted pursuant to performance based goals that are approved by shareholders every five years. In response, the Committee seeks to design much of the total compensation package of the NEOs to qualify for the exemption of “performance-based” compensation from the deductibility limit. However, the Committee reserves the right to design and use compensation elements that may not be deductible within the rules of IRC Section 162(m), if those elements are deemed by it to be in the Company's best interests.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b w:val="1"/>
          <w:bCs w:val="1"/>
          <w:color w:val="auto"/>
        </w:rPr>
        <w:t xml:space="preserve">Compensation Design and Elements. </w:t>
      </w:r>
      <w:r>
        <w:rPr>
          <w:rFonts w:ascii="Arial" w:cs="Arial" w:eastAsia="Arial" w:hAnsi="Arial"/>
          <w:sz w:val="16"/>
          <w:szCs w:val="16"/>
          <w:color w:val="auto"/>
        </w:rPr>
        <w:t>In Fiscal 2015, the principal design</w:t>
      </w:r>
      <w:r>
        <w:rPr>
          <w:rFonts w:ascii="Arial" w:cs="Arial" w:eastAsia="Arial" w:hAnsi="Arial"/>
          <w:sz w:val="16"/>
          <w:szCs w:val="16"/>
          <w:b w:val="1"/>
          <w:bCs w:val="1"/>
          <w:color w:val="auto"/>
        </w:rPr>
        <w:t xml:space="preserve"> </w:t>
      </w:r>
      <w:r>
        <w:rPr>
          <w:rFonts w:ascii="Arial" w:cs="Arial" w:eastAsia="Arial" w:hAnsi="Arial"/>
          <w:sz w:val="16"/>
          <w:szCs w:val="16"/>
          <w:color w:val="auto"/>
        </w:rPr>
        <w:t>components of compensation for each NEO were:</w:t>
      </w:r>
    </w:p>
    <w:p>
      <w:pPr>
        <w:spacing w:after="0" w:line="12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 salary;</w:t>
      </w: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annual incentive awards; and</w:t>
      </w: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long-term incentives.</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Additional elements of the total compensation package for NEOs include executive benefits, perquisites and severance agreements, as described below. Each component is designed to achieve a specific purpose and to contribute to a total package that is competitive, appropriately performance-based and valued by our executives. In Fiscal 2015, we made no material deviations from previously disclosed or projected payments or practices under these programs.</w:t>
      </w:r>
    </w:p>
    <w:p>
      <w:pPr>
        <w:spacing w:after="0" w:line="140" w:lineRule="exact"/>
        <w:rPr>
          <w:sz w:val="20"/>
          <w:szCs w:val="20"/>
          <w:color w:val="auto"/>
        </w:rPr>
      </w:pPr>
    </w:p>
    <w:p>
      <w:pPr>
        <w:sectPr>
          <w:pgSz w:w="11900" w:h="16838" w:orient="portrait"/>
          <w:cols w:equalWidth="0" w:num="2">
            <w:col w:w="5560" w:space="260"/>
            <w:col w:w="5600"/>
          </w:cols>
          <w:pgMar w:left="240" w:top="298" w:right="239" w:bottom="1440" w:gutter="0" w:footer="0" w:header="0"/>
          <w:type w:val="continuous"/>
        </w:sectPr>
      </w:pPr>
    </w:p>
    <w:p>
      <w:pPr>
        <w:ind w:right="940"/>
        <w:spacing w:after="0" w:line="244" w:lineRule="auto"/>
        <w:rPr>
          <w:sz w:val="20"/>
          <w:szCs w:val="20"/>
          <w:color w:val="auto"/>
        </w:rPr>
      </w:pPr>
      <w:r>
        <w:rPr>
          <w:rFonts w:ascii="Arial" w:cs="Arial" w:eastAsia="Arial" w:hAnsi="Arial"/>
          <w:sz w:val="16"/>
          <w:szCs w:val="16"/>
          <w:color w:val="auto"/>
        </w:rPr>
        <w:t>The following table shows the allocation of each NEO's base salary (at the beginning of Fiscal 2015) and annual and long-term incentive compensation opportunities between fixed and performance-based compensation (at actual performance).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60" w:type="dxa"/>
            <w:vAlign w:val="bottom"/>
          </w:tcPr>
          <w:p>
            <w:pPr>
              <w:jc w:val="right"/>
              <w:ind w:right="561"/>
              <w:spacing w:after="0"/>
              <w:rPr>
                <w:sz w:val="20"/>
                <w:szCs w:val="20"/>
                <w:color w:val="auto"/>
              </w:rPr>
            </w:pPr>
            <w:r>
              <w:rPr>
                <w:rFonts w:ascii="Arial" w:cs="Arial" w:eastAsia="Arial" w:hAnsi="Arial"/>
                <w:sz w:val="16"/>
                <w:szCs w:val="16"/>
                <w:b w:val="1"/>
                <w:bCs w:val="1"/>
                <w:color w:val="auto"/>
              </w:rPr>
              <w:t>Fixed</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Fixed</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7"/>
              </w:rPr>
              <w:t>Performance-Based</w:t>
            </w:r>
          </w:p>
        </w:tc>
      </w:tr>
      <w:tr>
        <w:trPr>
          <w:trHeight w:val="221"/>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9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Compensation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Compensation</w:t>
            </w:r>
          </w:p>
        </w:tc>
        <w:tc>
          <w:tcPr>
            <w:tcW w:w="166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98"/>
              </w:rPr>
              <w:t>Compensation</w:t>
            </w:r>
          </w:p>
        </w:tc>
      </w:tr>
      <w:tr>
        <w:trPr>
          <w:trHeight w:val="236"/>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2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287,370</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37%</w:t>
            </w:r>
          </w:p>
        </w:tc>
      </w:tr>
      <w:tr>
        <w:trPr>
          <w:trHeight w:val="226"/>
        </w:trPr>
        <w:tc>
          <w:tcPr>
            <w:tcW w:w="4000" w:type="dxa"/>
            <w:vAlign w:val="bottom"/>
          </w:tcPr>
          <w:p>
            <w:pPr>
              <w:ind w:left="40"/>
              <w:spacing w:after="0"/>
              <w:rPr>
                <w:sz w:val="20"/>
                <w:szCs w:val="20"/>
                <w:color w:val="auto"/>
              </w:rPr>
            </w:pPr>
            <w:r>
              <w:rPr>
                <w:rFonts w:ascii="Arial" w:cs="Arial" w:eastAsia="Arial" w:hAnsi="Arial"/>
                <w:sz w:val="16"/>
                <w:szCs w:val="16"/>
                <w:color w:val="auto"/>
              </w:rPr>
              <w:t>S. Scott Degnan</w:t>
            </w:r>
          </w:p>
        </w:tc>
        <w:tc>
          <w:tcPr>
            <w:tcW w:w="2940" w:type="dxa"/>
            <w:vAlign w:val="bottom"/>
          </w:tcPr>
          <w:p>
            <w:pPr>
              <w:spacing w:after="0"/>
              <w:rPr>
                <w:sz w:val="19"/>
                <w:szCs w:val="19"/>
                <w:color w:val="auto"/>
              </w:rPr>
            </w:pP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295,611</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38%</w:t>
            </w:r>
          </w:p>
        </w:tc>
      </w:tr>
      <w:tr>
        <w:trPr>
          <w:trHeight w:val="245"/>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29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253,380</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38%</w:t>
            </w:r>
          </w:p>
        </w:tc>
      </w:tr>
      <w:tr>
        <w:trPr>
          <w:trHeight w:val="226"/>
        </w:trPr>
        <w:tc>
          <w:tcPr>
            <w:tcW w:w="400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2940" w:type="dxa"/>
            <w:vAlign w:val="bottom"/>
          </w:tcPr>
          <w:p>
            <w:pPr>
              <w:spacing w:after="0"/>
              <w:rPr>
                <w:sz w:val="19"/>
                <w:szCs w:val="19"/>
                <w:color w:val="auto"/>
              </w:rPr>
            </w:pP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247,200</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37%</w:t>
            </w:r>
          </w:p>
        </w:tc>
      </w:tr>
      <w:tr>
        <w:trPr>
          <w:trHeight w:val="245"/>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29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492,340</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100%</w:t>
            </w:r>
          </w:p>
        </w:tc>
        <w:tc>
          <w:tcPr>
            <w:tcW w:w="166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99"/>
              </w:rPr>
              <w:t>—%</w:t>
            </w:r>
          </w:p>
        </w:tc>
      </w:tr>
    </w:tbl>
    <w:p>
      <w:pPr>
        <w:spacing w:after="0" w:line="159" w:lineRule="exact"/>
        <w:rPr>
          <w:sz w:val="20"/>
          <w:szCs w:val="20"/>
          <w:color w:val="auto"/>
        </w:rPr>
      </w:pPr>
    </w:p>
    <w:p>
      <w:pPr>
        <w:sectPr>
          <w:pgSz w:w="11900" w:h="16838" w:orient="portrait"/>
          <w:cols w:equalWidth="0" w:num="1">
            <w:col w:w="11420"/>
          </w:cols>
          <w:pgMar w:left="240" w:top="298"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The Committee has no pre-established policy or target for the allocation between either cash and non-cash or short-term and long</w:t>
      </w:r>
      <w:r>
        <w:rPr>
          <w:rFonts w:ascii="MS PGothic" w:cs="MS PGothic" w:eastAsia="MS PGothic" w:hAnsi="MS PGothic"/>
          <w:sz w:val="16"/>
          <w:szCs w:val="16"/>
          <w:color w:val="auto"/>
        </w:rPr>
        <w:t>‑</w:t>
      </w:r>
      <w:r>
        <w:rPr>
          <w:rFonts w:ascii="Arial" w:cs="Arial" w:eastAsia="Arial" w:hAnsi="Arial"/>
          <w:sz w:val="16"/>
          <w:szCs w:val="16"/>
          <w:color w:val="auto"/>
        </w:rPr>
        <w:t>term incentive compensation. However, we believe that a smaller portion of potential total executive compensation should be attributed to base salary because it is a fixed component of total compensation. As a result, we have generally emphasized conservative base salary payments to NEOs, relative to our peer issuers in the Proxy Industry Group. We alternatively provide the potential for a greater incentive compensation component of total executive compensation, which is based predominately on the performance factors described below. The Committee seeks to overweight incentive compensation that rewards achievement of performance goals that the Committee believes will help the Company, increase the Company's stock price, and improve return to shareholders over time.</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The base salary program was designed to compensate NEOs for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skills and competencies required to perform their respective role and to provide executive leadership. We provide NEOs and other employees with base salary to compensate them for services rendered during the fiscal year. Base salary ranges for NEOs are determined for each executive based on his or her position and responsibilities. The base salaries of our executives are also determined by considering such factors as:</w:t>
      </w:r>
    </w:p>
    <w:p>
      <w:pPr>
        <w:spacing w:after="0" w:line="98" w:lineRule="exact"/>
        <w:rPr>
          <w:sz w:val="20"/>
          <w:szCs w:val="20"/>
          <w:color w:val="auto"/>
        </w:rPr>
      </w:pPr>
    </w:p>
    <w:p>
      <w:pPr>
        <w:ind w:left="320" w:hanging="315"/>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experience of the executive;</w:t>
      </w:r>
    </w:p>
    <w:p>
      <w:pPr>
        <w:ind w:left="320" w:hanging="315"/>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time in position;</w:t>
      </w:r>
    </w:p>
    <w:p>
      <w:pPr>
        <w:ind w:left="320" w:hanging="315"/>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individual performance;</w:t>
      </w:r>
    </w:p>
    <w:p>
      <w:pPr>
        <w:ind w:left="320" w:hanging="315"/>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level of responsibility for the executive;</w:t>
      </w:r>
    </w:p>
    <w:p>
      <w:pPr>
        <w:ind w:left="320" w:right="180" w:hanging="315"/>
        <w:spacing w:after="0" w:line="239" w:lineRule="auto"/>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financial condition and Company strategic goals; and</w:t>
      </w:r>
    </w:p>
    <w:p>
      <w:pPr>
        <w:ind w:left="320" w:hanging="315"/>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data from Towers Watson 2015 Compensation Analysis.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5"/>
          <w:szCs w:val="15"/>
          <w:color w:val="auto"/>
        </w:rPr>
        <w:t>In general, base salary determinations are considered each year as part of the Committee's performance review process as well as upon a promotion or other change in job responsibility. Base salary is also used as the basis for calculating annual and long-term incentive awards and in calculating payments that may be paid upon a change in control, as described below. In Fiscal 2015, base salaries were reviewed by the Committee periodically throughout the year.</w:t>
      </w:r>
    </w:p>
    <w:p>
      <w:pPr>
        <w:spacing w:after="0" w:line="166" w:lineRule="exact"/>
        <w:rPr>
          <w:sz w:val="20"/>
          <w:szCs w:val="20"/>
          <w:color w:val="auto"/>
        </w:rPr>
      </w:pPr>
    </w:p>
    <w:p>
      <w:pPr>
        <w:ind w:left="200"/>
        <w:spacing w:after="0" w:line="257" w:lineRule="auto"/>
        <w:rPr>
          <w:sz w:val="20"/>
          <w:szCs w:val="20"/>
          <w:color w:val="auto"/>
        </w:rPr>
      </w:pPr>
      <w:r>
        <w:rPr>
          <w:rFonts w:ascii="Arial" w:cs="Arial" w:eastAsia="Arial" w:hAnsi="Arial"/>
          <w:sz w:val="15"/>
          <w:szCs w:val="15"/>
          <w:color w:val="auto"/>
        </w:rPr>
        <w:t>In August, 2014, as a result of the performance review process, consideration of the above referenced factors, and with input made by the CEO, the Committee recommended and approved adjustments to the base annual salary of Ms. Nielsen from $279,000 to $287,370; for Mr. Degnan from $287,000 to $295,611; for Mr. Folkers from $246,000 to $253,380 and for Mr. Krieger from $240,000 to $247,200. The Committee also recommended an adjustment for Mr. Potts from $478,000 to $492,340. All of these adjustments to base annual salary were made effective September 1, 2014. Additionally, the Committee set the base pay for interim CEO Mr. Olson at $492,385 pursuant to his employment agreement described above. No other adjustments were made to the base annual salaries of the CEO, CFO, or any other NEOs during Fiscal 2015.</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Annual Incentive Plan</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 xml:space="preserve">Officers Incentive Compensation Plan Fiscal Period 2015. </w:t>
      </w:r>
      <w:r>
        <w:rPr>
          <w:rFonts w:ascii="Arial" w:cs="Arial" w:eastAsia="Arial" w:hAnsi="Arial"/>
          <w:sz w:val="16"/>
          <w:szCs w:val="16"/>
          <w:color w:val="auto"/>
        </w:rPr>
        <w:t>Our NEOs are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annual incentive awards under our Officers Incentive Compensation Plan Fiscal Period 2015 (the “Officers Incentive Compensation Plan”). The Officers Incentive Compensation Plan is designed to promote our growth and profitability by providing our executives with an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ectPr>
          <w:pgSz w:w="11900" w:h="16838" w:orient="portrait"/>
          <w:cols w:equalWidth="0" w:num="2">
            <w:col w:w="5560" w:space="60"/>
            <w:col w:w="5800"/>
          </w:cols>
          <w:pgMar w:left="240" w:top="298" w:right="239" w:bottom="1440" w:gutter="0" w:footer="0" w:header="0"/>
          <w:type w:val="continuous"/>
        </w:sectPr>
      </w:pPr>
    </w:p>
    <w:bookmarkStart w:id="20" w:name="page21"/>
    <w:bookmarkEnd w:id="2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incentive to achieve identified short-term corporate profit objectives and to attract and retain such executives who will contribute to the achievement of our growth and profitability.</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Officers Incentive Compensation Plan is a program established to provide for annual measurements of financial performance, with a corresponding opportunity for annual incentive payments based upon financial results measured against performance objectives set by the Committee. The amount of the participants' incentive compensation for the fiscal year is calculated under the Officers Incentive Compensation Plan to be in direct proportion to our financial performance expressed as a percentage (Financial Factor) against compensation targets for each participant as determined by the Committee.</w:t>
      </w:r>
    </w:p>
    <w:p>
      <w:pPr>
        <w:spacing w:after="0" w:line="140"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Net income and return on invested capital, or ROIC, were chosen by the Committee as the key financial performance measurements under the Officers Incentive Compensation Plan for Fiscal 2015. The Committee selected net income as a key financial performance metric because:</w:t>
      </w:r>
    </w:p>
    <w:p>
      <w:pPr>
        <w:spacing w:after="0" w:line="181" w:lineRule="exact"/>
        <w:rPr>
          <w:sz w:val="20"/>
          <w:szCs w:val="20"/>
          <w:color w:val="auto"/>
        </w:rPr>
      </w:pPr>
    </w:p>
    <w:p>
      <w:pPr>
        <w:ind w:left="640" w:right="700" w:hanging="635"/>
        <w:spacing w:after="0" w:line="244" w:lineRule="auto"/>
        <w:tabs>
          <w:tab w:leader="none" w:pos="3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net income is a definitive "bottom line" indicator of the Company's performance;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640" w:right="720" w:hanging="632"/>
        <w:spacing w:after="0" w:line="239" w:lineRule="auto"/>
        <w:tabs>
          <w:tab w:leader="none" w:pos="326"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income is a key performance metric clearly understood by our employees and our shareholders;</w:t>
      </w:r>
    </w:p>
    <w:p>
      <w:pPr>
        <w:ind w:left="640" w:right="80" w:hanging="632"/>
        <w:spacing w:after="0" w:line="239" w:lineRule="auto"/>
        <w:tabs>
          <w:tab w:leader="none" w:pos="326"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income is a solid historic measurement of the Company's performance; and</w:t>
      </w:r>
    </w:p>
    <w:p>
      <w:pPr>
        <w:ind w:left="640" w:right="80" w:hanging="632"/>
        <w:spacing w:after="0" w:line="244" w:lineRule="auto"/>
        <w:tabs>
          <w:tab w:leader="none" w:pos="326"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income is a good indicator of the rate at which the Company has grown profits.</w:t>
      </w:r>
    </w:p>
    <w:p>
      <w:pPr>
        <w:spacing w:after="0" w:line="150" w:lineRule="exact"/>
        <w:rPr>
          <w:sz w:val="20"/>
          <w:szCs w:val="20"/>
          <w:color w:val="auto"/>
        </w:rPr>
      </w:pPr>
    </w:p>
    <w:p>
      <w:pPr>
        <w:ind w:right="840"/>
        <w:spacing w:after="0" w:line="244" w:lineRule="auto"/>
        <w:rPr>
          <w:sz w:val="20"/>
          <w:szCs w:val="20"/>
          <w:color w:val="auto"/>
        </w:rPr>
      </w:pPr>
      <w:r>
        <w:rPr>
          <w:rFonts w:ascii="Arial" w:cs="Arial" w:eastAsia="Arial" w:hAnsi="Arial"/>
          <w:sz w:val="16"/>
          <w:szCs w:val="16"/>
          <w:color w:val="auto"/>
        </w:rPr>
        <w:t>Additionally, the Committee selected ROIC as the other key financial performance metric because:</w:t>
      </w:r>
    </w:p>
    <w:p>
      <w:pPr>
        <w:spacing w:after="0" w:line="150" w:lineRule="exact"/>
        <w:rPr>
          <w:sz w:val="20"/>
          <w:szCs w:val="20"/>
          <w:color w:val="auto"/>
        </w:rPr>
      </w:pPr>
    </w:p>
    <w:p>
      <w:pPr>
        <w:ind w:left="320" w:right="340" w:hanging="312"/>
        <w:spacing w:after="0" w:line="239"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ROIC is a critical indicator of how effectively a company uses its capital invested in its operations; and</w:t>
      </w:r>
    </w:p>
    <w:p>
      <w:pPr>
        <w:ind w:left="320" w:right="580" w:hanging="312"/>
        <w:spacing w:after="0" w:line="244"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ROIC is an important measurement for judging how much value the Company is creating.</w:t>
      </w:r>
    </w:p>
    <w:p>
      <w:pPr>
        <w:spacing w:after="0" w:line="150"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formula for calculating ROIC for Fiscal 2015 is reported net income divided by the quarterly average of Fiscal 2015 invested capital (total assets, less cash and non-interest bearing current liabilities). Additionally, the Committee determined that while ROIC is an important metric used to determine financial performance, no bonus would be payable under the ROIC portion of the Officers Incentive Compensation Plan unless a bonus is earned and is payable under the net income metric.</w:t>
      </w:r>
    </w:p>
    <w:p>
      <w:pPr>
        <w:spacing w:after="0" w:line="200" w:lineRule="exact"/>
        <w:rPr>
          <w:sz w:val="20"/>
          <w:szCs w:val="20"/>
          <w:color w:val="auto"/>
        </w:rPr>
      </w:pPr>
    </w:p>
    <w:p>
      <w:pPr>
        <w:sectPr>
          <w:pgSz w:w="11900" w:h="16838" w:orient="portrait"/>
          <w:cols w:equalWidth="0" w:num="2">
            <w:col w:w="5560" w:space="260"/>
            <w:col w:w="5600"/>
          </w:cols>
          <w:pgMar w:left="240" w:top="298" w:right="239" w:bottom="1440" w:gutter="0" w:footer="0" w:header="0"/>
          <w:type w:val="continuous"/>
        </w:sectPr>
      </w:pPr>
    </w:p>
    <w:p>
      <w:pPr>
        <w:spacing w:after="0" w:line="83"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At its October 2014 meeting, the Committee approved the Fiscal 2015 financial performance metrics under the Officers Incentive Compensation Plan as illustrated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Performance Metrics</w:t>
            </w:r>
          </w:p>
        </w:tc>
        <w:tc>
          <w:tcPr>
            <w:tcW w:w="2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Threshold</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Target</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Maximum</w:t>
            </w:r>
          </w:p>
        </w:tc>
      </w:tr>
      <w:tr>
        <w:trPr>
          <w:trHeight w:val="236"/>
        </w:trPr>
        <w:tc>
          <w:tcPr>
            <w:tcW w:w="4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20"/>
                <w:szCs w:val="20"/>
                <w:color w:val="auto"/>
                <w:vertAlign w:val="superscript"/>
              </w:rPr>
              <w:t>(1)</w:t>
            </w:r>
          </w:p>
        </w:tc>
        <w:tc>
          <w:tcPr>
            <w:tcW w:w="2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38,820,000</w:t>
            </w:r>
          </w:p>
        </w:tc>
        <w:tc>
          <w:tcPr>
            <w:tcW w:w="5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48,525,000</w:t>
            </w:r>
          </w:p>
        </w:tc>
        <w:tc>
          <w:tcPr>
            <w:tcW w:w="4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58,230,000</w:t>
            </w:r>
          </w:p>
        </w:tc>
      </w:tr>
      <w:tr>
        <w:trPr>
          <w:trHeight w:val="240"/>
        </w:trPr>
        <w:tc>
          <w:tcPr>
            <w:tcW w:w="4200" w:type="dxa"/>
            <w:vAlign w:val="bottom"/>
          </w:tcPr>
          <w:p>
            <w:pPr>
              <w:ind w:left="40"/>
              <w:spacing w:after="0"/>
              <w:rPr>
                <w:sz w:val="20"/>
                <w:szCs w:val="20"/>
                <w:color w:val="auto"/>
              </w:rPr>
            </w:pPr>
            <w:r>
              <w:rPr>
                <w:rFonts w:ascii="Arial" w:cs="Arial" w:eastAsia="Arial" w:hAnsi="Arial"/>
                <w:sz w:val="16"/>
                <w:szCs w:val="16"/>
                <w:color w:val="auto"/>
              </w:rPr>
              <w:t xml:space="preserve">ROIC </w:t>
            </w:r>
            <w:r>
              <w:rPr>
                <w:rFonts w:ascii="Arial" w:cs="Arial" w:eastAsia="Arial" w:hAnsi="Arial"/>
                <w:sz w:val="20"/>
                <w:szCs w:val="20"/>
                <w:color w:val="auto"/>
                <w:vertAlign w:val="superscript"/>
              </w:rPr>
              <w:t>(2)</w:t>
            </w:r>
          </w:p>
        </w:tc>
        <w:tc>
          <w:tcPr>
            <w:tcW w:w="2160" w:type="dxa"/>
            <w:vAlign w:val="bottom"/>
          </w:tcPr>
          <w:p>
            <w:pPr>
              <w:spacing w:after="0"/>
              <w:rPr>
                <w:sz w:val="20"/>
                <w:szCs w:val="20"/>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18.0%</w:t>
            </w:r>
          </w:p>
        </w:tc>
        <w:tc>
          <w:tcPr>
            <w:tcW w:w="500" w:type="dxa"/>
            <w:vAlign w:val="bottom"/>
          </w:tcPr>
          <w:p>
            <w:pPr>
              <w:spacing w:after="0"/>
              <w:rPr>
                <w:sz w:val="20"/>
                <w:szCs w:val="20"/>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22.5%</w:t>
            </w:r>
          </w:p>
        </w:tc>
        <w:tc>
          <w:tcPr>
            <w:tcW w:w="460" w:type="dxa"/>
            <w:vAlign w:val="bottom"/>
          </w:tcPr>
          <w:p>
            <w:pPr>
              <w:spacing w:after="0"/>
              <w:rPr>
                <w:sz w:val="20"/>
                <w:szCs w:val="20"/>
                <w:color w:val="auto"/>
              </w:rPr>
            </w:pPr>
          </w:p>
        </w:tc>
        <w:tc>
          <w:tcPr>
            <w:tcW w:w="1480" w:type="dxa"/>
            <w:vAlign w:val="bottom"/>
          </w:tcPr>
          <w:p>
            <w:pPr>
              <w:jc w:val="right"/>
              <w:ind w:right="181"/>
              <w:spacing w:after="0"/>
              <w:rPr>
                <w:sz w:val="20"/>
                <w:szCs w:val="20"/>
                <w:color w:val="auto"/>
              </w:rPr>
            </w:pPr>
            <w:r>
              <w:rPr>
                <w:rFonts w:ascii="Arial" w:cs="Arial" w:eastAsia="Arial" w:hAnsi="Arial"/>
                <w:sz w:val="16"/>
                <w:szCs w:val="16"/>
                <w:color w:val="auto"/>
              </w:rPr>
              <w:t>27.0%</w:t>
            </w:r>
          </w:p>
        </w:tc>
      </w:tr>
    </w:tbl>
    <w:p>
      <w:pPr>
        <w:ind w:left="320" w:right="300" w:hanging="315"/>
        <w:spacing w:after="0" w:line="239" w:lineRule="auto"/>
        <w:tabs>
          <w:tab w:leader="none" w:pos="32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net income target for Fiscal 2015 was established at $48.5 million, based upon the 2015 Fiscal Management Plan, approximately 8% over Fiscal 2014 net income of $45.1 million. The maximum net income goal was set at $58.2 million, which represents 120% of the target net income and approximately 29% over Fiscal 2014 net income. The threshold net income was set at $38.8 million, which represents 80% of the target net income.</w:t>
      </w:r>
    </w:p>
    <w:p>
      <w:pPr>
        <w:spacing w:after="0" w:line="42" w:lineRule="exact"/>
        <w:rPr>
          <w:rFonts w:ascii="Arial" w:cs="Arial" w:eastAsia="Arial" w:hAnsi="Arial"/>
          <w:sz w:val="12"/>
          <w:szCs w:val="12"/>
          <w:color w:val="auto"/>
        </w:rPr>
      </w:pPr>
    </w:p>
    <w:p>
      <w:pPr>
        <w:ind w:left="320" w:right="180" w:hanging="315"/>
        <w:spacing w:after="0" w:line="245" w:lineRule="auto"/>
        <w:tabs>
          <w:tab w:leader="none" w:pos="32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ROIC target for Fiscal 2015 was established at 22.5% based on the 2015 Fiscal Management Plan. The maximum ROIC goal was set at 27%, which represents 120% of the ROIC target. The threshold ROIC was set at 18%, which represents 80% of the ROIC target.</w:t>
      </w:r>
    </w:p>
    <w:p>
      <w:pPr>
        <w:spacing w:after="0" w:line="271" w:lineRule="exact"/>
        <w:rPr>
          <w:sz w:val="20"/>
          <w:szCs w:val="20"/>
          <w:color w:val="auto"/>
        </w:rPr>
      </w:pPr>
    </w:p>
    <w:p>
      <w:pPr>
        <w:ind w:right="360"/>
        <w:spacing w:after="0" w:line="244" w:lineRule="auto"/>
        <w:rPr>
          <w:sz w:val="20"/>
          <w:szCs w:val="20"/>
          <w:color w:val="auto"/>
        </w:rPr>
      </w:pPr>
      <w:r>
        <w:rPr>
          <w:rFonts w:ascii="Arial" w:cs="Arial" w:eastAsia="Arial" w:hAnsi="Arial"/>
          <w:sz w:val="16"/>
          <w:szCs w:val="16"/>
          <w:color w:val="auto"/>
        </w:rPr>
        <w:t>The table below illustrates the bonus opportunity for the Officer Incentive Compensation Plan upon achievement of each of the financial performance metrics at threshold, target and maximum:</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200" w:type="dxa"/>
            <w:vAlign w:val="bottom"/>
            <w:vMerge w:val="restart"/>
          </w:tcPr>
          <w:p>
            <w:pPr>
              <w:jc w:val="center"/>
              <w:ind w:left="287"/>
              <w:spacing w:after="0"/>
              <w:rPr>
                <w:sz w:val="20"/>
                <w:szCs w:val="20"/>
                <w:color w:val="auto"/>
              </w:rPr>
            </w:pPr>
            <w:r>
              <w:rPr>
                <w:rFonts w:ascii="Arial" w:cs="Arial" w:eastAsia="Arial" w:hAnsi="Arial"/>
                <w:sz w:val="14"/>
                <w:szCs w:val="14"/>
                <w:b w:val="1"/>
                <w:bCs w:val="1"/>
                <w:color w:val="auto"/>
              </w:rPr>
              <w:t>Bonus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Arial" w:cs="Arial" w:eastAsia="Arial" w:hAnsi="Arial"/>
                <w:sz w:val="14"/>
                <w:szCs w:val="14"/>
                <w:b w:val="1"/>
                <w:bCs w:val="1"/>
                <w:color w:val="auto"/>
              </w:rPr>
              <w:t>Net Income</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Arial" w:cs="Arial" w:eastAsia="Arial" w:hAnsi="Arial"/>
                <w:sz w:val="14"/>
                <w:szCs w:val="14"/>
                <w:b w:val="1"/>
                <w:bCs w:val="1"/>
                <w:color w:val="auto"/>
              </w:rPr>
              <w:t>ROIC</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3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auto"/>
                <w:w w:val="97"/>
              </w:rPr>
              <w:t>Financial Factors</w:t>
            </w:r>
          </w:p>
        </w:tc>
        <w:tc>
          <w:tcPr>
            <w:tcW w:w="840" w:type="dxa"/>
            <w:vAlign w:val="bottom"/>
            <w:vMerge w:val="restart"/>
          </w:tcPr>
          <w:p>
            <w:pPr>
              <w:jc w:val="right"/>
              <w:ind w:right="652"/>
              <w:spacing w:after="0"/>
              <w:rPr>
                <w:sz w:val="20"/>
                <w:szCs w:val="20"/>
                <w:color w:val="auto"/>
              </w:rPr>
            </w:pPr>
            <w:r>
              <w:rPr>
                <w:rFonts w:ascii="Arial" w:cs="Arial" w:eastAsia="Arial" w:hAnsi="Arial"/>
                <w:sz w:val="9"/>
                <w:szCs w:val="9"/>
                <w:b w:val="1"/>
                <w:bCs w:val="1"/>
                <w:color w:val="auto"/>
                <w:w w:val="90"/>
              </w:rPr>
              <w:t>(3)</w:t>
            </w:r>
          </w:p>
        </w:tc>
        <w:tc>
          <w:tcPr>
            <w:tcW w:w="640" w:type="dxa"/>
            <w:vAlign w:val="bottom"/>
          </w:tcPr>
          <w:p>
            <w:pPr>
              <w:spacing w:after="0"/>
              <w:rPr>
                <w:sz w:val="4"/>
                <w:szCs w:val="4"/>
                <w:color w:val="auto"/>
              </w:rPr>
            </w:pPr>
          </w:p>
        </w:tc>
        <w:tc>
          <w:tcPr>
            <w:tcW w:w="116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auto"/>
                <w:w w:val="98"/>
              </w:rPr>
              <w:t>Financial Factors</w:t>
            </w:r>
          </w:p>
        </w:tc>
        <w:tc>
          <w:tcPr>
            <w:tcW w:w="800" w:type="dxa"/>
            <w:vAlign w:val="bottom"/>
            <w:vMerge w:val="restart"/>
          </w:tcPr>
          <w:p>
            <w:pPr>
              <w:jc w:val="right"/>
              <w:ind w:right="632"/>
              <w:spacing w:after="0"/>
              <w:rPr>
                <w:sz w:val="20"/>
                <w:szCs w:val="20"/>
                <w:color w:val="auto"/>
              </w:rPr>
            </w:pPr>
            <w:r>
              <w:rPr>
                <w:rFonts w:ascii="Arial" w:cs="Arial" w:eastAsia="Arial" w:hAnsi="Arial"/>
                <w:sz w:val="9"/>
                <w:szCs w:val="9"/>
                <w:b w:val="1"/>
                <w:bCs w:val="1"/>
                <w:color w:val="auto"/>
                <w:w w:val="72"/>
              </w:rPr>
              <w:t>(3)</w:t>
            </w:r>
          </w:p>
        </w:tc>
        <w:tc>
          <w:tcPr>
            <w:tcW w:w="700" w:type="dxa"/>
            <w:vAlign w:val="bottom"/>
          </w:tcPr>
          <w:p>
            <w:pPr>
              <w:spacing w:after="0"/>
              <w:rPr>
                <w:sz w:val="4"/>
                <w:szCs w:val="4"/>
                <w:color w:val="auto"/>
              </w:rPr>
            </w:pPr>
          </w:p>
        </w:tc>
        <w:tc>
          <w:tcPr>
            <w:tcW w:w="1160" w:type="dxa"/>
            <w:vAlign w:val="bottom"/>
            <w:gridSpan w:val="3"/>
            <w:vMerge w:val="restart"/>
          </w:tcPr>
          <w:p>
            <w:pPr>
              <w:spacing w:after="0" w:line="135" w:lineRule="exact"/>
              <w:rPr>
                <w:sz w:val="20"/>
                <w:szCs w:val="20"/>
                <w:color w:val="auto"/>
              </w:rPr>
            </w:pPr>
            <w:r>
              <w:rPr>
                <w:rFonts w:ascii="Arial" w:cs="Arial" w:eastAsia="Arial" w:hAnsi="Arial"/>
                <w:sz w:val="14"/>
                <w:szCs w:val="14"/>
                <w:b w:val="1"/>
                <w:bCs w:val="1"/>
                <w:color w:val="auto"/>
                <w:w w:val="98"/>
              </w:rPr>
              <w:t>Financial Factors</w:t>
            </w: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8"/>
                <w:szCs w:val="8"/>
                <w:color w:val="auto"/>
              </w:rPr>
            </w:pPr>
          </w:p>
        </w:tc>
        <w:tc>
          <w:tcPr>
            <w:tcW w:w="1200" w:type="dxa"/>
            <w:vAlign w:val="bottom"/>
            <w:vMerge w:val="restart"/>
          </w:tcPr>
          <w:p>
            <w:pPr>
              <w:jc w:val="center"/>
              <w:ind w:left="287"/>
              <w:spacing w:after="0" w:line="157" w:lineRule="exact"/>
              <w:rPr>
                <w:sz w:val="20"/>
                <w:szCs w:val="20"/>
                <w:color w:val="auto"/>
              </w:rPr>
            </w:pPr>
            <w:r>
              <w:rPr>
                <w:rFonts w:ascii="Arial" w:cs="Arial" w:eastAsia="Arial" w:hAnsi="Arial"/>
                <w:sz w:val="14"/>
                <w:szCs w:val="14"/>
                <w:b w:val="1"/>
                <w:bCs w:val="1"/>
                <w:color w:val="auto"/>
              </w:rPr>
              <w:t>Oppor-</w:t>
            </w:r>
          </w:p>
        </w:tc>
        <w:tc>
          <w:tcPr>
            <w:tcW w:w="680" w:type="dxa"/>
            <w:vAlign w:val="bottom"/>
          </w:tcPr>
          <w:p>
            <w:pPr>
              <w:spacing w:after="0"/>
              <w:rPr>
                <w:sz w:val="8"/>
                <w:szCs w:val="8"/>
                <w:color w:val="auto"/>
              </w:rPr>
            </w:pPr>
          </w:p>
        </w:tc>
        <w:tc>
          <w:tcPr>
            <w:tcW w:w="1140" w:type="dxa"/>
            <w:vAlign w:val="bottom"/>
            <w:tcBorders>
              <w:bottom w:val="single" w:sz="8" w:color="auto"/>
            </w:tcBorders>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40" w:type="dxa"/>
            <w:vAlign w:val="bottom"/>
            <w:vMerge w:val="restart"/>
          </w:tcPr>
          <w:p>
            <w:pPr>
              <w:spacing w:after="0"/>
              <w:rPr>
                <w:sz w:val="8"/>
                <w:szCs w:val="8"/>
                <w:color w:val="auto"/>
              </w:rPr>
            </w:pPr>
          </w:p>
        </w:tc>
        <w:tc>
          <w:tcPr>
            <w:tcW w:w="1160" w:type="dxa"/>
            <w:vAlign w:val="bottom"/>
            <w:tcBorders>
              <w:bottom w:val="single" w:sz="8" w:color="auto"/>
            </w:tcBorders>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restart"/>
          </w:tcPr>
          <w:p>
            <w:pPr>
              <w:spacing w:after="0"/>
              <w:rPr>
                <w:sz w:val="8"/>
                <w:szCs w:val="8"/>
                <w:color w:val="auto"/>
              </w:rPr>
            </w:pPr>
          </w:p>
        </w:tc>
        <w:tc>
          <w:tcPr>
            <w:tcW w:w="1160" w:type="dxa"/>
            <w:vAlign w:val="bottom"/>
            <w:tcBorders>
              <w:bottom w:val="single" w:sz="8" w:color="auto"/>
            </w:tcBorders>
            <w:gridSpan w:val="3"/>
            <w:vMerge w:val="continue"/>
          </w:tcPr>
          <w:p>
            <w:pPr>
              <w:spacing w:after="0"/>
              <w:rPr>
                <w:sz w:val="8"/>
                <w:szCs w:val="8"/>
                <w:color w:val="auto"/>
              </w:rPr>
            </w:pPr>
          </w:p>
        </w:tc>
        <w:tc>
          <w:tcPr>
            <w:tcW w:w="7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3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160" w:type="dxa"/>
            <w:vAlign w:val="bottom"/>
            <w:gridSpan w:val="2"/>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60" w:type="dxa"/>
            <w:vAlign w:val="bottom"/>
            <w:gridSpan w:val="3"/>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Officer </w:t>
            </w:r>
            <w:r>
              <w:rPr>
                <w:rFonts w:ascii="Arial" w:cs="Arial" w:eastAsia="Arial" w:hAnsi="Arial"/>
                <w:sz w:val="17"/>
                <w:szCs w:val="17"/>
                <w:b w:val="1"/>
                <w:bCs w:val="1"/>
                <w:color w:val="auto"/>
                <w:vertAlign w:val="superscript"/>
              </w:rPr>
              <w:t>(1)</w:t>
            </w:r>
          </w:p>
        </w:tc>
        <w:tc>
          <w:tcPr>
            <w:tcW w:w="1200" w:type="dxa"/>
            <w:vAlign w:val="bottom"/>
            <w:tcBorders>
              <w:bottom w:val="single" w:sz="8" w:color="auto"/>
            </w:tcBorders>
          </w:tcPr>
          <w:p>
            <w:pPr>
              <w:jc w:val="center"/>
              <w:ind w:left="287"/>
              <w:spacing w:after="0"/>
              <w:rPr>
                <w:sz w:val="20"/>
                <w:szCs w:val="20"/>
                <w:color w:val="auto"/>
              </w:rPr>
            </w:pPr>
            <w:r>
              <w:rPr>
                <w:rFonts w:ascii="Arial" w:cs="Arial" w:eastAsia="Arial" w:hAnsi="Arial"/>
                <w:sz w:val="14"/>
                <w:szCs w:val="14"/>
                <w:b w:val="1"/>
                <w:bCs w:val="1"/>
                <w:color w:val="auto"/>
                <w:w w:val="93"/>
              </w:rPr>
              <w:t xml:space="preserve">tunity </w:t>
            </w:r>
            <w:r>
              <w:rPr>
                <w:rFonts w:ascii="Arial" w:cs="Arial" w:eastAsia="Arial" w:hAnsi="Arial"/>
                <w:sz w:val="17"/>
                <w:szCs w:val="17"/>
                <w:b w:val="1"/>
                <w:bCs w:val="1"/>
                <w:color w:val="auto"/>
                <w:w w:val="93"/>
                <w:vertAlign w:val="superscript"/>
              </w:rPr>
              <w:t>(2)</w:t>
            </w:r>
          </w:p>
        </w:tc>
        <w:tc>
          <w:tcPr>
            <w:tcW w:w="880" w:type="dxa"/>
            <w:vAlign w:val="bottom"/>
            <w:tcBorders>
              <w:bottom w:val="single" w:sz="8" w:color="auto"/>
            </w:tcBorders>
            <w:gridSpan w:val="2"/>
          </w:tcPr>
          <w:p>
            <w:pPr>
              <w:jc w:val="center"/>
              <w:ind w:left="44"/>
              <w:spacing w:after="0"/>
              <w:rPr>
                <w:sz w:val="20"/>
                <w:szCs w:val="20"/>
                <w:color w:val="auto"/>
              </w:rPr>
            </w:pPr>
            <w:r>
              <w:rPr>
                <w:rFonts w:ascii="Arial" w:cs="Arial" w:eastAsia="Arial" w:hAnsi="Arial"/>
                <w:sz w:val="14"/>
                <w:szCs w:val="14"/>
                <w:b w:val="1"/>
                <w:bCs w:val="1"/>
                <w:color w:val="auto"/>
              </w:rPr>
              <w:t>Threshold</w:t>
            </w:r>
          </w:p>
        </w:tc>
        <w:tc>
          <w:tcPr>
            <w:tcW w:w="94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Target</w:t>
            </w:r>
          </w:p>
        </w:tc>
        <w:tc>
          <w:tcPr>
            <w:tcW w:w="8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9"/>
              </w:rPr>
              <w:t>Maximum</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84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Target</w:t>
            </w:r>
          </w:p>
        </w:tc>
        <w:tc>
          <w:tcPr>
            <w:tcW w:w="8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9"/>
              </w:rPr>
              <w:t>Maximum</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Threshold</w:t>
            </w: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Target</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Chair, CEO and President</w:t>
            </w:r>
          </w:p>
        </w:tc>
        <w:tc>
          <w:tcPr>
            <w:tcW w:w="1200" w:type="dxa"/>
            <w:vAlign w:val="bottom"/>
            <w:shd w:val="clear" w:color="auto" w:fill="CCEEFF"/>
          </w:tcPr>
          <w:p>
            <w:pPr>
              <w:jc w:val="center"/>
              <w:ind w:left="287"/>
              <w:spacing w:after="0"/>
              <w:rPr>
                <w:sz w:val="20"/>
                <w:szCs w:val="20"/>
                <w:color w:val="auto"/>
              </w:rPr>
            </w:pPr>
            <w:r>
              <w:rPr>
                <w:rFonts w:ascii="Arial" w:cs="Arial" w:eastAsia="Arial" w:hAnsi="Arial"/>
                <w:sz w:val="16"/>
                <w:szCs w:val="16"/>
                <w:color w:val="auto"/>
                <w:w w:val="99"/>
              </w:rPr>
              <w:t>90%</w:t>
            </w:r>
          </w:p>
        </w:tc>
        <w:tc>
          <w:tcPr>
            <w:tcW w:w="880" w:type="dxa"/>
            <w:vAlign w:val="bottom"/>
            <w:gridSpan w:val="2"/>
            <w:shd w:val="clear" w:color="auto" w:fill="CCEEFF"/>
          </w:tcPr>
          <w:p>
            <w:pPr>
              <w:jc w:val="center"/>
              <w:ind w:left="64"/>
              <w:spacing w:after="0"/>
              <w:rPr>
                <w:sz w:val="20"/>
                <w:szCs w:val="20"/>
                <w:color w:val="auto"/>
              </w:rPr>
            </w:pPr>
            <w:r>
              <w:rPr>
                <w:rFonts w:ascii="Arial" w:cs="Arial" w:eastAsia="Arial" w:hAnsi="Arial"/>
                <w:sz w:val="16"/>
                <w:szCs w:val="16"/>
                <w:color w:val="auto"/>
                <w:w w:val="99"/>
              </w:rPr>
              <w:t>12.25%</w:t>
            </w:r>
          </w:p>
        </w:tc>
        <w:tc>
          <w:tcPr>
            <w:tcW w:w="940" w:type="dxa"/>
            <w:vAlign w:val="bottom"/>
            <w:shd w:val="clear" w:color="auto" w:fill="CCEEFF"/>
          </w:tcPr>
          <w:p>
            <w:pPr>
              <w:jc w:val="right"/>
              <w:ind w:right="146"/>
              <w:spacing w:after="0"/>
              <w:rPr>
                <w:sz w:val="20"/>
                <w:szCs w:val="20"/>
                <w:color w:val="auto"/>
              </w:rPr>
            </w:pPr>
            <w:r>
              <w:rPr>
                <w:rFonts w:ascii="Arial" w:cs="Arial" w:eastAsia="Arial" w:hAnsi="Arial"/>
                <w:sz w:val="16"/>
                <w:szCs w:val="16"/>
                <w:color w:val="auto"/>
              </w:rPr>
              <w:t>75%</w:t>
            </w:r>
          </w:p>
        </w:tc>
        <w:tc>
          <w:tcPr>
            <w:tcW w:w="840" w:type="dxa"/>
            <w:vAlign w:val="bottom"/>
            <w:shd w:val="clear" w:color="auto" w:fill="CCEEFF"/>
          </w:tcPr>
          <w:p>
            <w:pPr>
              <w:jc w:val="center"/>
              <w:ind w:right="52"/>
              <w:spacing w:after="0"/>
              <w:rPr>
                <w:sz w:val="20"/>
                <w:szCs w:val="20"/>
                <w:color w:val="auto"/>
              </w:rPr>
            </w:pPr>
            <w:r>
              <w:rPr>
                <w:rFonts w:ascii="Arial" w:cs="Arial" w:eastAsia="Arial" w:hAnsi="Arial"/>
                <w:sz w:val="16"/>
                <w:szCs w:val="16"/>
                <w:color w:val="auto"/>
                <w:w w:val="97"/>
              </w:rPr>
              <w:t>150%</w:t>
            </w:r>
          </w:p>
        </w:tc>
        <w:tc>
          <w:tcPr>
            <w:tcW w:w="640" w:type="dxa"/>
            <w:vAlign w:val="bottom"/>
            <w:shd w:val="clear" w:color="auto" w:fill="CCEEFF"/>
          </w:tcPr>
          <w:p>
            <w:pPr>
              <w:jc w:val="center"/>
              <w:ind w:left="244"/>
              <w:spacing w:after="0"/>
              <w:rPr>
                <w:sz w:val="20"/>
                <w:szCs w:val="20"/>
                <w:color w:val="auto"/>
              </w:rPr>
            </w:pPr>
            <w:r>
              <w:rPr>
                <w:rFonts w:ascii="Arial" w:cs="Arial" w:eastAsia="Arial" w:hAnsi="Arial"/>
                <w:sz w:val="16"/>
                <w:szCs w:val="16"/>
                <w:color w:val="auto"/>
              </w:rPr>
              <w:t>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25%</w:t>
            </w:r>
          </w:p>
        </w:tc>
        <w:tc>
          <w:tcPr>
            <w:tcW w:w="800" w:type="dxa"/>
            <w:vAlign w:val="bottom"/>
            <w:shd w:val="clear" w:color="auto" w:fill="CCEEFF"/>
          </w:tcPr>
          <w:p>
            <w:pPr>
              <w:jc w:val="center"/>
              <w:ind w:right="92"/>
              <w:spacing w:after="0"/>
              <w:rPr>
                <w:sz w:val="20"/>
                <w:szCs w:val="20"/>
                <w:color w:val="auto"/>
              </w:rPr>
            </w:pPr>
            <w:r>
              <w:rPr>
                <w:rFonts w:ascii="Arial" w:cs="Arial" w:eastAsia="Arial" w:hAnsi="Arial"/>
                <w:sz w:val="16"/>
                <w:szCs w:val="16"/>
                <w:color w:val="auto"/>
                <w:w w:val="99"/>
              </w:rPr>
              <w:t>50%</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16.25%</w:t>
            </w:r>
          </w:p>
        </w:tc>
        <w:tc>
          <w:tcPr>
            <w:tcW w:w="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100%</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7"/>
              </w:rPr>
              <w:t>200%</w:t>
            </w:r>
          </w:p>
        </w:tc>
        <w:tc>
          <w:tcPr>
            <w:tcW w:w="0" w:type="dxa"/>
            <w:vAlign w:val="bottom"/>
          </w:tcPr>
          <w:p>
            <w:pPr>
              <w:spacing w:after="0"/>
              <w:rPr>
                <w:sz w:val="1"/>
                <w:szCs w:val="1"/>
                <w:color w:val="auto"/>
              </w:rPr>
            </w:pPr>
          </w:p>
        </w:tc>
      </w:tr>
      <w:tr>
        <w:trPr>
          <w:trHeight w:val="216"/>
        </w:trPr>
        <w:tc>
          <w:tcPr>
            <w:tcW w:w="2380" w:type="dxa"/>
            <w:vAlign w:val="bottom"/>
          </w:tcPr>
          <w:p>
            <w:pPr>
              <w:ind w:left="40"/>
              <w:spacing w:after="0"/>
              <w:rPr>
                <w:sz w:val="20"/>
                <w:szCs w:val="20"/>
                <w:color w:val="auto"/>
              </w:rPr>
            </w:pPr>
            <w:r>
              <w:rPr>
                <w:rFonts w:ascii="Arial" w:cs="Arial" w:eastAsia="Arial" w:hAnsi="Arial"/>
                <w:sz w:val="16"/>
                <w:szCs w:val="16"/>
                <w:color w:val="auto"/>
              </w:rPr>
              <w:t>Other NEOs</w:t>
            </w:r>
          </w:p>
        </w:tc>
        <w:tc>
          <w:tcPr>
            <w:tcW w:w="1200" w:type="dxa"/>
            <w:vAlign w:val="bottom"/>
          </w:tcPr>
          <w:p>
            <w:pPr>
              <w:jc w:val="center"/>
              <w:ind w:left="287"/>
              <w:spacing w:after="0"/>
              <w:rPr>
                <w:sz w:val="20"/>
                <w:szCs w:val="20"/>
                <w:color w:val="auto"/>
              </w:rPr>
            </w:pPr>
            <w:r>
              <w:rPr>
                <w:rFonts w:ascii="Arial" w:cs="Arial" w:eastAsia="Arial" w:hAnsi="Arial"/>
                <w:sz w:val="16"/>
                <w:szCs w:val="16"/>
                <w:color w:val="auto"/>
                <w:w w:val="99"/>
              </w:rPr>
              <w:t>60%</w:t>
            </w:r>
          </w:p>
        </w:tc>
        <w:tc>
          <w:tcPr>
            <w:tcW w:w="880" w:type="dxa"/>
            <w:vAlign w:val="bottom"/>
            <w:gridSpan w:val="2"/>
          </w:tcPr>
          <w:p>
            <w:pPr>
              <w:jc w:val="center"/>
              <w:ind w:left="64"/>
              <w:spacing w:after="0"/>
              <w:rPr>
                <w:sz w:val="20"/>
                <w:szCs w:val="20"/>
                <w:color w:val="auto"/>
              </w:rPr>
            </w:pPr>
            <w:r>
              <w:rPr>
                <w:rFonts w:ascii="Arial" w:cs="Arial" w:eastAsia="Arial" w:hAnsi="Arial"/>
                <w:sz w:val="16"/>
                <w:szCs w:val="16"/>
                <w:color w:val="auto"/>
                <w:w w:val="99"/>
              </w:rPr>
              <w:t>12.25%</w:t>
            </w:r>
          </w:p>
        </w:tc>
        <w:tc>
          <w:tcPr>
            <w:tcW w:w="940" w:type="dxa"/>
            <w:vAlign w:val="bottom"/>
          </w:tcPr>
          <w:p>
            <w:pPr>
              <w:jc w:val="right"/>
              <w:ind w:right="146"/>
              <w:spacing w:after="0"/>
              <w:rPr>
                <w:sz w:val="20"/>
                <w:szCs w:val="20"/>
                <w:color w:val="auto"/>
              </w:rPr>
            </w:pPr>
            <w:r>
              <w:rPr>
                <w:rFonts w:ascii="Arial" w:cs="Arial" w:eastAsia="Arial" w:hAnsi="Arial"/>
                <w:sz w:val="16"/>
                <w:szCs w:val="16"/>
                <w:color w:val="auto"/>
              </w:rPr>
              <w:t>75%</w:t>
            </w:r>
          </w:p>
        </w:tc>
        <w:tc>
          <w:tcPr>
            <w:tcW w:w="840" w:type="dxa"/>
            <w:vAlign w:val="bottom"/>
          </w:tcPr>
          <w:p>
            <w:pPr>
              <w:jc w:val="center"/>
              <w:ind w:right="52"/>
              <w:spacing w:after="0"/>
              <w:rPr>
                <w:sz w:val="20"/>
                <w:szCs w:val="20"/>
                <w:color w:val="auto"/>
              </w:rPr>
            </w:pPr>
            <w:r>
              <w:rPr>
                <w:rFonts w:ascii="Arial" w:cs="Arial" w:eastAsia="Arial" w:hAnsi="Arial"/>
                <w:sz w:val="16"/>
                <w:szCs w:val="16"/>
                <w:color w:val="auto"/>
                <w:w w:val="97"/>
              </w:rPr>
              <w:t>150%</w:t>
            </w:r>
          </w:p>
        </w:tc>
        <w:tc>
          <w:tcPr>
            <w:tcW w:w="640" w:type="dxa"/>
            <w:vAlign w:val="bottom"/>
          </w:tcPr>
          <w:p>
            <w:pPr>
              <w:jc w:val="center"/>
              <w:ind w:left="244"/>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840" w:type="dxa"/>
            <w:vAlign w:val="bottom"/>
          </w:tcPr>
          <w:p>
            <w:pPr>
              <w:jc w:val="right"/>
              <w:ind w:right="166"/>
              <w:spacing w:after="0"/>
              <w:rPr>
                <w:sz w:val="20"/>
                <w:szCs w:val="20"/>
                <w:color w:val="auto"/>
              </w:rPr>
            </w:pPr>
            <w:r>
              <w:rPr>
                <w:rFonts w:ascii="Arial" w:cs="Arial" w:eastAsia="Arial" w:hAnsi="Arial"/>
                <w:sz w:val="16"/>
                <w:szCs w:val="16"/>
                <w:color w:val="auto"/>
              </w:rPr>
              <w:t>25%</w:t>
            </w:r>
          </w:p>
        </w:tc>
        <w:tc>
          <w:tcPr>
            <w:tcW w:w="800" w:type="dxa"/>
            <w:vAlign w:val="bottom"/>
          </w:tcPr>
          <w:p>
            <w:pPr>
              <w:jc w:val="center"/>
              <w:ind w:right="92"/>
              <w:spacing w:after="0"/>
              <w:rPr>
                <w:sz w:val="20"/>
                <w:szCs w:val="20"/>
                <w:color w:val="auto"/>
              </w:rPr>
            </w:pPr>
            <w:r>
              <w:rPr>
                <w:rFonts w:ascii="Arial" w:cs="Arial" w:eastAsia="Arial" w:hAnsi="Arial"/>
                <w:sz w:val="16"/>
                <w:szCs w:val="16"/>
                <w:color w:val="auto"/>
                <w:w w:val="99"/>
              </w:rPr>
              <w:t>50%</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99"/>
              </w:rPr>
              <w:t>16.25%</w:t>
            </w:r>
          </w:p>
        </w:tc>
        <w:tc>
          <w:tcPr>
            <w:tcW w:w="700" w:type="dxa"/>
            <w:vAlign w:val="bottom"/>
          </w:tcPr>
          <w:p>
            <w:pPr>
              <w:ind w:left="160"/>
              <w:spacing w:after="0"/>
              <w:rPr>
                <w:sz w:val="20"/>
                <w:szCs w:val="20"/>
                <w:color w:val="auto"/>
              </w:rPr>
            </w:pPr>
            <w:r>
              <w:rPr>
                <w:rFonts w:ascii="Arial" w:cs="Arial" w:eastAsia="Arial" w:hAnsi="Arial"/>
                <w:sz w:val="16"/>
                <w:szCs w:val="16"/>
                <w:color w:val="auto"/>
              </w:rPr>
              <w:t>100%</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97"/>
              </w:rPr>
              <w:t>200%</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320" w:right="360" w:hanging="315"/>
        <w:spacing w:after="0" w:line="245" w:lineRule="auto"/>
        <w:tabs>
          <w:tab w:leader="none" w:pos="320" w:val="left"/>
        </w:tabs>
        <w:numPr>
          <w:ilvl w:val="0"/>
          <w:numId w:val="33"/>
        </w:numPr>
        <w:rPr>
          <w:rFonts w:ascii="Arial" w:cs="Arial" w:eastAsia="Arial" w:hAnsi="Arial"/>
          <w:sz w:val="12"/>
          <w:szCs w:val="12"/>
          <w:color w:val="auto"/>
        </w:rPr>
      </w:pPr>
      <w:r>
        <w:rPr>
          <w:rFonts w:ascii="Arial" w:cs="Arial" w:eastAsia="Arial" w:hAnsi="Arial"/>
          <w:sz w:val="14"/>
          <w:szCs w:val="14"/>
          <w:color w:val="auto"/>
        </w:rPr>
        <w:t>A participant must be an employee at the end of the fiscal year to be eligible for the incentive except in connection with a Change in Control or as waived by the Committee for retirement, disability, or death.</w:t>
      </w:r>
    </w:p>
    <w:p>
      <w:pPr>
        <w:spacing w:after="0" w:line="37" w:lineRule="exact"/>
        <w:rPr>
          <w:rFonts w:ascii="Arial" w:cs="Arial" w:eastAsia="Arial" w:hAnsi="Arial"/>
          <w:sz w:val="12"/>
          <w:szCs w:val="12"/>
          <w:color w:val="auto"/>
        </w:rPr>
      </w:pPr>
    </w:p>
    <w:p>
      <w:pPr>
        <w:ind w:left="320" w:right="40" w:hanging="315"/>
        <w:spacing w:after="0" w:line="237" w:lineRule="auto"/>
        <w:tabs>
          <w:tab w:leader="none" w:pos="32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bonus opportunity is calculated by multiplying the above percentages against the total base salary of the NEO earned in the fiscal year. As illustrated above, if the target net income and ROIC financial performance metrics are achieved, the total financial factor of 100% would be used and the entire bonus opportunity would be earned (e.g. 90% of base salary of the Chair, CEO and President). Any incentives earned under the Officers Incentive Compensation Plan are to be paid out in a mix of 2/3 cash and 1/3 restricted stock. The annual restricted stock grant portion is awarded as soon as practical after the final fiscal year-end compensation accounting is completed and upon approval by the Committee, subject to a one-year holding period.</w:t>
      </w:r>
    </w:p>
    <w:p>
      <w:pPr>
        <w:spacing w:after="0" w:line="43" w:lineRule="exact"/>
        <w:rPr>
          <w:rFonts w:ascii="Arial" w:cs="Arial" w:eastAsia="Arial" w:hAnsi="Arial"/>
          <w:sz w:val="12"/>
          <w:szCs w:val="12"/>
          <w:color w:val="auto"/>
        </w:rPr>
      </w:pPr>
    </w:p>
    <w:p>
      <w:pPr>
        <w:ind w:left="320" w:hanging="315"/>
        <w:spacing w:after="0" w:line="239" w:lineRule="auto"/>
        <w:tabs>
          <w:tab w:leader="none" w:pos="320" w:val="left"/>
        </w:tabs>
        <w:numPr>
          <w:ilvl w:val="0"/>
          <w:numId w:val="33"/>
        </w:numPr>
        <w:rPr>
          <w:rFonts w:ascii="Arial" w:cs="Arial" w:eastAsia="Arial" w:hAnsi="Arial"/>
          <w:sz w:val="12"/>
          <w:szCs w:val="12"/>
          <w:color w:val="auto"/>
        </w:rPr>
      </w:pPr>
      <w:r>
        <w:rPr>
          <w:rFonts w:ascii="Arial" w:cs="Arial" w:eastAsia="Arial" w:hAnsi="Arial"/>
          <w:sz w:val="14"/>
          <w:szCs w:val="14"/>
          <w:color w:val="auto"/>
        </w:rPr>
        <w:t>In calculating the financial performance metrics for incentive eligibility under the Officers Incentive Compensation Plan, the financial performance metrics in Fiscal 2015 were weighted 75% to net income and 25% to ROIC at the maximum incentive potential. The Committee has placed more weight on net income growth due to its belief that net income is an important measurement as to overall Company profitability and return for shareholders.</w:t>
      </w:r>
    </w:p>
    <w:p>
      <w:pPr>
        <w:sectPr>
          <w:pgSz w:w="11900" w:h="16838" w:orient="portrait"/>
          <w:cols w:equalWidth="0" w:num="1">
            <w:col w:w="11420"/>
          </w:cols>
          <w:pgMar w:left="240" w:top="298" w:right="2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As provided by the Officers Incentive Compensation Plan, the Committee has the discretion and authority to make any and all determinations necessary or advisable for administration of the Officers Incentive Compensation Plan. Under the Officers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Incentive Compensation Plan, in addition to the financial metrics, the Committee, at its October 2014 meeting, established specific strategic goals and priorities from among the following factors:</w:t>
      </w:r>
    </w:p>
    <w:p>
      <w:pPr>
        <w:spacing w:after="0" w:line="381" w:lineRule="exact"/>
        <w:rPr>
          <w:sz w:val="20"/>
          <w:szCs w:val="20"/>
          <w:color w:val="auto"/>
        </w:rPr>
      </w:pPr>
    </w:p>
    <w:p>
      <w:pPr>
        <w:sectPr>
          <w:pgSz w:w="11900" w:h="16838" w:orient="portrait"/>
          <w:cols w:equalWidth="0" w:num="2">
            <w:col w:w="5540" w:space="280"/>
            <w:col w:w="5600"/>
          </w:cols>
          <w:pgMar w:left="240" w:top="298" w:right="239" w:bottom="1440" w:gutter="0" w:footer="0" w:header="0"/>
          <w:type w:val="continuous"/>
        </w:sectPr>
      </w:pPr>
    </w:p>
    <w:p>
      <w:pPr>
        <w:spacing w:after="0" w:line="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98" w:right="239" w:bottom="1440" w:gutter="0" w:footer="0" w:header="0"/>
          <w:type w:val="continuous"/>
        </w:sectPr>
      </w:pPr>
    </w:p>
    <w:bookmarkStart w:id="21" w:name="page22"/>
    <w:bookmarkEnd w:id="21"/>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320" w:hanging="315"/>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Revenue Growth</w:t>
      </w:r>
    </w:p>
    <w:p>
      <w:pPr>
        <w:ind w:left="320" w:hanging="315"/>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Market Share</w:t>
      </w:r>
    </w:p>
    <w:p>
      <w:pPr>
        <w:ind w:left="320" w:hanging="315"/>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Product Quality</w:t>
      </w:r>
    </w:p>
    <w:p>
      <w:pPr>
        <w:ind w:left="320" w:hanging="315"/>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Product Introductions</w:t>
      </w:r>
    </w:p>
    <w:p>
      <w:pPr>
        <w:ind w:left="320" w:hanging="315"/>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Planning</w:t>
      </w:r>
    </w:p>
    <w:p>
      <w:pPr>
        <w:ind w:left="320" w:hanging="315"/>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Customer Satisfaction</w:t>
      </w:r>
    </w:p>
    <w:p>
      <w:pPr>
        <w:ind w:left="320" w:hanging="315"/>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Inventory Management</w:t>
      </w:r>
    </w:p>
    <w:p>
      <w:pPr>
        <w:ind w:left="320" w:hanging="315"/>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Technical Innovation</w:t>
      </w:r>
    </w:p>
    <w:p>
      <w:pPr>
        <w:ind w:left="320" w:hanging="315"/>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Ethical Businesses Practices</w:t>
      </w:r>
    </w:p>
    <w:p>
      <w:pPr>
        <w:ind w:left="320" w:hanging="315"/>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Business Diversity Initiatives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The Committee has the ability to modify the Total Financial Factors in determining the incentive compensation by plus or minus 20% as determined by an evaluation of the achievement or lack thereof of the pre-determined strategic organizational goals and priorities. For the purposes of the Officers Incentive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Compensation Plan for Fiscal 2015, the Committee in October 2014 elected to use the following three strategic factors in determining the strategic modifier incentive to be applied to the Financial Factors:</w:t>
      </w:r>
    </w:p>
    <w:p>
      <w:pPr>
        <w:spacing w:after="0" w:line="178"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increases in market share</w:t>
      </w:r>
    </w:p>
    <w:p>
      <w:pPr>
        <w:ind w:left="320" w:hanging="312"/>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improvement in product quality measured by warranty claims</w:t>
      </w:r>
    </w:p>
    <w:p>
      <w:pPr>
        <w:ind w:left="320" w:hanging="312"/>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development of diversity of business strategies</w:t>
      </w:r>
    </w:p>
    <w:p>
      <w:pPr>
        <w:spacing w:after="0" w:line="183" w:lineRule="exact"/>
        <w:rPr>
          <w:sz w:val="20"/>
          <w:szCs w:val="20"/>
          <w:color w:val="auto"/>
        </w:rPr>
      </w:pPr>
    </w:p>
    <w:p>
      <w:pPr>
        <w:ind w:right="80"/>
        <w:spacing w:after="0"/>
        <w:rPr>
          <w:sz w:val="20"/>
          <w:szCs w:val="20"/>
          <w:color w:val="auto"/>
        </w:rPr>
      </w:pPr>
      <w:r>
        <w:rPr>
          <w:rFonts w:ascii="Arial" w:cs="Arial" w:eastAsia="Arial" w:hAnsi="Arial"/>
          <w:sz w:val="16"/>
          <w:szCs w:val="16"/>
          <w:color w:val="auto"/>
        </w:rPr>
        <w:t>The Committee viewed these strategic factors as the most critical elements, in addition to the financial metrics used under the plan, to measure the success of the Company. In October 2015, based upon the achievement of these factors, the Committee determined to modify amounts payable pursuant to net income and ROIC factors by a positive 17.2%.</w:t>
      </w:r>
    </w:p>
    <w:p>
      <w:pPr>
        <w:spacing w:after="0" w:line="533" w:lineRule="exact"/>
        <w:rPr>
          <w:sz w:val="20"/>
          <w:szCs w:val="20"/>
          <w:color w:val="auto"/>
        </w:rPr>
      </w:pPr>
    </w:p>
    <w:p>
      <w:pPr>
        <w:sectPr>
          <w:pgSz w:w="11900" w:h="16838" w:orient="portrait"/>
          <w:cols w:equalWidth="0" w:num="2">
            <w:col w:w="5560" w:space="260"/>
            <w:col w:w="5600"/>
          </w:cols>
          <w:pgMar w:left="240" w:top="298" w:right="239" w:bottom="1440" w:gutter="0" w:footer="0" w:header="0"/>
          <w:type w:val="continuous"/>
        </w:sectPr>
      </w:pPr>
    </w:p>
    <w:p>
      <w:pPr>
        <w:ind w:right="180"/>
        <w:spacing w:after="0" w:line="276" w:lineRule="auto"/>
        <w:rPr>
          <w:sz w:val="20"/>
          <w:szCs w:val="20"/>
          <w:color w:val="auto"/>
        </w:rPr>
      </w:pPr>
      <w:r>
        <w:rPr>
          <w:rFonts w:ascii="Arial" w:cs="Arial" w:eastAsia="Arial" w:hAnsi="Arial"/>
          <w:sz w:val="16"/>
          <w:szCs w:val="16"/>
          <w:color w:val="auto"/>
        </w:rPr>
        <w:t>The table below reflects the amount paid to NEOs under the Officers Incentive Compensation Plan other than Mr. Potts who retired on August 6, 2015 and Mr. Olson who served as Interim CEO from August 6 to September 24, 2015. See the discussion above under "Retirement Agreement" and "Employment Agreement" for Mr. Potts and Mr. Olson,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65"/>
              <w:spacing w:after="0"/>
              <w:rPr>
                <w:sz w:val="20"/>
                <w:szCs w:val="20"/>
                <w:color w:val="auto"/>
              </w:rPr>
            </w:pPr>
            <w:r>
              <w:rPr>
                <w:rFonts w:ascii="Arial" w:cs="Arial" w:eastAsia="Arial" w:hAnsi="Arial"/>
                <w:sz w:val="14"/>
                <w:szCs w:val="14"/>
                <w:b w:val="1"/>
                <w:bCs w:val="1"/>
                <w:color w:val="auto"/>
                <w:w w:val="96"/>
              </w:rPr>
              <w:t>Strategic</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65"/>
              <w:spacing w:after="0"/>
              <w:rPr>
                <w:sz w:val="20"/>
                <w:szCs w:val="20"/>
                <w:color w:val="auto"/>
              </w:rPr>
            </w:pPr>
            <w:r>
              <w:rPr>
                <w:rFonts w:ascii="Arial" w:cs="Arial" w:eastAsia="Arial" w:hAnsi="Arial"/>
                <w:sz w:val="14"/>
                <w:szCs w:val="14"/>
                <w:b w:val="1"/>
                <w:bCs w:val="1"/>
                <w:color w:val="auto"/>
                <w:w w:val="98"/>
              </w:rPr>
              <w:t>Value Paid</w:t>
            </w:r>
          </w:p>
        </w:tc>
      </w:tr>
      <w:tr>
        <w:trPr>
          <w:trHeight w:val="157"/>
        </w:trPr>
        <w:tc>
          <w:tcPr>
            <w:tcW w:w="1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jc w:val="right"/>
              <w:ind w:right="364"/>
              <w:spacing w:after="0" w:line="157"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3"/>
                <w:szCs w:val="13"/>
                <w:color w:val="auto"/>
              </w:rPr>
            </w:pPr>
          </w:p>
        </w:tc>
        <w:tc>
          <w:tcPr>
            <w:tcW w:w="1060" w:type="dxa"/>
            <w:vAlign w:val="bottom"/>
          </w:tcPr>
          <w:p>
            <w:pPr>
              <w:jc w:val="right"/>
              <w:ind w:right="144"/>
              <w:spacing w:after="0" w:line="157" w:lineRule="exact"/>
              <w:rPr>
                <w:sz w:val="20"/>
                <w:szCs w:val="20"/>
                <w:color w:val="auto"/>
              </w:rPr>
            </w:pPr>
            <w:r>
              <w:rPr>
                <w:rFonts w:ascii="Arial" w:cs="Arial" w:eastAsia="Arial" w:hAnsi="Arial"/>
                <w:sz w:val="14"/>
                <w:szCs w:val="14"/>
                <w:b w:val="1"/>
                <w:bCs w:val="1"/>
                <w:color w:val="auto"/>
              </w:rPr>
              <w:t>Net Income</w:t>
            </w:r>
          </w:p>
        </w:tc>
        <w:tc>
          <w:tcPr>
            <w:tcW w:w="220" w:type="dxa"/>
            <w:vAlign w:val="bottom"/>
          </w:tcPr>
          <w:p>
            <w:pPr>
              <w:spacing w:after="0"/>
              <w:rPr>
                <w:sz w:val="13"/>
                <w:szCs w:val="13"/>
                <w:color w:val="auto"/>
              </w:rPr>
            </w:pPr>
          </w:p>
        </w:tc>
        <w:tc>
          <w:tcPr>
            <w:tcW w:w="1020" w:type="dxa"/>
            <w:vAlign w:val="bottom"/>
          </w:tcPr>
          <w:p>
            <w:pPr>
              <w:jc w:val="right"/>
              <w:ind w:right="324"/>
              <w:spacing w:after="0" w:line="157" w:lineRule="exact"/>
              <w:rPr>
                <w:sz w:val="20"/>
                <w:szCs w:val="20"/>
                <w:color w:val="auto"/>
              </w:rPr>
            </w:pPr>
            <w:r>
              <w:rPr>
                <w:rFonts w:ascii="Arial" w:cs="Arial" w:eastAsia="Arial" w:hAnsi="Arial"/>
                <w:sz w:val="14"/>
                <w:szCs w:val="14"/>
                <w:b w:val="1"/>
                <w:bCs w:val="1"/>
                <w:color w:val="auto"/>
              </w:rPr>
              <w:t>ROIC</w:t>
            </w:r>
          </w:p>
        </w:tc>
        <w:tc>
          <w:tcPr>
            <w:tcW w:w="220" w:type="dxa"/>
            <w:vAlign w:val="bottom"/>
          </w:tcPr>
          <w:p>
            <w:pPr>
              <w:spacing w:after="0"/>
              <w:rPr>
                <w:sz w:val="13"/>
                <w:szCs w:val="13"/>
                <w:color w:val="auto"/>
              </w:rPr>
            </w:pPr>
          </w:p>
        </w:tc>
        <w:tc>
          <w:tcPr>
            <w:tcW w:w="1040" w:type="dxa"/>
            <w:vAlign w:val="bottom"/>
          </w:tcPr>
          <w:p>
            <w:pPr>
              <w:jc w:val="center"/>
              <w:ind w:right="65"/>
              <w:spacing w:after="0" w:line="157" w:lineRule="exact"/>
              <w:rPr>
                <w:sz w:val="20"/>
                <w:szCs w:val="20"/>
                <w:color w:val="auto"/>
              </w:rPr>
            </w:pPr>
            <w:r>
              <w:rPr>
                <w:rFonts w:ascii="Arial" w:cs="Arial" w:eastAsia="Arial" w:hAnsi="Arial"/>
                <w:sz w:val="14"/>
                <w:szCs w:val="14"/>
                <w:b w:val="1"/>
                <w:bCs w:val="1"/>
                <w:color w:val="auto"/>
                <w:w w:val="99"/>
              </w:rPr>
              <w:t>Modifier</w:t>
            </w:r>
          </w:p>
        </w:tc>
        <w:tc>
          <w:tcPr>
            <w:tcW w:w="240" w:type="dxa"/>
            <w:vAlign w:val="bottom"/>
          </w:tcPr>
          <w:p>
            <w:pPr>
              <w:spacing w:after="0"/>
              <w:rPr>
                <w:sz w:val="13"/>
                <w:szCs w:val="13"/>
                <w:color w:val="auto"/>
              </w:rPr>
            </w:pPr>
          </w:p>
        </w:tc>
        <w:tc>
          <w:tcPr>
            <w:tcW w:w="1000" w:type="dxa"/>
            <w:vAlign w:val="bottom"/>
          </w:tcPr>
          <w:p>
            <w:pPr>
              <w:jc w:val="right"/>
              <w:ind w:right="344"/>
              <w:spacing w:after="0" w:line="157"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060" w:type="dxa"/>
            <w:vAlign w:val="bottom"/>
          </w:tcPr>
          <w:p>
            <w:pPr>
              <w:jc w:val="right"/>
              <w:ind w:right="84"/>
              <w:spacing w:after="0" w:line="157" w:lineRule="exact"/>
              <w:rPr>
                <w:sz w:val="20"/>
                <w:szCs w:val="20"/>
                <w:color w:val="auto"/>
              </w:rPr>
            </w:pPr>
            <w:r>
              <w:rPr>
                <w:rFonts w:ascii="Arial" w:cs="Arial" w:eastAsia="Arial" w:hAnsi="Arial"/>
                <w:sz w:val="14"/>
                <w:szCs w:val="14"/>
                <w:b w:val="1"/>
                <w:bCs w:val="1"/>
                <w:color w:val="auto"/>
              </w:rPr>
              <w:t>Amount Paid</w:t>
            </w:r>
          </w:p>
        </w:tc>
        <w:tc>
          <w:tcPr>
            <w:tcW w:w="200" w:type="dxa"/>
            <w:vAlign w:val="bottom"/>
          </w:tcPr>
          <w:p>
            <w:pPr>
              <w:spacing w:after="0"/>
              <w:rPr>
                <w:sz w:val="13"/>
                <w:szCs w:val="13"/>
                <w:color w:val="auto"/>
              </w:rPr>
            </w:pPr>
          </w:p>
        </w:tc>
        <w:tc>
          <w:tcPr>
            <w:tcW w:w="1080" w:type="dxa"/>
            <w:vAlign w:val="bottom"/>
          </w:tcPr>
          <w:p>
            <w:pPr>
              <w:jc w:val="center"/>
              <w:ind w:right="85"/>
              <w:spacing w:after="0" w:line="157" w:lineRule="exact"/>
              <w:rPr>
                <w:sz w:val="20"/>
                <w:szCs w:val="20"/>
                <w:color w:val="auto"/>
              </w:rPr>
            </w:pPr>
            <w:r>
              <w:rPr>
                <w:rFonts w:ascii="Arial" w:cs="Arial" w:eastAsia="Arial" w:hAnsi="Arial"/>
                <w:sz w:val="14"/>
                <w:szCs w:val="14"/>
                <w:b w:val="1"/>
                <w:bCs w:val="1"/>
                <w:color w:val="auto"/>
                <w:w w:val="99"/>
              </w:rPr>
              <w:t>in Restricted</w:t>
            </w:r>
          </w:p>
        </w:tc>
      </w:tr>
      <w:tr>
        <w:trPr>
          <w:trHeight w:val="195"/>
        </w:trPr>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8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Opportunity</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 xml:space="preserve">Incentive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 xml:space="preserve">Incentive </w:t>
            </w:r>
            <w:r>
              <w:rPr>
                <w:rFonts w:ascii="Arial" w:cs="Arial" w:eastAsia="Arial" w:hAnsi="Arial"/>
                <w:sz w:val="17"/>
                <w:szCs w:val="17"/>
                <w:b w:val="1"/>
                <w:bCs w:val="1"/>
                <w:color w:val="auto"/>
                <w:vertAlign w:val="superscript"/>
              </w:rPr>
              <w:t>(2)</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4"/>
              </w:rPr>
              <w:t xml:space="preserve">Incentive </w:t>
            </w:r>
            <w:r>
              <w:rPr>
                <w:rFonts w:ascii="Arial" w:cs="Arial" w:eastAsia="Arial" w:hAnsi="Arial"/>
                <w:sz w:val="17"/>
                <w:szCs w:val="17"/>
                <w:b w:val="1"/>
                <w:bCs w:val="1"/>
                <w:color w:val="auto"/>
                <w:w w:val="94"/>
                <w:vertAlign w:val="superscript"/>
              </w:rPr>
              <w:t>(3)</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Incentive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 xml:space="preserve">in Cash </w:t>
            </w:r>
            <w:r>
              <w:rPr>
                <w:rFonts w:ascii="Arial" w:cs="Arial" w:eastAsia="Arial" w:hAnsi="Arial"/>
                <w:sz w:val="17"/>
                <w:szCs w:val="17"/>
                <w:b w:val="1"/>
                <w:bCs w:val="1"/>
                <w:color w:val="auto"/>
                <w:vertAlign w:val="superscript"/>
              </w:rPr>
              <w:t>(4)</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2"/>
              </w:rPr>
              <w:t xml:space="preserve">Stock </w:t>
            </w:r>
            <w:r>
              <w:rPr>
                <w:rFonts w:ascii="Arial" w:cs="Arial" w:eastAsia="Arial" w:hAnsi="Arial"/>
                <w:sz w:val="17"/>
                <w:szCs w:val="17"/>
                <w:b w:val="1"/>
                <w:bCs w:val="1"/>
                <w:color w:val="auto"/>
                <w:w w:val="92"/>
                <w:vertAlign w:val="superscript"/>
              </w:rPr>
              <w:t>(4)</w:t>
            </w:r>
          </w:p>
        </w:tc>
      </w:tr>
      <w:tr>
        <w:trPr>
          <w:trHeight w:val="229"/>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172,422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64,400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13,004</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88,611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59,074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29,537</w:t>
            </w:r>
          </w:p>
        </w:tc>
      </w:tr>
      <w:tr>
        <w:trPr>
          <w:trHeight w:val="226"/>
        </w:trPr>
        <w:tc>
          <w:tcPr>
            <w:tcW w:w="1880" w:type="dxa"/>
            <w:vAlign w:val="bottom"/>
          </w:tcPr>
          <w:p>
            <w:pPr>
              <w:ind w:left="40"/>
              <w:spacing w:after="0"/>
              <w:rPr>
                <w:sz w:val="20"/>
                <w:szCs w:val="20"/>
                <w:color w:val="auto"/>
              </w:rPr>
            </w:pPr>
            <w:r>
              <w:rPr>
                <w:rFonts w:ascii="Arial" w:cs="Arial" w:eastAsia="Arial" w:hAnsi="Arial"/>
                <w:sz w:val="16"/>
                <w:szCs w:val="16"/>
                <w:color w:val="auto"/>
              </w:rPr>
              <w:t>S. Scott Degnan</w:t>
            </w:r>
          </w:p>
        </w:tc>
        <w:tc>
          <w:tcPr>
            <w:tcW w:w="840" w:type="dxa"/>
            <w:vAlign w:val="bottom"/>
          </w:tcPr>
          <w:p>
            <w:pPr>
              <w:spacing w:after="0"/>
              <w:rPr>
                <w:sz w:val="19"/>
                <w:szCs w:val="19"/>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177,367</w:t>
            </w:r>
          </w:p>
        </w:tc>
        <w:tc>
          <w:tcPr>
            <w:tcW w:w="220" w:type="dxa"/>
            <w:vAlign w:val="bottom"/>
          </w:tcPr>
          <w:p>
            <w:pPr>
              <w:spacing w:after="0"/>
              <w:rPr>
                <w:sz w:val="19"/>
                <w:szCs w:val="19"/>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66,247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11,529</w:t>
            </w:r>
          </w:p>
        </w:tc>
        <w:tc>
          <w:tcPr>
            <w:tcW w:w="220" w:type="dxa"/>
            <w:vAlign w:val="bottom"/>
          </w:tcPr>
          <w:p>
            <w:pPr>
              <w:spacing w:after="0"/>
              <w:rPr>
                <w:sz w:val="19"/>
                <w:szCs w:val="19"/>
                <w:color w:val="auto"/>
              </w:rPr>
            </w:pP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13,377</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91,153</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60,769</w:t>
            </w:r>
          </w:p>
        </w:tc>
        <w:tc>
          <w:tcPr>
            <w:tcW w:w="20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30,384</w:t>
            </w:r>
          </w:p>
        </w:tc>
      </w:tr>
      <w:tr>
        <w:trPr>
          <w:trHeight w:val="245"/>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8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152,028</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56,782</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9,882</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11,466</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78,130</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52,087</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26,043</w:t>
            </w:r>
          </w:p>
        </w:tc>
      </w:tr>
      <w:tr>
        <w:trPr>
          <w:trHeight w:val="216"/>
        </w:trPr>
        <w:tc>
          <w:tcPr>
            <w:tcW w:w="188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84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148,320</w:t>
            </w:r>
          </w:p>
        </w:tc>
        <w:tc>
          <w:tcPr>
            <w:tcW w:w="2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55,398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9,641</w:t>
            </w:r>
          </w:p>
        </w:tc>
        <w:tc>
          <w:tcPr>
            <w:tcW w:w="220" w:type="dxa"/>
            <w:vAlign w:val="bottom"/>
          </w:tcPr>
          <w:p>
            <w:pPr>
              <w:spacing w:after="0"/>
              <w:rPr>
                <w:sz w:val="18"/>
                <w:szCs w:val="18"/>
                <w:color w:val="auto"/>
              </w:rPr>
            </w:pP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11,187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76,226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50,817</w:t>
            </w:r>
          </w:p>
        </w:tc>
        <w:tc>
          <w:tcPr>
            <w:tcW w:w="200" w:type="dxa"/>
            <w:vAlign w:val="bottom"/>
          </w:tcPr>
          <w:p>
            <w:pPr>
              <w:spacing w:after="0"/>
              <w:rPr>
                <w:sz w:val="18"/>
                <w:szCs w:val="18"/>
                <w:color w:val="auto"/>
              </w:rPr>
            </w:pP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25,409</w:t>
            </w:r>
          </w:p>
        </w:tc>
      </w:tr>
    </w:tbl>
    <w:p>
      <w:pPr>
        <w:spacing w:after="0" w:line="24" w:lineRule="exact"/>
        <w:rPr>
          <w:sz w:val="20"/>
          <w:szCs w:val="20"/>
          <w:color w:val="auto"/>
        </w:rPr>
      </w:pPr>
    </w:p>
    <w:p>
      <w:pPr>
        <w:ind w:left="320" w:right="40" w:hanging="315"/>
        <w:spacing w:after="0" w:line="245" w:lineRule="auto"/>
        <w:tabs>
          <w:tab w:leader="none" w:pos="320" w:val="left"/>
        </w:tabs>
        <w:numPr>
          <w:ilvl w:val="0"/>
          <w:numId w:val="36"/>
        </w:numPr>
        <w:rPr>
          <w:rFonts w:ascii="Arial" w:cs="Arial" w:eastAsia="Arial" w:hAnsi="Arial"/>
          <w:sz w:val="12"/>
          <w:szCs w:val="12"/>
          <w:color w:val="auto"/>
        </w:rPr>
      </w:pPr>
      <w:r>
        <w:rPr>
          <w:rFonts w:ascii="Arial" w:cs="Arial" w:eastAsia="Arial" w:hAnsi="Arial"/>
          <w:sz w:val="14"/>
          <w:szCs w:val="14"/>
          <w:color w:val="auto"/>
        </w:rPr>
        <w:t>A financial factor of 37.35% of the bonus opportunity was approved under the Officers Incentive Compensation Plan based on Fiscal 2015 net income performance of $41.2 million. The financial factor was increased from 31.00% to 37.35% primarily due to the impact of not including Mr. Potts' severance payment.</w:t>
      </w:r>
    </w:p>
    <w:p>
      <w:pPr>
        <w:spacing w:after="0" w:line="37" w:lineRule="exact"/>
        <w:rPr>
          <w:rFonts w:ascii="Arial" w:cs="Arial" w:eastAsia="Arial" w:hAnsi="Arial"/>
          <w:sz w:val="12"/>
          <w:szCs w:val="12"/>
          <w:color w:val="auto"/>
        </w:rPr>
      </w:pPr>
    </w:p>
    <w:p>
      <w:pPr>
        <w:ind w:left="320" w:hanging="315"/>
        <w:spacing w:after="0"/>
        <w:tabs>
          <w:tab w:leader="none" w:pos="320" w:val="left"/>
        </w:tabs>
        <w:numPr>
          <w:ilvl w:val="0"/>
          <w:numId w:val="36"/>
        </w:numPr>
        <w:rPr>
          <w:rFonts w:ascii="Arial" w:cs="Arial" w:eastAsia="Arial" w:hAnsi="Arial"/>
          <w:sz w:val="12"/>
          <w:szCs w:val="12"/>
          <w:color w:val="auto"/>
        </w:rPr>
      </w:pPr>
      <w:r>
        <w:rPr>
          <w:rFonts w:ascii="Arial" w:cs="Arial" w:eastAsia="Arial" w:hAnsi="Arial"/>
          <w:sz w:val="14"/>
          <w:szCs w:val="14"/>
          <w:color w:val="auto"/>
        </w:rPr>
        <w:t>ROIC incentive was 6.50% of the bonus opportunity for Fiscal 2015 as actual ROIC was 18.5%.</w:t>
      </w:r>
    </w:p>
    <w:p>
      <w:pPr>
        <w:spacing w:after="0" w:line="48" w:lineRule="exact"/>
        <w:rPr>
          <w:rFonts w:ascii="Arial" w:cs="Arial" w:eastAsia="Arial" w:hAnsi="Arial"/>
          <w:sz w:val="12"/>
          <w:szCs w:val="12"/>
          <w:color w:val="auto"/>
        </w:rPr>
      </w:pPr>
    </w:p>
    <w:p>
      <w:pPr>
        <w:ind w:left="320" w:hanging="315"/>
        <w:spacing w:after="0"/>
        <w:tabs>
          <w:tab w:leader="none" w:pos="320" w:val="left"/>
        </w:tabs>
        <w:numPr>
          <w:ilvl w:val="0"/>
          <w:numId w:val="36"/>
        </w:numPr>
        <w:rPr>
          <w:rFonts w:ascii="Arial" w:cs="Arial" w:eastAsia="Arial" w:hAnsi="Arial"/>
          <w:sz w:val="12"/>
          <w:szCs w:val="12"/>
          <w:color w:val="auto"/>
        </w:rPr>
      </w:pPr>
      <w:r>
        <w:rPr>
          <w:rFonts w:ascii="Arial" w:cs="Arial" w:eastAsia="Arial" w:hAnsi="Arial"/>
          <w:sz w:val="14"/>
          <w:szCs w:val="14"/>
          <w:color w:val="auto"/>
        </w:rPr>
        <w:t>Company strategic modifier award established at a positive 17.20% of Fiscal 2015 net income and ROIC incentive.</w:t>
      </w:r>
    </w:p>
    <w:p>
      <w:pPr>
        <w:spacing w:after="0" w:line="48" w:lineRule="exact"/>
        <w:rPr>
          <w:rFonts w:ascii="Arial" w:cs="Arial" w:eastAsia="Arial" w:hAnsi="Arial"/>
          <w:sz w:val="12"/>
          <w:szCs w:val="12"/>
          <w:color w:val="auto"/>
        </w:rPr>
      </w:pPr>
    </w:p>
    <w:p>
      <w:pPr>
        <w:ind w:left="320" w:right="720" w:hanging="315"/>
        <w:spacing w:after="0" w:line="245" w:lineRule="auto"/>
        <w:tabs>
          <w:tab w:leader="none" w:pos="320" w:val="left"/>
        </w:tabs>
        <w:numPr>
          <w:ilvl w:val="0"/>
          <w:numId w:val="36"/>
        </w:numPr>
        <w:rPr>
          <w:rFonts w:ascii="Arial" w:cs="Arial" w:eastAsia="Arial" w:hAnsi="Arial"/>
          <w:sz w:val="12"/>
          <w:szCs w:val="12"/>
          <w:color w:val="auto"/>
        </w:rPr>
      </w:pPr>
      <w:r>
        <w:rPr>
          <w:rFonts w:ascii="Arial" w:cs="Arial" w:eastAsia="Arial" w:hAnsi="Arial"/>
          <w:sz w:val="14"/>
          <w:szCs w:val="14"/>
          <w:color w:val="auto"/>
        </w:rPr>
        <w:t>The total award under the Plan was certified by the Committee on October 13, 2015, the 2/3 cash component was paid on October 17, 2014, and the 1/3 restricted stock component was determined based upon the closing price of the stock on October 13, 2015, all as presented above.</w:t>
      </w:r>
    </w:p>
    <w:p>
      <w:pPr>
        <w:sectPr>
          <w:pgSz w:w="11900" w:h="16838" w:orient="portrait"/>
          <w:cols w:equalWidth="0" w:num="1">
            <w:col w:w="11420"/>
          </w:cols>
          <w:pgMar w:left="240" w:top="298" w:right="239" w:bottom="1440" w:gutter="0" w:footer="0" w:header="0"/>
          <w:type w:val="continuous"/>
        </w:sectPr>
      </w:pPr>
    </w:p>
    <w:p>
      <w:pPr>
        <w:spacing w:after="0" w:line="14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Beginning with Fiscal 2012, the Committee approved a recoupment or "clawback" provision. In part, the clawback provision in the Officers Incentive Compensation Plan provides for the recoupment of incentive compensation paid in the event the Committee reasonably determines that the performance certified by the Committee, and any payment made to a participant with respect to the Officers Incentive Compensation Plan, including the NEOs,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including the NEOs, will be obligated to repay to the Company such amounts as required under any rules or regulations adopted by the SEC under Section 10D(b)(2) of the Exchange Act,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139"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b w:val="1"/>
          <w:bCs w:val="1"/>
          <w:i w:val="1"/>
          <w:iCs w:val="1"/>
          <w:color w:val="auto"/>
        </w:rPr>
        <w:t>Long-Term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recognize long-term incentive opportunity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element of the total executive</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compensation program for NEOs. Long-term incentives are intended to retain and motivate executives and to encourage a strong link between Management objectives and shareholder long-term interests. Our long-term incentives include the Officers Long-Term Incentive Plan (the "Long-Term Incentive Plan") described below, together with long-term incentives provided through grants of stock options in previous fiscal years and restricted stock.</w:t>
      </w:r>
    </w:p>
    <w:p>
      <w:pPr>
        <w:spacing w:after="0" w:line="137"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i w:val="1"/>
          <w:iCs w:val="1"/>
          <w:color w:val="auto"/>
        </w:rPr>
        <w:t xml:space="preserve">Officers Long-Term Incentive Plan. </w:t>
      </w:r>
      <w:r>
        <w:rPr>
          <w:rFonts w:ascii="Arial" w:cs="Arial" w:eastAsia="Arial" w:hAnsi="Arial"/>
          <w:sz w:val="16"/>
          <w:szCs w:val="16"/>
          <w:color w:val="auto"/>
        </w:rPr>
        <w:t>Our NEOs are eligible for incentive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Long-Term Incentive Plan (the "Long-Term Incentive Plan"). Each year, the Committee establishes a three-year performance plan to promote our long-term growth and profitability and to attract and retain executives by providing the officers an opportunity for an incentive award consisting of restricted shares of the Company's Common Stock in order to encourage stock ownership and promote the Company's long term growth and profitability. Under the Long-Term Incentive Plan, the amount of an NEO's incentive compensation for the three-year period is calculated to be in direct linear proportion to our measured financial performance expressed as a percentage against compensation targets for each participant, as approved by the Committee. NEOs may be entitled to earlier vesting of awards under the Long-Term Incentive Plan in the event of a "Change of Control" (as defined in the Long-Term Incentive Plan), or as</w:t>
      </w:r>
    </w:p>
    <w:p>
      <w:pPr>
        <w:spacing w:after="0" w:line="249" w:lineRule="exact"/>
        <w:rPr>
          <w:sz w:val="20"/>
          <w:szCs w:val="20"/>
          <w:color w:val="auto"/>
        </w:rPr>
      </w:pPr>
    </w:p>
    <w:p>
      <w:pPr>
        <w:sectPr>
          <w:pgSz w:w="11900" w:h="16838" w:orient="portrait"/>
          <w:cols w:equalWidth="0" w:num="2">
            <w:col w:w="5580" w:space="240"/>
            <w:col w:w="5600"/>
          </w:cols>
          <w:pgMar w:left="240" w:top="298" w:right="239"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98" w:right="239" w:bottom="1440" w:gutter="0" w:footer="0" w:header="0"/>
          <w:type w:val="continuous"/>
        </w:sectPr>
      </w:pPr>
    </w:p>
    <w:bookmarkStart w:id="22" w:name="page23"/>
    <w:bookmarkEnd w:id="22"/>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both"/>
        <w:ind w:right="500"/>
        <w:spacing w:after="0" w:line="241" w:lineRule="auto"/>
        <w:rPr>
          <w:sz w:val="20"/>
          <w:szCs w:val="20"/>
          <w:color w:val="auto"/>
        </w:rPr>
      </w:pPr>
      <w:r>
        <w:rPr>
          <w:rFonts w:ascii="Arial" w:cs="Arial" w:eastAsia="Arial" w:hAnsi="Arial"/>
          <w:sz w:val="16"/>
          <w:szCs w:val="16"/>
          <w:color w:val="auto"/>
        </w:rPr>
        <w:t>otherwise specified by the Committee upon retirement, for example. See "Potential Payments upon Termination or Change of Control - Long-Term Incentive Plan Payments" below.</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awards for achieving results under these overlapping but separate Long-Term Incentive Plans may vary by each three-year period and by NEO. In general, the awards are based upon our financial performance as measured against the specific three-year plan established by the Committee. The Committee has established financial measurements and awards for each specific three-year plan (as defined below). The Committee selected the metric of ROE to be utilized for each of the Long-Term Incentive Plans reflected below. The Committee believes that the metric of ROE, which is an additional financial metric separate from the net income and ROIC metrics utilized under the Officers Incentive Compensation Plan, provides for a more complete measurement of the NEOs effectiveness and the value created for shareholders on a long-term basis. In addition,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right="40"/>
        <w:spacing w:after="0"/>
        <w:rPr>
          <w:sz w:val="20"/>
          <w:szCs w:val="20"/>
          <w:color w:val="auto"/>
        </w:rPr>
      </w:pPr>
      <w:r>
        <w:rPr>
          <w:rFonts w:ascii="Arial" w:cs="Arial" w:eastAsia="Arial" w:hAnsi="Arial"/>
          <w:sz w:val="16"/>
          <w:szCs w:val="16"/>
          <w:color w:val="auto"/>
        </w:rPr>
        <w:t>Committee determined that awards, if any, under the Long-Term Incentive Plans would be made solely in restricted stock subject to a one-year holding period, in order to encourage stock ownership and promote our long-term growth and profitability and mitigate risk. The value of the stock awards are taxable to the NEO upon grant and deductible by the Company for the tax purposes at that time.</w:t>
      </w:r>
    </w:p>
    <w:p>
      <w:pPr>
        <w:spacing w:after="0" w:line="153"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The formula used to determine ROE for the Long-Term Incentive Plans is to use the average of annual stockholders equity for the three year time-frame as defined by the respective plans divided by the corresponding three year cumulative net income. The Long-Term Incentive Plans provide for a bonus of 25% of the annualized base salary at the beginning of the performance period to be awarded in restricted stock if the target ROE is achieved. The annualized salary figure utilized for measurement is the salary in place for each participant as defined in the respective plan.</w:t>
      </w:r>
    </w:p>
    <w:p>
      <w:pPr>
        <w:spacing w:after="0" w:line="340" w:lineRule="exact"/>
        <w:rPr>
          <w:sz w:val="20"/>
          <w:szCs w:val="20"/>
          <w:color w:val="auto"/>
        </w:rPr>
      </w:pPr>
    </w:p>
    <w:p>
      <w:pPr>
        <w:sectPr>
          <w:pgSz w:w="11900" w:h="16838" w:orient="portrait"/>
          <w:cols w:equalWidth="0" w:num="2">
            <w:col w:w="5560" w:space="260"/>
            <w:col w:w="5600"/>
          </w:cols>
          <w:pgMar w:left="240" w:top="298"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table below reflects the key parameters of each three-year Long-Term Incentive Plan as approved by the Committee: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Bonus Percentage</w:t>
            </w:r>
          </w:p>
        </w:tc>
        <w:tc>
          <w:tcPr>
            <w:tcW w:w="720" w:type="dxa"/>
            <w:vAlign w:val="bottom"/>
            <w:vMerge w:val="restart"/>
          </w:tcPr>
          <w:p>
            <w:pPr>
              <w:spacing w:after="0"/>
              <w:rPr>
                <w:sz w:val="15"/>
                <w:szCs w:val="15"/>
                <w:color w:val="auto"/>
              </w:rPr>
            </w:pPr>
          </w:p>
        </w:tc>
        <w:tc>
          <w:tcPr>
            <w:tcW w:w="480" w:type="dxa"/>
            <w:vAlign w:val="bottom"/>
            <w:vMerge w:val="restart"/>
          </w:tcPr>
          <w:p>
            <w:pPr>
              <w:spacing w:after="0"/>
              <w:rPr>
                <w:sz w:val="15"/>
                <w:szCs w:val="15"/>
                <w:color w:val="auto"/>
              </w:rPr>
            </w:pPr>
          </w:p>
        </w:tc>
        <w:tc>
          <w:tcPr>
            <w:tcW w:w="176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4"/>
                <w:szCs w:val="14"/>
                <w:b w:val="1"/>
                <w:bCs w:val="1"/>
                <w:color w:val="auto"/>
                <w:w w:val="99"/>
              </w:rPr>
              <w:t>ROE (3 year cumulative)</w:t>
            </w:r>
          </w:p>
        </w:tc>
        <w:tc>
          <w:tcPr>
            <w:tcW w:w="500" w:type="dxa"/>
            <w:vAlign w:val="bottom"/>
            <w:vMerge w:val="restart"/>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Actual</w:t>
            </w:r>
          </w:p>
        </w:tc>
        <w:tc>
          <w:tcPr>
            <w:tcW w:w="0" w:type="dxa"/>
            <w:vAlign w:val="bottom"/>
          </w:tcPr>
          <w:p>
            <w:pPr>
              <w:spacing w:after="0"/>
              <w:rPr>
                <w:sz w:val="1"/>
                <w:szCs w:val="1"/>
                <w:color w:val="auto"/>
              </w:rPr>
            </w:pPr>
          </w:p>
        </w:tc>
      </w:tr>
      <w:tr>
        <w:trPr>
          <w:trHeight w:val="34"/>
        </w:trPr>
        <w:tc>
          <w:tcPr>
            <w:tcW w:w="41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72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1760" w:type="dxa"/>
            <w:vAlign w:val="bottom"/>
            <w:gridSpan w:val="3"/>
          </w:tcPr>
          <w:p>
            <w:pPr>
              <w:spacing w:after="0"/>
              <w:rPr>
                <w:sz w:val="2"/>
                <w:szCs w:val="2"/>
                <w:color w:val="auto"/>
              </w:rPr>
            </w:pPr>
          </w:p>
        </w:tc>
        <w:tc>
          <w:tcPr>
            <w:tcW w:w="5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Long-Term Incentive Plans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Approved</w:t>
            </w:r>
          </w:p>
        </w:tc>
        <w:tc>
          <w:tcPr>
            <w:tcW w:w="86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4"/>
                <w:szCs w:val="14"/>
                <w:b w:val="1"/>
                <w:bCs w:val="1"/>
                <w:color w:val="auto"/>
                <w:w w:val="97"/>
              </w:rPr>
              <w:t>Threshold</w:t>
            </w: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Target</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Maximum</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Threshold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ROE</w:t>
            </w: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2013-2015 (the "2013-2015 Plan")</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6/20/12</w:t>
            </w:r>
          </w:p>
        </w:tc>
        <w:tc>
          <w:tcPr>
            <w:tcW w:w="700" w:type="dxa"/>
            <w:vAlign w:val="bottom"/>
            <w:shd w:val="clear" w:color="auto" w:fill="CCEEFF"/>
          </w:tcPr>
          <w:p>
            <w:pPr>
              <w:jc w:val="center"/>
              <w:ind w:left="206"/>
              <w:spacing w:after="0"/>
              <w:rPr>
                <w:sz w:val="20"/>
                <w:szCs w:val="20"/>
                <w:color w:val="auto"/>
              </w:rPr>
            </w:pPr>
            <w:r>
              <w:rPr>
                <w:rFonts w:ascii="Arial" w:cs="Arial" w:eastAsia="Arial" w:hAnsi="Arial"/>
                <w:sz w:val="16"/>
                <w:szCs w:val="16"/>
                <w:color w:val="auto"/>
                <w:w w:val="93"/>
              </w:rPr>
              <w:t>10%</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100%</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150%</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12.0%</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19.0%</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26.0%</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22.7%</w:t>
            </w:r>
          </w:p>
        </w:tc>
        <w:tc>
          <w:tcPr>
            <w:tcW w:w="0" w:type="dxa"/>
            <w:vAlign w:val="bottom"/>
          </w:tcPr>
          <w:p>
            <w:pPr>
              <w:spacing w:after="0"/>
              <w:rPr>
                <w:sz w:val="1"/>
                <w:szCs w:val="1"/>
                <w:color w:val="auto"/>
              </w:rPr>
            </w:pPr>
          </w:p>
        </w:tc>
      </w:tr>
      <w:tr>
        <w:trPr>
          <w:trHeight w:val="131"/>
        </w:trPr>
        <w:tc>
          <w:tcPr>
            <w:tcW w:w="4120" w:type="dxa"/>
            <w:vAlign w:val="bottom"/>
          </w:tcPr>
          <w:p>
            <w:pPr>
              <w:ind w:left="40"/>
              <w:spacing w:after="0" w:line="131" w:lineRule="exact"/>
              <w:rPr>
                <w:sz w:val="20"/>
                <w:szCs w:val="20"/>
                <w:color w:val="auto"/>
              </w:rPr>
            </w:pPr>
            <w:r>
              <w:rPr>
                <w:rFonts w:ascii="Arial" w:cs="Arial" w:eastAsia="Arial" w:hAnsi="Arial"/>
                <w:sz w:val="15"/>
                <w:szCs w:val="15"/>
                <w:color w:val="auto"/>
              </w:rPr>
              <w:t>Fiscal 2014-2016 (the "2014-2016 Plan")</w:t>
            </w:r>
          </w:p>
        </w:tc>
        <w:tc>
          <w:tcPr>
            <w:tcW w:w="940" w:type="dxa"/>
            <w:vAlign w:val="bottom"/>
          </w:tcPr>
          <w:p>
            <w:pPr>
              <w:jc w:val="center"/>
              <w:spacing w:after="0" w:line="131" w:lineRule="exact"/>
              <w:rPr>
                <w:sz w:val="20"/>
                <w:szCs w:val="20"/>
                <w:color w:val="auto"/>
              </w:rPr>
            </w:pPr>
            <w:r>
              <w:rPr>
                <w:rFonts w:ascii="Arial" w:cs="Arial" w:eastAsia="Arial" w:hAnsi="Arial"/>
                <w:sz w:val="15"/>
                <w:szCs w:val="15"/>
                <w:color w:val="auto"/>
              </w:rPr>
              <w:t>6/18/13</w:t>
            </w:r>
          </w:p>
        </w:tc>
        <w:tc>
          <w:tcPr>
            <w:tcW w:w="700" w:type="dxa"/>
            <w:vAlign w:val="bottom"/>
          </w:tcPr>
          <w:p>
            <w:pPr>
              <w:jc w:val="center"/>
              <w:ind w:left="206"/>
              <w:spacing w:after="0" w:line="131" w:lineRule="exact"/>
              <w:rPr>
                <w:sz w:val="20"/>
                <w:szCs w:val="20"/>
                <w:color w:val="auto"/>
              </w:rPr>
            </w:pPr>
            <w:r>
              <w:rPr>
                <w:rFonts w:ascii="Arial" w:cs="Arial" w:eastAsia="Arial" w:hAnsi="Arial"/>
                <w:sz w:val="15"/>
                <w:szCs w:val="15"/>
                <w:color w:val="auto"/>
                <w:w w:val="99"/>
              </w:rPr>
              <w:t>10%</w:t>
            </w:r>
          </w:p>
        </w:tc>
        <w:tc>
          <w:tcPr>
            <w:tcW w:w="160" w:type="dxa"/>
            <w:vAlign w:val="bottom"/>
          </w:tcPr>
          <w:p>
            <w:pPr>
              <w:spacing w:after="0"/>
              <w:rPr>
                <w:sz w:val="11"/>
                <w:szCs w:val="11"/>
                <w:color w:val="auto"/>
              </w:rPr>
            </w:pPr>
          </w:p>
        </w:tc>
        <w:tc>
          <w:tcPr>
            <w:tcW w:w="960" w:type="dxa"/>
            <w:vAlign w:val="bottom"/>
          </w:tcPr>
          <w:p>
            <w:pPr>
              <w:ind w:left="360"/>
              <w:spacing w:after="0" w:line="131" w:lineRule="exact"/>
              <w:rPr>
                <w:sz w:val="20"/>
                <w:szCs w:val="20"/>
                <w:color w:val="auto"/>
              </w:rPr>
            </w:pPr>
            <w:r>
              <w:rPr>
                <w:rFonts w:ascii="Arial" w:cs="Arial" w:eastAsia="Arial" w:hAnsi="Arial"/>
                <w:sz w:val="15"/>
                <w:szCs w:val="15"/>
                <w:color w:val="auto"/>
              </w:rPr>
              <w:t>100%</w:t>
            </w:r>
          </w:p>
        </w:tc>
        <w:tc>
          <w:tcPr>
            <w:tcW w:w="1020" w:type="dxa"/>
            <w:vAlign w:val="bottom"/>
            <w:gridSpan w:val="2"/>
          </w:tcPr>
          <w:p>
            <w:pPr>
              <w:jc w:val="center"/>
              <w:spacing w:after="0" w:line="131" w:lineRule="exact"/>
              <w:rPr>
                <w:sz w:val="20"/>
                <w:szCs w:val="20"/>
                <w:color w:val="auto"/>
              </w:rPr>
            </w:pPr>
            <w:r>
              <w:rPr>
                <w:rFonts w:ascii="Arial" w:cs="Arial" w:eastAsia="Arial" w:hAnsi="Arial"/>
                <w:sz w:val="15"/>
                <w:szCs w:val="15"/>
                <w:color w:val="auto"/>
              </w:rPr>
              <w:t>150%</w:t>
            </w:r>
          </w:p>
        </w:tc>
        <w:tc>
          <w:tcPr>
            <w:tcW w:w="1020" w:type="dxa"/>
            <w:vAlign w:val="bottom"/>
            <w:gridSpan w:val="2"/>
          </w:tcPr>
          <w:p>
            <w:pPr>
              <w:jc w:val="center"/>
              <w:spacing w:after="0" w:line="131" w:lineRule="exact"/>
              <w:rPr>
                <w:sz w:val="20"/>
                <w:szCs w:val="20"/>
                <w:color w:val="auto"/>
              </w:rPr>
            </w:pPr>
            <w:r>
              <w:rPr>
                <w:rFonts w:ascii="Arial" w:cs="Arial" w:eastAsia="Arial" w:hAnsi="Arial"/>
                <w:sz w:val="15"/>
                <w:szCs w:val="15"/>
                <w:color w:val="auto"/>
              </w:rPr>
              <w:t>16.0%</w:t>
            </w:r>
          </w:p>
        </w:tc>
        <w:tc>
          <w:tcPr>
            <w:tcW w:w="780" w:type="dxa"/>
            <w:vAlign w:val="bottom"/>
          </w:tcPr>
          <w:p>
            <w:pPr>
              <w:jc w:val="center"/>
              <w:spacing w:after="0" w:line="131" w:lineRule="exact"/>
              <w:rPr>
                <w:sz w:val="20"/>
                <w:szCs w:val="20"/>
                <w:color w:val="auto"/>
              </w:rPr>
            </w:pPr>
            <w:r>
              <w:rPr>
                <w:rFonts w:ascii="Arial" w:cs="Arial" w:eastAsia="Arial" w:hAnsi="Arial"/>
                <w:sz w:val="15"/>
                <w:szCs w:val="15"/>
                <w:color w:val="auto"/>
              </w:rPr>
              <w:t>20.0%</w:t>
            </w:r>
          </w:p>
        </w:tc>
        <w:tc>
          <w:tcPr>
            <w:tcW w:w="940" w:type="dxa"/>
            <w:vAlign w:val="bottom"/>
            <w:gridSpan w:val="2"/>
          </w:tcPr>
          <w:p>
            <w:pPr>
              <w:jc w:val="center"/>
              <w:spacing w:after="0" w:line="131" w:lineRule="exact"/>
              <w:rPr>
                <w:sz w:val="20"/>
                <w:szCs w:val="20"/>
                <w:color w:val="auto"/>
              </w:rPr>
            </w:pPr>
            <w:r>
              <w:rPr>
                <w:rFonts w:ascii="Arial" w:cs="Arial" w:eastAsia="Arial" w:hAnsi="Arial"/>
                <w:sz w:val="15"/>
                <w:szCs w:val="15"/>
                <w:color w:val="auto"/>
              </w:rPr>
              <w:t>26.0%</w:t>
            </w:r>
          </w:p>
        </w:tc>
        <w:tc>
          <w:tcPr>
            <w:tcW w:w="780" w:type="dxa"/>
            <w:vAlign w:val="bottom"/>
            <w:vMerge w:val="restart"/>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9"/>
        </w:trPr>
        <w:tc>
          <w:tcPr>
            <w:tcW w:w="4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120" w:type="dxa"/>
            <w:vAlign w:val="bottom"/>
            <w:shd w:val="clear" w:color="auto" w:fill="CCEEFF"/>
          </w:tcPr>
          <w:p>
            <w:pPr>
              <w:ind w:left="40"/>
              <w:spacing w:after="0" w:line="131" w:lineRule="exact"/>
              <w:rPr>
                <w:sz w:val="20"/>
                <w:szCs w:val="20"/>
                <w:color w:val="auto"/>
              </w:rPr>
            </w:pPr>
            <w:r>
              <w:rPr>
                <w:rFonts w:ascii="Arial" w:cs="Arial" w:eastAsia="Arial" w:hAnsi="Arial"/>
                <w:sz w:val="15"/>
                <w:szCs w:val="15"/>
                <w:color w:val="auto"/>
              </w:rPr>
              <w:t>Fiscal 2015-2017 (the "2015-2017 Plan")</w:t>
            </w:r>
          </w:p>
        </w:tc>
        <w:tc>
          <w:tcPr>
            <w:tcW w:w="940" w:type="dxa"/>
            <w:vAlign w:val="bottom"/>
            <w:shd w:val="clear" w:color="auto" w:fill="CCEEFF"/>
          </w:tcPr>
          <w:p>
            <w:pPr>
              <w:jc w:val="center"/>
              <w:spacing w:after="0" w:line="131" w:lineRule="exact"/>
              <w:rPr>
                <w:sz w:val="20"/>
                <w:szCs w:val="20"/>
                <w:color w:val="auto"/>
              </w:rPr>
            </w:pPr>
            <w:r>
              <w:rPr>
                <w:rFonts w:ascii="Arial" w:cs="Arial" w:eastAsia="Arial" w:hAnsi="Arial"/>
                <w:sz w:val="15"/>
                <w:szCs w:val="15"/>
                <w:color w:val="auto"/>
              </w:rPr>
              <w:t>6/17/14</w:t>
            </w:r>
          </w:p>
        </w:tc>
        <w:tc>
          <w:tcPr>
            <w:tcW w:w="700" w:type="dxa"/>
            <w:vAlign w:val="bottom"/>
            <w:shd w:val="clear" w:color="auto" w:fill="CCEEFF"/>
          </w:tcPr>
          <w:p>
            <w:pPr>
              <w:jc w:val="center"/>
              <w:ind w:left="206"/>
              <w:spacing w:after="0" w:line="131" w:lineRule="exact"/>
              <w:rPr>
                <w:sz w:val="20"/>
                <w:szCs w:val="20"/>
                <w:color w:val="auto"/>
              </w:rPr>
            </w:pPr>
            <w:r>
              <w:rPr>
                <w:rFonts w:ascii="Arial" w:cs="Arial" w:eastAsia="Arial" w:hAnsi="Arial"/>
                <w:sz w:val="15"/>
                <w:szCs w:val="15"/>
                <w:color w:val="auto"/>
                <w:w w:val="99"/>
              </w:rPr>
              <w:t>10%</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ind w:left="360"/>
              <w:spacing w:after="0" w:line="131" w:lineRule="exact"/>
              <w:rPr>
                <w:sz w:val="20"/>
                <w:szCs w:val="20"/>
                <w:color w:val="auto"/>
              </w:rPr>
            </w:pPr>
            <w:r>
              <w:rPr>
                <w:rFonts w:ascii="Arial" w:cs="Arial" w:eastAsia="Arial" w:hAnsi="Arial"/>
                <w:sz w:val="15"/>
                <w:szCs w:val="15"/>
                <w:color w:val="auto"/>
              </w:rPr>
              <w:t>100%</w:t>
            </w:r>
          </w:p>
        </w:tc>
        <w:tc>
          <w:tcPr>
            <w:tcW w:w="1020" w:type="dxa"/>
            <w:vAlign w:val="bottom"/>
            <w:gridSpan w:val="2"/>
            <w:shd w:val="clear" w:color="auto" w:fill="CCEEFF"/>
          </w:tcPr>
          <w:p>
            <w:pPr>
              <w:jc w:val="center"/>
              <w:spacing w:after="0" w:line="131" w:lineRule="exact"/>
              <w:rPr>
                <w:sz w:val="20"/>
                <w:szCs w:val="20"/>
                <w:color w:val="auto"/>
              </w:rPr>
            </w:pPr>
            <w:r>
              <w:rPr>
                <w:rFonts w:ascii="Arial" w:cs="Arial" w:eastAsia="Arial" w:hAnsi="Arial"/>
                <w:sz w:val="15"/>
                <w:szCs w:val="15"/>
                <w:color w:val="auto"/>
              </w:rPr>
              <w:t>150%</w:t>
            </w:r>
          </w:p>
        </w:tc>
        <w:tc>
          <w:tcPr>
            <w:tcW w:w="1020" w:type="dxa"/>
            <w:vAlign w:val="bottom"/>
            <w:gridSpan w:val="2"/>
            <w:shd w:val="clear" w:color="auto" w:fill="CCEEFF"/>
          </w:tcPr>
          <w:p>
            <w:pPr>
              <w:jc w:val="center"/>
              <w:spacing w:after="0" w:line="131" w:lineRule="exact"/>
              <w:rPr>
                <w:sz w:val="20"/>
                <w:szCs w:val="20"/>
                <w:color w:val="auto"/>
              </w:rPr>
            </w:pPr>
            <w:r>
              <w:rPr>
                <w:rFonts w:ascii="Arial" w:cs="Arial" w:eastAsia="Arial" w:hAnsi="Arial"/>
                <w:sz w:val="15"/>
                <w:szCs w:val="15"/>
                <w:color w:val="auto"/>
              </w:rPr>
              <w:t>16.3%</w:t>
            </w:r>
          </w:p>
        </w:tc>
        <w:tc>
          <w:tcPr>
            <w:tcW w:w="780" w:type="dxa"/>
            <w:vAlign w:val="bottom"/>
            <w:shd w:val="clear" w:color="auto" w:fill="CCEEFF"/>
          </w:tcPr>
          <w:p>
            <w:pPr>
              <w:jc w:val="center"/>
              <w:spacing w:after="0" w:line="131" w:lineRule="exact"/>
              <w:rPr>
                <w:sz w:val="20"/>
                <w:szCs w:val="20"/>
                <w:color w:val="auto"/>
              </w:rPr>
            </w:pPr>
            <w:r>
              <w:rPr>
                <w:rFonts w:ascii="Arial" w:cs="Arial" w:eastAsia="Arial" w:hAnsi="Arial"/>
                <w:sz w:val="15"/>
                <w:szCs w:val="15"/>
                <w:color w:val="auto"/>
              </w:rPr>
              <w:t>20.4%</w:t>
            </w:r>
          </w:p>
        </w:tc>
        <w:tc>
          <w:tcPr>
            <w:tcW w:w="940" w:type="dxa"/>
            <w:vAlign w:val="bottom"/>
            <w:gridSpan w:val="2"/>
            <w:shd w:val="clear" w:color="auto" w:fill="CCEEFF"/>
          </w:tcPr>
          <w:p>
            <w:pPr>
              <w:jc w:val="center"/>
              <w:spacing w:after="0" w:line="131" w:lineRule="exact"/>
              <w:rPr>
                <w:sz w:val="20"/>
                <w:szCs w:val="20"/>
                <w:color w:val="auto"/>
              </w:rPr>
            </w:pPr>
            <w:r>
              <w:rPr>
                <w:rFonts w:ascii="Arial" w:cs="Arial" w:eastAsia="Arial" w:hAnsi="Arial"/>
                <w:sz w:val="15"/>
                <w:szCs w:val="15"/>
                <w:color w:val="auto"/>
              </w:rPr>
              <w:t>26.0%</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0"/>
              </w:rPr>
              <w:t>(2)</w:t>
            </w:r>
          </w:p>
        </w:tc>
        <w:tc>
          <w:tcPr>
            <w:tcW w:w="0" w:type="dxa"/>
            <w:vAlign w:val="bottom"/>
          </w:tcPr>
          <w:p>
            <w:pPr>
              <w:spacing w:after="0"/>
              <w:rPr>
                <w:sz w:val="1"/>
                <w:szCs w:val="1"/>
                <w:color w:val="auto"/>
              </w:rPr>
            </w:pPr>
          </w:p>
        </w:tc>
      </w:tr>
      <w:tr>
        <w:trPr>
          <w:trHeight w:val="26"/>
        </w:trPr>
        <w:tc>
          <w:tcPr>
            <w:tcW w:w="4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8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9"/>
        </w:trPr>
        <w:tc>
          <w:tcPr>
            <w:tcW w:w="4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320" w:right="160" w:hanging="315"/>
        <w:spacing w:after="0" w:line="245" w:lineRule="auto"/>
        <w:tabs>
          <w:tab w:leader="none" w:pos="320" w:val="left"/>
        </w:tabs>
        <w:numPr>
          <w:ilvl w:val="0"/>
          <w:numId w:val="37"/>
        </w:numPr>
        <w:rPr>
          <w:rFonts w:ascii="Arial" w:cs="Arial" w:eastAsia="Arial" w:hAnsi="Arial"/>
          <w:sz w:val="12"/>
          <w:szCs w:val="12"/>
          <w:color w:val="auto"/>
        </w:rPr>
      </w:pPr>
      <w:r>
        <w:rPr>
          <w:rFonts w:ascii="Arial" w:cs="Arial" w:eastAsia="Arial" w:hAnsi="Arial"/>
          <w:sz w:val="14"/>
          <w:szCs w:val="14"/>
          <w:color w:val="auto"/>
        </w:rPr>
        <w:t>Estimated future payouts of plan-based awards under the 2014-2016 Plan were reported in the Company's 2014 proxy statement in the columns designated "Threshold," "Target" and "Maximum" in the Grants of Plan-Based Awards Table in the "Compensation Tables and Narrative Disclosure".</w:t>
      </w:r>
    </w:p>
    <w:p>
      <w:pPr>
        <w:spacing w:after="0" w:line="37" w:lineRule="exact"/>
        <w:rPr>
          <w:rFonts w:ascii="Arial" w:cs="Arial" w:eastAsia="Arial" w:hAnsi="Arial"/>
          <w:sz w:val="12"/>
          <w:szCs w:val="12"/>
          <w:color w:val="auto"/>
        </w:rPr>
      </w:pPr>
    </w:p>
    <w:p>
      <w:pPr>
        <w:ind w:left="320" w:right="40" w:hanging="315"/>
        <w:spacing w:after="0" w:line="237" w:lineRule="auto"/>
        <w:tabs>
          <w:tab w:leader="none" w:pos="320" w:val="left"/>
        </w:tabs>
        <w:numPr>
          <w:ilvl w:val="0"/>
          <w:numId w:val="37"/>
        </w:numPr>
        <w:rPr>
          <w:rFonts w:ascii="Arial" w:cs="Arial" w:eastAsia="Arial" w:hAnsi="Arial"/>
          <w:sz w:val="12"/>
          <w:szCs w:val="12"/>
          <w:color w:val="auto"/>
        </w:rPr>
      </w:pPr>
      <w:r>
        <w:rPr>
          <w:rFonts w:ascii="Arial" w:cs="Arial" w:eastAsia="Arial" w:hAnsi="Arial"/>
          <w:sz w:val="14"/>
          <w:szCs w:val="14"/>
          <w:color w:val="auto"/>
        </w:rPr>
        <w:t>Estimated future payouts of plan-based awards under the 2015-2017 Plan are reported in the columns designated "Threshold," "Target" and "Maximum" in the Grants of Plan-Based Awards Table in the "Compensation Tables and Narrative Disclosure" below. At its October 2014 meeting, the Committee approved the threshold, target and maximum ROE percentages under the 2015-2017 Plan which is illustrated above. The ROE target was based upon the 2015 Fiscal Management Plan along with projected performance in Fiscal 2016 and 2017. The threshold ROE was set at 16.3%, which represents 80% of the ROE target. The maximum ROE goal was set at 26%, equivalent to the average ROE achieved by the Company in the 10 years prior to the recession (1998-2007).</w:t>
      </w:r>
    </w:p>
    <w:p>
      <w:pPr>
        <w:spacing w:after="0" w:line="18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Actual ROE for the 2013-2015 Plan was 22.7%, thus 126.4% of the bonus opportunity was achieved. The table below reflects the amount paid to eligible NEOs under the 2013-2015 Plan other than Mr. Potts who retired on August 6, 2015 and Mr. Olson who served as Interim CEO from August 6 to September 24, 2015. See the discussion above under "Retirement Agreement" and "Employment Agreement" for Mr. Potts and Mr. Olson,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0" w:type="dxa"/>
            <w:vAlign w:val="bottom"/>
          </w:tcPr>
          <w:p>
            <w:pPr>
              <w:jc w:val="right"/>
              <w:ind w:right="644"/>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14"/>
                <w:szCs w:val="14"/>
                <w:color w:val="auto"/>
              </w:rPr>
            </w:pPr>
          </w:p>
        </w:tc>
        <w:tc>
          <w:tcPr>
            <w:tcW w:w="1700" w:type="dxa"/>
            <w:vAlign w:val="bottom"/>
          </w:tcPr>
          <w:p>
            <w:pPr>
              <w:jc w:val="right"/>
              <w:ind w:right="264"/>
              <w:spacing w:after="0"/>
              <w:rPr>
                <w:sz w:val="20"/>
                <w:szCs w:val="20"/>
                <w:color w:val="auto"/>
              </w:rPr>
            </w:pPr>
            <w:r>
              <w:rPr>
                <w:rFonts w:ascii="Arial" w:cs="Arial" w:eastAsia="Arial" w:hAnsi="Arial"/>
                <w:sz w:val="14"/>
                <w:szCs w:val="14"/>
                <w:b w:val="1"/>
                <w:bCs w:val="1"/>
                <w:color w:val="auto"/>
              </w:rPr>
              <w:t>Value of 2013-2015</w:t>
            </w:r>
          </w:p>
        </w:tc>
      </w:tr>
      <w:tr>
        <w:trPr>
          <w:trHeight w:val="195"/>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 xml:space="preserve">Opportunity </w:t>
            </w:r>
            <w:r>
              <w:rPr>
                <w:rFonts w:ascii="Arial" w:cs="Arial" w:eastAsia="Arial" w:hAnsi="Arial"/>
                <w:sz w:val="17"/>
                <w:szCs w:val="17"/>
                <w:b w:val="1"/>
                <w:bCs w:val="1"/>
                <w:color w:val="auto"/>
                <w:vertAlign w:val="superscript"/>
              </w:rPr>
              <w:t>(1)</w:t>
            </w: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 xml:space="preserve">Plan Award </w:t>
            </w:r>
            <w:r>
              <w:rPr>
                <w:rFonts w:ascii="Arial" w:cs="Arial" w:eastAsia="Arial" w:hAnsi="Arial"/>
                <w:sz w:val="17"/>
                <w:szCs w:val="17"/>
                <w:b w:val="1"/>
                <w:bCs w:val="1"/>
                <w:color w:val="auto"/>
                <w:vertAlign w:val="superscript"/>
              </w:rPr>
              <w:t>(2)</w:t>
            </w:r>
          </w:p>
        </w:tc>
      </w:tr>
      <w:tr>
        <w:trPr>
          <w:trHeight w:val="229"/>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3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64,553</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81,613</w:t>
            </w:r>
          </w:p>
        </w:tc>
      </w:tr>
      <w:tr>
        <w:trPr>
          <w:trHeight w:val="226"/>
        </w:trPr>
        <w:tc>
          <w:tcPr>
            <w:tcW w:w="4400" w:type="dxa"/>
            <w:vAlign w:val="bottom"/>
          </w:tcPr>
          <w:p>
            <w:pPr>
              <w:ind w:left="40"/>
              <w:spacing w:after="0"/>
              <w:rPr>
                <w:sz w:val="20"/>
                <w:szCs w:val="20"/>
                <w:color w:val="auto"/>
              </w:rPr>
            </w:pPr>
            <w:r>
              <w:rPr>
                <w:rFonts w:ascii="Arial" w:cs="Arial" w:eastAsia="Arial" w:hAnsi="Arial"/>
                <w:sz w:val="16"/>
                <w:szCs w:val="16"/>
                <w:color w:val="auto"/>
              </w:rPr>
              <w:t>S. Scott Degnan</w:t>
            </w:r>
          </w:p>
        </w:tc>
        <w:tc>
          <w:tcPr>
            <w:tcW w:w="34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68,238</w:t>
            </w:r>
          </w:p>
        </w:tc>
        <w:tc>
          <w:tcPr>
            <w:tcW w:w="260" w:type="dxa"/>
            <w:vAlign w:val="bottom"/>
          </w:tcPr>
          <w:p>
            <w:pPr>
              <w:spacing w:after="0"/>
              <w:rPr>
                <w:sz w:val="19"/>
                <w:szCs w:val="19"/>
                <w:color w:val="auto"/>
              </w:rPr>
            </w:pP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86,272</w:t>
            </w:r>
          </w:p>
        </w:tc>
      </w:tr>
      <w:tr>
        <w:trPr>
          <w:trHeight w:val="245"/>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34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59,052</w:t>
            </w:r>
          </w:p>
        </w:tc>
        <w:tc>
          <w:tcPr>
            <w:tcW w:w="2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74,658</w:t>
            </w:r>
          </w:p>
        </w:tc>
      </w:tr>
      <w:tr>
        <w:trPr>
          <w:trHeight w:val="216"/>
        </w:trPr>
        <w:tc>
          <w:tcPr>
            <w:tcW w:w="440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34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54,590</w:t>
            </w:r>
          </w:p>
        </w:tc>
        <w:tc>
          <w:tcPr>
            <w:tcW w:w="26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69,017</w:t>
            </w:r>
          </w:p>
        </w:tc>
      </w:tr>
    </w:tbl>
    <w:p>
      <w:pPr>
        <w:spacing w:after="0" w:line="76" w:lineRule="exact"/>
        <w:rPr>
          <w:sz w:val="20"/>
          <w:szCs w:val="20"/>
          <w:color w:val="auto"/>
        </w:rPr>
      </w:pPr>
    </w:p>
    <w:p>
      <w:pPr>
        <w:ind w:left="320" w:right="100" w:hanging="315"/>
        <w:spacing w:after="0" w:line="245" w:lineRule="auto"/>
        <w:tabs>
          <w:tab w:leader="none" w:pos="320" w:val="left"/>
        </w:tabs>
        <w:numPr>
          <w:ilvl w:val="0"/>
          <w:numId w:val="38"/>
        </w:numPr>
        <w:rPr>
          <w:rFonts w:ascii="Arial" w:cs="Arial" w:eastAsia="Arial" w:hAnsi="Arial"/>
          <w:sz w:val="12"/>
          <w:szCs w:val="12"/>
          <w:color w:val="auto"/>
        </w:rPr>
      </w:pPr>
      <w:r>
        <w:rPr>
          <w:rFonts w:ascii="Arial" w:cs="Arial" w:eastAsia="Arial" w:hAnsi="Arial"/>
          <w:sz w:val="14"/>
          <w:szCs w:val="14"/>
          <w:color w:val="auto"/>
        </w:rPr>
        <w:t>The Long-Term Incentive Plans provides for a bonus (Target) of 25% of the annualized base salary to be awarded in restricted stock if the Target ROE is achieved. The annualized salary figure utilized for measurement is the salary in place for each participant as of September 2012.</w:t>
      </w:r>
    </w:p>
    <w:p>
      <w:pPr>
        <w:spacing w:after="0" w:line="37" w:lineRule="exact"/>
        <w:rPr>
          <w:rFonts w:ascii="Arial" w:cs="Arial" w:eastAsia="Arial" w:hAnsi="Arial"/>
          <w:sz w:val="12"/>
          <w:szCs w:val="12"/>
          <w:color w:val="auto"/>
        </w:rPr>
      </w:pPr>
    </w:p>
    <w:p>
      <w:pPr>
        <w:ind w:left="320" w:right="320" w:hanging="315"/>
        <w:spacing w:after="0" w:line="245" w:lineRule="auto"/>
        <w:tabs>
          <w:tab w:leader="none" w:pos="320" w:val="left"/>
        </w:tabs>
        <w:numPr>
          <w:ilvl w:val="0"/>
          <w:numId w:val="38"/>
        </w:numPr>
        <w:rPr>
          <w:rFonts w:ascii="Arial" w:cs="Arial" w:eastAsia="Arial" w:hAnsi="Arial"/>
          <w:sz w:val="12"/>
          <w:szCs w:val="12"/>
          <w:color w:val="auto"/>
        </w:rPr>
      </w:pPr>
      <w:r>
        <w:rPr>
          <w:rFonts w:ascii="Arial" w:cs="Arial" w:eastAsia="Arial" w:hAnsi="Arial"/>
          <w:sz w:val="14"/>
          <w:szCs w:val="14"/>
          <w:color w:val="auto"/>
        </w:rPr>
        <w:t>Stock subject to a one-year holding period was awarded on October 13, 2015 based on the value as presented above, 127% of the target opportunity based on the Company's meeting the ROE metric for 2013-2015.</w:t>
      </w:r>
    </w:p>
    <w:p>
      <w:pPr>
        <w:sectPr>
          <w:pgSz w:w="11900" w:h="16838" w:orient="portrait"/>
          <w:cols w:equalWidth="0" w:num="1">
            <w:col w:w="11420"/>
          </w:cols>
          <w:pgMar w:left="240" w:top="298" w:right="239" w:bottom="1440" w:gutter="0" w:footer="0" w:header="0"/>
          <w:type w:val="continuous"/>
        </w:sectPr>
      </w:pPr>
    </w:p>
    <w:p>
      <w:pPr>
        <w:spacing w:after="0" w:line="229" w:lineRule="exact"/>
        <w:rPr>
          <w:sz w:val="20"/>
          <w:szCs w:val="20"/>
          <w:color w:val="auto"/>
        </w:rPr>
      </w:pPr>
    </w:p>
    <w:p>
      <w:pPr>
        <w:spacing w:after="0" w:line="245" w:lineRule="auto"/>
        <w:rPr>
          <w:sz w:val="20"/>
          <w:szCs w:val="20"/>
          <w:color w:val="auto"/>
        </w:rPr>
      </w:pPr>
      <w:r>
        <w:rPr>
          <w:rFonts w:ascii="Arial" w:cs="Arial" w:eastAsia="Arial" w:hAnsi="Arial"/>
          <w:sz w:val="16"/>
          <w:szCs w:val="16"/>
          <w:i w:val="1"/>
          <w:iCs w:val="1"/>
          <w:color w:val="auto"/>
        </w:rPr>
        <w:t xml:space="preserve">2014 Omnibus Equity, Performance Award and Incentive Compensation Plan (the "2014 Plan"). </w:t>
      </w:r>
      <w:r>
        <w:rPr>
          <w:rFonts w:ascii="Arial" w:cs="Arial" w:eastAsia="Arial" w:hAnsi="Arial"/>
          <w:sz w:val="16"/>
          <w:szCs w:val="16"/>
          <w:color w:val="auto"/>
        </w:rPr>
        <w:t>The 2014 Plan was approved by the Board and ratified by</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at the 2013 Annual Meeting. The 2014 Plan replaced the 2004 Plan after its ten-year expiration. The 2014 Plan, like the 2004 Plan, was adopted to reward key employees and Non-Employee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200" w:right="20"/>
        <w:spacing w:after="0"/>
        <w:rPr>
          <w:sz w:val="20"/>
          <w:szCs w:val="20"/>
          <w:color w:val="auto"/>
        </w:rPr>
      </w:pPr>
      <w:r>
        <w:rPr>
          <w:rFonts w:ascii="Arial" w:cs="Arial" w:eastAsia="Arial" w:hAnsi="Arial"/>
          <w:sz w:val="16"/>
          <w:szCs w:val="16"/>
          <w:color w:val="auto"/>
        </w:rPr>
        <w:t>Directors by providing for certain cash benefits and additional means for those individuals to acquire Common Stock of the Company. The objective of the 2014 Plan is to further the Company's interests and those of our shareholders by providing incentives to key employees and Non-Employee Directors who contribute materially to our success and profitability. Additionally, we believe that the 2014 Plan serves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ectPr>
          <w:pgSz w:w="11900" w:h="16838" w:orient="portrait"/>
          <w:cols w:equalWidth="0" w:num="2">
            <w:col w:w="5360" w:space="260"/>
            <w:col w:w="5800"/>
          </w:cols>
          <w:pgMar w:left="240" w:top="298" w:right="239" w:bottom="1440" w:gutter="0" w:footer="0" w:header="0"/>
          <w:type w:val="continuous"/>
        </w:sectPr>
      </w:pPr>
    </w:p>
    <w:bookmarkStart w:id="23" w:name="page24"/>
    <w:bookmarkEnd w:id="23"/>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to attract and retain certain key employees and Non-Employee Directors.</w:t>
      </w:r>
    </w:p>
    <w:p>
      <w:pPr>
        <w:spacing w:after="0" w:line="156"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The 2014 Plan provides that employees and Non-Employee Directors may receive certain “Stock Awards,” “Performance Awards” and “Stock Options,” each as defined under the 2014 Plan. Terms, conditions and limitations applicable to any awards granted under the 2014 Plan are set by the Committee.</w:t>
      </w:r>
    </w:p>
    <w:p>
      <w:pPr>
        <w:spacing w:after="0" w:line="138" w:lineRule="exact"/>
        <w:rPr>
          <w:sz w:val="20"/>
          <w:szCs w:val="20"/>
          <w:color w:val="auto"/>
        </w:rPr>
      </w:pPr>
    </w:p>
    <w:p>
      <w:pPr>
        <w:spacing w:after="0" w:line="242" w:lineRule="auto"/>
        <w:rPr>
          <w:sz w:val="20"/>
          <w:szCs w:val="20"/>
          <w:color w:val="auto"/>
        </w:rPr>
      </w:pPr>
      <w:r>
        <w:rPr>
          <w:rFonts w:ascii="Arial" w:cs="Arial" w:eastAsia="Arial" w:hAnsi="Arial"/>
          <w:sz w:val="16"/>
          <w:szCs w:val="16"/>
          <w:i w:val="1"/>
          <w:iCs w:val="1"/>
          <w:color w:val="auto"/>
        </w:rPr>
        <w:t xml:space="preserve">Insider Trading and Hedging. </w:t>
      </w:r>
      <w:r>
        <w:rPr>
          <w:rFonts w:ascii="Arial" w:cs="Arial" w:eastAsia="Arial" w:hAnsi="Arial"/>
          <w:sz w:val="16"/>
          <w:szCs w:val="16"/>
          <w:color w:val="auto"/>
        </w:rPr>
        <w:t>With respect to the Company's Insider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Policy, the policy prohibits the unauthorized disclosure of any nonpublic information acquired in the workplace and the misuse of Material Nonpublic Information (as defined in the policy) in securities trading. Additionally, pursuant to the Insider Trading Policy, all directors, officers and employees are prohibited at all times from (a) holding any Company securities in a margin account; (b) engaging in any transactions involving puts, calls, or other derivative transactions relating to the Company's securities; and (c) short-selling or pledging securities of the Company.</w:t>
      </w:r>
    </w:p>
    <w:p>
      <w:pPr>
        <w:spacing w:after="0" w:line="13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i w:val="1"/>
          <w:iCs w:val="1"/>
          <w:color w:val="auto"/>
        </w:rPr>
        <w:t>Use of Stock</w:t>
      </w:r>
      <w:r>
        <w:rPr>
          <w:rFonts w:ascii="Arial" w:cs="Arial" w:eastAsia="Arial" w:hAnsi="Arial"/>
          <w:sz w:val="16"/>
          <w:szCs w:val="16"/>
          <w:color w:val="auto"/>
        </w:rPr>
        <w:t>. We have utilized stock awards to complement stock options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2014 Plan awards as a basis for long-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term equity incentive compensation. The Committee recognizes that competitive market practices have resulted in an increased use of restricted stock awards as a part of total executive compensation strategy. Our stock awards are intended to retain and motivate officers or employees, including NEOs, to seek to improve long-term stock market performance and to enhance shareholder value by placing a portion of their compensation at risk and directly tied to our stock price appreciation. The Committee believes that stock grants serve as a critical element of long-term compensation plan design. Stock awards provide for an effective recruitment and retention tool, inspire increased motivation by providing ownership, maintain motivation because of intrinsic value even during periods of stock price fluctuations and further align the interests of Management and the shareholders.</w:t>
      </w:r>
    </w:p>
    <w:p>
      <w:pPr>
        <w:spacing w:after="0" w:line="158" w:lineRule="exact"/>
        <w:rPr>
          <w:sz w:val="20"/>
          <w:szCs w:val="20"/>
          <w:color w:val="auto"/>
        </w:rPr>
      </w:pPr>
    </w:p>
    <w:p>
      <w:pPr>
        <w:ind w:right="60"/>
        <w:spacing w:after="0"/>
        <w:rPr>
          <w:sz w:val="20"/>
          <w:szCs w:val="20"/>
          <w:color w:val="auto"/>
        </w:rPr>
      </w:pPr>
      <w:r>
        <w:rPr>
          <w:rFonts w:ascii="Arial" w:cs="Arial" w:eastAsia="Arial" w:hAnsi="Arial"/>
          <w:sz w:val="16"/>
          <w:szCs w:val="16"/>
          <w:color w:val="auto"/>
        </w:rPr>
        <w:t>From time to time, we make stock awards to NEOs pursuant to the 2014 Plan subject to a required holding period. The 2014 Plan provides that any Performance Award must have a one-year holding period to effectively motivate executives, including the NEOs, and key personnel participants and to share risk with shareholders.</w:t>
      </w:r>
    </w:p>
    <w:p>
      <w:pPr>
        <w:spacing w:after="0" w:line="504" w:lineRule="exact"/>
        <w:rPr>
          <w:sz w:val="20"/>
          <w:szCs w:val="20"/>
          <w:color w:val="auto"/>
        </w:rPr>
      </w:pPr>
    </w:p>
    <w:p>
      <w:pPr>
        <w:sectPr>
          <w:pgSz w:w="11900" w:h="16838" w:orient="portrait"/>
          <w:cols w:equalWidth="0" w:num="2">
            <w:col w:w="5540" w:space="280"/>
            <w:col w:w="5600"/>
          </w:cols>
          <w:pgMar w:left="240" w:top="298" w:right="239" w:bottom="1440" w:gutter="0" w:footer="0" w:header="0"/>
          <w:type w:val="continuous"/>
        </w:sectPr>
      </w:pPr>
    </w:p>
    <w:p>
      <w:pPr>
        <w:ind w:right="20"/>
        <w:spacing w:after="0" w:line="247" w:lineRule="auto"/>
        <w:rPr>
          <w:sz w:val="20"/>
          <w:szCs w:val="20"/>
          <w:color w:val="auto"/>
        </w:rPr>
      </w:pPr>
      <w:r>
        <w:rPr>
          <w:rFonts w:ascii="Arial" w:cs="Arial" w:eastAsia="Arial" w:hAnsi="Arial"/>
          <w:sz w:val="16"/>
          <w:szCs w:val="16"/>
          <w:i w:val="1"/>
          <w:iCs w:val="1"/>
          <w:color w:val="auto"/>
        </w:rPr>
        <w:t xml:space="preserve">Restricted Stock Grants. </w:t>
      </w:r>
      <w:r>
        <w:rPr>
          <w:rFonts w:ascii="Arial" w:cs="Arial" w:eastAsia="Arial" w:hAnsi="Arial"/>
          <w:sz w:val="16"/>
          <w:szCs w:val="16"/>
          <w:color w:val="auto"/>
        </w:rPr>
        <w:t>On October 15, 2014, the Committee approved a grant award of shares of the Company's restricted common stock under the 2014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Key Management Group (senior level managers) including the NEOs. The awards were made in acknowledgement of the hard work and dedication put forth by this management group, to inspire increased motivation by providing ownership, further align the interests of management and the shareholders and to continue to serve as a recruitment and retention tool.</w:t>
      </w:r>
    </w:p>
    <w:p>
      <w:pPr>
        <w:spacing w:after="0" w:line="149"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The value of the restricted stock is based upon the closing price of the Company's Common Stock on the date of grant. The NEOs received restricted stock grants pursuant to the actions described above in the following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920" w:type="dxa"/>
            <w:vAlign w:val="bottom"/>
          </w:tcPr>
          <w:p>
            <w:pPr>
              <w:jc w:val="right"/>
              <w:ind w:right="224"/>
              <w:spacing w:after="0"/>
              <w:rPr>
                <w:sz w:val="20"/>
                <w:szCs w:val="20"/>
                <w:color w:val="auto"/>
              </w:rPr>
            </w:pPr>
            <w:r>
              <w:rPr>
                <w:rFonts w:ascii="Arial" w:cs="Arial" w:eastAsia="Arial" w:hAnsi="Arial"/>
                <w:sz w:val="14"/>
                <w:szCs w:val="14"/>
                <w:b w:val="1"/>
                <w:bCs w:val="1"/>
                <w:color w:val="auto"/>
              </w:rPr>
              <w:t>Shares granted</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5"/>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9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October 15, 2014</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7"/>
                <w:szCs w:val="17"/>
                <w:b w:val="1"/>
                <w:bCs w:val="1"/>
                <w:color w:val="auto"/>
                <w:vertAlign w:val="superscript"/>
              </w:rPr>
              <w:t>(1)</w:t>
            </w:r>
          </w:p>
        </w:tc>
      </w:tr>
      <w:tr>
        <w:trPr>
          <w:trHeight w:val="229"/>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4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65,790</w:t>
            </w:r>
          </w:p>
        </w:tc>
      </w:tr>
      <w:tr>
        <w:trPr>
          <w:trHeight w:val="226"/>
        </w:trPr>
        <w:tc>
          <w:tcPr>
            <w:tcW w:w="476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4920" w:type="dxa"/>
            <w:vAlign w:val="bottom"/>
          </w:tcPr>
          <w:p>
            <w:pPr>
              <w:jc w:val="right"/>
              <w:spacing w:after="0"/>
              <w:rPr>
                <w:sz w:val="20"/>
                <w:szCs w:val="20"/>
                <w:color w:val="auto"/>
              </w:rPr>
            </w:pPr>
            <w:r>
              <w:rPr>
                <w:rFonts w:ascii="Arial" w:cs="Arial" w:eastAsia="Arial" w:hAnsi="Arial"/>
                <w:sz w:val="16"/>
                <w:szCs w:val="16"/>
                <w:color w:val="auto"/>
              </w:rPr>
              <w:t>5,000</w:t>
            </w:r>
          </w:p>
        </w:tc>
        <w:tc>
          <w:tcPr>
            <w:tcW w:w="400" w:type="dxa"/>
            <w:vAlign w:val="bottom"/>
          </w:tcPr>
          <w:p>
            <w:pPr>
              <w:spacing w:after="0"/>
              <w:rPr>
                <w:sz w:val="19"/>
                <w:szCs w:val="19"/>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109,650</w:t>
            </w:r>
          </w:p>
        </w:tc>
      </w:tr>
      <w:tr>
        <w:trPr>
          <w:trHeight w:val="245"/>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4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109,650</w:t>
            </w:r>
          </w:p>
        </w:tc>
      </w:tr>
      <w:tr>
        <w:trPr>
          <w:trHeight w:val="226"/>
        </w:trPr>
        <w:tc>
          <w:tcPr>
            <w:tcW w:w="4760" w:type="dxa"/>
            <w:vAlign w:val="bottom"/>
          </w:tcPr>
          <w:p>
            <w:pPr>
              <w:ind w:left="40"/>
              <w:spacing w:after="0"/>
              <w:rPr>
                <w:sz w:val="20"/>
                <w:szCs w:val="20"/>
                <w:color w:val="auto"/>
              </w:rPr>
            </w:pPr>
            <w:r>
              <w:rPr>
                <w:rFonts w:ascii="Arial" w:cs="Arial" w:eastAsia="Arial" w:hAnsi="Arial"/>
                <w:sz w:val="16"/>
                <w:szCs w:val="16"/>
                <w:color w:val="auto"/>
              </w:rPr>
              <w:t>Scott C. Folkers</w:t>
            </w:r>
          </w:p>
        </w:tc>
        <w:tc>
          <w:tcPr>
            <w:tcW w:w="4920" w:type="dxa"/>
            <w:vAlign w:val="bottom"/>
          </w:tcPr>
          <w:p>
            <w:pPr>
              <w:jc w:val="right"/>
              <w:spacing w:after="0"/>
              <w:rPr>
                <w:sz w:val="20"/>
                <w:szCs w:val="20"/>
                <w:color w:val="auto"/>
              </w:rPr>
            </w:pPr>
            <w:r>
              <w:rPr>
                <w:rFonts w:ascii="Arial" w:cs="Arial" w:eastAsia="Arial" w:hAnsi="Arial"/>
                <w:sz w:val="16"/>
                <w:szCs w:val="16"/>
                <w:color w:val="auto"/>
              </w:rPr>
              <w:t>5,000</w:t>
            </w:r>
          </w:p>
        </w:tc>
        <w:tc>
          <w:tcPr>
            <w:tcW w:w="400" w:type="dxa"/>
            <w:vAlign w:val="bottom"/>
          </w:tcPr>
          <w:p>
            <w:pPr>
              <w:spacing w:after="0"/>
              <w:rPr>
                <w:sz w:val="19"/>
                <w:szCs w:val="19"/>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109,650</w:t>
            </w:r>
          </w:p>
        </w:tc>
      </w:tr>
      <w:tr>
        <w:trPr>
          <w:trHeight w:val="245"/>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4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109,650</w:t>
            </w:r>
          </w:p>
        </w:tc>
      </w:tr>
      <w:tr>
        <w:trPr>
          <w:trHeight w:val="216"/>
        </w:trPr>
        <w:tc>
          <w:tcPr>
            <w:tcW w:w="4760" w:type="dxa"/>
            <w:vAlign w:val="bottom"/>
          </w:tcPr>
          <w:p>
            <w:pPr>
              <w:ind w:left="40"/>
              <w:spacing w:after="0"/>
              <w:rPr>
                <w:sz w:val="20"/>
                <w:szCs w:val="20"/>
                <w:color w:val="auto"/>
              </w:rPr>
            </w:pPr>
            <w:r>
              <w:rPr>
                <w:rFonts w:ascii="Arial" w:cs="Arial" w:eastAsia="Arial" w:hAnsi="Arial"/>
                <w:sz w:val="16"/>
                <w:szCs w:val="16"/>
                <w:color w:val="auto"/>
              </w:rPr>
              <w:t>Randy J. Potts</w:t>
            </w:r>
          </w:p>
        </w:tc>
        <w:tc>
          <w:tcPr>
            <w:tcW w:w="4920" w:type="dxa"/>
            <w:vAlign w:val="bottom"/>
          </w:tcPr>
          <w:p>
            <w:pPr>
              <w:jc w:val="right"/>
              <w:spacing w:after="0"/>
              <w:rPr>
                <w:sz w:val="20"/>
                <w:szCs w:val="20"/>
                <w:color w:val="auto"/>
              </w:rPr>
            </w:pPr>
            <w:r>
              <w:rPr>
                <w:rFonts w:ascii="Arial" w:cs="Arial" w:eastAsia="Arial" w:hAnsi="Arial"/>
                <w:sz w:val="16"/>
                <w:szCs w:val="16"/>
                <w:color w:val="auto"/>
              </w:rPr>
              <w:t>15,000</w:t>
            </w:r>
          </w:p>
        </w:tc>
        <w:tc>
          <w:tcPr>
            <w:tcW w:w="400" w:type="dxa"/>
            <w:vAlign w:val="bottom"/>
          </w:tcPr>
          <w:p>
            <w:pPr>
              <w:spacing w:after="0"/>
              <w:rPr>
                <w:sz w:val="18"/>
                <w:szCs w:val="18"/>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328,950</w:t>
            </w:r>
          </w:p>
        </w:tc>
      </w:tr>
    </w:tbl>
    <w:p>
      <w:pPr>
        <w:spacing w:after="0" w:line="24" w:lineRule="exact"/>
        <w:rPr>
          <w:sz w:val="20"/>
          <w:szCs w:val="20"/>
          <w:color w:val="auto"/>
        </w:rPr>
      </w:pPr>
    </w:p>
    <w:p>
      <w:pPr>
        <w:ind w:left="320" w:hanging="315"/>
        <w:spacing w:after="0"/>
        <w:tabs>
          <w:tab w:leader="none" w:pos="320" w:val="left"/>
        </w:tabs>
        <w:numPr>
          <w:ilvl w:val="0"/>
          <w:numId w:val="39"/>
        </w:numPr>
        <w:rPr>
          <w:rFonts w:ascii="Arial" w:cs="Arial" w:eastAsia="Arial" w:hAnsi="Arial"/>
          <w:sz w:val="12"/>
          <w:szCs w:val="12"/>
          <w:color w:val="auto"/>
        </w:rPr>
      </w:pPr>
      <w:r>
        <w:rPr>
          <w:rFonts w:ascii="Arial" w:cs="Arial" w:eastAsia="Arial" w:hAnsi="Arial"/>
          <w:sz w:val="14"/>
          <w:szCs w:val="14"/>
          <w:color w:val="auto"/>
        </w:rPr>
        <w:t>Based on the closing price of the Company's common stock on October 15, 2014.</w:t>
      </w:r>
    </w:p>
    <w:p>
      <w:pPr>
        <w:sectPr>
          <w:pgSz w:w="11900" w:h="16838" w:orient="portrait"/>
          <w:cols w:equalWidth="0" w:num="1">
            <w:col w:w="11420"/>
          </w:cols>
          <w:pgMar w:left="240" w:top="298" w:right="239" w:bottom="1440" w:gutter="0" w:footer="0" w:header="0"/>
          <w:type w:val="continuous"/>
        </w:sectPr>
      </w:pP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Pursuant to each restricted stock award agreement between the Company and each NEO, the restricted stock grants vest in annual increments of one-third commencing October 15, 2015. As described above under "Retirement Agreement", the Human Resources Committee accelerated the vesting of 33,001 shares of common stock owned by Mr. Potts in connection with his retirement on August 6, 2015. NEOs are entitled to receive dividends declared on the restricted stock beginning from the time the restricted stock is granted regardless of the vesting schedule of the restricted stock</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80"/>
        <w:spacing w:after="0"/>
        <w:rPr>
          <w:sz w:val="20"/>
          <w:szCs w:val="20"/>
          <w:color w:val="auto"/>
        </w:rPr>
      </w:pPr>
      <w:r>
        <w:rPr>
          <w:rFonts w:ascii="Arial" w:cs="Arial" w:eastAsia="Arial" w:hAnsi="Arial"/>
          <w:sz w:val="16"/>
          <w:szCs w:val="16"/>
          <w:color w:val="auto"/>
        </w:rPr>
        <w:t>grants. In addition, NEOs may be entitled to earlier vesting upon a "change in control," as defined in the 2014 Plan, or if the award recipient has at least five consecutive years of service with the Company or any subsidiary and his or her employment is terminated due to voluntary retirement at age 60 or older, disability or death. Unvested awards of restricted stock will immediately terminate as a result of a recipient's involuntary termination of employment with the Company or any subsidiary.</w:t>
      </w:r>
    </w:p>
    <w:p>
      <w:pPr>
        <w:spacing w:after="0" w:line="377" w:lineRule="exact"/>
        <w:rPr>
          <w:sz w:val="20"/>
          <w:szCs w:val="20"/>
          <w:color w:val="auto"/>
        </w:rPr>
      </w:pPr>
    </w:p>
    <w:p>
      <w:pPr>
        <w:sectPr>
          <w:pgSz w:w="11900" w:h="16838" w:orient="portrait"/>
          <w:cols w:equalWidth="0" w:num="2">
            <w:col w:w="5480" w:space="340"/>
            <w:col w:w="5600"/>
          </w:cols>
          <w:pgMar w:left="240" w:top="298" w:right="239" w:bottom="1440" w:gutter="0" w:footer="0" w:header="0"/>
          <w:type w:val="continuous"/>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298" w:right="239" w:bottom="1440" w:gutter="0" w:footer="0" w:header="0"/>
          <w:type w:val="continuous"/>
        </w:sectPr>
      </w:pPr>
    </w:p>
    <w:bookmarkStart w:id="24" w:name="page25"/>
    <w:bookmarkEnd w:id="24"/>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In 1999, the Committee adopted Stock Ownership Guidelines for executives. In general, each executive has five years from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he or she becomes an executive to accumulate the appropriate number of shares. The purpose of the guidelines is to encourage our executive officers to own and retain Company shares, thereby aligning their interests with our shareholders. Although these guidelines are not mandatory, executive officers are strongly encouraged to follow them. However, special personal circumstances may require an executive officer to depart from the guidelines.</w:t>
      </w:r>
    </w:p>
    <w:p>
      <w:pPr>
        <w:spacing w:after="0" w:line="149" w:lineRule="exact"/>
        <w:rPr>
          <w:sz w:val="20"/>
          <w:szCs w:val="20"/>
          <w:color w:val="auto"/>
        </w:rPr>
      </w:pPr>
    </w:p>
    <w:p>
      <w:pPr>
        <w:ind w:right="240"/>
        <w:spacing w:after="0" w:line="241" w:lineRule="auto"/>
        <w:rPr>
          <w:sz w:val="20"/>
          <w:szCs w:val="20"/>
          <w:color w:val="auto"/>
        </w:rPr>
      </w:pPr>
      <w:r>
        <w:rPr>
          <w:rFonts w:ascii="Arial" w:cs="Arial" w:eastAsia="Arial" w:hAnsi="Arial"/>
          <w:sz w:val="16"/>
          <w:szCs w:val="16"/>
          <w:color w:val="auto"/>
        </w:rPr>
        <w:t>The table below describes the ownership guidelines for the NEOs and the number of shares beneficially owned as of October 13, 2015 (not including exercisable stock options) other than Mr. Potts who retired on August 6, 2015 and Mr. Olson who served as Interim CEO from August 6 to September 24, 2015. See the discussion above under "Retirement Agreement" and "Employment Agreement" for Mr. Potts and Mr. Olson,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3120" w:type="dxa"/>
            <w:vAlign w:val="bottom"/>
          </w:tcPr>
          <w:p>
            <w:pPr>
              <w:jc w:val="center"/>
              <w:ind w:left="781"/>
              <w:spacing w:after="0"/>
              <w:rPr>
                <w:sz w:val="20"/>
                <w:szCs w:val="20"/>
                <w:color w:val="auto"/>
              </w:rPr>
            </w:pPr>
            <w:r>
              <w:rPr>
                <w:rFonts w:ascii="Arial" w:cs="Arial" w:eastAsia="Arial" w:hAnsi="Arial"/>
                <w:sz w:val="16"/>
                <w:szCs w:val="16"/>
                <w:b w:val="1"/>
                <w:bCs w:val="1"/>
                <w:color w:val="auto"/>
                <w:w w:val="97"/>
              </w:rPr>
              <w:t>Ownership Guidelines-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6"/>
              </w:rPr>
              <w:t>Value of</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9"/>
              </w:rPr>
              <w:t>Actual Shares</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6"/>
              </w:rPr>
              <w:t>Value of Shares</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Percentage of</w:t>
            </w:r>
          </w:p>
        </w:tc>
      </w:tr>
      <w:tr>
        <w:trPr>
          <w:trHeight w:val="183"/>
        </w:trPr>
        <w:tc>
          <w:tcPr>
            <w:tcW w:w="2360" w:type="dxa"/>
            <w:vAlign w:val="bottom"/>
          </w:tcPr>
          <w:p>
            <w:pPr>
              <w:spacing w:after="0"/>
              <w:rPr>
                <w:sz w:val="15"/>
                <w:szCs w:val="15"/>
                <w:color w:val="auto"/>
              </w:rPr>
            </w:pPr>
          </w:p>
        </w:tc>
        <w:tc>
          <w:tcPr>
            <w:tcW w:w="3120" w:type="dxa"/>
            <w:vAlign w:val="bottom"/>
          </w:tcPr>
          <w:p>
            <w:pPr>
              <w:jc w:val="center"/>
              <w:ind w:left="781"/>
              <w:spacing w:after="0"/>
              <w:rPr>
                <w:sz w:val="20"/>
                <w:szCs w:val="20"/>
                <w:color w:val="auto"/>
              </w:rPr>
            </w:pPr>
            <w:r>
              <w:rPr>
                <w:rFonts w:ascii="Arial" w:cs="Arial" w:eastAsia="Arial" w:hAnsi="Arial"/>
                <w:sz w:val="16"/>
                <w:szCs w:val="16"/>
                <w:b w:val="1"/>
                <w:bCs w:val="1"/>
                <w:color w:val="auto"/>
                <w:w w:val="98"/>
              </w:rPr>
              <w:t>Percentage of Annual</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9"/>
              </w:rPr>
              <w:t>Ownership</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6"/>
              </w:rPr>
              <w:t>Beneficially</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8"/>
              </w:rPr>
              <w:t>Beneficially</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Annual Salary</w:t>
            </w:r>
          </w:p>
        </w:tc>
      </w:tr>
      <w:tr>
        <w:trPr>
          <w:trHeight w:val="228"/>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120" w:type="dxa"/>
            <w:vAlign w:val="bottom"/>
            <w:tcBorders>
              <w:bottom w:val="single" w:sz="8" w:color="auto"/>
            </w:tcBorders>
          </w:tcPr>
          <w:p>
            <w:pPr>
              <w:jc w:val="center"/>
              <w:ind w:left="801"/>
              <w:spacing w:after="0" w:line="228" w:lineRule="exact"/>
              <w:rPr>
                <w:sz w:val="20"/>
                <w:szCs w:val="20"/>
                <w:color w:val="auto"/>
              </w:rPr>
            </w:pPr>
            <w:r>
              <w:rPr>
                <w:rFonts w:ascii="Arial" w:cs="Arial" w:eastAsia="Arial" w:hAnsi="Arial"/>
                <w:sz w:val="16"/>
                <w:szCs w:val="16"/>
                <w:b w:val="1"/>
                <w:bCs w:val="1"/>
                <w:color w:val="auto"/>
                <w:w w:val="93"/>
              </w:rPr>
              <w:t>Salary</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16"/>
                <w:szCs w:val="16"/>
                <w:b w:val="1"/>
                <w:bCs w:val="1"/>
                <w:color w:val="auto"/>
                <w:w w:val="95"/>
              </w:rPr>
              <w:t xml:space="preserve">Guidelines </w:t>
            </w:r>
            <w:r>
              <w:rPr>
                <w:rFonts w:ascii="Arial" w:cs="Arial" w:eastAsia="Arial" w:hAnsi="Arial"/>
                <w:sz w:val="20"/>
                <w:szCs w:val="20"/>
                <w:b w:val="1"/>
                <w:bCs w:val="1"/>
                <w:color w:val="auto"/>
                <w:w w:val="95"/>
                <w:vertAlign w:val="superscript"/>
              </w:rPr>
              <w:t>(1)</w:t>
            </w:r>
          </w:p>
        </w:tc>
        <w:tc>
          <w:tcPr>
            <w:tcW w:w="14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16"/>
                <w:szCs w:val="16"/>
                <w:b w:val="1"/>
                <w:bCs w:val="1"/>
                <w:color w:val="auto"/>
                <w:w w:val="94"/>
              </w:rPr>
              <w:t xml:space="preserve">Owned </w:t>
            </w:r>
            <w:r>
              <w:rPr>
                <w:rFonts w:ascii="Arial" w:cs="Arial" w:eastAsia="Arial" w:hAnsi="Arial"/>
                <w:sz w:val="20"/>
                <w:szCs w:val="20"/>
                <w:b w:val="1"/>
                <w:bCs w:val="1"/>
                <w:color w:val="auto"/>
                <w:w w:val="94"/>
                <w:vertAlign w:val="superscript"/>
              </w:rPr>
              <w:t>(2)</w:t>
            </w:r>
          </w:p>
        </w:tc>
        <w:tc>
          <w:tcPr>
            <w:tcW w:w="150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16"/>
                <w:szCs w:val="16"/>
                <w:b w:val="1"/>
                <w:bCs w:val="1"/>
                <w:color w:val="auto"/>
                <w:w w:val="94"/>
              </w:rPr>
              <w:t xml:space="preserve">Owned </w:t>
            </w:r>
            <w:r>
              <w:rPr>
                <w:rFonts w:ascii="Arial" w:cs="Arial" w:eastAsia="Arial" w:hAnsi="Arial"/>
                <w:sz w:val="20"/>
                <w:szCs w:val="20"/>
                <w:b w:val="1"/>
                <w:bCs w:val="1"/>
                <w:color w:val="auto"/>
                <w:w w:val="94"/>
                <w:vertAlign w:val="superscript"/>
              </w:rPr>
              <w:t>(2)</w:t>
            </w:r>
          </w:p>
        </w:tc>
        <w:tc>
          <w:tcPr>
            <w:tcW w:w="1140" w:type="dxa"/>
            <w:vAlign w:val="bottom"/>
            <w:tcBorders>
              <w:bottom w:val="single" w:sz="8" w:color="auto"/>
            </w:tcBorders>
          </w:tcPr>
          <w:p>
            <w:pPr>
              <w:jc w:val="center"/>
              <w:ind w:left="221"/>
              <w:spacing w:after="0" w:line="228" w:lineRule="exact"/>
              <w:rPr>
                <w:sz w:val="20"/>
                <w:szCs w:val="20"/>
                <w:color w:val="auto"/>
              </w:rPr>
            </w:pPr>
            <w:r>
              <w:rPr>
                <w:rFonts w:ascii="Arial" w:cs="Arial" w:eastAsia="Arial" w:hAnsi="Arial"/>
                <w:sz w:val="16"/>
                <w:szCs w:val="16"/>
                <w:b w:val="1"/>
                <w:bCs w:val="1"/>
                <w:color w:val="auto"/>
                <w:w w:val="94"/>
              </w:rPr>
              <w:t>Attained</w:t>
            </w:r>
            <w:r>
              <w:rPr>
                <w:rFonts w:ascii="Arial" w:cs="Arial" w:eastAsia="Arial" w:hAnsi="Arial"/>
                <w:sz w:val="20"/>
                <w:szCs w:val="20"/>
                <w:b w:val="1"/>
                <w:bCs w:val="1"/>
                <w:color w:val="auto"/>
                <w:w w:val="94"/>
                <w:vertAlign w:val="superscript"/>
              </w:rPr>
              <w:t>(2)</w:t>
            </w:r>
          </w:p>
        </w:tc>
        <w:tc>
          <w:tcPr>
            <w:tcW w:w="260" w:type="dxa"/>
            <w:vAlign w:val="bottom"/>
            <w:tcBorders>
              <w:bottom w:val="single" w:sz="8" w:color="auto"/>
            </w:tcBorders>
          </w:tcPr>
          <w:p>
            <w:pPr>
              <w:spacing w:after="0"/>
              <w:rPr>
                <w:sz w:val="19"/>
                <w:szCs w:val="19"/>
                <w:color w:val="auto"/>
              </w:rPr>
            </w:pPr>
          </w:p>
        </w:tc>
      </w:tr>
      <w:tr>
        <w:trPr>
          <w:trHeight w:val="25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312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250%</w:t>
            </w:r>
          </w:p>
        </w:tc>
        <w:tc>
          <w:tcPr>
            <w:tcW w:w="1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718,425</w:t>
            </w: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55,359</w:t>
            </w: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1,098,876</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382%</w:t>
            </w:r>
          </w:p>
        </w:tc>
        <w:tc>
          <w:tcPr>
            <w:tcW w:w="260" w:type="dxa"/>
            <w:vAlign w:val="bottom"/>
            <w:shd w:val="clear" w:color="auto" w:fill="CCEEFF"/>
          </w:tcPr>
          <w:p>
            <w:pPr>
              <w:spacing w:after="0"/>
              <w:rPr>
                <w:sz w:val="22"/>
                <w:szCs w:val="22"/>
                <w:color w:val="auto"/>
              </w:rPr>
            </w:pPr>
          </w:p>
        </w:tc>
      </w:tr>
      <w:tr>
        <w:trPr>
          <w:trHeight w:val="252"/>
        </w:trPr>
        <w:tc>
          <w:tcPr>
            <w:tcW w:w="2360" w:type="dxa"/>
            <w:vAlign w:val="bottom"/>
          </w:tcPr>
          <w:p>
            <w:pPr>
              <w:ind w:left="40"/>
              <w:spacing w:after="0"/>
              <w:rPr>
                <w:sz w:val="20"/>
                <w:szCs w:val="20"/>
                <w:color w:val="auto"/>
              </w:rPr>
            </w:pPr>
            <w:r>
              <w:rPr>
                <w:rFonts w:ascii="Arial" w:cs="Arial" w:eastAsia="Arial" w:hAnsi="Arial"/>
                <w:sz w:val="16"/>
                <w:szCs w:val="16"/>
                <w:color w:val="auto"/>
              </w:rPr>
              <w:t>S. Scott Degnan</w:t>
            </w:r>
          </w:p>
        </w:tc>
        <w:tc>
          <w:tcPr>
            <w:tcW w:w="3120" w:type="dxa"/>
            <w:vAlign w:val="bottom"/>
          </w:tcPr>
          <w:p>
            <w:pPr>
              <w:jc w:val="right"/>
              <w:ind w:right="461"/>
              <w:spacing w:after="0"/>
              <w:rPr>
                <w:sz w:val="20"/>
                <w:szCs w:val="20"/>
                <w:color w:val="auto"/>
              </w:rPr>
            </w:pPr>
            <w:r>
              <w:rPr>
                <w:rFonts w:ascii="Arial" w:cs="Arial" w:eastAsia="Arial" w:hAnsi="Arial"/>
                <w:sz w:val="16"/>
                <w:szCs w:val="16"/>
                <w:color w:val="auto"/>
              </w:rPr>
              <w:t>250%</w:t>
            </w:r>
          </w:p>
        </w:tc>
        <w:tc>
          <w:tcPr>
            <w:tcW w:w="1560" w:type="dxa"/>
            <w:vAlign w:val="bottom"/>
          </w:tcPr>
          <w:p>
            <w:pPr>
              <w:jc w:val="right"/>
              <w:ind w:right="121"/>
              <w:spacing w:after="0"/>
              <w:rPr>
                <w:sz w:val="20"/>
                <w:szCs w:val="20"/>
                <w:color w:val="auto"/>
              </w:rPr>
            </w:pPr>
            <w:r>
              <w:rPr>
                <w:rFonts w:ascii="Arial" w:cs="Arial" w:eastAsia="Arial" w:hAnsi="Arial"/>
                <w:sz w:val="16"/>
                <w:szCs w:val="16"/>
                <w:color w:val="auto"/>
              </w:rPr>
              <w:t>739,028</w:t>
            </w: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35,389</w:t>
            </w: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702,472</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238%</w:t>
            </w:r>
          </w:p>
        </w:tc>
        <w:tc>
          <w:tcPr>
            <w:tcW w:w="260" w:type="dxa"/>
            <w:vAlign w:val="bottom"/>
          </w:tcPr>
          <w:p>
            <w:pPr>
              <w:jc w:val="right"/>
              <w:ind w:right="48"/>
              <w:spacing w:after="0"/>
              <w:rPr>
                <w:sz w:val="20"/>
                <w:szCs w:val="20"/>
                <w:color w:val="auto"/>
              </w:rPr>
            </w:pPr>
            <w:r>
              <w:rPr>
                <w:rFonts w:ascii="Arial" w:cs="Arial" w:eastAsia="Arial" w:hAnsi="Arial"/>
                <w:sz w:val="10"/>
                <w:szCs w:val="10"/>
                <w:color w:val="auto"/>
              </w:rPr>
              <w:t>(3)</w:t>
            </w:r>
          </w:p>
        </w:tc>
      </w:tr>
      <w:tr>
        <w:trPr>
          <w:trHeight w:val="272"/>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312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250%</w:t>
            </w:r>
          </w:p>
        </w:tc>
        <w:tc>
          <w:tcPr>
            <w:tcW w:w="1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633,450</w:t>
            </w: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35,246</w:t>
            </w: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699,633</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276%</w:t>
            </w:r>
          </w:p>
        </w:tc>
        <w:tc>
          <w:tcPr>
            <w:tcW w:w="260" w:type="dxa"/>
            <w:vAlign w:val="bottom"/>
            <w:shd w:val="clear" w:color="auto" w:fill="CCEEFF"/>
          </w:tcPr>
          <w:p>
            <w:pPr>
              <w:spacing w:after="0"/>
              <w:rPr>
                <w:sz w:val="23"/>
                <w:szCs w:val="23"/>
                <w:color w:val="auto"/>
              </w:rPr>
            </w:pPr>
          </w:p>
        </w:tc>
      </w:tr>
      <w:tr>
        <w:trPr>
          <w:trHeight w:val="242"/>
        </w:trPr>
        <w:tc>
          <w:tcPr>
            <w:tcW w:w="236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3120" w:type="dxa"/>
            <w:vAlign w:val="bottom"/>
          </w:tcPr>
          <w:p>
            <w:pPr>
              <w:jc w:val="right"/>
              <w:ind w:right="461"/>
              <w:spacing w:after="0"/>
              <w:rPr>
                <w:sz w:val="20"/>
                <w:szCs w:val="20"/>
                <w:color w:val="auto"/>
              </w:rPr>
            </w:pPr>
            <w:r>
              <w:rPr>
                <w:rFonts w:ascii="Arial" w:cs="Arial" w:eastAsia="Arial" w:hAnsi="Arial"/>
                <w:sz w:val="16"/>
                <w:szCs w:val="16"/>
                <w:color w:val="auto"/>
              </w:rPr>
              <w:t>250%</w:t>
            </w:r>
          </w:p>
        </w:tc>
        <w:tc>
          <w:tcPr>
            <w:tcW w:w="1560" w:type="dxa"/>
            <w:vAlign w:val="bottom"/>
          </w:tcPr>
          <w:p>
            <w:pPr>
              <w:jc w:val="right"/>
              <w:ind w:right="121"/>
              <w:spacing w:after="0"/>
              <w:rPr>
                <w:sz w:val="20"/>
                <w:szCs w:val="20"/>
                <w:color w:val="auto"/>
              </w:rPr>
            </w:pPr>
            <w:r>
              <w:rPr>
                <w:rFonts w:ascii="Arial" w:cs="Arial" w:eastAsia="Arial" w:hAnsi="Arial"/>
                <w:sz w:val="16"/>
                <w:szCs w:val="16"/>
                <w:color w:val="auto"/>
              </w:rPr>
              <w:t>618,000</w:t>
            </w: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42,510</w:t>
            </w: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843,824</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341%</w:t>
            </w:r>
          </w:p>
        </w:tc>
        <w:tc>
          <w:tcPr>
            <w:tcW w:w="260" w:type="dxa"/>
            <w:vAlign w:val="bottom"/>
          </w:tcPr>
          <w:p>
            <w:pPr>
              <w:spacing w:after="0"/>
              <w:rPr>
                <w:sz w:val="21"/>
                <w:szCs w:val="21"/>
                <w:color w:val="auto"/>
              </w:rPr>
            </w:pPr>
          </w:p>
        </w:tc>
      </w:tr>
    </w:tbl>
    <w:p>
      <w:pPr>
        <w:spacing w:after="0" w:line="76" w:lineRule="exact"/>
        <w:rPr>
          <w:sz w:val="20"/>
          <w:szCs w:val="20"/>
          <w:color w:val="auto"/>
        </w:rPr>
      </w:pPr>
    </w:p>
    <w:p>
      <w:pPr>
        <w:ind w:left="320" w:hanging="315"/>
        <w:spacing w:after="0"/>
        <w:tabs>
          <w:tab w:leader="none" w:pos="320" w:val="left"/>
        </w:tabs>
        <w:numPr>
          <w:ilvl w:val="0"/>
          <w:numId w:val="40"/>
        </w:numPr>
        <w:rPr>
          <w:rFonts w:ascii="Arial" w:cs="Arial" w:eastAsia="Arial" w:hAnsi="Arial"/>
          <w:sz w:val="12"/>
          <w:szCs w:val="12"/>
          <w:color w:val="auto"/>
        </w:rPr>
      </w:pPr>
      <w:r>
        <w:rPr>
          <w:rFonts w:ascii="Arial" w:cs="Arial" w:eastAsia="Arial" w:hAnsi="Arial"/>
          <w:sz w:val="14"/>
          <w:szCs w:val="14"/>
          <w:color w:val="auto"/>
        </w:rPr>
        <w:t>Based upon the annual base salary in effect for each of the NEOs as of August 29, 2015. The ownership guideline for the CEO is 400% of annual salary.</w:t>
      </w:r>
    </w:p>
    <w:p>
      <w:pPr>
        <w:spacing w:after="0" w:line="48" w:lineRule="exact"/>
        <w:rPr>
          <w:rFonts w:ascii="Arial" w:cs="Arial" w:eastAsia="Arial" w:hAnsi="Arial"/>
          <w:sz w:val="12"/>
          <w:szCs w:val="12"/>
          <w:color w:val="auto"/>
        </w:rPr>
      </w:pPr>
    </w:p>
    <w:p>
      <w:pPr>
        <w:ind w:left="320" w:hanging="315"/>
        <w:spacing w:after="0"/>
        <w:tabs>
          <w:tab w:leader="none" w:pos="320" w:val="left"/>
        </w:tabs>
        <w:numPr>
          <w:ilvl w:val="0"/>
          <w:numId w:val="40"/>
        </w:numPr>
        <w:rPr>
          <w:rFonts w:ascii="Arial" w:cs="Arial" w:eastAsia="Arial" w:hAnsi="Arial"/>
          <w:sz w:val="12"/>
          <w:szCs w:val="12"/>
          <w:color w:val="auto"/>
        </w:rPr>
      </w:pPr>
      <w:r>
        <w:rPr>
          <w:rFonts w:ascii="Arial" w:cs="Arial" w:eastAsia="Arial" w:hAnsi="Arial"/>
          <w:sz w:val="14"/>
          <w:szCs w:val="14"/>
          <w:color w:val="auto"/>
        </w:rPr>
        <w:t>Based upon the closing market price of $19.85 per share, the Company's Common Stock as quoted on the NYSE on October 13, 2015.</w:t>
      </w:r>
    </w:p>
    <w:p>
      <w:pPr>
        <w:spacing w:after="0" w:line="48" w:lineRule="exact"/>
        <w:rPr>
          <w:rFonts w:ascii="Arial" w:cs="Arial" w:eastAsia="Arial" w:hAnsi="Arial"/>
          <w:sz w:val="12"/>
          <w:szCs w:val="12"/>
          <w:color w:val="auto"/>
        </w:rPr>
      </w:pPr>
    </w:p>
    <w:p>
      <w:pPr>
        <w:ind w:left="320" w:hanging="315"/>
        <w:spacing w:after="0"/>
        <w:tabs>
          <w:tab w:leader="none" w:pos="320" w:val="left"/>
        </w:tabs>
        <w:numPr>
          <w:ilvl w:val="0"/>
          <w:numId w:val="40"/>
        </w:numPr>
        <w:rPr>
          <w:rFonts w:ascii="Arial" w:cs="Arial" w:eastAsia="Arial" w:hAnsi="Arial"/>
          <w:sz w:val="12"/>
          <w:szCs w:val="12"/>
          <w:color w:val="auto"/>
        </w:rPr>
      </w:pPr>
      <w:r>
        <w:rPr>
          <w:rFonts w:ascii="Arial" w:cs="Arial" w:eastAsia="Arial" w:hAnsi="Arial"/>
          <w:sz w:val="14"/>
          <w:szCs w:val="14"/>
          <w:color w:val="auto"/>
        </w:rPr>
        <w:t>Mr. Degnan became an officer for the Company in 2012 and the guidelines provide for a five year period in which to attain this level of stock ownership.</w:t>
      </w:r>
    </w:p>
    <w:p>
      <w:pPr>
        <w:sectPr>
          <w:pgSz w:w="11900" w:h="16838" w:orient="portrait"/>
          <w:cols w:equalWidth="0" w:num="1">
            <w:col w:w="11420"/>
          </w:cols>
          <w:pgMar w:left="240" w:top="298" w:right="239" w:bottom="1440" w:gutter="0" w:footer="0" w:header="0"/>
        </w:sectPr>
      </w:pPr>
    </w:p>
    <w:p>
      <w:pPr>
        <w:spacing w:after="0" w:line="187"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Prior to Fiscal 2007, we provided long-term incentives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2004 Plan in the form of stock options granted to NEOs and other key Management personnel. Stock option grants are intended to retain and motivate NEOs to seek to improve long-term stock market performance and enhance shareholder value by placing a portion of an NEOs compensation at risk and directly tied to stock price appreciation. No stock options were granted to NEOs in Fiscal 2015.</w:t>
      </w:r>
    </w:p>
    <w:p>
      <w:pPr>
        <w:spacing w:after="0" w:line="152"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Under the 2014 Plan, incentive and non-qualified stock options may be granted at any time for new hires, promotions or other compensation-based reasons as determined by the Committee. Previously granted stock option awards were approved by Committee at meetings following our fiscal year end. Any future stock options are expected to be granted at the closing market price on the date of grant by the Committee and, as such, will only gain value if the price of the Company's Common Stock underlying the stock option increases above the price of the Company's Common Stock on the date of the stock option grant and is exercised prior to the expiration of the option. Prior to Fiscal 2007, stock options were granted at the “prevailing market price” — the mean between the highest and lowest price on the date of the grant. Options are exercisable at such time or times and in such amount or amounts as determined by the Committee, generally vesting and exercisable over a three-year period in one-third increments per year, with the term of stock options extending no more than ten years after the grant date.</w:t>
      </w:r>
    </w:p>
    <w:p>
      <w:pPr>
        <w:spacing w:after="0" w:line="159"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In addition, NEOs may be entitled to earlier vesting of stock option awards under the 2004 Plan in the event of a “change in control” (as defined in the 2004 Plan), disability, termination of employment or death. See “Potential Payments upon Termination or Change of Control—2004 Incentive Compensation Plan Payments” below. Additional vesting rules apply to incentive stock options and non-qualified options under the 2004 Plan pursuant to individual option award</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agreements entered into between each stock option grantee and the Company on the date of the stock option grant.</w:t>
      </w:r>
    </w:p>
    <w:p>
      <w:pPr>
        <w:spacing w:after="0" w:line="156"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b w:val="1"/>
          <w:bCs w:val="1"/>
          <w:i w:val="1"/>
          <w:iCs w:val="1"/>
          <w:color w:val="auto"/>
        </w:rPr>
        <w:t>Benefits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NEOs are eligible to participate in the same benefit plans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for all of our full-time employees. The basic insurance package includes health, dental, disability and basic group life insurance coverage. In addition, employees, including the NEOs, may qualify for company subsidized retiree health care benefits (if hired before April 2001). Employees hired on or after April 1, 2001 and prior to April 1, 2009, while eligible to participate in our retiree health care program at “group rates,” are not eligible for any Company subsidy. Employees hired on or after April 1, 2009 are not eligible to participate in our retiree health care programs as these programs are closed to all employees hired thereafter. Under our Long-Term Disability Plan, salaried employees are eligible for a monthly benefit based upon 60% of pre-disability earnings, up to a maximum monthly benefit of $10,000.</w:t>
      </w:r>
    </w:p>
    <w:p>
      <w:pPr>
        <w:spacing w:after="0" w:line="151"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Except as specifically summarized in this Compensation Discussion and Analysis, we do not currently provide retirement payments and benefits for NEOs following his or her retirement, including, but not limited to, tax-qualified defined benefit plans and supplemental executive retirement plans.</w:t>
      </w:r>
    </w:p>
    <w:p>
      <w:pPr>
        <w:spacing w:after="0" w:line="138"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i w:val="1"/>
          <w:iCs w:val="1"/>
          <w:color w:val="auto"/>
        </w:rPr>
        <w:t xml:space="preserve">Profit Sharing and Deferred Savings and Investment Plan. </w:t>
      </w:r>
      <w:r>
        <w:rPr>
          <w:rFonts w:ascii="Arial" w:cs="Arial" w:eastAsia="Arial" w:hAnsi="Arial"/>
          <w:sz w:val="16"/>
          <w:szCs w:val="16"/>
          <w:color w:val="auto"/>
        </w:rPr>
        <w:t>We maintain a</w:t>
      </w:r>
      <w:r>
        <w:rPr>
          <w:rFonts w:ascii="Arial" w:cs="Arial" w:eastAsia="Arial" w:hAnsi="Arial"/>
          <w:sz w:val="16"/>
          <w:szCs w:val="16"/>
          <w:i w:val="1"/>
          <w:iCs w:val="1"/>
          <w:color w:val="auto"/>
        </w:rPr>
        <w:t xml:space="preserve"> </w:t>
      </w:r>
      <w:r>
        <w:rPr>
          <w:rFonts w:ascii="Arial" w:cs="Arial" w:eastAsia="Arial" w:hAnsi="Arial"/>
          <w:sz w:val="16"/>
          <w:szCs w:val="16"/>
          <w:color w:val="auto"/>
        </w:rPr>
        <w:t>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The Board may, at its discretion, also provide for a Company matching contribution each calendar quarter at a rate set by the Committee and approved by the Board each year. For Fiscal 2015, the Company made matching contributions equal to $0.30 per $1.00 employee contribution, up to 6% of the base</w:t>
      </w:r>
    </w:p>
    <w:p>
      <w:pPr>
        <w:spacing w:after="0" w:line="200" w:lineRule="exact"/>
        <w:rPr>
          <w:sz w:val="20"/>
          <w:szCs w:val="20"/>
          <w:color w:val="auto"/>
        </w:rPr>
      </w:pPr>
    </w:p>
    <w:p>
      <w:pPr>
        <w:sectPr>
          <w:pgSz w:w="11900" w:h="16838" w:orient="portrait"/>
          <w:cols w:equalWidth="0" w:num="2">
            <w:col w:w="5600" w:space="220"/>
            <w:col w:w="5600"/>
          </w:cols>
          <w:pgMar w:left="240" w:top="298" w:right="239" w:bottom="1440"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98" w:right="239" w:bottom="1440" w:gutter="0" w:footer="0" w:header="0"/>
          <w:type w:val="continuous"/>
        </w:sectPr>
      </w:pPr>
    </w:p>
    <w:bookmarkStart w:id="25" w:name="page26"/>
    <w:bookmarkEnd w:id="25"/>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compensation deferred by employees (subject to IRS limits and</w:t>
      </w:r>
    </w:p>
    <w:p>
      <w:pPr>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discrimination testing). Although executives, including the NEOs, are eligible to participate in the 401(k) Plan, the application of the annual limitation on contributions under the IRC prevents executives from participating at the same level as non-executives. This compensation element is tax-deferred and is not intended to affect the value of any other compensation element.</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i w:val="1"/>
          <w:iCs w:val="1"/>
          <w:color w:val="auto"/>
        </w:rPr>
        <w:t xml:space="preserve">Supplemental Executive Retirement Plan (SERP)/Split Dollar Life Insurance. </w:t>
      </w:r>
      <w:r>
        <w:rPr>
          <w:rFonts w:ascii="Arial" w:cs="Arial" w:eastAsia="Arial" w:hAnsi="Arial"/>
          <w:sz w:val="15"/>
          <w:szCs w:val="15"/>
          <w:color w:val="auto"/>
        </w:rPr>
        <w:t>In</w:t>
      </w:r>
      <w:r>
        <w:rPr>
          <w:rFonts w:ascii="Arial" w:cs="Arial" w:eastAsia="Arial" w:hAnsi="Arial"/>
          <w:sz w:val="15"/>
          <w:szCs w:val="15"/>
          <w:i w:val="1"/>
          <w:iCs w:val="1"/>
          <w:color w:val="auto"/>
        </w:rPr>
        <w:t xml:space="preserve"> </w:t>
      </w:r>
      <w:r>
        <w:rPr>
          <w:rFonts w:ascii="Arial" w:cs="Arial" w:eastAsia="Arial" w:hAnsi="Arial"/>
          <w:sz w:val="15"/>
          <w:szCs w:val="15"/>
          <w:color w:val="auto"/>
        </w:rPr>
        <w:t>1988, the Board of Directors approved the adoption of an Executive Split Dollar Life Insurance Program with respect to certain executives. The primary purpose of this insurance was to provide these executives with supplemental retirement income for a period of 15 years after retirement. Additionally, this insurance was intended to provide a liquid asset to heirs of executives to pay estate taxes, thereby minimizing the necessity for their estates to sell large blocks of shares of the Company's Common Stock to pay estate taxes, which sales might disrupt the market for our shares. We have not offered this insurance as a continuing part of the NEO total compensation package or to other members of Management since 1998 due to regulatory and tax changes that made this program less attractive, but have maintained the benefit for those originally participating in the program. The plan is funded with individual whole life insurance policies owned by the named insured executive. The life insurance premiums were initially paid by the Company on the life of the executives and the executive receives life insurance and supplemental cash payments during the 15 years following retirement. We will “cost recover” materially all of the premiums paid by the Company at the executive's death, as each insured executive has collaterally assigned to us the right to receive proceeds in an amount equal to the total dollar value of premiums paid by the Company.</w:t>
      </w:r>
    </w:p>
    <w:p>
      <w:pPr>
        <w:spacing w:after="0" w:line="33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2008, the Board of Directors converted benefits payable under the Executive Split Dollar Life Program to a Supplemental Executive Retirement Plan (SERP) as a result of changes in the tax and accounting regulations and rising administrative costs. The redesign was implemented in order to comply with IRC Section 409A and to control administrative costs. Benefits payable under the redesigned SERP are substantially similar to the Executive Split Dollar Life Insurance Program. However, the underlying life insurance policies previously owned by the named insured executive became company-owned life insurance (COLI) by a release of all interests from the participant and assignment to us as a prerequisite to participation in the SERP and conversion from the Executive Split Dollar Life Insurance Program. Pursuant to the SERP, benefit payments are stated as a particular dollar amount in a participation agreement and paid directly from us, no longer linked to the COLI. This program remains closed to new employee participation.</w:t>
      </w:r>
    </w:p>
    <w:p>
      <w:pPr>
        <w:spacing w:after="0" w:line="143"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i w:val="1"/>
          <w:iCs w:val="1"/>
          <w:color w:val="auto"/>
        </w:rPr>
        <w:t xml:space="preserve">Executive Share Option Program. </w:t>
      </w:r>
      <w:r>
        <w:rPr>
          <w:rFonts w:ascii="Arial" w:cs="Arial" w:eastAsia="Arial" w:hAnsi="Arial"/>
          <w:sz w:val="15"/>
          <w:szCs w:val="15"/>
          <w:color w:val="auto"/>
        </w:rPr>
        <w:t>We established the Executive Share Option</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in 1997 to provide executives with an opportunity to defer a portion of their compensation in the form of options to purchase shares of mutual funds invested in companies other than Winnebago Industries. Due to the enactment in 2004 of Section 409A of the IRC, which provided new tax rules for deferred compensation plans, the Executive Share Option Program was frozen effective December 31, 2004. Accordingly, there have been and will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no new deferrals or contributions to the Executive Share Option Program after that date and no new participants may enter the plan. Only Mr. Potts and Mr. Krieger had accounts in the Executive Share Option Program. Mr. Potts retired from the Company on August 6, 2015. We maintain the account balances as part of the executives' past compensation to be paid in the future in accordance with the terms of the plan, but these accounts are not considered a currently active part of the total compensation package of any NEO participating in the plan.</w:t>
      </w:r>
    </w:p>
    <w:p>
      <w:pPr>
        <w:spacing w:after="0" w:line="142" w:lineRule="exact"/>
        <w:rPr>
          <w:sz w:val="20"/>
          <w:szCs w:val="20"/>
          <w:color w:val="auto"/>
        </w:rPr>
      </w:pPr>
    </w:p>
    <w:p>
      <w:pPr>
        <w:spacing w:after="0" w:line="241" w:lineRule="auto"/>
        <w:rPr>
          <w:sz w:val="20"/>
          <w:szCs w:val="20"/>
          <w:color w:val="auto"/>
        </w:rPr>
      </w:pPr>
      <w:r>
        <w:rPr>
          <w:rFonts w:ascii="Arial" w:cs="Arial" w:eastAsia="Arial" w:hAnsi="Arial"/>
          <w:sz w:val="16"/>
          <w:szCs w:val="16"/>
          <w:i w:val="1"/>
          <w:iCs w:val="1"/>
          <w:color w:val="auto"/>
        </w:rPr>
        <w:t xml:space="preserve">Executive Deferred Compensation Plan (2007) (Non-Qualified Deferred Compensation Plan). </w:t>
      </w:r>
      <w:r>
        <w:rPr>
          <w:rFonts w:ascii="Arial" w:cs="Arial" w:eastAsia="Arial" w:hAnsi="Arial"/>
          <w:sz w:val="16"/>
          <w:szCs w:val="16"/>
          <w:color w:val="auto"/>
        </w:rPr>
        <w:t>In 2006, the Board adopted the Winnebago Industries, Inc.</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Deferred Compensation Plan (as amended and restated, the “Executive Deferred Compensation Plan”). The Executive Deferred Compensation Plan permits executive officers, including the NEOs, to defer a portion of their salary and all or a portion of their cash incentive award compensation. The Executive Deferred Compensation Plan became effective as of January 1, 2007 and applies to compensation paid to participants on and after such date. The Executive Deferred Compensation Plan was amended and restated effective in 2011 to clarify administrative procedures and further substantiate compliance under IRC 409A.</w:t>
      </w:r>
    </w:p>
    <w:p>
      <w:pPr>
        <w:spacing w:after="0" w:line="157"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Under the Executive Deferred Compensation Plan, executive officers and certain key employees may annually choose to defer up to 50% of their salary and up to 100% of their cash incentive awards. The Committee may, from time to time and in its sole and absolute discretion, select the available investments in which a participant's deferred benefit account may be deemed invested (“Available Investments”).</w:t>
      </w:r>
    </w:p>
    <w:p>
      <w:pPr>
        <w:spacing w:after="0" w:line="153"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Each participant may designate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w:t>
      </w:r>
    </w:p>
    <w:p>
      <w:pPr>
        <w:spacing w:after="0" w:line="154" w:lineRule="exact"/>
        <w:rPr>
          <w:sz w:val="20"/>
          <w:szCs w:val="20"/>
          <w:color w:val="auto"/>
        </w:rPr>
      </w:pPr>
    </w:p>
    <w:p>
      <w:pPr>
        <w:ind w:right="60"/>
        <w:spacing w:after="0"/>
        <w:rPr>
          <w:sz w:val="20"/>
          <w:szCs w:val="20"/>
          <w:color w:val="auto"/>
        </w:rPr>
      </w:pPr>
      <w:r>
        <w:rPr>
          <w:rFonts w:ascii="Arial" w:cs="Arial" w:eastAsia="Arial" w:hAnsi="Arial"/>
          <w:sz w:val="16"/>
          <w:szCs w:val="16"/>
          <w:color w:val="auto"/>
        </w:rPr>
        <w:t>A participant in the Executive Deferred Compensation Plan will, upon the first to occur of the following events, be entitled to a payment (a “Deferred Benefit”) equal to the amount of his or her deferred benefit account as of the determination date coinciding with such event:</w:t>
      </w:r>
    </w:p>
    <w:p>
      <w:pPr>
        <w:spacing w:after="0" w:line="154" w:lineRule="exact"/>
        <w:rPr>
          <w:sz w:val="20"/>
          <w:szCs w:val="20"/>
          <w:color w:val="auto"/>
        </w:rPr>
      </w:pPr>
    </w:p>
    <w:p>
      <w:pPr>
        <w:ind w:left="320" w:right="80" w:hanging="312"/>
        <w:spacing w:after="0" w:line="239" w:lineRule="auto"/>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date certain (which must be selected by the participant in his or her participation agreement and which cannot be changed except as otherwise provided in the Executive Deferred Compensation Plan);</w:t>
      </w:r>
    </w:p>
    <w:p>
      <w:pPr>
        <w:ind w:left="320" w:hanging="312"/>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separation from service;</w:t>
      </w:r>
    </w:p>
    <w:p>
      <w:pPr>
        <w:ind w:left="320" w:hanging="312"/>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disability;</w:t>
      </w:r>
    </w:p>
    <w:p>
      <w:pPr>
        <w:ind w:left="320" w:hanging="312"/>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death; or</w:t>
      </w:r>
    </w:p>
    <w:p>
      <w:pPr>
        <w:ind w:left="320" w:hanging="312"/>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 in control.</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Under the Executive Deferred Compensation Plan, we are required to pay to the participant (or the participant's beneficiary), his or her Deferred Benefit in one of the following forms (as elected in the participation agreement filed by the participant with the administrator of the Executive Deferred Compensation Plan):</w:t>
      </w:r>
    </w:p>
    <w:p>
      <w:pPr>
        <w:spacing w:after="0" w:line="137" w:lineRule="exact"/>
        <w:rPr>
          <w:sz w:val="20"/>
          <w:szCs w:val="20"/>
          <w:color w:val="auto"/>
        </w:rPr>
      </w:pPr>
    </w:p>
    <w:p>
      <w:pPr>
        <w:sectPr>
          <w:pgSz w:w="11900" w:h="16838" w:orient="portrait"/>
          <w:cols w:equalWidth="0" w:num="2">
            <w:col w:w="5580" w:space="240"/>
            <w:col w:w="5600"/>
          </w:cols>
          <w:pgMar w:left="240" w:top="298" w:right="239" w:bottom="1440" w:gutter="0" w:footer="0" w:header="0"/>
          <w:type w:val="continuous"/>
        </w:sectPr>
      </w:pPr>
    </w:p>
    <w:p>
      <w:pPr>
        <w:ind w:left="6140" w:hanging="312"/>
        <w:spacing w:after="0"/>
        <w:tabs>
          <w:tab w:leader="none" w:pos="6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lump-sum payment; or</w:t>
      </w:r>
    </w:p>
    <w:p>
      <w:pPr>
        <w:ind w:left="6140" w:right="100" w:hanging="312"/>
        <w:spacing w:after="0" w:line="244" w:lineRule="auto"/>
        <w:tabs>
          <w:tab w:leader="none" w:pos="6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monthly payment of a fixed amount which shall amortize the participant's Deferred Benefit in equal monthly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98" w:right="239" w:bottom="1440" w:gutter="0" w:footer="0" w:header="0"/>
          <w:type w:val="continuous"/>
        </w:sectPr>
      </w:pPr>
    </w:p>
    <w:bookmarkStart w:id="26" w:name="page27"/>
    <w:bookmarkEnd w:id="2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320" w:right="60"/>
        <w:spacing w:after="0" w:line="325" w:lineRule="auto"/>
        <w:rPr>
          <w:sz w:val="20"/>
          <w:szCs w:val="20"/>
          <w:color w:val="auto"/>
        </w:rPr>
      </w:pPr>
      <w:r>
        <w:rPr>
          <w:rFonts w:ascii="Arial" w:cs="Arial" w:eastAsia="Arial" w:hAnsi="Arial"/>
          <w:sz w:val="16"/>
          <w:szCs w:val="16"/>
          <w:color w:val="auto"/>
        </w:rPr>
        <w:t>payments of principal and interest over a period from 2 to 120 months (as selected by the participant on his or her participation agreement); in the event of death, disability or change in control, we are required to pay to the participant (or the participant's beneficiary) the total value of his or her Deferred Benefit in a lump-sum payment.</w:t>
      </w:r>
    </w:p>
    <w:p>
      <w:pPr>
        <w:spacing w:after="0" w:line="129" w:lineRule="exact"/>
        <w:rPr>
          <w:sz w:val="20"/>
          <w:szCs w:val="20"/>
          <w:color w:val="auto"/>
        </w:rPr>
      </w:pPr>
    </w:p>
    <w:p>
      <w:pPr>
        <w:ind w:right="340"/>
        <w:spacing w:after="0" w:line="276" w:lineRule="auto"/>
        <w:rPr>
          <w:sz w:val="20"/>
          <w:szCs w:val="20"/>
          <w:color w:val="auto"/>
        </w:rPr>
      </w:pPr>
      <w:r>
        <w:rPr>
          <w:rFonts w:ascii="Arial" w:cs="Arial" w:eastAsia="Arial" w:hAnsi="Arial"/>
          <w:sz w:val="15"/>
          <w:szCs w:val="15"/>
          <w:color w:val="auto"/>
        </w:rPr>
        <w:t>In the absence of a participant's election as to the form of the payout, a participant's Deferred Benefit account will be paid over a 120-month period.</w:t>
      </w:r>
    </w:p>
    <w:p>
      <w:pPr>
        <w:spacing w:after="0" w:line="127" w:lineRule="exact"/>
        <w:rPr>
          <w:sz w:val="20"/>
          <w:szCs w:val="20"/>
          <w:color w:val="auto"/>
        </w:rPr>
      </w:pPr>
    </w:p>
    <w:p>
      <w:pPr>
        <w:ind w:right="240"/>
        <w:spacing w:after="0"/>
        <w:rPr>
          <w:sz w:val="20"/>
          <w:szCs w:val="20"/>
          <w:color w:val="auto"/>
        </w:rPr>
      </w:pPr>
      <w:r>
        <w:rPr>
          <w:rFonts w:ascii="Arial" w:cs="Arial" w:eastAsia="Arial" w:hAnsi="Arial"/>
          <w:sz w:val="16"/>
          <w:szCs w:val="16"/>
          <w:color w:val="auto"/>
        </w:rPr>
        <w:t>The Executive Deferred Compensation Plan was established to provide a replacement to several of the executive non-qualified deferred compensation programs that, as described above, were previously frozen. The Committee believed that it was important to provide a current program that would permit executives to defer a portion of their compensation on a voluntary basis to supplement future retirement income due to contribution limitations on our qualified 401(k) Plan.</w:t>
      </w:r>
    </w:p>
    <w:p>
      <w:pPr>
        <w:spacing w:after="0" w:line="133" w:lineRule="exact"/>
        <w:rPr>
          <w:sz w:val="20"/>
          <w:szCs w:val="20"/>
          <w:color w:val="auto"/>
        </w:rPr>
      </w:pPr>
    </w:p>
    <w:p>
      <w:pPr>
        <w:ind w:right="100"/>
        <w:spacing w:after="0" w:line="260" w:lineRule="auto"/>
        <w:rPr>
          <w:sz w:val="20"/>
          <w:szCs w:val="20"/>
          <w:color w:val="auto"/>
        </w:rPr>
      </w:pPr>
      <w:r>
        <w:rPr>
          <w:rFonts w:ascii="Arial" w:cs="Arial" w:eastAsia="Arial" w:hAnsi="Arial"/>
          <w:sz w:val="15"/>
          <w:szCs w:val="15"/>
          <w:b w:val="1"/>
          <w:bCs w:val="1"/>
          <w:i w:val="1"/>
          <w:iCs w:val="1"/>
          <w:color w:val="auto"/>
        </w:rPr>
        <w:t>Perquisites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provide NEOs with limited perquisites that the Committee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believes are reasonable and consistent with the overall compensation program to better enable us to attract and retain superior employees for key positions. We avoid most of the perquisites provided to executives at many other companies and, as such, we do not provide company cars, an executive dining room, paid country club memberships or paid financial counseling.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 xml:space="preserve">Executive Physical. </w:t>
      </w:r>
      <w:r>
        <w:rPr>
          <w:rFonts w:ascii="Arial" w:cs="Arial" w:eastAsia="Arial" w:hAnsi="Arial"/>
          <w:sz w:val="16"/>
          <w:szCs w:val="16"/>
          <w:color w:val="auto"/>
        </w:rPr>
        <w:t>In an effort to encourage executives to monitor and maintain</w:t>
      </w:r>
      <w:r>
        <w:rPr>
          <w:rFonts w:ascii="Arial" w:cs="Arial" w:eastAsia="Arial" w:hAnsi="Arial"/>
          <w:sz w:val="16"/>
          <w:szCs w:val="16"/>
          <w:i w:val="1"/>
          <w:iCs w:val="1"/>
          <w:color w:val="auto"/>
        </w:rPr>
        <w:t xml:space="preserve"> </w:t>
      </w:r>
      <w:r>
        <w:rPr>
          <w:rFonts w:ascii="Arial" w:cs="Arial" w:eastAsia="Arial" w:hAnsi="Arial"/>
          <w:sz w:val="16"/>
          <w:szCs w:val="16"/>
          <w:color w:val="auto"/>
        </w:rPr>
        <w:t>good health, we pay for voluntary annual physical examinations for executives, including the NEOs.</w:t>
      </w:r>
    </w:p>
    <w:p>
      <w:pPr>
        <w:spacing w:after="0" w:line="128"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i w:val="1"/>
          <w:iCs w:val="1"/>
          <w:color w:val="auto"/>
        </w:rPr>
        <w:t xml:space="preserve">Motor Home Use. </w:t>
      </w:r>
      <w:r>
        <w:rPr>
          <w:rFonts w:ascii="Arial" w:cs="Arial" w:eastAsia="Arial" w:hAnsi="Arial"/>
          <w:sz w:val="16"/>
          <w:szCs w:val="16"/>
          <w:color w:val="auto"/>
        </w:rPr>
        <w:t>Our executives, including NEOs, have the opportunity to</w:t>
      </w:r>
      <w:r>
        <w:rPr>
          <w:rFonts w:ascii="Arial" w:cs="Arial" w:eastAsia="Arial" w:hAnsi="Arial"/>
          <w:sz w:val="16"/>
          <w:szCs w:val="16"/>
          <w:i w:val="1"/>
          <w:iCs w:val="1"/>
          <w:color w:val="auto"/>
        </w:rPr>
        <w:t xml:space="preserve"> </w:t>
      </w:r>
      <w:r>
        <w:rPr>
          <w:rFonts w:ascii="Arial" w:cs="Arial" w:eastAsia="Arial" w:hAnsi="Arial"/>
          <w:sz w:val="16"/>
          <w:szCs w:val="16"/>
          <w:color w:val="auto"/>
        </w:rPr>
        <w:t>utilize our motor homes on a periodic and temporary basis. We encourage the executive to have first hand understanding of the recreational vehicle lifestyle experienced by our customers and to provide the executive with the opportunity to evaluate product design and efficiency.</w:t>
      </w:r>
    </w:p>
    <w:p>
      <w:pPr>
        <w:spacing w:after="0" w:line="135"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i w:val="1"/>
          <w:iCs w:val="1"/>
          <w:color w:val="auto"/>
        </w:rPr>
        <w:t xml:space="preserve">Company Aircraft. </w:t>
      </w:r>
      <w:r>
        <w:rPr>
          <w:rFonts w:ascii="Arial" w:cs="Arial" w:eastAsia="Arial" w:hAnsi="Arial"/>
          <w:sz w:val="16"/>
          <w:szCs w:val="16"/>
          <w:color w:val="auto"/>
        </w:rPr>
        <w:t>Our aircraft is intended to be used only in the conduct of</w:t>
      </w:r>
      <w:r>
        <w:rPr>
          <w:rFonts w:ascii="Arial" w:cs="Arial" w:eastAsia="Arial" w:hAnsi="Arial"/>
          <w:sz w:val="16"/>
          <w:szCs w:val="16"/>
          <w:i w:val="1"/>
          <w:iCs w:val="1"/>
          <w:color w:val="auto"/>
        </w:rPr>
        <w:t xml:space="preserve"> </w:t>
      </w:r>
      <w:r>
        <w:rPr>
          <w:rFonts w:ascii="Arial" w:cs="Arial" w:eastAsia="Arial" w:hAnsi="Arial"/>
          <w:sz w:val="16"/>
          <w:szCs w:val="16"/>
          <w:color w:val="auto"/>
        </w:rPr>
        <w:t>official company business. When our aircraft makes flights in the conduct of company business, NEOs while not on official company business as well as other passengers who are not company employees may occupy seats only when approved by the CEO. Occasionally, spouses or guests of NEOs may accompany the executive on a flight or may occupy an available seat on the aircraft. As appropriate, imputed cost of aircraft use is treated as compensation and reported according to IRS regulations. In Fiscal 2015, none of the NEOs utilized our aircraft for personal use.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Matters</w:t>
      </w:r>
    </w:p>
    <w:p>
      <w:pPr>
        <w:spacing w:after="0" w:line="211"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i w:val="1"/>
          <w:iCs w:val="1"/>
          <w:color w:val="auto"/>
        </w:rPr>
        <w:t xml:space="preserve">Impact of Prior Compensation and Consideration of Company's Fiscal 2014 “Say-on-Pay” Vote. </w:t>
      </w:r>
      <w:r>
        <w:rPr>
          <w:rFonts w:ascii="Arial" w:cs="Arial" w:eastAsia="Arial" w:hAnsi="Arial"/>
          <w:sz w:val="16"/>
          <w:szCs w:val="16"/>
          <w:color w:val="auto"/>
        </w:rPr>
        <w:t>In general, prior compensation did not serve to increase or</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Fiscal 2015 compensation amounts paid to NEOs. The Committee considers NEO compensation on a yearly basis and a three (3) year period under the Officers Long Term Incentive Plan. The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200" w:right="540"/>
        <w:spacing w:after="0" w:line="244" w:lineRule="auto"/>
        <w:rPr>
          <w:sz w:val="20"/>
          <w:szCs w:val="20"/>
          <w:color w:val="auto"/>
        </w:rPr>
      </w:pPr>
      <w:r>
        <w:rPr>
          <w:rFonts w:ascii="Arial" w:cs="Arial" w:eastAsia="Arial" w:hAnsi="Arial"/>
          <w:sz w:val="16"/>
          <w:szCs w:val="16"/>
          <w:color w:val="auto"/>
        </w:rPr>
        <w:t>Committee's primary focus is on achieving the Company's compensation philosophy and objectives described above.</w:t>
      </w:r>
    </w:p>
    <w:p>
      <w:pPr>
        <w:spacing w:after="0" w:line="150" w:lineRule="exact"/>
        <w:rPr>
          <w:sz w:val="20"/>
          <w:szCs w:val="20"/>
          <w:color w:val="auto"/>
        </w:rPr>
      </w:pPr>
    </w:p>
    <w:p>
      <w:pPr>
        <w:ind w:left="200"/>
        <w:spacing w:after="0" w:line="239" w:lineRule="auto"/>
        <w:rPr>
          <w:sz w:val="20"/>
          <w:szCs w:val="20"/>
          <w:color w:val="auto"/>
        </w:rPr>
      </w:pPr>
      <w:r>
        <w:rPr>
          <w:rFonts w:ascii="Arial" w:cs="Arial" w:eastAsia="Arial" w:hAnsi="Arial"/>
          <w:sz w:val="16"/>
          <w:szCs w:val="16"/>
          <w:color w:val="auto"/>
        </w:rPr>
        <w:t>The Committee considers the results of the annual shareholder advisory “say-on-pay” vote along with other factors in connection with discharging its responsibilities relating to the Company's executive compensation program. As a result of last year's advisory “say on pay” vote, which saw a substantial majority (approximately 99%) of the Company's shareholders who cast votes to approve the compensation program described in last year's proxy statement, the Committee did not make any material changes to the amounts and types of executive compensation for Fiscal 2015.</w:t>
      </w:r>
    </w:p>
    <w:p>
      <w:pPr>
        <w:spacing w:after="0" w:line="142" w:lineRule="exact"/>
        <w:rPr>
          <w:sz w:val="20"/>
          <w:szCs w:val="20"/>
          <w:color w:val="auto"/>
        </w:rPr>
      </w:pPr>
    </w:p>
    <w:p>
      <w:pPr>
        <w:ind w:left="200" w:right="160"/>
        <w:spacing w:after="0" w:line="243" w:lineRule="auto"/>
        <w:rPr>
          <w:sz w:val="20"/>
          <w:szCs w:val="20"/>
          <w:color w:val="auto"/>
        </w:rPr>
      </w:pPr>
      <w:r>
        <w:rPr>
          <w:rFonts w:ascii="Arial" w:cs="Arial" w:eastAsia="Arial" w:hAnsi="Arial"/>
          <w:sz w:val="16"/>
          <w:szCs w:val="16"/>
          <w:i w:val="1"/>
          <w:iCs w:val="1"/>
          <w:color w:val="auto"/>
        </w:rPr>
        <w:t xml:space="preserve">Severance Payments. </w:t>
      </w:r>
      <w:r>
        <w:rPr>
          <w:rFonts w:ascii="Arial" w:cs="Arial" w:eastAsia="Arial" w:hAnsi="Arial"/>
          <w:sz w:val="16"/>
          <w:szCs w:val="16"/>
          <w:color w:val="auto"/>
        </w:rPr>
        <w:t>The compensation package of each NEO also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for special payments and accelerated vesting of other compensation opportunities upon termination of employment or in specified circumstances involving significant reduction of duties or in working conditions. We have entered into change of control agreements with each of the NEOs and certain other executive officers (collectively, “Executive Change of Control Agreements”).</w:t>
      </w:r>
    </w:p>
    <w:p>
      <w:pPr>
        <w:spacing w:after="0" w:line="152" w:lineRule="exact"/>
        <w:rPr>
          <w:sz w:val="20"/>
          <w:szCs w:val="20"/>
          <w:color w:val="auto"/>
        </w:rPr>
      </w:pPr>
    </w:p>
    <w:p>
      <w:pPr>
        <w:ind w:left="200" w:right="160"/>
        <w:spacing w:after="0"/>
        <w:rPr>
          <w:sz w:val="20"/>
          <w:szCs w:val="20"/>
          <w:color w:val="auto"/>
        </w:rPr>
      </w:pPr>
      <w:r>
        <w:rPr>
          <w:rFonts w:ascii="Arial" w:cs="Arial" w:eastAsia="Arial" w:hAnsi="Arial"/>
          <w:sz w:val="16"/>
          <w:szCs w:val="16"/>
          <w:color w:val="auto"/>
        </w:rPr>
        <w:t>The Executive Change of Control Agreements generally provide that, in the event of a termination of the executive's employment (for a reason other than death, disability, willful misconduct, normal retirement or, under certain circumstances, a voluntary termination of employment by the executive) within three years of a change of control, such executive will receive a cash payment and certain other benefits.</w:t>
      </w:r>
    </w:p>
    <w:p>
      <w:pPr>
        <w:spacing w:after="0" w:line="153" w:lineRule="exact"/>
        <w:rPr>
          <w:sz w:val="20"/>
          <w:szCs w:val="20"/>
          <w:color w:val="auto"/>
        </w:rPr>
      </w:pPr>
    </w:p>
    <w:p>
      <w:pPr>
        <w:ind w:left="200" w:right="40"/>
        <w:spacing w:after="0" w:line="239" w:lineRule="auto"/>
        <w:rPr>
          <w:sz w:val="20"/>
          <w:szCs w:val="20"/>
          <w:color w:val="auto"/>
        </w:rPr>
      </w:pPr>
      <w:r>
        <w:rPr>
          <w:rFonts w:ascii="Arial" w:cs="Arial" w:eastAsia="Arial" w:hAnsi="Arial"/>
          <w:sz w:val="16"/>
          <w:szCs w:val="16"/>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of Control-Executive Change of Control Agreements” below for additional detail.</w:t>
      </w:r>
    </w:p>
    <w:p>
      <w:pPr>
        <w:spacing w:after="0" w:line="158" w:lineRule="exact"/>
        <w:rPr>
          <w:sz w:val="20"/>
          <w:szCs w:val="20"/>
          <w:color w:val="auto"/>
        </w:rPr>
      </w:pPr>
    </w:p>
    <w:p>
      <w:pPr>
        <w:ind w:left="200" w:right="200"/>
        <w:spacing w:after="0" w:line="241" w:lineRule="auto"/>
        <w:rPr>
          <w:sz w:val="20"/>
          <w:szCs w:val="20"/>
          <w:color w:val="auto"/>
        </w:rPr>
      </w:pPr>
      <w:r>
        <w:rPr>
          <w:rFonts w:ascii="Arial" w:cs="Arial" w:eastAsia="Arial" w:hAnsi="Arial"/>
          <w:sz w:val="16"/>
          <w:szCs w:val="16"/>
          <w:color w:val="auto"/>
        </w:rPr>
        <w:t>We have not provided any executives with additional agreements regarding severance with the exception of the Executive Change of Control Agreements and vesting of previously granted awards referenced above.</w:t>
      </w:r>
    </w:p>
    <w:p>
      <w:pPr>
        <w:spacing w:after="0" w:line="137" w:lineRule="exact"/>
        <w:rPr>
          <w:sz w:val="20"/>
          <w:szCs w:val="20"/>
          <w:color w:val="auto"/>
        </w:rPr>
      </w:pPr>
    </w:p>
    <w:p>
      <w:pPr>
        <w:ind w:left="200" w:right="60"/>
        <w:spacing w:after="0" w:line="263" w:lineRule="auto"/>
        <w:rPr>
          <w:sz w:val="20"/>
          <w:szCs w:val="20"/>
          <w:color w:val="auto"/>
        </w:rPr>
      </w:pPr>
      <w:r>
        <w:rPr>
          <w:rFonts w:ascii="Arial" w:cs="Arial" w:eastAsia="Arial" w:hAnsi="Arial"/>
          <w:sz w:val="15"/>
          <w:szCs w:val="15"/>
          <w:i w:val="1"/>
          <w:iCs w:val="1"/>
          <w:color w:val="auto"/>
        </w:rPr>
        <w:t>Notwithstanding anything to the contrary set forth in any of our filings under the Securities Act of 1933, as amended, or the Securities Exchange Act of 1934, as amended, that might incorporate other filings with the SEC, including this Proxy Statement, in whole or in part, the following Winnebago Industries Human Resources Committee Report on Compensation Discussion and Analysis shall not be deemed to be incorporated by reference into any such filings.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Human Resources Committee Report</w:t>
      </w:r>
    </w:p>
    <w:p>
      <w:pPr>
        <w:spacing w:after="0" w:line="174" w:lineRule="exact"/>
        <w:rPr>
          <w:sz w:val="20"/>
          <w:szCs w:val="20"/>
          <w:color w:val="auto"/>
        </w:rPr>
      </w:pPr>
    </w:p>
    <w:p>
      <w:pPr>
        <w:jc w:val="both"/>
        <w:ind w:left="200" w:right="240"/>
        <w:spacing w:after="0" w:line="266" w:lineRule="auto"/>
        <w:rPr>
          <w:sz w:val="20"/>
          <w:szCs w:val="20"/>
          <w:color w:val="auto"/>
        </w:rPr>
      </w:pPr>
      <w:r>
        <w:rPr>
          <w:rFonts w:ascii="Arial" w:cs="Arial" w:eastAsia="Arial" w:hAnsi="Arial"/>
          <w:sz w:val="15"/>
          <w:szCs w:val="15"/>
          <w:color w:val="auto"/>
        </w:rPr>
        <w:t>The Human Resources Committee (the “Committee”) discharges the Board's responsibilities relating to compensation of the Company's executive officers. The Committee approves and evaluates all compensation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ectPr>
          <w:pgSz w:w="11900" w:h="16838" w:orient="portrait"/>
          <w:cols w:equalWidth="0" w:num="2">
            <w:col w:w="5580" w:space="40"/>
            <w:col w:w="5800"/>
          </w:cols>
          <w:pgMar w:left="240" w:top="298" w:right="239" w:bottom="1440" w:gutter="0" w:footer="0" w:header="0"/>
          <w:type w:val="continuous"/>
        </w:sectPr>
      </w:pPr>
    </w:p>
    <w:bookmarkStart w:id="27" w:name="page28"/>
    <w:bookmarkEnd w:id="2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executive officers, including salaries, bonuses, and compensation plans, policies and programs.</w:t>
      </w:r>
    </w:p>
    <w:p>
      <w:pPr>
        <w:spacing w:after="0" w:line="150" w:lineRule="exact"/>
        <w:rPr>
          <w:sz w:val="20"/>
          <w:szCs w:val="20"/>
          <w:color w:val="auto"/>
        </w:rPr>
      </w:pPr>
    </w:p>
    <w:p>
      <w:pPr>
        <w:ind w:right="340"/>
        <w:spacing w:after="0"/>
        <w:rPr>
          <w:sz w:val="20"/>
          <w:szCs w:val="20"/>
          <w:color w:val="auto"/>
        </w:rPr>
      </w:pPr>
      <w:r>
        <w:rPr>
          <w:rFonts w:ascii="Arial" w:cs="Arial" w:eastAsia="Arial" w:hAnsi="Arial"/>
          <w:sz w:val="16"/>
          <w:szCs w:val="16"/>
          <w:color w:val="auto"/>
        </w:rPr>
        <w:t>The Committee also fulfills its duties with respect to the Compensation Discussion and Analysis and Human Resources Committee Report on Compensation Discussion and Analysis portions of the Proxy Statement, as described in the Committee's Charter.</w:t>
      </w:r>
    </w:p>
    <w:p>
      <w:pPr>
        <w:spacing w:after="0" w:line="181"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The Compensation Discussion and Analysis has been prepared by Management. The Company is responsible for the Compensation Discussion and Analysis and for the disclosure controls relating to executive compensation. The Compensation Discussion and Analysis is not a report or disclosure of the Committee.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of Winnebago Industries, Inc.'s Board of</w:t>
      </w:r>
    </w:p>
    <w:p>
      <w:pPr>
        <w:spacing w:after="0"/>
        <w:rPr>
          <w:sz w:val="20"/>
          <w:szCs w:val="20"/>
          <w:color w:val="auto"/>
        </w:rPr>
      </w:pPr>
      <w:r>
        <w:rPr>
          <w:rFonts w:ascii="Arial" w:cs="Arial" w:eastAsia="Arial" w:hAnsi="Arial"/>
          <w:sz w:val="16"/>
          <w:szCs w:val="16"/>
          <w:color w:val="auto"/>
        </w:rPr>
        <w:t>Directors:</w:t>
      </w:r>
    </w:p>
    <w:p>
      <w:pPr>
        <w:spacing w:after="0" w:line="183" w:lineRule="exact"/>
        <w:rPr>
          <w:sz w:val="20"/>
          <w:szCs w:val="20"/>
          <w:color w:val="auto"/>
        </w:rPr>
      </w:pPr>
    </w:p>
    <w:p>
      <w:pPr>
        <w:ind w:left="320" w:right="260" w:hanging="315"/>
        <w:spacing w:after="0" w:line="239" w:lineRule="auto"/>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has reviewed and discussed the Compensation Discussion and Analysis included in this Proxy Statement and the 2015 Form 10-K with Management; and</w:t>
      </w:r>
    </w:p>
    <w:p>
      <w:pPr>
        <w:ind w:left="320" w:right="140" w:hanging="315"/>
        <w:spacing w:after="0" w:line="244" w:lineRule="auto"/>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such review and discussions, the Human Resources Committee recommended to the Board of</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Tables and Narrative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SUMMARY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left="320" w:right="280"/>
        <w:spacing w:after="0" w:line="330" w:lineRule="auto"/>
        <w:rPr>
          <w:sz w:val="20"/>
          <w:szCs w:val="20"/>
          <w:color w:val="auto"/>
        </w:rPr>
      </w:pPr>
      <w:r>
        <w:rPr>
          <w:rFonts w:ascii="Arial" w:cs="Arial" w:eastAsia="Arial" w:hAnsi="Arial"/>
          <w:sz w:val="16"/>
          <w:szCs w:val="16"/>
          <w:color w:val="auto"/>
        </w:rPr>
        <w:t>Directors that the Compensation Discussion and Analysis be included in this Proxy Statement and the 2015 Form 10-K.</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Human Resources Committee: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Irvin E. Aal</w:t>
      </w:r>
    </w:p>
    <w:p>
      <w:pPr>
        <w:ind w:left="40"/>
        <w:spacing w:after="0"/>
        <w:rPr>
          <w:sz w:val="20"/>
          <w:szCs w:val="20"/>
          <w:color w:val="auto"/>
        </w:rPr>
      </w:pPr>
      <w:r>
        <w:rPr>
          <w:rFonts w:ascii="Arial" w:cs="Arial" w:eastAsia="Arial" w:hAnsi="Arial"/>
          <w:sz w:val="16"/>
          <w:szCs w:val="16"/>
          <w:color w:val="auto"/>
        </w:rPr>
        <w:t>Robert M. Chiusano, Chair</w:t>
      </w:r>
    </w:p>
    <w:p>
      <w:pPr>
        <w:ind w:left="40"/>
        <w:spacing w:after="0"/>
        <w:rPr>
          <w:sz w:val="20"/>
          <w:szCs w:val="20"/>
          <w:color w:val="auto"/>
        </w:rPr>
      </w:pPr>
      <w:r>
        <w:rPr>
          <w:rFonts w:ascii="Arial" w:cs="Arial" w:eastAsia="Arial" w:hAnsi="Arial"/>
          <w:sz w:val="16"/>
          <w:szCs w:val="16"/>
          <w:color w:val="auto"/>
        </w:rPr>
        <w:t>Martha (Marti) Tomson Rodamaker</w:t>
      </w:r>
    </w:p>
    <w:p>
      <w:pPr>
        <w:ind w:left="40"/>
        <w:spacing w:after="0"/>
        <w:rPr>
          <w:sz w:val="20"/>
          <w:szCs w:val="20"/>
          <w:color w:val="auto"/>
        </w:rPr>
      </w:pPr>
      <w:r>
        <w:rPr>
          <w:rFonts w:ascii="Arial" w:cs="Arial" w:eastAsia="Arial" w:hAnsi="Arial"/>
          <w:sz w:val="16"/>
          <w:szCs w:val="16"/>
          <w:color w:val="auto"/>
        </w:rPr>
        <w:t>William C. Fisher</w:t>
      </w:r>
    </w:p>
    <w:p>
      <w:pPr>
        <w:spacing w:after="0" w:line="16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b w:val="1"/>
          <w:bCs w:val="1"/>
          <w:color w:val="auto"/>
        </w:rPr>
        <w:t xml:space="preserve">Human Resources Committee Interlocks and Insider Participation.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current members of the Human Resources Committee of the Board of Directors, Mrs. Rodamaker and Messrs. Erickson, Aal, Chiusano, and Fisher, were not at any time during Fiscal 2015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of Directors or the Human Resources Committee during Fiscal 2015.</w:t>
      </w:r>
    </w:p>
    <w:p>
      <w:pPr>
        <w:spacing w:after="0" w:line="1592" w:lineRule="exact"/>
        <w:rPr>
          <w:sz w:val="20"/>
          <w:szCs w:val="20"/>
          <w:color w:val="auto"/>
        </w:rPr>
      </w:pPr>
    </w:p>
    <w:p>
      <w:pPr>
        <w:sectPr>
          <w:pgSz w:w="11900" w:h="16838" w:orient="portrait"/>
          <w:cols w:equalWidth="0" w:num="2">
            <w:col w:w="5600" w:space="220"/>
            <w:col w:w="5600"/>
          </w:cols>
          <w:pgMar w:left="240" w:top="298" w:right="239" w:bottom="1440" w:gutter="0" w:footer="0" w:header="0"/>
          <w:type w:val="continuous"/>
        </w:sectPr>
      </w:pPr>
    </w:p>
    <w:p>
      <w:pPr>
        <w:ind w:right="80"/>
        <w:spacing w:after="0" w:line="274" w:lineRule="auto"/>
        <w:rPr>
          <w:sz w:val="20"/>
          <w:szCs w:val="20"/>
          <w:color w:val="auto"/>
        </w:rPr>
      </w:pPr>
      <w:r>
        <w:rPr>
          <w:rFonts w:ascii="Arial" w:cs="Arial" w:eastAsia="Arial" w:hAnsi="Arial"/>
          <w:sz w:val="16"/>
          <w:szCs w:val="16"/>
          <w:color w:val="auto"/>
        </w:rPr>
        <w:t>The following tables set forth compensation information for our NEOs for services rendered in all capacities to Winnebago Industries and its subsidiaries in Fiscal Years 2015, 2014, and 2013, except that Mr. Folkers' and Mr. Krieger's 2013 and 2014 compensation information is not included as they were not among the NEOs included in the Summary Compensation Table of our proxy statements for those years. Refer to the “Compensation Discussion and Analysis” above for an explanation of the elements used in setting the compensation for our NEOs and for information relating to executive management changes relating to certain of the NEOs during Fiscal 2015. None of the NEOs received above market non-qualified deferred compensation earnings (as defined by the SEC) in Fiscal 2013 through 2015.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603"/>
              <w:spacing w:after="0"/>
              <w:rPr>
                <w:sz w:val="20"/>
                <w:szCs w:val="20"/>
                <w:color w:val="auto"/>
              </w:rPr>
            </w:pPr>
            <w:r>
              <w:rPr>
                <w:rFonts w:ascii="Arial" w:cs="Arial" w:eastAsia="Arial" w:hAnsi="Arial"/>
                <w:sz w:val="14"/>
                <w:szCs w:val="14"/>
                <w:b w:val="1"/>
                <w:bCs w:val="1"/>
                <w:color w:val="auto"/>
              </w:rPr>
              <w:t>Stock</w:t>
            </w:r>
          </w:p>
        </w:tc>
        <w:tc>
          <w:tcPr>
            <w:tcW w:w="1580" w:type="dxa"/>
            <w:vAlign w:val="bottom"/>
          </w:tcPr>
          <w:p>
            <w:pPr>
              <w:jc w:val="right"/>
              <w:ind w:right="423"/>
              <w:spacing w:after="0"/>
              <w:rPr>
                <w:sz w:val="20"/>
                <w:szCs w:val="20"/>
                <w:color w:val="auto"/>
              </w:rPr>
            </w:pPr>
            <w:r>
              <w:rPr>
                <w:rFonts w:ascii="Arial" w:cs="Arial" w:eastAsia="Arial" w:hAnsi="Arial"/>
                <w:sz w:val="14"/>
                <w:szCs w:val="14"/>
                <w:b w:val="1"/>
                <w:bCs w:val="1"/>
                <w:color w:val="auto"/>
              </w:rPr>
              <w:t>Incentive Plan</w:t>
            </w:r>
          </w:p>
        </w:tc>
        <w:tc>
          <w:tcPr>
            <w:tcW w:w="1600" w:type="dxa"/>
            <w:vAlign w:val="bottom"/>
          </w:tcPr>
          <w:p>
            <w:pPr>
              <w:jc w:val="right"/>
              <w:ind w:right="683"/>
              <w:spacing w:after="0"/>
              <w:rPr>
                <w:sz w:val="20"/>
                <w:szCs w:val="20"/>
                <w:color w:val="auto"/>
              </w:rPr>
            </w:pPr>
            <w:r>
              <w:rPr>
                <w:rFonts w:ascii="Arial" w:cs="Arial" w:eastAsia="Arial" w:hAnsi="Arial"/>
                <w:sz w:val="14"/>
                <w:szCs w:val="14"/>
                <w:b w:val="1"/>
                <w:bCs w:val="1"/>
                <w:color w:val="auto"/>
              </w:rPr>
              <w:t>All Other</w:t>
            </w:r>
          </w:p>
        </w:tc>
        <w:tc>
          <w:tcPr>
            <w:tcW w:w="1040" w:type="dxa"/>
            <w:vAlign w:val="bottom"/>
          </w:tcPr>
          <w:p>
            <w:pPr>
              <w:spacing w:after="0"/>
              <w:rPr>
                <w:sz w:val="14"/>
                <w:szCs w:val="14"/>
                <w:color w:val="auto"/>
              </w:rPr>
            </w:pPr>
          </w:p>
        </w:tc>
      </w:tr>
      <w:tr>
        <w:trPr>
          <w:trHeight w:val="195"/>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Salary</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7"/>
                <w:szCs w:val="17"/>
                <w:b w:val="1"/>
                <w:bCs w:val="1"/>
                <w:color w:val="auto"/>
                <w:vertAlign w:val="superscript"/>
              </w:rPr>
              <w:t>(1)</w:t>
            </w:r>
          </w:p>
        </w:tc>
        <w:tc>
          <w:tcPr>
            <w:tcW w:w="15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7"/>
                <w:szCs w:val="17"/>
                <w:b w:val="1"/>
                <w:bCs w:val="1"/>
                <w:color w:val="auto"/>
                <w:vertAlign w:val="superscript"/>
              </w:rPr>
              <w:t>(2)</w:t>
            </w:r>
          </w:p>
        </w:tc>
        <w:tc>
          <w:tcPr>
            <w:tcW w:w="16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Total</w:t>
            </w:r>
          </w:p>
        </w:tc>
      </w:tr>
      <w:tr>
        <w:trPr>
          <w:trHeight w:val="209"/>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2015</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32,194</w:t>
            </w:r>
          </w:p>
        </w:tc>
        <w:tc>
          <w:tcPr>
            <w:tcW w:w="3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  $</w:t>
            </w: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  $</w:t>
            </w:r>
          </w:p>
        </w:tc>
        <w:tc>
          <w:tcPr>
            <w:tcW w:w="16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  $</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32,194</w:t>
            </w:r>
          </w:p>
        </w:tc>
      </w:tr>
      <w:tr>
        <w:trPr>
          <w:trHeight w:val="261"/>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Interim CEO</w:t>
            </w:r>
          </w:p>
        </w:tc>
        <w:tc>
          <w:tcPr>
            <w:tcW w:w="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16"/>
        </w:trPr>
        <w:tc>
          <w:tcPr>
            <w:tcW w:w="332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920" w:type="dxa"/>
            <w:vAlign w:val="bottom"/>
          </w:tcPr>
          <w:p>
            <w:pPr>
              <w:jc w:val="center"/>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287,370</w:t>
            </w:r>
          </w:p>
        </w:tc>
        <w:tc>
          <w:tcPr>
            <w:tcW w:w="320" w:type="dxa"/>
            <w:vAlign w:val="bottom"/>
          </w:tcPr>
          <w:p>
            <w:pPr>
              <w:spacing w:after="0"/>
              <w:rPr>
                <w:sz w:val="18"/>
                <w:szCs w:val="18"/>
                <w:color w:val="auto"/>
              </w:rPr>
            </w:pPr>
          </w:p>
        </w:tc>
        <w:tc>
          <w:tcPr>
            <w:tcW w:w="1300" w:type="dxa"/>
            <w:vAlign w:val="bottom"/>
          </w:tcPr>
          <w:p>
            <w:pPr>
              <w:jc w:val="right"/>
              <w:ind w:right="223"/>
              <w:spacing w:after="0"/>
              <w:rPr>
                <w:sz w:val="20"/>
                <w:szCs w:val="20"/>
                <w:color w:val="auto"/>
              </w:rPr>
            </w:pPr>
            <w:r>
              <w:rPr>
                <w:rFonts w:ascii="Arial" w:cs="Arial" w:eastAsia="Arial" w:hAnsi="Arial"/>
                <w:sz w:val="16"/>
                <w:szCs w:val="16"/>
                <w:color w:val="auto"/>
              </w:rPr>
              <w:t>231,677</w:t>
            </w:r>
          </w:p>
        </w:tc>
        <w:tc>
          <w:tcPr>
            <w:tcW w:w="1580" w:type="dxa"/>
            <w:vAlign w:val="bottom"/>
          </w:tcPr>
          <w:p>
            <w:pPr>
              <w:jc w:val="right"/>
              <w:ind w:right="203"/>
              <w:spacing w:after="0"/>
              <w:rPr>
                <w:sz w:val="20"/>
                <w:szCs w:val="20"/>
                <w:color w:val="auto"/>
              </w:rPr>
            </w:pPr>
            <w:r>
              <w:rPr>
                <w:rFonts w:ascii="Arial" w:cs="Arial" w:eastAsia="Arial" w:hAnsi="Arial"/>
                <w:sz w:val="16"/>
                <w:szCs w:val="16"/>
                <w:color w:val="auto"/>
              </w:rPr>
              <w:t>59,074</w:t>
            </w:r>
          </w:p>
        </w:tc>
        <w:tc>
          <w:tcPr>
            <w:tcW w:w="1600" w:type="dxa"/>
            <w:vAlign w:val="bottom"/>
          </w:tcPr>
          <w:p>
            <w:pPr>
              <w:jc w:val="right"/>
              <w:ind w:right="343"/>
              <w:spacing w:after="0"/>
              <w:rPr>
                <w:sz w:val="20"/>
                <w:szCs w:val="20"/>
                <w:color w:val="auto"/>
              </w:rPr>
            </w:pPr>
            <w:r>
              <w:rPr>
                <w:rFonts w:ascii="Arial" w:cs="Arial" w:eastAsia="Arial" w:hAnsi="Arial"/>
                <w:sz w:val="16"/>
                <w:szCs w:val="16"/>
                <w:color w:val="auto"/>
              </w:rPr>
              <w:t>8,660</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586,781</w:t>
            </w:r>
          </w:p>
        </w:tc>
      </w:tr>
      <w:tr>
        <w:trPr>
          <w:trHeight w:val="236"/>
        </w:trPr>
        <w:tc>
          <w:tcPr>
            <w:tcW w:w="3320" w:type="dxa"/>
            <w:vAlign w:val="bottom"/>
          </w:tcPr>
          <w:p>
            <w:pPr>
              <w:ind w:left="160"/>
              <w:spacing w:after="0"/>
              <w:rPr>
                <w:sz w:val="20"/>
                <w:szCs w:val="20"/>
                <w:color w:val="auto"/>
              </w:rPr>
            </w:pPr>
            <w:r>
              <w:rPr>
                <w:rFonts w:ascii="Arial" w:cs="Arial" w:eastAsia="Arial" w:hAnsi="Arial"/>
                <w:sz w:val="16"/>
                <w:szCs w:val="16"/>
                <w:color w:val="auto"/>
              </w:rPr>
              <w:t>Vice President, CFO</w:t>
            </w:r>
          </w:p>
        </w:tc>
        <w:tc>
          <w:tcPr>
            <w:tcW w:w="920" w:type="dxa"/>
            <w:vAlign w:val="bottom"/>
          </w:tcPr>
          <w:p>
            <w:pPr>
              <w:jc w:val="center"/>
              <w:spacing w:after="0"/>
              <w:rPr>
                <w:sz w:val="20"/>
                <w:szCs w:val="20"/>
                <w:color w:val="auto"/>
              </w:rPr>
            </w:pPr>
            <w:r>
              <w:rPr>
                <w:rFonts w:ascii="Arial" w:cs="Arial" w:eastAsia="Arial" w:hAnsi="Arial"/>
                <w:sz w:val="16"/>
                <w:szCs w:val="16"/>
                <w:color w:val="auto"/>
              </w:rPr>
              <w:t>2014</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279,000</w:t>
            </w:r>
          </w:p>
        </w:tc>
        <w:tc>
          <w:tcPr>
            <w:tcW w:w="320" w:type="dxa"/>
            <w:vAlign w:val="bottom"/>
          </w:tcPr>
          <w:p>
            <w:pPr>
              <w:spacing w:after="0"/>
              <w:rPr>
                <w:sz w:val="20"/>
                <w:szCs w:val="20"/>
                <w:color w:val="auto"/>
              </w:rPr>
            </w:pPr>
          </w:p>
        </w:tc>
        <w:tc>
          <w:tcPr>
            <w:tcW w:w="1300" w:type="dxa"/>
            <w:vAlign w:val="bottom"/>
          </w:tcPr>
          <w:p>
            <w:pPr>
              <w:jc w:val="right"/>
              <w:ind w:right="223"/>
              <w:spacing w:after="0"/>
              <w:rPr>
                <w:sz w:val="20"/>
                <w:szCs w:val="20"/>
                <w:color w:val="auto"/>
              </w:rPr>
            </w:pPr>
            <w:r>
              <w:rPr>
                <w:rFonts w:ascii="Arial" w:cs="Arial" w:eastAsia="Arial" w:hAnsi="Arial"/>
                <w:sz w:val="16"/>
                <w:szCs w:val="16"/>
                <w:color w:val="auto"/>
              </w:rPr>
              <w:t>226,410</w:t>
            </w:r>
          </w:p>
        </w:tc>
        <w:tc>
          <w:tcPr>
            <w:tcW w:w="1580" w:type="dxa"/>
            <w:vAlign w:val="bottom"/>
          </w:tcPr>
          <w:p>
            <w:pPr>
              <w:jc w:val="right"/>
              <w:ind w:right="203"/>
              <w:spacing w:after="0"/>
              <w:rPr>
                <w:sz w:val="20"/>
                <w:szCs w:val="20"/>
                <w:color w:val="auto"/>
              </w:rPr>
            </w:pPr>
            <w:r>
              <w:rPr>
                <w:rFonts w:ascii="Arial" w:cs="Arial" w:eastAsia="Arial" w:hAnsi="Arial"/>
                <w:sz w:val="16"/>
                <w:szCs w:val="16"/>
                <w:color w:val="auto"/>
              </w:rPr>
              <w:t>197,065</w:t>
            </w:r>
          </w:p>
        </w:tc>
        <w:tc>
          <w:tcPr>
            <w:tcW w:w="1600" w:type="dxa"/>
            <w:vAlign w:val="bottom"/>
          </w:tcPr>
          <w:p>
            <w:pPr>
              <w:jc w:val="right"/>
              <w:ind w:right="343"/>
              <w:spacing w:after="0"/>
              <w:rPr>
                <w:sz w:val="20"/>
                <w:szCs w:val="20"/>
                <w:color w:val="auto"/>
              </w:rPr>
            </w:pPr>
            <w:r>
              <w:rPr>
                <w:rFonts w:ascii="Arial" w:cs="Arial" w:eastAsia="Arial" w:hAnsi="Arial"/>
                <w:sz w:val="16"/>
                <w:szCs w:val="16"/>
                <w:color w:val="auto"/>
              </w:rPr>
              <w:t>4,489</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706,964</w:t>
            </w:r>
          </w:p>
        </w:tc>
      </w:tr>
      <w:tr>
        <w:trPr>
          <w:trHeight w:val="272"/>
        </w:trPr>
        <w:tc>
          <w:tcPr>
            <w:tcW w:w="33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258,211</w:t>
            </w:r>
          </w:p>
        </w:tc>
        <w:tc>
          <w:tcPr>
            <w:tcW w:w="320" w:type="dxa"/>
            <w:vAlign w:val="bottom"/>
          </w:tcPr>
          <w:p>
            <w:pPr>
              <w:spacing w:after="0"/>
              <w:rPr>
                <w:sz w:val="23"/>
                <w:szCs w:val="23"/>
                <w:color w:val="auto"/>
              </w:rPr>
            </w:pPr>
          </w:p>
        </w:tc>
        <w:tc>
          <w:tcPr>
            <w:tcW w:w="1300" w:type="dxa"/>
            <w:vAlign w:val="bottom"/>
          </w:tcPr>
          <w:p>
            <w:pPr>
              <w:jc w:val="right"/>
              <w:ind w:right="223"/>
              <w:spacing w:after="0"/>
              <w:rPr>
                <w:sz w:val="20"/>
                <w:szCs w:val="20"/>
                <w:color w:val="auto"/>
              </w:rPr>
            </w:pPr>
            <w:r>
              <w:rPr>
                <w:rFonts w:ascii="Arial" w:cs="Arial" w:eastAsia="Arial" w:hAnsi="Arial"/>
                <w:sz w:val="16"/>
                <w:szCs w:val="16"/>
                <w:color w:val="auto"/>
              </w:rPr>
              <w:t>216,783</w:t>
            </w:r>
          </w:p>
        </w:tc>
        <w:tc>
          <w:tcPr>
            <w:tcW w:w="1580" w:type="dxa"/>
            <w:vAlign w:val="bottom"/>
          </w:tcPr>
          <w:p>
            <w:pPr>
              <w:jc w:val="right"/>
              <w:ind w:right="203"/>
              <w:spacing w:after="0"/>
              <w:rPr>
                <w:sz w:val="20"/>
                <w:szCs w:val="20"/>
                <w:color w:val="auto"/>
              </w:rPr>
            </w:pPr>
            <w:r>
              <w:rPr>
                <w:rFonts w:ascii="Arial" w:cs="Arial" w:eastAsia="Arial" w:hAnsi="Arial"/>
                <w:sz w:val="16"/>
                <w:szCs w:val="16"/>
                <w:color w:val="auto"/>
              </w:rPr>
              <w:t>229,779</w:t>
            </w:r>
          </w:p>
        </w:tc>
        <w:tc>
          <w:tcPr>
            <w:tcW w:w="1600" w:type="dxa"/>
            <w:vAlign w:val="bottom"/>
          </w:tcPr>
          <w:p>
            <w:pPr>
              <w:jc w:val="right"/>
              <w:ind w:right="343"/>
              <w:spacing w:after="0"/>
              <w:rPr>
                <w:sz w:val="20"/>
                <w:szCs w:val="20"/>
                <w:color w:val="auto"/>
              </w:rPr>
            </w:pPr>
            <w:r>
              <w:rPr>
                <w:rFonts w:ascii="Arial" w:cs="Arial" w:eastAsia="Arial" w:hAnsi="Arial"/>
                <w:sz w:val="16"/>
                <w:szCs w:val="16"/>
                <w:color w:val="auto"/>
              </w:rPr>
              <w:t>3,979</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708,752</w:t>
            </w:r>
          </w:p>
        </w:tc>
      </w:tr>
      <w:tr>
        <w:trPr>
          <w:trHeight w:val="226"/>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295,611</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237,010</w:t>
            </w:r>
          </w:p>
        </w:tc>
        <w:tc>
          <w:tcPr>
            <w:tcW w:w="158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60,769</w:t>
            </w:r>
          </w:p>
        </w:tc>
        <w:tc>
          <w:tcPr>
            <w:tcW w:w="160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5,375</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598,765</w:t>
            </w:r>
          </w:p>
        </w:tc>
      </w:tr>
      <w:tr>
        <w:trPr>
          <w:trHeight w:val="236"/>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Vice President, Sales and Product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2014</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287,000</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166,520</w:t>
            </w:r>
          </w:p>
        </w:tc>
        <w:tc>
          <w:tcPr>
            <w:tcW w:w="158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202,716</w:t>
            </w:r>
          </w:p>
        </w:tc>
        <w:tc>
          <w:tcPr>
            <w:tcW w:w="160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4,486</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660,722</w:t>
            </w:r>
          </w:p>
        </w:tc>
      </w:tr>
      <w:tr>
        <w:trPr>
          <w:trHeight w:val="255"/>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Management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2013</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279,150</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165,630</w:t>
            </w:r>
          </w:p>
        </w:tc>
        <w:tc>
          <w:tcPr>
            <w:tcW w:w="158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248,413</w:t>
            </w:r>
          </w:p>
        </w:tc>
        <w:tc>
          <w:tcPr>
            <w:tcW w:w="160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6,379</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699,572</w:t>
            </w:r>
          </w:p>
        </w:tc>
      </w:tr>
      <w:tr>
        <w:trPr>
          <w:trHeight w:val="216"/>
        </w:trPr>
        <w:tc>
          <w:tcPr>
            <w:tcW w:w="3320" w:type="dxa"/>
            <w:vAlign w:val="bottom"/>
          </w:tcPr>
          <w:p>
            <w:pPr>
              <w:ind w:left="40"/>
              <w:spacing w:after="0"/>
              <w:rPr>
                <w:sz w:val="20"/>
                <w:szCs w:val="20"/>
                <w:color w:val="auto"/>
              </w:rPr>
            </w:pPr>
            <w:r>
              <w:rPr>
                <w:rFonts w:ascii="Arial" w:cs="Arial" w:eastAsia="Arial" w:hAnsi="Arial"/>
                <w:sz w:val="16"/>
                <w:szCs w:val="16"/>
                <w:color w:val="auto"/>
              </w:rPr>
              <w:t>Scott C. Folkers</w:t>
            </w:r>
          </w:p>
        </w:tc>
        <w:tc>
          <w:tcPr>
            <w:tcW w:w="920" w:type="dxa"/>
            <w:vAlign w:val="bottom"/>
          </w:tcPr>
          <w:p>
            <w:pPr>
              <w:jc w:val="center"/>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253,380</w:t>
            </w:r>
          </w:p>
        </w:tc>
        <w:tc>
          <w:tcPr>
            <w:tcW w:w="320" w:type="dxa"/>
            <w:vAlign w:val="bottom"/>
          </w:tcPr>
          <w:p>
            <w:pPr>
              <w:spacing w:after="0"/>
              <w:rPr>
                <w:sz w:val="18"/>
                <w:szCs w:val="18"/>
                <w:color w:val="auto"/>
              </w:rPr>
            </w:pPr>
          </w:p>
        </w:tc>
        <w:tc>
          <w:tcPr>
            <w:tcW w:w="1300" w:type="dxa"/>
            <w:vAlign w:val="bottom"/>
          </w:tcPr>
          <w:p>
            <w:pPr>
              <w:jc w:val="right"/>
              <w:ind w:right="223"/>
              <w:spacing w:after="0"/>
              <w:rPr>
                <w:sz w:val="20"/>
                <w:szCs w:val="20"/>
                <w:color w:val="auto"/>
              </w:rPr>
            </w:pPr>
            <w:r>
              <w:rPr>
                <w:rFonts w:ascii="Arial" w:cs="Arial" w:eastAsia="Arial" w:hAnsi="Arial"/>
                <w:sz w:val="16"/>
                <w:szCs w:val="16"/>
                <w:color w:val="auto"/>
              </w:rPr>
              <w:t>219,378</w:t>
            </w:r>
          </w:p>
        </w:tc>
        <w:tc>
          <w:tcPr>
            <w:tcW w:w="1580" w:type="dxa"/>
            <w:vAlign w:val="bottom"/>
          </w:tcPr>
          <w:p>
            <w:pPr>
              <w:jc w:val="right"/>
              <w:ind w:right="203"/>
              <w:spacing w:after="0"/>
              <w:rPr>
                <w:sz w:val="20"/>
                <w:szCs w:val="20"/>
                <w:color w:val="auto"/>
              </w:rPr>
            </w:pPr>
            <w:r>
              <w:rPr>
                <w:rFonts w:ascii="Arial" w:cs="Arial" w:eastAsia="Arial" w:hAnsi="Arial"/>
                <w:sz w:val="16"/>
                <w:szCs w:val="16"/>
                <w:color w:val="auto"/>
              </w:rPr>
              <w:t>52,087</w:t>
            </w:r>
          </w:p>
        </w:tc>
        <w:tc>
          <w:tcPr>
            <w:tcW w:w="1600" w:type="dxa"/>
            <w:vAlign w:val="bottom"/>
          </w:tcPr>
          <w:p>
            <w:pPr>
              <w:jc w:val="right"/>
              <w:ind w:right="343"/>
              <w:spacing w:after="0"/>
              <w:rPr>
                <w:sz w:val="20"/>
                <w:szCs w:val="20"/>
                <w:color w:val="auto"/>
              </w:rPr>
            </w:pPr>
            <w:r>
              <w:rPr>
                <w:rFonts w:ascii="Arial" w:cs="Arial" w:eastAsia="Arial" w:hAnsi="Arial"/>
                <w:sz w:val="16"/>
                <w:szCs w:val="16"/>
                <w:color w:val="auto"/>
              </w:rPr>
              <w:t>8,983</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533,828</w:t>
            </w:r>
          </w:p>
        </w:tc>
      </w:tr>
      <w:tr>
        <w:trPr>
          <w:trHeight w:val="236"/>
        </w:trPr>
        <w:tc>
          <w:tcPr>
            <w:tcW w:w="3320" w:type="dxa"/>
            <w:vAlign w:val="bottom"/>
          </w:tcPr>
          <w:p>
            <w:pPr>
              <w:ind w:left="160"/>
              <w:spacing w:after="0"/>
              <w:rPr>
                <w:sz w:val="20"/>
                <w:szCs w:val="20"/>
                <w:color w:val="auto"/>
              </w:rPr>
            </w:pPr>
            <w:r>
              <w:rPr>
                <w:rFonts w:ascii="Arial" w:cs="Arial" w:eastAsia="Arial" w:hAnsi="Arial"/>
                <w:sz w:val="16"/>
                <w:szCs w:val="16"/>
                <w:color w:val="auto"/>
              </w:rPr>
              <w:t>Vice President, General Counsel</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2"/>
        </w:trPr>
        <w:tc>
          <w:tcPr>
            <w:tcW w:w="3320" w:type="dxa"/>
            <w:vAlign w:val="bottom"/>
          </w:tcPr>
          <w:p>
            <w:pPr>
              <w:ind w:left="160"/>
              <w:spacing w:after="0"/>
              <w:rPr>
                <w:sz w:val="20"/>
                <w:szCs w:val="20"/>
                <w:color w:val="auto"/>
              </w:rPr>
            </w:pPr>
            <w:r>
              <w:rPr>
                <w:rFonts w:ascii="Arial" w:cs="Arial" w:eastAsia="Arial" w:hAnsi="Arial"/>
                <w:sz w:val="16"/>
                <w:szCs w:val="16"/>
                <w:color w:val="auto"/>
              </w:rPr>
              <w:t>and Secretary</w:t>
            </w: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6"/>
        </w:trPr>
        <w:tc>
          <w:tcPr>
            <w:tcW w:w="3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247,200</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213,680</w:t>
            </w:r>
          </w:p>
        </w:tc>
        <w:tc>
          <w:tcPr>
            <w:tcW w:w="158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50,817</w:t>
            </w:r>
          </w:p>
        </w:tc>
        <w:tc>
          <w:tcPr>
            <w:tcW w:w="160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7,909</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519,606</w:t>
            </w:r>
          </w:p>
        </w:tc>
      </w:tr>
      <w:tr>
        <w:trPr>
          <w:trHeight w:val="261"/>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Vice President, Manufacturing</w:t>
            </w:r>
          </w:p>
        </w:tc>
        <w:tc>
          <w:tcPr>
            <w:tcW w:w="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Randy J. Potts </w:t>
            </w:r>
            <w:r>
              <w:rPr>
                <w:rFonts w:ascii="Arial" w:cs="Arial" w:eastAsia="Arial" w:hAnsi="Arial"/>
                <w:sz w:val="20"/>
                <w:szCs w:val="20"/>
                <w:color w:val="auto"/>
                <w:vertAlign w:val="superscript"/>
              </w:rPr>
              <w:t>(3)</w:t>
            </w:r>
          </w:p>
        </w:tc>
        <w:tc>
          <w:tcPr>
            <w:tcW w:w="920" w:type="dxa"/>
            <w:vAlign w:val="bottom"/>
          </w:tcPr>
          <w:p>
            <w:pPr>
              <w:jc w:val="center"/>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463,936</w:t>
            </w:r>
          </w:p>
        </w:tc>
        <w:tc>
          <w:tcPr>
            <w:tcW w:w="320" w:type="dxa"/>
            <w:vAlign w:val="bottom"/>
          </w:tcPr>
          <w:p>
            <w:pPr>
              <w:spacing w:after="0"/>
              <w:rPr>
                <w:sz w:val="22"/>
                <w:szCs w:val="22"/>
                <w:color w:val="auto"/>
              </w:rPr>
            </w:pPr>
          </w:p>
        </w:tc>
        <w:tc>
          <w:tcPr>
            <w:tcW w:w="1300" w:type="dxa"/>
            <w:vAlign w:val="bottom"/>
          </w:tcPr>
          <w:p>
            <w:pPr>
              <w:jc w:val="right"/>
              <w:ind w:right="223"/>
              <w:spacing w:after="0"/>
              <w:rPr>
                <w:sz w:val="20"/>
                <w:szCs w:val="20"/>
                <w:color w:val="auto"/>
              </w:rPr>
            </w:pPr>
            <w:r>
              <w:rPr>
                <w:rFonts w:ascii="Arial" w:cs="Arial" w:eastAsia="Arial" w:hAnsi="Arial"/>
                <w:sz w:val="16"/>
                <w:szCs w:val="16"/>
                <w:color w:val="auto"/>
              </w:rPr>
              <w:t>328,950</w:t>
            </w:r>
          </w:p>
        </w:tc>
        <w:tc>
          <w:tcPr>
            <w:tcW w:w="1580" w:type="dxa"/>
            <w:vAlign w:val="bottom"/>
          </w:tcPr>
          <w:p>
            <w:pPr>
              <w:jc w:val="right"/>
              <w:ind w:right="203"/>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43"/>
              <w:spacing w:after="0"/>
              <w:rPr>
                <w:sz w:val="20"/>
                <w:szCs w:val="20"/>
                <w:color w:val="auto"/>
              </w:rPr>
            </w:pPr>
            <w:r>
              <w:rPr>
                <w:rFonts w:ascii="Arial" w:cs="Arial" w:eastAsia="Arial" w:hAnsi="Arial"/>
                <w:sz w:val="16"/>
                <w:szCs w:val="16"/>
                <w:color w:val="auto"/>
              </w:rPr>
              <w:t>315,526</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1,108,412</w:t>
            </w:r>
          </w:p>
        </w:tc>
      </w:tr>
      <w:tr>
        <w:trPr>
          <w:trHeight w:val="188"/>
        </w:trPr>
        <w:tc>
          <w:tcPr>
            <w:tcW w:w="3320" w:type="dxa"/>
            <w:vAlign w:val="bottom"/>
          </w:tcPr>
          <w:p>
            <w:pPr>
              <w:ind w:left="160"/>
              <w:spacing w:after="0"/>
              <w:rPr>
                <w:sz w:val="20"/>
                <w:szCs w:val="20"/>
                <w:color w:val="auto"/>
              </w:rPr>
            </w:pPr>
            <w:r>
              <w:rPr>
                <w:rFonts w:ascii="Arial" w:cs="Arial" w:eastAsia="Arial" w:hAnsi="Arial"/>
                <w:sz w:val="16"/>
                <w:szCs w:val="16"/>
                <w:color w:val="auto"/>
              </w:rPr>
              <w:t>Former Chair, CEO and</w:t>
            </w:r>
          </w:p>
        </w:tc>
        <w:tc>
          <w:tcPr>
            <w:tcW w:w="920" w:type="dxa"/>
            <w:vAlign w:val="bottom"/>
          </w:tcPr>
          <w:p>
            <w:pPr>
              <w:jc w:val="center"/>
              <w:spacing w:after="0"/>
              <w:rPr>
                <w:sz w:val="20"/>
                <w:szCs w:val="20"/>
                <w:color w:val="auto"/>
              </w:rPr>
            </w:pPr>
            <w:r>
              <w:rPr>
                <w:rFonts w:ascii="Arial" w:cs="Arial" w:eastAsia="Arial" w:hAnsi="Arial"/>
                <w:sz w:val="16"/>
                <w:szCs w:val="16"/>
                <w:color w:val="auto"/>
              </w:rPr>
              <w:t>2014</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478,000</w:t>
            </w:r>
          </w:p>
        </w:tc>
        <w:tc>
          <w:tcPr>
            <w:tcW w:w="320" w:type="dxa"/>
            <w:vAlign w:val="bottom"/>
          </w:tcPr>
          <w:p>
            <w:pPr>
              <w:spacing w:after="0"/>
              <w:rPr>
                <w:sz w:val="16"/>
                <w:szCs w:val="16"/>
                <w:color w:val="auto"/>
              </w:rPr>
            </w:pPr>
          </w:p>
        </w:tc>
        <w:tc>
          <w:tcPr>
            <w:tcW w:w="1300" w:type="dxa"/>
            <w:vAlign w:val="bottom"/>
          </w:tcPr>
          <w:p>
            <w:pPr>
              <w:jc w:val="right"/>
              <w:ind w:right="223"/>
              <w:spacing w:after="0"/>
              <w:rPr>
                <w:sz w:val="20"/>
                <w:szCs w:val="20"/>
                <w:color w:val="auto"/>
              </w:rPr>
            </w:pPr>
            <w:r>
              <w:rPr>
                <w:rFonts w:ascii="Arial" w:cs="Arial" w:eastAsia="Arial" w:hAnsi="Arial"/>
                <w:sz w:val="16"/>
                <w:szCs w:val="16"/>
                <w:color w:val="auto"/>
              </w:rPr>
              <w:t>589,040</w:t>
            </w:r>
          </w:p>
        </w:tc>
        <w:tc>
          <w:tcPr>
            <w:tcW w:w="1580" w:type="dxa"/>
            <w:vAlign w:val="bottom"/>
          </w:tcPr>
          <w:p>
            <w:pPr>
              <w:jc w:val="right"/>
              <w:ind w:right="203"/>
              <w:spacing w:after="0"/>
              <w:rPr>
                <w:sz w:val="20"/>
                <w:szCs w:val="20"/>
                <w:color w:val="auto"/>
              </w:rPr>
            </w:pPr>
            <w:r>
              <w:rPr>
                <w:rFonts w:ascii="Arial" w:cs="Arial" w:eastAsia="Arial" w:hAnsi="Arial"/>
                <w:sz w:val="16"/>
                <w:szCs w:val="16"/>
                <w:color w:val="auto"/>
              </w:rPr>
              <w:t>506,437</w:t>
            </w:r>
          </w:p>
        </w:tc>
        <w:tc>
          <w:tcPr>
            <w:tcW w:w="1600" w:type="dxa"/>
            <w:vAlign w:val="bottom"/>
          </w:tcPr>
          <w:p>
            <w:pPr>
              <w:jc w:val="right"/>
              <w:ind w:right="343"/>
              <w:spacing w:after="0"/>
              <w:rPr>
                <w:sz w:val="20"/>
                <w:szCs w:val="20"/>
                <w:color w:val="auto"/>
              </w:rPr>
            </w:pPr>
            <w:r>
              <w:rPr>
                <w:rFonts w:ascii="Arial" w:cs="Arial" w:eastAsia="Arial" w:hAnsi="Arial"/>
                <w:sz w:val="16"/>
                <w:szCs w:val="16"/>
                <w:color w:val="auto"/>
              </w:rPr>
              <w:t>5,101</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1,578,578</w:t>
            </w:r>
          </w:p>
        </w:tc>
      </w:tr>
      <w:tr>
        <w:trPr>
          <w:trHeight w:val="236"/>
        </w:trPr>
        <w:tc>
          <w:tcPr>
            <w:tcW w:w="3320" w:type="dxa"/>
            <w:vAlign w:val="bottom"/>
          </w:tcPr>
          <w:p>
            <w:pPr>
              <w:ind w:left="160"/>
              <w:spacing w:after="0"/>
              <w:rPr>
                <w:sz w:val="20"/>
                <w:szCs w:val="20"/>
                <w:color w:val="auto"/>
              </w:rPr>
            </w:pPr>
            <w:r>
              <w:rPr>
                <w:rFonts w:ascii="Arial" w:cs="Arial" w:eastAsia="Arial" w:hAnsi="Arial"/>
                <w:sz w:val="16"/>
                <w:szCs w:val="16"/>
                <w:color w:val="auto"/>
              </w:rPr>
              <w:t>President</w:t>
            </w:r>
          </w:p>
        </w:tc>
        <w:tc>
          <w:tcPr>
            <w:tcW w:w="920" w:type="dxa"/>
            <w:vAlign w:val="bottom"/>
          </w:tcPr>
          <w:p>
            <w:pPr>
              <w:jc w:val="center"/>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472,923</w:t>
            </w:r>
          </w:p>
        </w:tc>
        <w:tc>
          <w:tcPr>
            <w:tcW w:w="320" w:type="dxa"/>
            <w:vAlign w:val="bottom"/>
          </w:tcPr>
          <w:p>
            <w:pPr>
              <w:spacing w:after="0"/>
              <w:rPr>
                <w:sz w:val="20"/>
                <w:szCs w:val="20"/>
                <w:color w:val="auto"/>
              </w:rPr>
            </w:pPr>
          </w:p>
        </w:tc>
        <w:tc>
          <w:tcPr>
            <w:tcW w:w="1300" w:type="dxa"/>
            <w:vAlign w:val="bottom"/>
          </w:tcPr>
          <w:p>
            <w:pPr>
              <w:jc w:val="right"/>
              <w:ind w:right="223"/>
              <w:spacing w:after="0"/>
              <w:rPr>
                <w:sz w:val="20"/>
                <w:szCs w:val="20"/>
                <w:color w:val="auto"/>
              </w:rPr>
            </w:pPr>
            <w:r>
              <w:rPr>
                <w:rFonts w:ascii="Arial" w:cs="Arial" w:eastAsia="Arial" w:hAnsi="Arial"/>
                <w:sz w:val="16"/>
                <w:szCs w:val="16"/>
                <w:color w:val="auto"/>
              </w:rPr>
              <w:t>535,975</w:t>
            </w:r>
          </w:p>
        </w:tc>
        <w:tc>
          <w:tcPr>
            <w:tcW w:w="1580" w:type="dxa"/>
            <w:vAlign w:val="bottom"/>
          </w:tcPr>
          <w:p>
            <w:pPr>
              <w:jc w:val="right"/>
              <w:ind w:right="203"/>
              <w:spacing w:after="0"/>
              <w:rPr>
                <w:sz w:val="20"/>
                <w:szCs w:val="20"/>
                <w:color w:val="auto"/>
              </w:rPr>
            </w:pPr>
            <w:r>
              <w:rPr>
                <w:rFonts w:ascii="Arial" w:cs="Arial" w:eastAsia="Arial" w:hAnsi="Arial"/>
                <w:sz w:val="16"/>
                <w:szCs w:val="16"/>
                <w:color w:val="auto"/>
              </w:rPr>
              <w:t>631,275</w:t>
            </w:r>
          </w:p>
        </w:tc>
        <w:tc>
          <w:tcPr>
            <w:tcW w:w="1600" w:type="dxa"/>
            <w:vAlign w:val="bottom"/>
          </w:tcPr>
          <w:p>
            <w:pPr>
              <w:jc w:val="right"/>
              <w:ind w:right="343"/>
              <w:spacing w:after="0"/>
              <w:rPr>
                <w:sz w:val="20"/>
                <w:szCs w:val="20"/>
                <w:color w:val="auto"/>
              </w:rPr>
            </w:pPr>
            <w:r>
              <w:rPr>
                <w:rFonts w:ascii="Arial" w:cs="Arial" w:eastAsia="Arial" w:hAnsi="Arial"/>
                <w:sz w:val="16"/>
                <w:szCs w:val="16"/>
                <w:color w:val="auto"/>
              </w:rPr>
              <w:t>4,134</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1,644,307</w:t>
            </w:r>
          </w:p>
        </w:tc>
      </w:tr>
      <w:tr>
        <w:trPr>
          <w:trHeight w:val="445"/>
        </w:trPr>
        <w:tc>
          <w:tcPr>
            <w:tcW w:w="3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298" w:right="239" w:bottom="1440" w:gutter="0" w:footer="0" w:header="0"/>
          <w:type w:val="continuous"/>
        </w:sectPr>
      </w:pPr>
    </w:p>
    <w:bookmarkStart w:id="28" w:name="page29"/>
    <w:bookmarkEnd w:id="28"/>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20" w:hanging="315"/>
        <w:spacing w:after="0"/>
        <w:tabs>
          <w:tab w:leader="none" w:pos="320" w:val="left"/>
        </w:tabs>
        <w:numPr>
          <w:ilvl w:val="0"/>
          <w:numId w:val="44"/>
        </w:numPr>
        <w:rPr>
          <w:rFonts w:ascii="Arial" w:cs="Arial" w:eastAsia="Arial" w:hAnsi="Arial"/>
          <w:sz w:val="12"/>
          <w:szCs w:val="12"/>
          <w:color w:val="auto"/>
        </w:rPr>
      </w:pPr>
      <w:r>
        <w:rPr>
          <w:rFonts w:ascii="Arial" w:cs="Arial" w:eastAsia="Arial" w:hAnsi="Arial"/>
          <w:sz w:val="14"/>
          <w:szCs w:val="14"/>
          <w:color w:val="auto"/>
        </w:rPr>
        <w:t>The table below illustrates the three categories of stock awards as presented previously:</w:t>
      </w:r>
    </w:p>
    <w:p>
      <w:pPr>
        <w:spacing w:after="0" w:line="190"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rPr>
              <w:t>Performance-Based Plans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0"/>
        </w:trPr>
        <w:tc>
          <w:tcPr>
            <w:tcW w:w="3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90"/>
              <w:spacing w:after="0"/>
              <w:rPr>
                <w:sz w:val="20"/>
                <w:szCs w:val="20"/>
                <w:color w:val="auto"/>
              </w:rPr>
            </w:pPr>
            <w:r>
              <w:rPr>
                <w:rFonts w:ascii="Arial" w:cs="Arial" w:eastAsia="Arial" w:hAnsi="Arial"/>
                <w:sz w:val="14"/>
                <w:szCs w:val="14"/>
                <w:b w:val="1"/>
                <w:bCs w:val="1"/>
                <w:color w:val="auto"/>
                <w:w w:val="99"/>
              </w:rPr>
              <w:t>Non-Performance-</w:t>
            </w:r>
          </w:p>
        </w:tc>
        <w:tc>
          <w:tcPr>
            <w:tcW w:w="320" w:type="dxa"/>
            <w:vAlign w:val="bottom"/>
          </w:tcPr>
          <w:p>
            <w:pPr>
              <w:spacing w:after="0"/>
              <w:rPr>
                <w:sz w:val="14"/>
                <w:szCs w:val="14"/>
                <w:color w:val="auto"/>
              </w:rPr>
            </w:pPr>
          </w:p>
        </w:tc>
        <w:tc>
          <w:tcPr>
            <w:tcW w:w="1260" w:type="dxa"/>
            <w:vAlign w:val="bottom"/>
          </w:tcPr>
          <w:p>
            <w:pPr>
              <w:jc w:val="center"/>
              <w:ind w:right="190"/>
              <w:spacing w:after="0"/>
              <w:rPr>
                <w:sz w:val="20"/>
                <w:szCs w:val="20"/>
                <w:color w:val="auto"/>
              </w:rPr>
            </w:pPr>
            <w:r>
              <w:rPr>
                <w:rFonts w:ascii="Arial" w:cs="Arial" w:eastAsia="Arial" w:hAnsi="Arial"/>
                <w:sz w:val="14"/>
                <w:szCs w:val="14"/>
                <w:b w:val="1"/>
                <w:bCs w:val="1"/>
                <w:color w:val="auto"/>
              </w:rPr>
              <w:t>Annual</w:t>
            </w:r>
          </w:p>
        </w:tc>
        <w:tc>
          <w:tcPr>
            <w:tcW w:w="300" w:type="dxa"/>
            <w:vAlign w:val="bottom"/>
          </w:tcPr>
          <w:p>
            <w:pPr>
              <w:spacing w:after="0"/>
              <w:rPr>
                <w:sz w:val="14"/>
                <w:szCs w:val="14"/>
                <w:color w:val="auto"/>
              </w:rPr>
            </w:pPr>
          </w:p>
        </w:tc>
        <w:tc>
          <w:tcPr>
            <w:tcW w:w="1320" w:type="dxa"/>
            <w:vAlign w:val="bottom"/>
          </w:tcPr>
          <w:p>
            <w:pPr>
              <w:jc w:val="center"/>
              <w:ind w:right="210"/>
              <w:spacing w:after="0"/>
              <w:rPr>
                <w:sz w:val="20"/>
                <w:szCs w:val="20"/>
                <w:color w:val="auto"/>
              </w:rPr>
            </w:pPr>
            <w:r>
              <w:rPr>
                <w:rFonts w:ascii="Arial" w:cs="Arial" w:eastAsia="Arial" w:hAnsi="Arial"/>
                <w:sz w:val="14"/>
                <w:szCs w:val="14"/>
                <w:b w:val="1"/>
                <w:bCs w:val="1"/>
                <w:color w:val="auto"/>
                <w:w w:val="98"/>
              </w:rPr>
              <w:t>Long-Term</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7"/>
        </w:trPr>
        <w:tc>
          <w:tcPr>
            <w:tcW w:w="366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3"/>
                <w:szCs w:val="13"/>
                <w:color w:val="auto"/>
              </w:rPr>
            </w:pPr>
          </w:p>
        </w:tc>
        <w:tc>
          <w:tcPr>
            <w:tcW w:w="1540" w:type="dxa"/>
            <w:vAlign w:val="bottom"/>
          </w:tcPr>
          <w:p>
            <w:pPr>
              <w:jc w:val="center"/>
              <w:ind w:right="90"/>
              <w:spacing w:after="0" w:line="157" w:lineRule="exact"/>
              <w:rPr>
                <w:sz w:val="20"/>
                <w:szCs w:val="20"/>
                <w:color w:val="auto"/>
              </w:rPr>
            </w:pPr>
            <w:r>
              <w:rPr>
                <w:rFonts w:ascii="Arial" w:cs="Arial" w:eastAsia="Arial" w:hAnsi="Arial"/>
                <w:sz w:val="14"/>
                <w:szCs w:val="14"/>
                <w:b w:val="1"/>
                <w:bCs w:val="1"/>
                <w:color w:val="auto"/>
                <w:w w:val="99"/>
              </w:rPr>
              <w:t>Based Restricted</w:t>
            </w:r>
          </w:p>
        </w:tc>
        <w:tc>
          <w:tcPr>
            <w:tcW w:w="320" w:type="dxa"/>
            <w:vAlign w:val="bottom"/>
          </w:tcPr>
          <w:p>
            <w:pPr>
              <w:spacing w:after="0"/>
              <w:rPr>
                <w:sz w:val="13"/>
                <w:szCs w:val="13"/>
                <w:color w:val="auto"/>
              </w:rPr>
            </w:pPr>
          </w:p>
        </w:tc>
        <w:tc>
          <w:tcPr>
            <w:tcW w:w="1260" w:type="dxa"/>
            <w:vAlign w:val="bottom"/>
          </w:tcPr>
          <w:p>
            <w:pPr>
              <w:jc w:val="center"/>
              <w:ind w:right="190"/>
              <w:spacing w:after="0" w:line="157" w:lineRule="exact"/>
              <w:rPr>
                <w:sz w:val="20"/>
                <w:szCs w:val="20"/>
                <w:color w:val="auto"/>
              </w:rPr>
            </w:pPr>
            <w:r>
              <w:rPr>
                <w:rFonts w:ascii="Arial" w:cs="Arial" w:eastAsia="Arial" w:hAnsi="Arial"/>
                <w:sz w:val="14"/>
                <w:szCs w:val="14"/>
                <w:b w:val="1"/>
                <w:bCs w:val="1"/>
                <w:color w:val="auto"/>
                <w:w w:val="98"/>
              </w:rPr>
              <w:t>Incentive</w:t>
            </w:r>
          </w:p>
        </w:tc>
        <w:tc>
          <w:tcPr>
            <w:tcW w:w="300" w:type="dxa"/>
            <w:vAlign w:val="bottom"/>
          </w:tcPr>
          <w:p>
            <w:pPr>
              <w:spacing w:after="0"/>
              <w:rPr>
                <w:sz w:val="13"/>
                <w:szCs w:val="13"/>
                <w:color w:val="auto"/>
              </w:rPr>
            </w:pPr>
          </w:p>
        </w:tc>
        <w:tc>
          <w:tcPr>
            <w:tcW w:w="1320" w:type="dxa"/>
            <w:vAlign w:val="bottom"/>
          </w:tcPr>
          <w:p>
            <w:pPr>
              <w:jc w:val="center"/>
              <w:ind w:right="210"/>
              <w:spacing w:after="0" w:line="157" w:lineRule="exact"/>
              <w:rPr>
                <w:sz w:val="20"/>
                <w:szCs w:val="20"/>
                <w:color w:val="auto"/>
              </w:rPr>
            </w:pPr>
            <w:r>
              <w:rPr>
                <w:rFonts w:ascii="Arial" w:cs="Arial" w:eastAsia="Arial" w:hAnsi="Arial"/>
                <w:sz w:val="14"/>
                <w:szCs w:val="14"/>
                <w:b w:val="1"/>
                <w:bCs w:val="1"/>
                <w:color w:val="auto"/>
                <w:w w:val="98"/>
              </w:rPr>
              <w:t>Incentive</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6"/>
              </w:rPr>
              <w:t>Stock Grant</w:t>
            </w:r>
            <w:r>
              <w:rPr>
                <w:rFonts w:ascii="Arial" w:cs="Arial" w:eastAsia="Arial" w:hAnsi="Arial"/>
                <w:sz w:val="17"/>
                <w:szCs w:val="17"/>
                <w:b w:val="1"/>
                <w:bCs w:val="1"/>
                <w:color w:val="auto"/>
                <w:w w:val="96"/>
                <w:vertAlign w:val="superscript"/>
              </w:rPr>
              <w:t>(a)</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0"/>
              <w:spacing w:after="0"/>
              <w:rPr>
                <w:sz w:val="20"/>
                <w:szCs w:val="20"/>
                <w:color w:val="auto"/>
              </w:rPr>
            </w:pPr>
            <w:r>
              <w:rPr>
                <w:rFonts w:ascii="Arial" w:cs="Arial" w:eastAsia="Arial" w:hAnsi="Arial"/>
                <w:sz w:val="14"/>
                <w:szCs w:val="14"/>
                <w:b w:val="1"/>
                <w:bCs w:val="1"/>
                <w:color w:val="auto"/>
                <w:w w:val="92"/>
              </w:rPr>
              <w:t>Plans</w:t>
            </w:r>
            <w:r>
              <w:rPr>
                <w:rFonts w:ascii="Arial" w:cs="Arial" w:eastAsia="Arial" w:hAnsi="Arial"/>
                <w:sz w:val="17"/>
                <w:szCs w:val="17"/>
                <w:b w:val="1"/>
                <w:bCs w:val="1"/>
                <w:color w:val="auto"/>
                <w:w w:val="92"/>
                <w:vertAlign w:val="superscript"/>
              </w:rPr>
              <w:t>(b)</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10"/>
              <w:spacing w:after="0"/>
              <w:rPr>
                <w:sz w:val="20"/>
                <w:szCs w:val="20"/>
                <w:color w:val="auto"/>
              </w:rPr>
            </w:pPr>
            <w:r>
              <w:rPr>
                <w:rFonts w:ascii="Arial" w:cs="Arial" w:eastAsia="Arial" w:hAnsi="Arial"/>
                <w:sz w:val="14"/>
                <w:szCs w:val="14"/>
                <w:b w:val="1"/>
                <w:bCs w:val="1"/>
                <w:color w:val="auto"/>
                <w:w w:val="93"/>
              </w:rPr>
              <w:t>Plans</w:t>
            </w:r>
            <w:r>
              <w:rPr>
                <w:rFonts w:ascii="Arial" w:cs="Arial" w:eastAsia="Arial" w:hAnsi="Arial"/>
                <w:sz w:val="17"/>
                <w:szCs w:val="17"/>
                <w:b w:val="1"/>
                <w:bCs w:val="1"/>
                <w:color w:val="auto"/>
                <w:w w:val="93"/>
                <w:vertAlign w:val="superscript"/>
              </w:rPr>
              <w:t>(c)</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Total</w:t>
            </w:r>
          </w:p>
        </w:tc>
      </w:tr>
      <w:tr>
        <w:trPr>
          <w:trHeight w:val="205"/>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Sarah N. Nielsen</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2015</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109,650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57,474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64,553</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231,677</w:t>
            </w:r>
          </w:p>
        </w:tc>
      </w:tr>
      <w:tr>
        <w:trPr>
          <w:trHeight w:val="262"/>
        </w:trPr>
        <w:tc>
          <w:tcPr>
            <w:tcW w:w="36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109,120</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55,800</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61,490</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226,410</w:t>
            </w:r>
          </w:p>
        </w:tc>
      </w:tr>
      <w:tr>
        <w:trPr>
          <w:trHeight w:val="278"/>
        </w:trPr>
        <w:tc>
          <w:tcPr>
            <w:tcW w:w="36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2013</w:t>
            </w:r>
          </w:p>
        </w:tc>
        <w:tc>
          <w:tcPr>
            <w:tcW w:w="1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109,800</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51,642</w:t>
            </w:r>
          </w:p>
        </w:tc>
        <w:tc>
          <w:tcPr>
            <w:tcW w:w="3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55,341</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216,783</w:t>
            </w:r>
          </w:p>
        </w:tc>
      </w:tr>
      <w:tr>
        <w:trPr>
          <w:trHeight w:val="225"/>
        </w:trPr>
        <w:tc>
          <w:tcPr>
            <w:tcW w:w="3660" w:type="dxa"/>
            <w:vAlign w:val="bottom"/>
          </w:tcPr>
          <w:p>
            <w:pPr>
              <w:ind w:left="20"/>
              <w:spacing w:after="0"/>
              <w:rPr>
                <w:sz w:val="20"/>
                <w:szCs w:val="20"/>
                <w:color w:val="auto"/>
              </w:rPr>
            </w:pPr>
            <w:r>
              <w:rPr>
                <w:rFonts w:ascii="Arial" w:cs="Arial" w:eastAsia="Arial" w:hAnsi="Arial"/>
                <w:sz w:val="14"/>
                <w:szCs w:val="14"/>
                <w:color w:val="auto"/>
              </w:rPr>
              <w:t>S. Scott Degnan</w:t>
            </w:r>
          </w:p>
        </w:tc>
        <w:tc>
          <w:tcPr>
            <w:tcW w:w="920" w:type="dxa"/>
            <w:vAlign w:val="bottom"/>
          </w:tcPr>
          <w:p>
            <w:pPr>
              <w:jc w:val="center"/>
              <w:spacing w:after="0"/>
              <w:rPr>
                <w:sz w:val="20"/>
                <w:szCs w:val="20"/>
                <w:color w:val="auto"/>
              </w:rPr>
            </w:pPr>
            <w:r>
              <w:rPr>
                <w:rFonts w:ascii="Arial" w:cs="Arial" w:eastAsia="Arial" w:hAnsi="Arial"/>
                <w:sz w:val="14"/>
                <w:szCs w:val="14"/>
                <w:color w:val="auto"/>
              </w:rPr>
              <w:t>2015</w:t>
            </w:r>
          </w:p>
        </w:tc>
        <w:tc>
          <w:tcPr>
            <w:tcW w:w="18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4"/>
                <w:szCs w:val="14"/>
                <w:color w:val="auto"/>
              </w:rPr>
              <w:t>109,650</w:t>
            </w:r>
          </w:p>
        </w:tc>
        <w:tc>
          <w:tcPr>
            <w:tcW w:w="3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59,122</w:t>
            </w:r>
          </w:p>
        </w:tc>
        <w:tc>
          <w:tcPr>
            <w:tcW w:w="3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68,238</w:t>
            </w: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237,010</w:t>
            </w:r>
          </w:p>
        </w:tc>
      </w:tr>
      <w:tr>
        <w:trPr>
          <w:trHeight w:val="262"/>
        </w:trPr>
        <w:tc>
          <w:tcPr>
            <w:tcW w:w="36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2014</w:t>
            </w:r>
          </w:p>
        </w:tc>
        <w:tc>
          <w:tcPr>
            <w:tcW w:w="180" w:type="dxa"/>
            <w:vAlign w:val="bottom"/>
          </w:tcPr>
          <w:p>
            <w:pPr>
              <w:spacing w:after="0"/>
              <w:rPr>
                <w:sz w:val="22"/>
                <w:szCs w:val="22"/>
                <w:color w:val="auto"/>
              </w:rPr>
            </w:pPr>
          </w:p>
        </w:tc>
        <w:tc>
          <w:tcPr>
            <w:tcW w:w="1540" w:type="dxa"/>
            <w:vAlign w:val="bottom"/>
          </w:tcPr>
          <w:p>
            <w:pPr>
              <w:jc w:val="right"/>
              <w:ind w:right="30"/>
              <w:spacing w:after="0"/>
              <w:rPr>
                <w:sz w:val="20"/>
                <w:szCs w:val="20"/>
                <w:color w:val="auto"/>
              </w:rPr>
            </w:pPr>
            <w:r>
              <w:rPr>
                <w:rFonts w:ascii="Arial" w:cs="Arial" w:eastAsia="Arial" w:hAnsi="Arial"/>
                <w:sz w:val="14"/>
                <w:szCs w:val="14"/>
                <w:color w:val="auto"/>
              </w:rPr>
              <w:t>109,120</w:t>
            </w:r>
          </w:p>
        </w:tc>
        <w:tc>
          <w:tcPr>
            <w:tcW w:w="3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57,400</w:t>
            </w:r>
          </w:p>
        </w:tc>
        <w:tc>
          <w:tcPr>
            <w:tcW w:w="300" w:type="dxa"/>
            <w:vAlign w:val="bottom"/>
          </w:tcPr>
          <w:p>
            <w:pPr>
              <w:spacing w:after="0"/>
              <w:rPr>
                <w:sz w:val="22"/>
                <w:szCs w:val="22"/>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166,520</w:t>
            </w:r>
          </w:p>
        </w:tc>
      </w:tr>
      <w:tr>
        <w:trPr>
          <w:trHeight w:val="262"/>
        </w:trPr>
        <w:tc>
          <w:tcPr>
            <w:tcW w:w="36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22"/>
                <w:szCs w:val="22"/>
                <w:color w:val="auto"/>
              </w:rPr>
            </w:pPr>
          </w:p>
        </w:tc>
        <w:tc>
          <w:tcPr>
            <w:tcW w:w="1540" w:type="dxa"/>
            <w:vAlign w:val="bottom"/>
          </w:tcPr>
          <w:p>
            <w:pPr>
              <w:jc w:val="right"/>
              <w:ind w:right="30"/>
              <w:spacing w:after="0"/>
              <w:rPr>
                <w:sz w:val="20"/>
                <w:szCs w:val="20"/>
                <w:color w:val="auto"/>
              </w:rPr>
            </w:pPr>
            <w:r>
              <w:rPr>
                <w:rFonts w:ascii="Arial" w:cs="Arial" w:eastAsia="Arial" w:hAnsi="Arial"/>
                <w:sz w:val="14"/>
                <w:szCs w:val="14"/>
                <w:color w:val="auto"/>
              </w:rPr>
              <w:t>109,800</w:t>
            </w:r>
          </w:p>
        </w:tc>
        <w:tc>
          <w:tcPr>
            <w:tcW w:w="3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55,830</w:t>
            </w:r>
          </w:p>
        </w:tc>
        <w:tc>
          <w:tcPr>
            <w:tcW w:w="300" w:type="dxa"/>
            <w:vAlign w:val="bottom"/>
          </w:tcPr>
          <w:p>
            <w:pPr>
              <w:spacing w:after="0"/>
              <w:rPr>
                <w:sz w:val="22"/>
                <w:szCs w:val="22"/>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165,630</w:t>
            </w:r>
          </w:p>
        </w:tc>
      </w:tr>
      <w:tr>
        <w:trPr>
          <w:trHeight w:val="37"/>
        </w:trPr>
        <w:tc>
          <w:tcPr>
            <w:tcW w:w="3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2"/>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Scott C. Folkers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2015</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109,650</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50,676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59,052</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219,378</w:t>
            </w:r>
          </w:p>
        </w:tc>
      </w:tr>
      <w:tr>
        <w:trPr>
          <w:trHeight w:val="225"/>
        </w:trPr>
        <w:tc>
          <w:tcPr>
            <w:tcW w:w="3660" w:type="dxa"/>
            <w:vAlign w:val="bottom"/>
          </w:tcPr>
          <w:p>
            <w:pPr>
              <w:ind w:left="20"/>
              <w:spacing w:after="0"/>
              <w:rPr>
                <w:sz w:val="20"/>
                <w:szCs w:val="20"/>
                <w:color w:val="auto"/>
              </w:rPr>
            </w:pPr>
            <w:r>
              <w:rPr>
                <w:rFonts w:ascii="Arial" w:cs="Arial" w:eastAsia="Arial" w:hAnsi="Arial"/>
                <w:sz w:val="14"/>
                <w:szCs w:val="14"/>
                <w:color w:val="auto"/>
              </w:rPr>
              <w:t>Daryl W. Krieger</w:t>
            </w:r>
          </w:p>
        </w:tc>
        <w:tc>
          <w:tcPr>
            <w:tcW w:w="920" w:type="dxa"/>
            <w:vAlign w:val="bottom"/>
          </w:tcPr>
          <w:p>
            <w:pPr>
              <w:jc w:val="center"/>
              <w:spacing w:after="0"/>
              <w:rPr>
                <w:sz w:val="20"/>
                <w:szCs w:val="20"/>
                <w:color w:val="auto"/>
              </w:rPr>
            </w:pPr>
            <w:r>
              <w:rPr>
                <w:rFonts w:ascii="Arial" w:cs="Arial" w:eastAsia="Arial" w:hAnsi="Arial"/>
                <w:sz w:val="14"/>
                <w:szCs w:val="14"/>
                <w:color w:val="auto"/>
              </w:rPr>
              <w:t>2015</w:t>
            </w:r>
          </w:p>
        </w:tc>
        <w:tc>
          <w:tcPr>
            <w:tcW w:w="18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4"/>
                <w:szCs w:val="14"/>
                <w:color w:val="auto"/>
              </w:rPr>
              <w:t>109,650</w:t>
            </w:r>
          </w:p>
        </w:tc>
        <w:tc>
          <w:tcPr>
            <w:tcW w:w="3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49,440</w:t>
            </w:r>
          </w:p>
        </w:tc>
        <w:tc>
          <w:tcPr>
            <w:tcW w:w="3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54,590</w:t>
            </w: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213,680</w:t>
            </w:r>
          </w:p>
        </w:tc>
      </w:tr>
      <w:tr>
        <w:trPr>
          <w:trHeight w:val="37"/>
        </w:trPr>
        <w:tc>
          <w:tcPr>
            <w:tcW w:w="3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5"/>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Randy J. Potts</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2015</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328,950</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328,950</w:t>
            </w:r>
          </w:p>
        </w:tc>
      </w:tr>
      <w:tr>
        <w:trPr>
          <w:trHeight w:val="262"/>
        </w:trPr>
        <w:tc>
          <w:tcPr>
            <w:tcW w:w="36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354,640</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143,400</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91,000</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589,040</w:t>
            </w:r>
          </w:p>
        </w:tc>
      </w:tr>
      <w:tr>
        <w:trPr>
          <w:trHeight w:val="262"/>
        </w:trPr>
        <w:tc>
          <w:tcPr>
            <w:tcW w:w="36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341,600</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141,877</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52,498</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535,975</w:t>
            </w:r>
          </w:p>
        </w:tc>
      </w:tr>
      <w:tr>
        <w:trPr>
          <w:trHeight w:val="37"/>
        </w:trPr>
        <w:tc>
          <w:tcPr>
            <w:tcW w:w="36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pacing w:after="0" w:line="57" w:lineRule="exact"/>
        <w:rPr>
          <w:sz w:val="20"/>
          <w:szCs w:val="20"/>
          <w:color w:val="auto"/>
        </w:rPr>
      </w:pPr>
    </w:p>
    <w:p>
      <w:pPr>
        <w:ind w:left="640" w:right="20" w:hanging="242"/>
        <w:spacing w:after="0" w:line="239" w:lineRule="auto"/>
        <w:tabs>
          <w:tab w:leader="none" w:pos="640" w:val="left"/>
        </w:tabs>
        <w:numPr>
          <w:ilvl w:val="1"/>
          <w:numId w:val="45"/>
        </w:numPr>
        <w:rPr>
          <w:rFonts w:ascii="Arial" w:cs="Arial" w:eastAsia="Arial" w:hAnsi="Arial"/>
          <w:sz w:val="12"/>
          <w:szCs w:val="12"/>
          <w:color w:val="auto"/>
        </w:rPr>
      </w:pPr>
      <w:r>
        <w:rPr>
          <w:rFonts w:ascii="Arial" w:cs="Arial" w:eastAsia="Arial" w:hAnsi="Arial"/>
          <w:sz w:val="14"/>
          <w:szCs w:val="14"/>
          <w:color w:val="auto"/>
        </w:rPr>
        <w:t>These amounts represent non-performance based restricted stock granted pursuant to the 2004 Plan computed in accordance with ASC 718. The grant date fair value of each of the non-performance based awards was determined at the closing price of the Company's shares on the NYSE on the grant date without regard to estimated forfeitures related to service-based vesting conditions.</w:t>
      </w:r>
    </w:p>
    <w:p>
      <w:pPr>
        <w:spacing w:after="0" w:line="42" w:lineRule="exact"/>
        <w:rPr>
          <w:rFonts w:ascii="Arial" w:cs="Arial" w:eastAsia="Arial" w:hAnsi="Arial"/>
          <w:sz w:val="12"/>
          <w:szCs w:val="12"/>
          <w:color w:val="auto"/>
        </w:rPr>
      </w:pPr>
    </w:p>
    <w:p>
      <w:pPr>
        <w:ind w:left="640" w:right="40" w:hanging="242"/>
        <w:spacing w:after="0" w:line="236" w:lineRule="auto"/>
        <w:tabs>
          <w:tab w:leader="none" w:pos="640" w:val="left"/>
        </w:tabs>
        <w:numPr>
          <w:ilvl w:val="1"/>
          <w:numId w:val="45"/>
        </w:numPr>
        <w:rPr>
          <w:rFonts w:ascii="Arial" w:cs="Arial" w:eastAsia="Arial" w:hAnsi="Arial"/>
          <w:sz w:val="12"/>
          <w:szCs w:val="12"/>
          <w:color w:val="auto"/>
        </w:rPr>
      </w:pPr>
      <w:r>
        <w:rPr>
          <w:rFonts w:ascii="Arial" w:cs="Arial" w:eastAsia="Arial" w:hAnsi="Arial"/>
          <w:sz w:val="14"/>
          <w:szCs w:val="14"/>
          <w:color w:val="auto"/>
        </w:rPr>
        <w:t>The amounts reported in this column do not reflect actual compensation realized by the NEOs and are not a guarantee of the amount that the NEO will actually receive. These amounts represent the fair value of each of the annual performance-based awards required to be paid in stock subject to a one-year holding period under the respective annual Officers Incentive Compensation Plan, as described under "Compensation Discussion and Analysis" above. The fair value was determined based on Management's estimate of the achievement levels of the performance measures related to the applicable awards for the applicable annual plan. For information regarding the terms of the awards, the criteria for determining the amounts payable and the accrual amount payable in Fiscal 2015, see "Compensation Discussion and Analysis-Annual Incentive Plan." The grant date fair value of the performance stock awards granted to NEOs for Fiscal 2015 assuming that the Company's performance will be at the levels that would result in a maximum payout under those awards is as follows: Ms. Nielsen - $114,948; Mr. Degnan - $118,244; Mr. Folkers - $101,352; ; Mr. Krieger- $98,880.</w:t>
      </w:r>
    </w:p>
    <w:p>
      <w:pPr>
        <w:spacing w:after="0" w:line="44" w:lineRule="exact"/>
        <w:rPr>
          <w:rFonts w:ascii="Arial" w:cs="Arial" w:eastAsia="Arial" w:hAnsi="Arial"/>
          <w:sz w:val="12"/>
          <w:szCs w:val="12"/>
          <w:color w:val="auto"/>
        </w:rPr>
      </w:pPr>
    </w:p>
    <w:p>
      <w:pPr>
        <w:ind w:left="640" w:right="40" w:hanging="242"/>
        <w:spacing w:after="0" w:line="236" w:lineRule="auto"/>
        <w:tabs>
          <w:tab w:leader="none" w:pos="640" w:val="left"/>
        </w:tabs>
        <w:numPr>
          <w:ilvl w:val="1"/>
          <w:numId w:val="45"/>
        </w:numPr>
        <w:rPr>
          <w:rFonts w:ascii="Arial" w:cs="Arial" w:eastAsia="Arial" w:hAnsi="Arial"/>
          <w:sz w:val="12"/>
          <w:szCs w:val="12"/>
          <w:color w:val="auto"/>
        </w:rPr>
      </w:pPr>
      <w:r>
        <w:rPr>
          <w:rFonts w:ascii="Arial" w:cs="Arial" w:eastAsia="Arial" w:hAnsi="Arial"/>
          <w:sz w:val="14"/>
          <w:szCs w:val="14"/>
          <w:color w:val="auto"/>
        </w:rPr>
        <w:t>The amounts reported in this column do not reflect actual compensation realized by the NEOs and are not a guarantee of the amount that the NEO will actually receive. These amounts represent the fair value of each of the performance-based long-term awards required to be paid in stock under the respective Officers Long-Term Incentive Plan, as described under "Compensation Discussion and Analysis" above. The fair value was determined based on Management's estimate of the achievement level of the performance conditions measured as of the grant date. For information regarding the terms of the awards, the criteria for determining the amounts payable and the accrual amount payable in Fiscal 2015, see "Compensation Discussion and Analysis-Long-Term Incentives." The grant date fair value of the performance stock awards granted to NEOs for Fiscal 2015 assuming that the Company's performance will be at the levels that would result in a maximum payout under those awards is as follows: Ms. Nielsen - $81,613; Mr. Folkers -$74,658 Mr. Krieger - $69,017.</w:t>
      </w:r>
    </w:p>
    <w:p>
      <w:pPr>
        <w:spacing w:after="0" w:line="44" w:lineRule="exact"/>
        <w:rPr>
          <w:rFonts w:ascii="Arial" w:cs="Arial" w:eastAsia="Arial" w:hAnsi="Arial"/>
          <w:sz w:val="12"/>
          <w:szCs w:val="12"/>
          <w:color w:val="auto"/>
        </w:rPr>
      </w:pPr>
    </w:p>
    <w:p>
      <w:pPr>
        <w:ind w:left="320" w:right="620" w:hanging="315"/>
        <w:spacing w:after="0" w:line="245" w:lineRule="auto"/>
        <w:tabs>
          <w:tab w:leader="none" w:pos="320" w:val="left"/>
        </w:tabs>
        <w:numPr>
          <w:ilvl w:val="0"/>
          <w:numId w:val="46"/>
        </w:numPr>
        <w:rPr>
          <w:rFonts w:ascii="Arial" w:cs="Arial" w:eastAsia="Arial" w:hAnsi="Arial"/>
          <w:sz w:val="12"/>
          <w:szCs w:val="12"/>
          <w:color w:val="auto"/>
        </w:rPr>
      </w:pPr>
      <w:r>
        <w:rPr>
          <w:rFonts w:ascii="Arial" w:cs="Arial" w:eastAsia="Arial" w:hAnsi="Arial"/>
          <w:sz w:val="14"/>
          <w:szCs w:val="14"/>
          <w:color w:val="auto"/>
        </w:rPr>
        <w:t>These amounts represent actual annual incentive plan award payouts made in cash to NEOs under the 2013, 2014 and 2015 Officers Incentive Compensation Plans. See “Compensation Discussion and Analysis” for further discussion on how amounts were determined for Fiscal 2015.</w:t>
      </w:r>
    </w:p>
    <w:p>
      <w:pPr>
        <w:spacing w:after="0" w:line="37" w:lineRule="exact"/>
        <w:rPr>
          <w:rFonts w:ascii="Arial" w:cs="Arial" w:eastAsia="Arial" w:hAnsi="Arial"/>
          <w:sz w:val="12"/>
          <w:szCs w:val="12"/>
          <w:color w:val="auto"/>
        </w:rPr>
      </w:pPr>
    </w:p>
    <w:p>
      <w:pPr>
        <w:ind w:left="320" w:hanging="315"/>
        <w:spacing w:after="0"/>
        <w:tabs>
          <w:tab w:leader="none" w:pos="320" w:val="left"/>
        </w:tabs>
        <w:numPr>
          <w:ilvl w:val="0"/>
          <w:numId w:val="46"/>
        </w:numPr>
        <w:rPr>
          <w:rFonts w:ascii="Arial" w:cs="Arial" w:eastAsia="Arial" w:hAnsi="Arial"/>
          <w:sz w:val="12"/>
          <w:szCs w:val="12"/>
          <w:color w:val="auto"/>
        </w:rPr>
      </w:pPr>
      <w:r>
        <w:rPr>
          <w:rFonts w:ascii="Arial" w:cs="Arial" w:eastAsia="Arial" w:hAnsi="Arial"/>
          <w:sz w:val="14"/>
          <w:szCs w:val="14"/>
          <w:color w:val="auto"/>
        </w:rPr>
        <w:t>See the discussion above regarding Mr. Potts' "Retirement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298" w:right="239" w:bottom="1440" w:gutter="0" w:footer="0" w:header="0"/>
        </w:sectPr>
      </w:pPr>
    </w:p>
    <w:bookmarkStart w:id="29" w:name="page30"/>
    <w:bookmarkEnd w:id="29"/>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GRANTS OF PLAN-BASED AWARDS TABLE</w:t>
      </w:r>
    </w:p>
    <w:p>
      <w:pPr>
        <w:spacing w:after="0" w:line="104"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 xml:space="preserve">The following table provides additional information relating to plan-based awards granted to our NEOs for Fiscal 2015. Actual payouts were made to the NEOs under the 2014 Plan and the 2015 annual Officers Incentive Compensation Plan </w:t>
      </w:r>
      <w:r>
        <w:rPr>
          <w:rFonts w:ascii="Arial" w:cs="Arial" w:eastAsia="Arial" w:hAnsi="Arial"/>
          <w:sz w:val="16"/>
          <w:szCs w:val="16"/>
          <w:i w:val="1"/>
          <w:iCs w:val="1"/>
          <w:color w:val="auto"/>
        </w:rPr>
        <w:t>("OICP")</w:t>
      </w:r>
      <w:r>
        <w:rPr>
          <w:rFonts w:ascii="Arial" w:cs="Arial" w:eastAsia="Arial" w:hAnsi="Arial"/>
          <w:sz w:val="16"/>
          <w:szCs w:val="16"/>
          <w:color w:val="auto"/>
        </w:rPr>
        <w:t xml:space="preserve"> and the 2015-2017 Long-Term Incentive Plan </w:t>
      </w:r>
      <w:r>
        <w:rPr>
          <w:rFonts w:ascii="Arial" w:cs="Arial" w:eastAsia="Arial" w:hAnsi="Arial"/>
          <w:sz w:val="16"/>
          <w:szCs w:val="16"/>
          <w:i w:val="1"/>
          <w:iCs w:val="1"/>
          <w:color w:val="auto"/>
        </w:rPr>
        <w:t>("2017 LTIP")</w:t>
      </w:r>
      <w:r>
        <w:rPr>
          <w:rFonts w:ascii="Arial" w:cs="Arial" w:eastAsia="Arial" w:hAnsi="Arial"/>
          <w:sz w:val="16"/>
          <w:szCs w:val="16"/>
          <w:color w:val="auto"/>
        </w:rPr>
        <w:t xml:space="preserve"> as discussed under "Compensation Discussion and Analysis-Annual Incentive Plan" above.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Estimated Future Payouts Under</w:t>
            </w:r>
          </w:p>
        </w:tc>
        <w:tc>
          <w:tcPr>
            <w:tcW w:w="29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9"/>
              </w:rPr>
              <w:t>Estimated Future Payments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20" w:type="dxa"/>
            <w:vAlign w:val="bottom"/>
            <w:gridSpan w:val="4"/>
          </w:tcPr>
          <w:p>
            <w:pPr>
              <w:jc w:val="center"/>
              <w:ind w:right="80"/>
              <w:spacing w:after="0" w:line="157" w:lineRule="exact"/>
              <w:rPr>
                <w:sz w:val="20"/>
                <w:szCs w:val="20"/>
                <w:color w:val="auto"/>
              </w:rPr>
            </w:pPr>
            <w:r>
              <w:rPr>
                <w:rFonts w:ascii="Arial" w:cs="Arial" w:eastAsia="Arial" w:hAnsi="Arial"/>
                <w:sz w:val="14"/>
                <w:szCs w:val="14"/>
                <w:b w:val="1"/>
                <w:bCs w:val="1"/>
                <w:color w:val="auto"/>
                <w:w w:val="99"/>
              </w:rPr>
              <w:t>Non-Equity Incentive Plan Awards</w:t>
            </w:r>
          </w:p>
        </w:tc>
        <w:tc>
          <w:tcPr>
            <w:tcW w:w="2960" w:type="dxa"/>
            <w:vAlign w:val="bottom"/>
            <w:gridSpan w:val="4"/>
          </w:tcPr>
          <w:p>
            <w:pPr>
              <w:jc w:val="center"/>
              <w:ind w:right="80"/>
              <w:spacing w:after="0" w:line="157" w:lineRule="exact"/>
              <w:rPr>
                <w:sz w:val="20"/>
                <w:szCs w:val="20"/>
                <w:color w:val="auto"/>
              </w:rPr>
            </w:pPr>
            <w:r>
              <w:rPr>
                <w:rFonts w:ascii="Arial" w:cs="Arial" w:eastAsia="Arial" w:hAnsi="Arial"/>
                <w:sz w:val="14"/>
                <w:szCs w:val="14"/>
                <w:b w:val="1"/>
                <w:bCs w:val="1"/>
                <w:color w:val="auto"/>
              </w:rPr>
              <w:t>Under Equity Incentive Plan Awards</w:t>
            </w: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3"/>
                <w:szCs w:val="13"/>
                <w:color w:val="auto"/>
              </w:rPr>
            </w:pPr>
          </w:p>
        </w:tc>
        <w:tc>
          <w:tcPr>
            <w:tcW w:w="880" w:type="dxa"/>
            <w:vAlign w:val="bottom"/>
          </w:tcPr>
          <w:p>
            <w:pPr>
              <w:jc w:val="center"/>
              <w:ind w:right="70"/>
              <w:spacing w:after="0" w:line="157"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52"/>
        </w:trPr>
        <w:tc>
          <w:tcPr>
            <w:tcW w:w="1500" w:type="dxa"/>
            <w:vAlign w:val="bottom"/>
          </w:tcPr>
          <w:p>
            <w:pPr>
              <w:spacing w:after="0"/>
              <w:rPr>
                <w:sz w:val="4"/>
                <w:szCs w:val="4"/>
                <w:color w:val="auto"/>
              </w:rPr>
            </w:pPr>
          </w:p>
        </w:tc>
        <w:tc>
          <w:tcPr>
            <w:tcW w:w="1040" w:type="dxa"/>
            <w:vAlign w:val="bottom"/>
            <w:vMerge w:val="restart"/>
          </w:tcPr>
          <w:p>
            <w:pPr>
              <w:ind w:left="360"/>
              <w:spacing w:after="0" w:line="146" w:lineRule="exact"/>
              <w:rPr>
                <w:sz w:val="20"/>
                <w:szCs w:val="20"/>
                <w:color w:val="auto"/>
              </w:rPr>
            </w:pPr>
            <w:r>
              <w:rPr>
                <w:rFonts w:ascii="Arial" w:cs="Arial" w:eastAsia="Arial" w:hAnsi="Arial"/>
                <w:sz w:val="14"/>
                <w:szCs w:val="14"/>
                <w:b w:val="1"/>
                <w:bCs w:val="1"/>
                <w:color w:val="auto"/>
              </w:rPr>
              <w:t>Plan</w:t>
            </w:r>
          </w:p>
        </w:tc>
        <w:tc>
          <w:tcPr>
            <w:tcW w:w="800" w:type="dxa"/>
            <w:vAlign w:val="bottom"/>
            <w:vMerge w:val="restart"/>
          </w:tcPr>
          <w:p>
            <w:pPr>
              <w:jc w:val="center"/>
              <w:spacing w:after="0" w:line="146" w:lineRule="exact"/>
              <w:rPr>
                <w:sz w:val="20"/>
                <w:szCs w:val="20"/>
                <w:color w:val="auto"/>
              </w:rPr>
            </w:pPr>
            <w:r>
              <w:rPr>
                <w:rFonts w:ascii="Arial" w:cs="Arial" w:eastAsia="Arial" w:hAnsi="Arial"/>
                <w:sz w:val="14"/>
                <w:szCs w:val="14"/>
                <w:b w:val="1"/>
                <w:bCs w:val="1"/>
                <w:color w:val="auto"/>
                <w:w w:val="96"/>
              </w:rPr>
              <w:t>Grant</w:t>
            </w:r>
          </w:p>
        </w:tc>
        <w:tc>
          <w:tcPr>
            <w:tcW w:w="1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restart"/>
          </w:tcPr>
          <w:p>
            <w:pPr>
              <w:jc w:val="center"/>
              <w:spacing w:after="0" w:line="146" w:lineRule="exact"/>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4"/>
                <w:szCs w:val="4"/>
                <w:color w:val="auto"/>
              </w:rPr>
            </w:pPr>
          </w:p>
        </w:tc>
        <w:tc>
          <w:tcPr>
            <w:tcW w:w="880" w:type="dxa"/>
            <w:vAlign w:val="bottom"/>
            <w:vMerge w:val="restart"/>
          </w:tcPr>
          <w:p>
            <w:pPr>
              <w:jc w:val="center"/>
              <w:ind w:right="50"/>
              <w:spacing w:after="0" w:line="146" w:lineRule="exact"/>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73"/>
        </w:trPr>
        <w:tc>
          <w:tcPr>
            <w:tcW w:w="15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auto"/>
            </w:tcBorders>
          </w:tcPr>
          <w:p>
            <w:pPr>
              <w:ind w:left="220"/>
              <w:spacing w:after="0" w:line="194" w:lineRule="exact"/>
              <w:rPr>
                <w:sz w:val="20"/>
                <w:szCs w:val="20"/>
                <w:color w:val="auto"/>
              </w:rPr>
            </w:pPr>
            <w:r>
              <w:rPr>
                <w:rFonts w:ascii="Arial" w:cs="Arial" w:eastAsia="Arial" w:hAnsi="Arial"/>
                <w:sz w:val="22"/>
                <w:szCs w:val="22"/>
                <w:b w:val="1"/>
                <w:bCs w:val="1"/>
                <w:color w:val="auto"/>
                <w:vertAlign w:val="subscript"/>
              </w:rPr>
              <w:t>Name</w:t>
            </w:r>
            <w:r>
              <w:rPr>
                <w:rFonts w:ascii="Arial" w:cs="Arial" w:eastAsia="Arial" w:hAnsi="Arial"/>
                <w:sz w:val="8"/>
                <w:szCs w:val="8"/>
                <w:b w:val="1"/>
                <w:bCs w:val="1"/>
                <w:color w:val="auto"/>
              </w:rPr>
              <w:t>(1)(2)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Date </w:t>
            </w:r>
            <w:r>
              <w:rPr>
                <w:rFonts w:ascii="Arial" w:cs="Arial" w:eastAsia="Arial" w:hAnsi="Arial"/>
                <w:sz w:val="17"/>
                <w:szCs w:val="17"/>
                <w:b w:val="1"/>
                <w:bCs w:val="1"/>
                <w:color w:val="auto"/>
                <w:w w:val="91"/>
                <w:vertAlign w:val="superscript"/>
              </w:rPr>
              <w:t>(3)</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Threshold</w:t>
            </w: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8"/>
              </w:rPr>
              <w:t>Target</w:t>
            </w: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Maximum</w:t>
            </w: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Threshold</w:t>
            </w: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Target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Maximum</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Awards (#)</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98"/>
              </w:rPr>
              <w:t>Awards</w:t>
            </w:r>
          </w:p>
        </w:tc>
        <w:tc>
          <w:tcPr>
            <w:tcW w:w="0" w:type="dxa"/>
            <w:vAlign w:val="bottom"/>
          </w:tcPr>
          <w:p>
            <w:pPr>
              <w:spacing w:after="0"/>
              <w:rPr>
                <w:sz w:val="1"/>
                <w:szCs w:val="1"/>
                <w:color w:val="auto"/>
              </w:rPr>
            </w:pPr>
          </w:p>
        </w:tc>
      </w:tr>
      <w:tr>
        <w:trPr>
          <w:trHeight w:val="245"/>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Sarah N. Nielsen</w:t>
            </w: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10/15/14</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262"/>
        </w:trPr>
        <w:tc>
          <w:tcPr>
            <w:tcW w:w="1500" w:type="dxa"/>
            <w:vAlign w:val="bottom"/>
            <w:shd w:val="clear" w:color="auto" w:fill="CCEEFF"/>
          </w:tcPr>
          <w:p>
            <w:pPr>
              <w:spacing w:after="0"/>
              <w:rPr>
                <w:sz w:val="22"/>
                <w:szCs w:val="22"/>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2015 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6/18/14</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18,679</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114,948</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229,896</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9,340</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57,474</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114,948</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2"/>
        </w:trPr>
        <w:tc>
          <w:tcPr>
            <w:tcW w:w="1500" w:type="dxa"/>
            <w:vAlign w:val="bottom"/>
            <w:shd w:val="clear" w:color="auto" w:fill="CCEEFF"/>
          </w:tcPr>
          <w:p>
            <w:pPr>
              <w:spacing w:after="0"/>
              <w:rPr>
                <w:sz w:val="23"/>
                <w:szCs w:val="2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 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6/18/14</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7,184</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71,843</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107,764</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2"/>
        </w:trPr>
        <w:tc>
          <w:tcPr>
            <w:tcW w:w="1500" w:type="dxa"/>
            <w:vAlign w:val="bottom"/>
          </w:tcPr>
          <w:p>
            <w:pPr>
              <w:ind w:left="40"/>
              <w:spacing w:after="0"/>
              <w:rPr>
                <w:sz w:val="20"/>
                <w:szCs w:val="20"/>
                <w:color w:val="auto"/>
              </w:rPr>
            </w:pPr>
            <w:r>
              <w:rPr>
                <w:rFonts w:ascii="Arial" w:cs="Arial" w:eastAsia="Arial" w:hAnsi="Arial"/>
                <w:sz w:val="14"/>
                <w:szCs w:val="14"/>
                <w:color w:val="auto"/>
              </w:rPr>
              <w:t>S. Scott Degnan</w:t>
            </w:r>
          </w:p>
        </w:tc>
        <w:tc>
          <w:tcPr>
            <w:tcW w:w="1040" w:type="dxa"/>
            <w:vAlign w:val="bottom"/>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10/15/14</w:t>
            </w: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5,000</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2015 OICP</w:t>
            </w:r>
          </w:p>
        </w:tc>
        <w:tc>
          <w:tcPr>
            <w:tcW w:w="800" w:type="dxa"/>
            <w:vAlign w:val="bottom"/>
          </w:tcPr>
          <w:p>
            <w:pPr>
              <w:jc w:val="center"/>
              <w:spacing w:after="0"/>
              <w:rPr>
                <w:sz w:val="20"/>
                <w:szCs w:val="20"/>
                <w:color w:val="auto"/>
              </w:rPr>
            </w:pPr>
            <w:r>
              <w:rPr>
                <w:rFonts w:ascii="Arial" w:cs="Arial" w:eastAsia="Arial" w:hAnsi="Arial"/>
                <w:sz w:val="14"/>
                <w:szCs w:val="14"/>
                <w:color w:val="auto"/>
              </w:rPr>
              <w:t>6/18/14</w:t>
            </w: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19,215</w:t>
            </w: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118,245</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236,489</w:t>
            </w:r>
          </w:p>
        </w:tc>
        <w:tc>
          <w:tcPr>
            <w:tcW w:w="120" w:type="dxa"/>
            <w:vAlign w:val="bottom"/>
          </w:tcPr>
          <w:p>
            <w:pPr>
              <w:spacing w:after="0"/>
              <w:rPr>
                <w:sz w:val="22"/>
                <w:szCs w:val="22"/>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9,607</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59,122</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118,244</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150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2017 LTIP</w:t>
            </w:r>
          </w:p>
        </w:tc>
        <w:tc>
          <w:tcPr>
            <w:tcW w:w="800" w:type="dxa"/>
            <w:vAlign w:val="bottom"/>
          </w:tcPr>
          <w:p>
            <w:pPr>
              <w:jc w:val="center"/>
              <w:spacing w:after="0"/>
              <w:rPr>
                <w:sz w:val="20"/>
                <w:szCs w:val="20"/>
                <w:color w:val="auto"/>
              </w:rPr>
            </w:pPr>
            <w:r>
              <w:rPr>
                <w:rFonts w:ascii="Arial" w:cs="Arial" w:eastAsia="Arial" w:hAnsi="Arial"/>
                <w:sz w:val="14"/>
                <w:szCs w:val="14"/>
                <w:color w:val="auto"/>
              </w:rPr>
              <w:t>6/18/14</w:t>
            </w: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7,390</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73,903</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110,854</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Scott C. Folkers</w:t>
            </w: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10/15/14</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262"/>
        </w:trPr>
        <w:tc>
          <w:tcPr>
            <w:tcW w:w="1500" w:type="dxa"/>
            <w:vAlign w:val="bottom"/>
            <w:shd w:val="clear" w:color="auto" w:fill="CCEEFF"/>
          </w:tcPr>
          <w:p>
            <w:pPr>
              <w:spacing w:after="0"/>
              <w:rPr>
                <w:sz w:val="22"/>
                <w:szCs w:val="22"/>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2015 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6/18/14</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16,470</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101,352</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202,704</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8,235</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50,676</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101,352</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2"/>
        </w:trPr>
        <w:tc>
          <w:tcPr>
            <w:tcW w:w="1500" w:type="dxa"/>
            <w:vAlign w:val="bottom"/>
            <w:shd w:val="clear" w:color="auto" w:fill="CCEEFF"/>
          </w:tcPr>
          <w:p>
            <w:pPr>
              <w:spacing w:after="0"/>
              <w:rPr>
                <w:sz w:val="23"/>
                <w:szCs w:val="2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 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6/18/14</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6,335</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63,345</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95,018</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2"/>
        </w:trPr>
        <w:tc>
          <w:tcPr>
            <w:tcW w:w="1500" w:type="dxa"/>
            <w:vAlign w:val="bottom"/>
          </w:tcPr>
          <w:p>
            <w:pPr>
              <w:ind w:left="40"/>
              <w:spacing w:after="0"/>
              <w:rPr>
                <w:sz w:val="20"/>
                <w:szCs w:val="20"/>
                <w:color w:val="auto"/>
              </w:rPr>
            </w:pPr>
            <w:r>
              <w:rPr>
                <w:rFonts w:ascii="Arial" w:cs="Arial" w:eastAsia="Arial" w:hAnsi="Arial"/>
                <w:sz w:val="14"/>
                <w:szCs w:val="14"/>
                <w:color w:val="auto"/>
              </w:rPr>
              <w:t>Daryl W. Krieger</w:t>
            </w:r>
          </w:p>
        </w:tc>
        <w:tc>
          <w:tcPr>
            <w:tcW w:w="1040" w:type="dxa"/>
            <w:vAlign w:val="bottom"/>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10/15/14</w:t>
            </w: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5,000</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2015 OICP</w:t>
            </w:r>
          </w:p>
        </w:tc>
        <w:tc>
          <w:tcPr>
            <w:tcW w:w="800" w:type="dxa"/>
            <w:vAlign w:val="bottom"/>
          </w:tcPr>
          <w:p>
            <w:pPr>
              <w:jc w:val="center"/>
              <w:spacing w:after="0"/>
              <w:rPr>
                <w:sz w:val="20"/>
                <w:szCs w:val="20"/>
                <w:color w:val="auto"/>
              </w:rPr>
            </w:pPr>
            <w:r>
              <w:rPr>
                <w:rFonts w:ascii="Arial" w:cs="Arial" w:eastAsia="Arial" w:hAnsi="Arial"/>
                <w:sz w:val="14"/>
                <w:szCs w:val="14"/>
                <w:color w:val="auto"/>
              </w:rPr>
              <w:t>6/18/14</w:t>
            </w: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16,068</w:t>
            </w: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98,880</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197,760</w:t>
            </w:r>
          </w:p>
        </w:tc>
        <w:tc>
          <w:tcPr>
            <w:tcW w:w="120" w:type="dxa"/>
            <w:vAlign w:val="bottom"/>
          </w:tcPr>
          <w:p>
            <w:pPr>
              <w:spacing w:after="0"/>
              <w:rPr>
                <w:sz w:val="22"/>
                <w:szCs w:val="22"/>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8,034</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49,440</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98,880</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150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2017 LTIP</w:t>
            </w:r>
          </w:p>
        </w:tc>
        <w:tc>
          <w:tcPr>
            <w:tcW w:w="800" w:type="dxa"/>
            <w:vAlign w:val="bottom"/>
          </w:tcPr>
          <w:p>
            <w:pPr>
              <w:jc w:val="center"/>
              <w:spacing w:after="0"/>
              <w:rPr>
                <w:sz w:val="20"/>
                <w:szCs w:val="20"/>
                <w:color w:val="auto"/>
              </w:rPr>
            </w:pPr>
            <w:r>
              <w:rPr>
                <w:rFonts w:ascii="Arial" w:cs="Arial" w:eastAsia="Arial" w:hAnsi="Arial"/>
                <w:sz w:val="14"/>
                <w:szCs w:val="14"/>
                <w:color w:val="auto"/>
              </w:rPr>
              <w:t>6/18/14</w:t>
            </w: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6,180</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61,800</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92,700</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Randy J. Potts</w:t>
            </w: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10/15/14</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262"/>
        </w:trPr>
        <w:tc>
          <w:tcPr>
            <w:tcW w:w="1500" w:type="dxa"/>
            <w:vAlign w:val="bottom"/>
            <w:shd w:val="clear" w:color="auto" w:fill="CCEEFF"/>
          </w:tcPr>
          <w:p>
            <w:pPr>
              <w:spacing w:after="0"/>
              <w:rPr>
                <w:sz w:val="22"/>
                <w:szCs w:val="22"/>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2015 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6/18/14</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45,234</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278,361</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556,723</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22,617</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139,181</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278,362</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2"/>
        </w:trPr>
        <w:tc>
          <w:tcPr>
            <w:tcW w:w="1500" w:type="dxa"/>
            <w:vAlign w:val="bottom"/>
            <w:shd w:val="clear" w:color="auto" w:fill="CCEEFF"/>
          </w:tcPr>
          <w:p>
            <w:pPr>
              <w:spacing w:after="0"/>
              <w:rPr>
                <w:sz w:val="23"/>
                <w:szCs w:val="2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 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6/18/14</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12,309</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123,085</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184,628</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20" w:right="80" w:hanging="315"/>
        <w:spacing w:after="0" w:line="237" w:lineRule="auto"/>
        <w:tabs>
          <w:tab w:leader="none" w:pos="320" w:val="left"/>
        </w:tabs>
        <w:numPr>
          <w:ilvl w:val="0"/>
          <w:numId w:val="47"/>
        </w:numPr>
        <w:rPr>
          <w:rFonts w:ascii="Arial" w:cs="Arial" w:eastAsia="Arial" w:hAnsi="Arial"/>
          <w:sz w:val="12"/>
          <w:szCs w:val="12"/>
          <w:color w:val="auto"/>
        </w:rPr>
      </w:pPr>
      <w:r>
        <w:rPr>
          <w:rFonts w:ascii="Arial" w:cs="Arial" w:eastAsia="Arial" w:hAnsi="Arial"/>
          <w:sz w:val="14"/>
          <w:szCs w:val="14"/>
          <w:color w:val="auto"/>
        </w:rPr>
        <w:t>2015 OICP targets annual performance against goals established by the Committee. Awards under the 2015 OICP are payable in 2/3 cash and 1/3 restricted stock. The applicable Threshold, Target and Maximum amounts presented above represent such cash and dollar value, respectively, of stock subject to a one-year holding period for the 2015 OICP. Under the 2015 OICP, the financial factors used in determining amounts payable may be modified by the Committee by plus or minus 20% based upon achievement of pre-determined strategic priorities. In October 2015 the Committee approved a 17.20% upward adjustment based on the achievement of certain objectives described under "Compensation Discussion and Analysis-Annual Incentive Plan" above.</w:t>
      </w:r>
    </w:p>
    <w:p>
      <w:pPr>
        <w:spacing w:after="0" w:line="43" w:lineRule="exact"/>
        <w:rPr>
          <w:rFonts w:ascii="Arial" w:cs="Arial" w:eastAsia="Arial" w:hAnsi="Arial"/>
          <w:sz w:val="12"/>
          <w:szCs w:val="12"/>
          <w:color w:val="auto"/>
        </w:rPr>
      </w:pPr>
    </w:p>
    <w:p>
      <w:pPr>
        <w:ind w:left="320" w:right="40" w:hanging="315"/>
        <w:spacing w:after="0" w:line="238" w:lineRule="auto"/>
        <w:tabs>
          <w:tab w:leader="none" w:pos="320" w:val="left"/>
        </w:tabs>
        <w:numPr>
          <w:ilvl w:val="0"/>
          <w:numId w:val="47"/>
        </w:numPr>
        <w:rPr>
          <w:rFonts w:ascii="Arial" w:cs="Arial" w:eastAsia="Arial" w:hAnsi="Arial"/>
          <w:sz w:val="12"/>
          <w:szCs w:val="12"/>
          <w:color w:val="auto"/>
        </w:rPr>
      </w:pPr>
      <w:r>
        <w:rPr>
          <w:rFonts w:ascii="Arial" w:cs="Arial" w:eastAsia="Arial" w:hAnsi="Arial"/>
          <w:sz w:val="14"/>
          <w:szCs w:val="14"/>
          <w:color w:val="auto"/>
        </w:rPr>
        <w:t>2017 LTIP refers to our Officers Long-Term Incentive Plan Fiscal Three-Year Period 2015-2017. For each of the NEOs, the Threshold, Target and Maximum amounts under the 2017 LTIP represent potential restricted stock payments that are measured over a three-year performance period from August 31, 2014 through August 26, 2017. See “Compensation Discussion and Analysis-Long-Term Incentive Plans Fiscal 2013-2015” for information regarding the terms of the stock awards subject to a one-year holding period, the description of the performance-based vesting conditions and the criteria for determining the amounts payable.</w:t>
      </w:r>
    </w:p>
    <w:p>
      <w:pPr>
        <w:spacing w:after="0" w:line="42" w:lineRule="exact"/>
        <w:rPr>
          <w:rFonts w:ascii="Arial" w:cs="Arial" w:eastAsia="Arial" w:hAnsi="Arial"/>
          <w:sz w:val="12"/>
          <w:szCs w:val="12"/>
          <w:color w:val="auto"/>
        </w:rPr>
      </w:pPr>
    </w:p>
    <w:p>
      <w:pPr>
        <w:ind w:left="320" w:hanging="315"/>
        <w:spacing w:after="0"/>
        <w:tabs>
          <w:tab w:leader="none" w:pos="320" w:val="left"/>
        </w:tabs>
        <w:numPr>
          <w:ilvl w:val="0"/>
          <w:numId w:val="47"/>
        </w:numPr>
        <w:rPr>
          <w:rFonts w:ascii="Arial" w:cs="Arial" w:eastAsia="Arial" w:hAnsi="Arial"/>
          <w:sz w:val="12"/>
          <w:szCs w:val="12"/>
          <w:color w:val="auto"/>
        </w:rPr>
      </w:pPr>
      <w:r>
        <w:rPr>
          <w:rFonts w:ascii="Arial" w:cs="Arial" w:eastAsia="Arial" w:hAnsi="Arial"/>
          <w:sz w:val="14"/>
          <w:szCs w:val="14"/>
          <w:color w:val="auto"/>
        </w:rPr>
        <w:t>The Human Resource Committee approved the 2015 OICP and 2017 LTIP plans on June 18, 2014, effective as of August 31, 2014.</w:t>
      </w:r>
    </w:p>
    <w:p>
      <w:pPr>
        <w:sectPr>
          <w:pgSz w:w="11900" w:h="16838" w:orient="portrait"/>
          <w:cols w:equalWidth="0" w:num="1">
            <w:col w:w="11420"/>
          </w:cols>
          <w:pgMar w:left="240" w:top="298" w:right="239" w:bottom="1440" w:gutter="0" w:footer="0" w:header="0"/>
        </w:sectPr>
      </w:pPr>
    </w:p>
    <w:p>
      <w:pPr>
        <w:spacing w:after="0" w:line="394"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Narrative Disclosure to Summary Compensation Table and Grants of Plan-Based Awards Table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Employment Arrangements</w:t>
      </w:r>
    </w:p>
    <w:p>
      <w:pPr>
        <w:spacing w:after="0" w:line="15" w:lineRule="exact"/>
        <w:rPr>
          <w:sz w:val="20"/>
          <w:szCs w:val="20"/>
          <w:color w:val="auto"/>
        </w:rPr>
      </w:pPr>
    </w:p>
    <w:p>
      <w:pPr>
        <w:ind w:right="20"/>
        <w:spacing w:after="0"/>
        <w:rPr>
          <w:sz w:val="20"/>
          <w:szCs w:val="20"/>
          <w:color w:val="auto"/>
        </w:rPr>
      </w:pPr>
      <w:r>
        <w:rPr>
          <w:rFonts w:ascii="Arial" w:cs="Arial" w:eastAsia="Arial" w:hAnsi="Arial"/>
          <w:sz w:val="16"/>
          <w:szCs w:val="16"/>
          <w:color w:val="auto"/>
        </w:rPr>
        <w:t>None of the current NEOs has an employment agreement. However, each NEO has an Executive Change of Control Agreement that provides the executive with three-year severance benefits in the event he or she ceases to be employed by the Company within three years of a “Change of Control,” as defined in the agreement. Discussion of the payouts provided for under various termination situations is set forth in the section “Potential Payments upon Termination or Change of Control” below.</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Salary</w:t>
      </w:r>
    </w:p>
    <w:p>
      <w:pPr>
        <w:spacing w:after="0" w:line="15" w:lineRule="exact"/>
        <w:rPr>
          <w:sz w:val="20"/>
          <w:szCs w:val="20"/>
          <w:color w:val="auto"/>
        </w:rPr>
      </w:pPr>
    </w:p>
    <w:p>
      <w:pPr>
        <w:ind w:right="20"/>
        <w:spacing w:after="0"/>
        <w:rPr>
          <w:sz w:val="20"/>
          <w:szCs w:val="20"/>
          <w:color w:val="auto"/>
        </w:rPr>
      </w:pPr>
      <w:r>
        <w:rPr>
          <w:rFonts w:ascii="Arial" w:cs="Arial" w:eastAsia="Arial" w:hAnsi="Arial"/>
          <w:sz w:val="16"/>
          <w:szCs w:val="16"/>
          <w:color w:val="auto"/>
        </w:rPr>
        <w:t>In general, the Committee annually reviews and adjusts base pay, in keeping with the overall objectives, pay philosophy and relative position with comparable companies, as discussed in more detail in the “Compensation Discussion and Analysis-Base Salary”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Stock Awards</w:t>
      </w:r>
    </w:p>
    <w:p>
      <w:pPr>
        <w:spacing w:after="0" w:line="15" w:lineRule="exact"/>
        <w:rPr>
          <w:sz w:val="20"/>
          <w:szCs w:val="20"/>
          <w:color w:val="auto"/>
        </w:rPr>
      </w:pPr>
    </w:p>
    <w:p>
      <w:pPr>
        <w:ind w:left="200" w:right="40"/>
        <w:spacing w:after="0"/>
        <w:rPr>
          <w:sz w:val="20"/>
          <w:szCs w:val="20"/>
          <w:color w:val="auto"/>
        </w:rPr>
      </w:pPr>
      <w:r>
        <w:rPr>
          <w:rFonts w:ascii="Arial" w:cs="Arial" w:eastAsia="Arial" w:hAnsi="Arial"/>
          <w:sz w:val="16"/>
          <w:szCs w:val="16"/>
          <w:color w:val="auto"/>
        </w:rPr>
        <w:t>Grants of restricted stock and stock options, the ASC 718 grant date fair value of which is disclosed in the Summary Compensation Table, begin vesting annually in increments of one-third beginning one year from the date of grant for restricted stock grants. Restricted Stock grants and stock option awards are subject to earlier vesting in the event of a Change of Control or termination of employment, as set forth in the section “Potential Payment upon Termination or Change of Control” below.</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Annual Incentive Plan</w:t>
      </w:r>
    </w:p>
    <w:p>
      <w:pPr>
        <w:spacing w:after="0" w:line="15" w:lineRule="exact"/>
        <w:rPr>
          <w:sz w:val="20"/>
          <w:szCs w:val="20"/>
          <w:color w:val="auto"/>
        </w:rPr>
      </w:pPr>
    </w:p>
    <w:p>
      <w:pPr>
        <w:ind w:left="200" w:right="80"/>
        <w:spacing w:after="0"/>
        <w:rPr>
          <w:sz w:val="20"/>
          <w:szCs w:val="20"/>
          <w:color w:val="auto"/>
        </w:rPr>
      </w:pPr>
      <w:r>
        <w:rPr>
          <w:rFonts w:ascii="Arial" w:cs="Arial" w:eastAsia="Arial" w:hAnsi="Arial"/>
          <w:sz w:val="16"/>
          <w:szCs w:val="16"/>
          <w:color w:val="auto"/>
        </w:rPr>
        <w:t>In addition to base salary, each NEO is eligible to receive, subject to certain financial performance metrics, a target annual incentive cash and stock subject to a one-year holding period award equal to a percentage of his or her annual base salary, which is discussed in the “Compensation Discussion and Analysis-Annual Incentive Plan” above.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ectPr>
          <w:pgSz w:w="11900" w:h="16838" w:orient="portrait"/>
          <w:cols w:equalWidth="0" w:num="2">
            <w:col w:w="5580" w:space="40"/>
            <w:col w:w="5800"/>
          </w:cols>
          <w:pgMar w:left="240" w:top="298" w:right="239" w:bottom="1440" w:gutter="0" w:footer="0" w:header="0"/>
          <w:type w:val="continuous"/>
        </w:sectPr>
      </w:pPr>
    </w:p>
    <w:bookmarkStart w:id="30" w:name="page31"/>
    <w:bookmarkEnd w:id="3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This element of compensation, including payouts made in Fiscal 2013 and Fiscal 2014, is described in the “Compensation Discussion and Analysis-Long-Term Incentives” above. See “Compensation Discussion and Analysis” for further information regarding the terms of awards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OUTSTANDING EQUITY AWARDS AT FISCAL YEAR END TABLE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reported in the Summary Compensation Table and the Grants of Plan-Based Awards Table and for discussions regarding officer stock ownership guidelines, incentive compensation awards, and allocations between short-term and long-term compensation.</w:t>
      </w:r>
    </w:p>
    <w:p>
      <w:pPr>
        <w:spacing w:after="0" w:line="756" w:lineRule="exact"/>
        <w:rPr>
          <w:sz w:val="20"/>
          <w:szCs w:val="20"/>
          <w:color w:val="auto"/>
        </w:rPr>
      </w:pPr>
    </w:p>
    <w:p>
      <w:pPr>
        <w:sectPr>
          <w:pgSz w:w="11900" w:h="16838" w:orient="portrait"/>
          <w:cols w:equalWidth="0" w:num="2">
            <w:col w:w="5460" w:space="360"/>
            <w:col w:w="5600"/>
          </w:cols>
          <w:pgMar w:left="240" w:top="298"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following table provides information regarding the outstanding equity awards held by each of the NEOs as of August 29, 2015: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0"/>
                <w:szCs w:val="20"/>
                <w:b w:val="1"/>
                <w:bCs w:val="1"/>
                <w:color w:val="auto"/>
                <w:vertAlign w:val="superscript"/>
              </w:rPr>
              <w:t>(1)</w:t>
            </w:r>
          </w:p>
        </w:tc>
        <w:tc>
          <w:tcPr>
            <w:tcW w:w="1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tcBorders>
              <w:bottom w:val="single" w:sz="8" w:color="auto"/>
            </w:tcBorders>
            <w:gridSpan w:val="2"/>
          </w:tcPr>
          <w:p>
            <w:pPr>
              <w:jc w:val="right"/>
              <w:ind w:right="1085"/>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20"/>
                <w:szCs w:val="20"/>
                <w:b w:val="1"/>
                <w:bCs w:val="1"/>
                <w:color w:val="auto"/>
                <w:vertAlign w:val="superscript"/>
              </w:rPr>
              <w:t>(2)</w:t>
            </w:r>
          </w:p>
        </w:tc>
      </w:tr>
      <w:tr>
        <w:trPr>
          <w:trHeight w:val="165"/>
        </w:trPr>
        <w:tc>
          <w:tcPr>
            <w:tcW w:w="3100" w:type="dxa"/>
            <w:vAlign w:val="bottom"/>
          </w:tcPr>
          <w:p>
            <w:pPr>
              <w:spacing w:after="0"/>
              <w:rPr>
                <w:sz w:val="14"/>
                <w:szCs w:val="14"/>
                <w:color w:val="auto"/>
              </w:rPr>
            </w:pPr>
          </w:p>
        </w:tc>
        <w:tc>
          <w:tcPr>
            <w:tcW w:w="1600" w:type="dxa"/>
            <w:vAlign w:val="bottom"/>
          </w:tcPr>
          <w:p>
            <w:pPr>
              <w:jc w:val="center"/>
              <w:ind w:left="46"/>
              <w:spacing w:after="0"/>
              <w:rPr>
                <w:sz w:val="20"/>
                <w:szCs w:val="20"/>
                <w:color w:val="auto"/>
              </w:rPr>
            </w:pPr>
            <w:r>
              <w:rPr>
                <w:rFonts w:ascii="Arial" w:cs="Arial" w:eastAsia="Arial" w:hAnsi="Arial"/>
                <w:sz w:val="14"/>
                <w:szCs w:val="14"/>
                <w:b w:val="1"/>
                <w:bCs w:val="1"/>
                <w:color w:val="auto"/>
                <w:w w:val="97"/>
              </w:rPr>
              <w:t>Number of</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57"/>
        </w:trPr>
        <w:tc>
          <w:tcPr>
            <w:tcW w:w="3100" w:type="dxa"/>
            <w:vAlign w:val="bottom"/>
          </w:tcPr>
          <w:p>
            <w:pPr>
              <w:spacing w:after="0"/>
              <w:rPr>
                <w:sz w:val="13"/>
                <w:szCs w:val="13"/>
                <w:color w:val="auto"/>
              </w:rPr>
            </w:pPr>
          </w:p>
        </w:tc>
        <w:tc>
          <w:tcPr>
            <w:tcW w:w="1600" w:type="dxa"/>
            <w:vAlign w:val="bottom"/>
          </w:tcPr>
          <w:p>
            <w:pPr>
              <w:jc w:val="center"/>
              <w:ind w:left="46"/>
              <w:spacing w:after="0" w:line="157" w:lineRule="exact"/>
              <w:rPr>
                <w:sz w:val="20"/>
                <w:szCs w:val="20"/>
                <w:color w:val="auto"/>
              </w:rPr>
            </w:pPr>
            <w:r>
              <w:rPr>
                <w:rFonts w:ascii="Arial" w:cs="Arial" w:eastAsia="Arial" w:hAnsi="Arial"/>
                <w:sz w:val="14"/>
                <w:szCs w:val="14"/>
                <w:b w:val="1"/>
                <w:bCs w:val="1"/>
                <w:color w:val="auto"/>
              </w:rPr>
              <w:t>Securities</w:t>
            </w:r>
          </w:p>
        </w:tc>
        <w:tc>
          <w:tcPr>
            <w:tcW w:w="1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7"/>
        </w:trPr>
        <w:tc>
          <w:tcPr>
            <w:tcW w:w="3100" w:type="dxa"/>
            <w:vAlign w:val="bottom"/>
          </w:tcPr>
          <w:p>
            <w:pPr>
              <w:spacing w:after="0"/>
              <w:rPr>
                <w:sz w:val="13"/>
                <w:szCs w:val="13"/>
                <w:color w:val="auto"/>
              </w:rPr>
            </w:pPr>
          </w:p>
        </w:tc>
        <w:tc>
          <w:tcPr>
            <w:tcW w:w="1600" w:type="dxa"/>
            <w:vAlign w:val="bottom"/>
          </w:tcPr>
          <w:p>
            <w:pPr>
              <w:jc w:val="center"/>
              <w:ind w:left="46"/>
              <w:spacing w:after="0" w:line="157" w:lineRule="exact"/>
              <w:rPr>
                <w:sz w:val="20"/>
                <w:szCs w:val="20"/>
                <w:color w:val="auto"/>
              </w:rPr>
            </w:pPr>
            <w:r>
              <w:rPr>
                <w:rFonts w:ascii="Arial" w:cs="Arial" w:eastAsia="Arial" w:hAnsi="Arial"/>
                <w:sz w:val="14"/>
                <w:szCs w:val="14"/>
                <w:b w:val="1"/>
                <w:bCs w:val="1"/>
                <w:color w:val="auto"/>
                <w:w w:val="98"/>
              </w:rPr>
              <w:t>Underlying</w:t>
            </w:r>
          </w:p>
        </w:tc>
        <w:tc>
          <w:tcPr>
            <w:tcW w:w="1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65"/>
              <w:spacing w:after="0" w:line="157" w:lineRule="exact"/>
              <w:rPr>
                <w:sz w:val="20"/>
                <w:szCs w:val="20"/>
                <w:color w:val="auto"/>
              </w:rPr>
            </w:pPr>
            <w:r>
              <w:rPr>
                <w:rFonts w:ascii="Arial" w:cs="Arial" w:eastAsia="Arial" w:hAnsi="Arial"/>
                <w:sz w:val="14"/>
                <w:szCs w:val="14"/>
                <w:b w:val="1"/>
                <w:bCs w:val="1"/>
                <w:color w:val="auto"/>
                <w:w w:val="99"/>
              </w:rPr>
              <w:t>Number of Shares</w:t>
            </w:r>
          </w:p>
        </w:tc>
        <w:tc>
          <w:tcPr>
            <w:tcW w:w="16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Market Value of</w:t>
            </w:r>
          </w:p>
        </w:tc>
      </w:tr>
      <w:tr>
        <w:trPr>
          <w:trHeight w:val="157"/>
        </w:trPr>
        <w:tc>
          <w:tcPr>
            <w:tcW w:w="3100" w:type="dxa"/>
            <w:vAlign w:val="bottom"/>
          </w:tcPr>
          <w:p>
            <w:pPr>
              <w:spacing w:after="0"/>
              <w:rPr>
                <w:sz w:val="13"/>
                <w:szCs w:val="13"/>
                <w:color w:val="auto"/>
              </w:rPr>
            </w:pPr>
          </w:p>
        </w:tc>
        <w:tc>
          <w:tcPr>
            <w:tcW w:w="1600" w:type="dxa"/>
            <w:vAlign w:val="bottom"/>
          </w:tcPr>
          <w:p>
            <w:pPr>
              <w:jc w:val="center"/>
              <w:ind w:left="46"/>
              <w:spacing w:after="0" w:line="157" w:lineRule="exact"/>
              <w:rPr>
                <w:sz w:val="20"/>
                <w:szCs w:val="20"/>
                <w:color w:val="auto"/>
              </w:rPr>
            </w:pPr>
            <w:r>
              <w:rPr>
                <w:rFonts w:ascii="Arial" w:cs="Arial" w:eastAsia="Arial" w:hAnsi="Arial"/>
                <w:sz w:val="14"/>
                <w:szCs w:val="14"/>
                <w:b w:val="1"/>
                <w:bCs w:val="1"/>
                <w:color w:val="auto"/>
              </w:rPr>
              <w:t>Unexercised</w:t>
            </w:r>
          </w:p>
        </w:tc>
        <w:tc>
          <w:tcPr>
            <w:tcW w:w="1580" w:type="dxa"/>
            <w:vAlign w:val="bottom"/>
          </w:tcPr>
          <w:p>
            <w:pPr>
              <w:jc w:val="center"/>
              <w:ind w:left="84"/>
              <w:spacing w:after="0" w:line="157" w:lineRule="exact"/>
              <w:rPr>
                <w:sz w:val="20"/>
                <w:szCs w:val="20"/>
                <w:color w:val="auto"/>
              </w:rPr>
            </w:pPr>
            <w:r>
              <w:rPr>
                <w:rFonts w:ascii="Arial" w:cs="Arial" w:eastAsia="Arial" w:hAnsi="Arial"/>
                <w:sz w:val="14"/>
                <w:szCs w:val="14"/>
                <w:b w:val="1"/>
                <w:bCs w:val="1"/>
                <w:color w:val="auto"/>
              </w:rPr>
              <w:t>Option</w:t>
            </w: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65"/>
              <w:spacing w:after="0" w:line="157" w:lineRule="exact"/>
              <w:rPr>
                <w:sz w:val="20"/>
                <w:szCs w:val="20"/>
                <w:color w:val="auto"/>
              </w:rPr>
            </w:pPr>
            <w:r>
              <w:rPr>
                <w:rFonts w:ascii="Arial" w:cs="Arial" w:eastAsia="Arial" w:hAnsi="Arial"/>
                <w:sz w:val="14"/>
                <w:szCs w:val="14"/>
                <w:b w:val="1"/>
                <w:bCs w:val="1"/>
                <w:color w:val="auto"/>
                <w:w w:val="99"/>
              </w:rPr>
              <w:t>or Units of Stock</w:t>
            </w:r>
          </w:p>
        </w:tc>
        <w:tc>
          <w:tcPr>
            <w:tcW w:w="16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Shares or Units of</w:t>
            </w:r>
          </w:p>
        </w:tc>
      </w:tr>
      <w:tr>
        <w:trPr>
          <w:trHeight w:val="157"/>
        </w:trPr>
        <w:tc>
          <w:tcPr>
            <w:tcW w:w="3100" w:type="dxa"/>
            <w:vAlign w:val="bottom"/>
          </w:tcPr>
          <w:p>
            <w:pPr>
              <w:spacing w:after="0"/>
              <w:rPr>
                <w:sz w:val="13"/>
                <w:szCs w:val="13"/>
                <w:color w:val="auto"/>
              </w:rPr>
            </w:pPr>
          </w:p>
        </w:tc>
        <w:tc>
          <w:tcPr>
            <w:tcW w:w="1600" w:type="dxa"/>
            <w:vAlign w:val="bottom"/>
          </w:tcPr>
          <w:p>
            <w:pPr>
              <w:jc w:val="center"/>
              <w:ind w:left="46"/>
              <w:spacing w:after="0" w:line="157" w:lineRule="exact"/>
              <w:rPr>
                <w:sz w:val="20"/>
                <w:szCs w:val="20"/>
                <w:color w:val="auto"/>
              </w:rPr>
            </w:pPr>
            <w:r>
              <w:rPr>
                <w:rFonts w:ascii="Arial" w:cs="Arial" w:eastAsia="Arial" w:hAnsi="Arial"/>
                <w:sz w:val="14"/>
                <w:szCs w:val="14"/>
                <w:b w:val="1"/>
                <w:bCs w:val="1"/>
                <w:color w:val="auto"/>
                <w:w w:val="97"/>
              </w:rPr>
              <w:t>Exercisable</w:t>
            </w:r>
          </w:p>
        </w:tc>
        <w:tc>
          <w:tcPr>
            <w:tcW w:w="1580" w:type="dxa"/>
            <w:vAlign w:val="bottom"/>
          </w:tcPr>
          <w:p>
            <w:pPr>
              <w:jc w:val="center"/>
              <w:ind w:left="84"/>
              <w:spacing w:after="0" w:line="157" w:lineRule="exact"/>
              <w:rPr>
                <w:sz w:val="20"/>
                <w:szCs w:val="20"/>
                <w:color w:val="auto"/>
              </w:rPr>
            </w:pPr>
            <w:r>
              <w:rPr>
                <w:rFonts w:ascii="Arial" w:cs="Arial" w:eastAsia="Arial" w:hAnsi="Arial"/>
                <w:sz w:val="14"/>
                <w:szCs w:val="14"/>
                <w:b w:val="1"/>
                <w:bCs w:val="1"/>
                <w:color w:val="auto"/>
              </w:rPr>
              <w:t>Exercise</w:t>
            </w:r>
          </w:p>
        </w:tc>
        <w:tc>
          <w:tcPr>
            <w:tcW w:w="164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Option Expiration</w:t>
            </w:r>
          </w:p>
        </w:tc>
        <w:tc>
          <w:tcPr>
            <w:tcW w:w="1820" w:type="dxa"/>
            <w:vAlign w:val="bottom"/>
          </w:tcPr>
          <w:p>
            <w:pPr>
              <w:jc w:val="center"/>
              <w:ind w:right="45"/>
              <w:spacing w:after="0" w:line="157" w:lineRule="exact"/>
              <w:rPr>
                <w:sz w:val="20"/>
                <w:szCs w:val="20"/>
                <w:color w:val="auto"/>
              </w:rPr>
            </w:pPr>
            <w:r>
              <w:rPr>
                <w:rFonts w:ascii="Arial" w:cs="Arial" w:eastAsia="Arial" w:hAnsi="Arial"/>
                <w:sz w:val="14"/>
                <w:szCs w:val="14"/>
                <w:b w:val="1"/>
                <w:bCs w:val="1"/>
                <w:color w:val="auto"/>
                <w:w w:val="99"/>
              </w:rPr>
              <w:t>That Have Not</w:t>
            </w:r>
          </w:p>
        </w:tc>
        <w:tc>
          <w:tcPr>
            <w:tcW w:w="16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Stock That Have</w:t>
            </w:r>
          </w:p>
        </w:tc>
      </w:tr>
      <w:tr>
        <w:trPr>
          <w:trHeight w:val="195"/>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600" w:type="dxa"/>
            <w:vAlign w:val="bottom"/>
            <w:tcBorders>
              <w:bottom w:val="single" w:sz="8" w:color="auto"/>
            </w:tcBorders>
          </w:tcPr>
          <w:p>
            <w:pPr>
              <w:jc w:val="center"/>
              <w:ind w:left="46"/>
              <w:spacing w:after="0"/>
              <w:rPr>
                <w:sz w:val="20"/>
                <w:szCs w:val="20"/>
                <w:color w:val="auto"/>
              </w:rPr>
            </w:pPr>
            <w:r>
              <w:rPr>
                <w:rFonts w:ascii="Arial" w:cs="Arial" w:eastAsia="Arial" w:hAnsi="Arial"/>
                <w:sz w:val="14"/>
                <w:szCs w:val="14"/>
                <w:b w:val="1"/>
                <w:bCs w:val="1"/>
                <w:color w:val="auto"/>
                <w:w w:val="97"/>
              </w:rPr>
              <w:t>Options (#)</w:t>
            </w:r>
          </w:p>
        </w:tc>
        <w:tc>
          <w:tcPr>
            <w:tcW w:w="158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7"/>
                <w:szCs w:val="17"/>
                <w:b w:val="1"/>
                <w:bCs w:val="1"/>
                <w:color w:val="auto"/>
                <w:w w:val="95"/>
                <w:vertAlign w:val="superscript"/>
              </w:rPr>
              <w:t>(3)</w:t>
            </w:r>
            <w:r>
              <w:rPr>
                <w:rFonts w:ascii="Arial" w:cs="Arial" w:eastAsia="Arial" w:hAnsi="Arial"/>
                <w:sz w:val="14"/>
                <w:szCs w:val="14"/>
                <w:b w:val="1"/>
                <w:bCs w:val="1"/>
                <w:color w:val="auto"/>
                <w:w w:val="95"/>
              </w:rPr>
              <w:t xml:space="preserve"> ($)</w:t>
            </w:r>
          </w:p>
        </w:tc>
        <w:tc>
          <w:tcPr>
            <w:tcW w:w="16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18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4"/>
              </w:rPr>
              <w:t>Vested</w:t>
            </w:r>
            <w:r>
              <w:rPr>
                <w:rFonts w:ascii="Arial" w:cs="Arial" w:eastAsia="Arial" w:hAnsi="Arial"/>
                <w:sz w:val="17"/>
                <w:szCs w:val="17"/>
                <w:b w:val="1"/>
                <w:bCs w:val="1"/>
                <w:color w:val="auto"/>
                <w:w w:val="94"/>
                <w:vertAlign w:val="superscript"/>
              </w:rPr>
              <w:t>(4)</w:t>
            </w:r>
            <w:r>
              <w:rPr>
                <w:rFonts w:ascii="Arial" w:cs="Arial" w:eastAsia="Arial" w:hAnsi="Arial"/>
                <w:sz w:val="14"/>
                <w:szCs w:val="14"/>
                <w:b w:val="1"/>
                <w:bCs w:val="1"/>
                <w:color w:val="auto"/>
                <w:w w:val="94"/>
              </w:rPr>
              <w:t xml:space="preserve"> (#)</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Not Vested</w:t>
            </w:r>
            <w:r>
              <w:rPr>
                <w:rFonts w:ascii="Arial" w:cs="Arial" w:eastAsia="Arial" w:hAnsi="Arial"/>
                <w:sz w:val="17"/>
                <w:szCs w:val="17"/>
                <w:b w:val="1"/>
                <w:bCs w:val="1"/>
                <w:color w:val="auto"/>
                <w:w w:val="94"/>
                <w:vertAlign w:val="superscript"/>
              </w:rPr>
              <w:t>(5)</w:t>
            </w:r>
            <w:r>
              <w:rPr>
                <w:rFonts w:ascii="Arial" w:cs="Arial" w:eastAsia="Arial" w:hAnsi="Arial"/>
                <w:sz w:val="14"/>
                <w:szCs w:val="14"/>
                <w:b w:val="1"/>
                <w:bCs w:val="1"/>
                <w:color w:val="auto"/>
                <w:w w:val="94"/>
              </w:rPr>
              <w:t xml:space="preserve"> ($)</w:t>
            </w:r>
          </w:p>
        </w:tc>
      </w:tr>
      <w:tr>
        <w:trPr>
          <w:trHeight w:val="255"/>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Robert J. Olson </w:t>
            </w:r>
            <w:r>
              <w:rPr>
                <w:rFonts w:ascii="Arial" w:cs="Arial" w:eastAsia="Arial" w:hAnsi="Arial"/>
                <w:sz w:val="20"/>
                <w:szCs w:val="20"/>
                <w:color w:val="auto"/>
                <w:vertAlign w:val="superscript"/>
              </w:rPr>
              <w:t>(6)</w:t>
            </w: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center"/>
              <w:ind w:left="84"/>
              <w:spacing w:after="0"/>
              <w:rPr>
                <w:sz w:val="20"/>
                <w:szCs w:val="20"/>
                <w:color w:val="auto"/>
              </w:rPr>
            </w:pPr>
            <w:r>
              <w:rPr>
                <w:rFonts w:ascii="Arial" w:cs="Arial" w:eastAsia="Arial" w:hAnsi="Arial"/>
                <w:sz w:val="16"/>
                <w:szCs w:val="16"/>
                <w:color w:val="auto"/>
                <w:w w:val="87"/>
              </w:rPr>
              <w:t>—</w:t>
            </w: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r>
      <w:tr>
        <w:trPr>
          <w:trHeight w:val="252"/>
        </w:trPr>
        <w:tc>
          <w:tcPr>
            <w:tcW w:w="310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1600" w:type="dxa"/>
            <w:vAlign w:val="bottom"/>
          </w:tcPr>
          <w:p>
            <w:pPr>
              <w:jc w:val="right"/>
              <w:ind w:right="46"/>
              <w:spacing w:after="0"/>
              <w:rPr>
                <w:sz w:val="20"/>
                <w:szCs w:val="20"/>
                <w:color w:val="auto"/>
              </w:rPr>
            </w:pPr>
            <w:r>
              <w:rPr>
                <w:rFonts w:ascii="Arial" w:cs="Arial" w:eastAsia="Arial" w:hAnsi="Arial"/>
                <w:sz w:val="16"/>
                <w:szCs w:val="16"/>
                <w:color w:val="auto"/>
              </w:rPr>
              <w:t>12,500</w:t>
            </w:r>
          </w:p>
        </w:tc>
        <w:tc>
          <w:tcPr>
            <w:tcW w:w="1580" w:type="dxa"/>
            <w:vAlign w:val="bottom"/>
          </w:tcPr>
          <w:p>
            <w:pPr>
              <w:jc w:val="center"/>
              <w:ind w:left="84"/>
              <w:spacing w:after="0"/>
              <w:rPr>
                <w:sz w:val="20"/>
                <w:szCs w:val="20"/>
                <w:color w:val="auto"/>
              </w:rPr>
            </w:pPr>
            <w:r>
              <w:rPr>
                <w:rFonts w:ascii="Arial" w:cs="Arial" w:eastAsia="Arial" w:hAnsi="Arial"/>
                <w:sz w:val="16"/>
                <w:szCs w:val="16"/>
                <w:color w:val="auto"/>
                <w:w w:val="94"/>
              </w:rPr>
              <w:t>32.35</w:t>
            </w: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11/14/15</w:t>
            </w:r>
          </w:p>
        </w:tc>
        <w:tc>
          <w:tcPr>
            <w:tcW w:w="120" w:type="dxa"/>
            <w:vAlign w:val="bottom"/>
          </w:tcPr>
          <w:p>
            <w:pPr>
              <w:spacing w:after="0"/>
              <w:rPr>
                <w:sz w:val="21"/>
                <w:szCs w:val="21"/>
                <w:color w:val="auto"/>
              </w:rPr>
            </w:pPr>
          </w:p>
        </w:tc>
        <w:tc>
          <w:tcPr>
            <w:tcW w:w="1820" w:type="dxa"/>
            <w:vAlign w:val="bottom"/>
          </w:tcPr>
          <w:p>
            <w:pPr>
              <w:jc w:val="right"/>
              <w:ind w:right="145"/>
              <w:spacing w:after="0"/>
              <w:rPr>
                <w:sz w:val="20"/>
                <w:szCs w:val="20"/>
                <w:color w:val="auto"/>
              </w:rPr>
            </w:pPr>
            <w:r>
              <w:rPr>
                <w:rFonts w:ascii="Arial" w:cs="Arial" w:eastAsia="Arial" w:hAnsi="Arial"/>
                <w:sz w:val="16"/>
                <w:szCs w:val="16"/>
                <w:color w:val="auto"/>
              </w:rPr>
              <w:t>10,667</w:t>
            </w:r>
          </w:p>
        </w:tc>
        <w:tc>
          <w:tcPr>
            <w:tcW w:w="1680" w:type="dxa"/>
            <w:vAlign w:val="bottom"/>
          </w:tcPr>
          <w:p>
            <w:pPr>
              <w:jc w:val="right"/>
              <w:ind w:right="25"/>
              <w:spacing w:after="0"/>
              <w:rPr>
                <w:sz w:val="20"/>
                <w:szCs w:val="20"/>
                <w:color w:val="auto"/>
              </w:rPr>
            </w:pPr>
            <w:r>
              <w:rPr>
                <w:rFonts w:ascii="Arial" w:cs="Arial" w:eastAsia="Arial" w:hAnsi="Arial"/>
                <w:sz w:val="16"/>
                <w:szCs w:val="16"/>
                <w:color w:val="auto"/>
              </w:rPr>
              <w:t>217,820</w:t>
            </w:r>
          </w:p>
        </w:tc>
      </w:tr>
      <w:tr>
        <w:trPr>
          <w:trHeight w:val="272"/>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center"/>
              <w:ind w:left="84"/>
              <w:spacing w:after="0"/>
              <w:rPr>
                <w:sz w:val="20"/>
                <w:szCs w:val="20"/>
                <w:color w:val="auto"/>
              </w:rPr>
            </w:pPr>
            <w:r>
              <w:rPr>
                <w:rFonts w:ascii="Arial" w:cs="Arial" w:eastAsia="Arial" w:hAnsi="Arial"/>
                <w:sz w:val="16"/>
                <w:szCs w:val="16"/>
                <w:color w:val="auto"/>
                <w:w w:val="87"/>
              </w:rPr>
              <w:t>—</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82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10,667</w:t>
            </w:r>
          </w:p>
        </w:tc>
        <w:tc>
          <w:tcPr>
            <w:tcW w:w="16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217,820</w:t>
            </w:r>
          </w:p>
        </w:tc>
      </w:tr>
      <w:tr>
        <w:trPr>
          <w:trHeight w:val="252"/>
        </w:trPr>
        <w:tc>
          <w:tcPr>
            <w:tcW w:w="3100" w:type="dxa"/>
            <w:vAlign w:val="bottom"/>
          </w:tcPr>
          <w:p>
            <w:pPr>
              <w:ind w:left="40"/>
              <w:spacing w:after="0"/>
              <w:rPr>
                <w:sz w:val="20"/>
                <w:szCs w:val="20"/>
                <w:color w:val="auto"/>
              </w:rPr>
            </w:pPr>
            <w:r>
              <w:rPr>
                <w:rFonts w:ascii="Arial" w:cs="Arial" w:eastAsia="Arial" w:hAnsi="Arial"/>
                <w:sz w:val="16"/>
                <w:szCs w:val="16"/>
                <w:color w:val="auto"/>
              </w:rPr>
              <w:t>Scott C. Folkers</w:t>
            </w:r>
          </w:p>
        </w:tc>
        <w:tc>
          <w:tcPr>
            <w:tcW w:w="160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1580" w:type="dxa"/>
            <w:vAlign w:val="bottom"/>
          </w:tcPr>
          <w:p>
            <w:pPr>
              <w:jc w:val="center"/>
              <w:ind w:left="84"/>
              <w:spacing w:after="0"/>
              <w:rPr>
                <w:sz w:val="20"/>
                <w:szCs w:val="20"/>
                <w:color w:val="auto"/>
              </w:rPr>
            </w:pPr>
            <w:r>
              <w:rPr>
                <w:rFonts w:ascii="Arial" w:cs="Arial" w:eastAsia="Arial" w:hAnsi="Arial"/>
                <w:sz w:val="16"/>
                <w:szCs w:val="16"/>
                <w:color w:val="auto"/>
                <w:w w:val="87"/>
              </w:rPr>
              <w:t>—</w:t>
            </w:r>
          </w:p>
        </w:tc>
        <w:tc>
          <w:tcPr>
            <w:tcW w:w="1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820" w:type="dxa"/>
            <w:vAlign w:val="bottom"/>
          </w:tcPr>
          <w:p>
            <w:pPr>
              <w:jc w:val="right"/>
              <w:ind w:right="145"/>
              <w:spacing w:after="0"/>
              <w:rPr>
                <w:sz w:val="20"/>
                <w:szCs w:val="20"/>
                <w:color w:val="auto"/>
              </w:rPr>
            </w:pPr>
            <w:r>
              <w:rPr>
                <w:rFonts w:ascii="Arial" w:cs="Arial" w:eastAsia="Arial" w:hAnsi="Arial"/>
                <w:sz w:val="16"/>
                <w:szCs w:val="16"/>
                <w:color w:val="auto"/>
              </w:rPr>
              <w:t>10,667</w:t>
            </w:r>
          </w:p>
        </w:tc>
        <w:tc>
          <w:tcPr>
            <w:tcW w:w="1680" w:type="dxa"/>
            <w:vAlign w:val="bottom"/>
          </w:tcPr>
          <w:p>
            <w:pPr>
              <w:jc w:val="right"/>
              <w:ind w:right="25"/>
              <w:spacing w:after="0"/>
              <w:rPr>
                <w:sz w:val="20"/>
                <w:szCs w:val="20"/>
                <w:color w:val="auto"/>
              </w:rPr>
            </w:pPr>
            <w:r>
              <w:rPr>
                <w:rFonts w:ascii="Arial" w:cs="Arial" w:eastAsia="Arial" w:hAnsi="Arial"/>
                <w:sz w:val="16"/>
                <w:szCs w:val="16"/>
                <w:color w:val="auto"/>
              </w:rPr>
              <w:t>217,820</w:t>
            </w:r>
          </w:p>
        </w:tc>
      </w:tr>
      <w:tr>
        <w:trPr>
          <w:trHeight w:val="272"/>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2,667</w:t>
            </w:r>
          </w:p>
        </w:tc>
        <w:tc>
          <w:tcPr>
            <w:tcW w:w="1580" w:type="dxa"/>
            <w:vAlign w:val="bottom"/>
            <w:shd w:val="clear" w:color="auto" w:fill="CCEEFF"/>
          </w:tcPr>
          <w:p>
            <w:pPr>
              <w:jc w:val="center"/>
              <w:ind w:left="84"/>
              <w:spacing w:after="0"/>
              <w:rPr>
                <w:sz w:val="20"/>
                <w:szCs w:val="20"/>
                <w:color w:val="auto"/>
              </w:rPr>
            </w:pPr>
            <w:r>
              <w:rPr>
                <w:rFonts w:ascii="Arial" w:cs="Arial" w:eastAsia="Arial" w:hAnsi="Arial"/>
                <w:sz w:val="16"/>
                <w:szCs w:val="16"/>
                <w:color w:val="auto"/>
                <w:w w:val="94"/>
              </w:rPr>
              <w:t>26.93</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10/12/15</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10,667</w:t>
            </w:r>
          </w:p>
        </w:tc>
        <w:tc>
          <w:tcPr>
            <w:tcW w:w="16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217,820</w:t>
            </w:r>
          </w:p>
        </w:tc>
      </w:tr>
      <w:tr>
        <w:trPr>
          <w:trHeight w:val="242"/>
        </w:trPr>
        <w:tc>
          <w:tcPr>
            <w:tcW w:w="3100" w:type="dxa"/>
            <w:vAlign w:val="bottom"/>
          </w:tcPr>
          <w:p>
            <w:pPr>
              <w:ind w:left="40"/>
              <w:spacing w:after="0"/>
              <w:rPr>
                <w:sz w:val="20"/>
                <w:szCs w:val="20"/>
                <w:color w:val="auto"/>
              </w:rPr>
            </w:pPr>
            <w:r>
              <w:rPr>
                <w:rFonts w:ascii="Arial" w:cs="Arial" w:eastAsia="Arial" w:hAnsi="Arial"/>
                <w:sz w:val="16"/>
                <w:szCs w:val="16"/>
                <w:color w:val="auto"/>
              </w:rPr>
              <w:t>Randy J. Potts</w:t>
            </w:r>
          </w:p>
        </w:tc>
        <w:tc>
          <w:tcPr>
            <w:tcW w:w="1600" w:type="dxa"/>
            <w:vAlign w:val="bottom"/>
          </w:tcPr>
          <w:p>
            <w:pPr>
              <w:jc w:val="right"/>
              <w:ind w:right="46"/>
              <w:spacing w:after="0"/>
              <w:rPr>
                <w:sz w:val="20"/>
                <w:szCs w:val="20"/>
                <w:color w:val="auto"/>
              </w:rPr>
            </w:pPr>
            <w:r>
              <w:rPr>
                <w:rFonts w:ascii="Arial" w:cs="Arial" w:eastAsia="Arial" w:hAnsi="Arial"/>
                <w:sz w:val="16"/>
                <w:szCs w:val="16"/>
                <w:color w:val="auto"/>
              </w:rPr>
              <w:t>4,000</w:t>
            </w:r>
          </w:p>
        </w:tc>
        <w:tc>
          <w:tcPr>
            <w:tcW w:w="1580" w:type="dxa"/>
            <w:vAlign w:val="bottom"/>
          </w:tcPr>
          <w:p>
            <w:pPr>
              <w:jc w:val="center"/>
              <w:ind w:left="84"/>
              <w:spacing w:after="0"/>
              <w:rPr>
                <w:sz w:val="20"/>
                <w:szCs w:val="20"/>
                <w:color w:val="auto"/>
              </w:rPr>
            </w:pPr>
            <w:r>
              <w:rPr>
                <w:rFonts w:ascii="Arial" w:cs="Arial" w:eastAsia="Arial" w:hAnsi="Arial"/>
                <w:sz w:val="16"/>
                <w:szCs w:val="16"/>
                <w:color w:val="auto"/>
                <w:w w:val="94"/>
              </w:rPr>
              <w:t>26.93</w:t>
            </w: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10/12/15</w:t>
            </w:r>
          </w:p>
        </w:tc>
        <w:tc>
          <w:tcPr>
            <w:tcW w:w="120" w:type="dxa"/>
            <w:vAlign w:val="bottom"/>
          </w:tcPr>
          <w:p>
            <w:pPr>
              <w:spacing w:after="0"/>
              <w:rPr>
                <w:sz w:val="21"/>
                <w:szCs w:val="21"/>
                <w:color w:val="auto"/>
              </w:rPr>
            </w:pPr>
          </w:p>
        </w:tc>
        <w:tc>
          <w:tcPr>
            <w:tcW w:w="1820" w:type="dxa"/>
            <w:vAlign w:val="bottom"/>
          </w:tcPr>
          <w:p>
            <w:pPr>
              <w:jc w:val="center"/>
              <w:ind w:right="65"/>
              <w:spacing w:after="0"/>
              <w:rPr>
                <w:sz w:val="20"/>
                <w:szCs w:val="20"/>
                <w:color w:val="auto"/>
              </w:rPr>
            </w:pPr>
            <w:r>
              <w:rPr>
                <w:rFonts w:ascii="Arial" w:cs="Arial" w:eastAsia="Arial" w:hAnsi="Arial"/>
                <w:sz w:val="16"/>
                <w:szCs w:val="16"/>
                <w:color w:val="auto"/>
                <w:w w:val="99"/>
              </w:rPr>
              <w:t>—</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4" w:lineRule="exact"/>
        <w:rPr>
          <w:sz w:val="20"/>
          <w:szCs w:val="20"/>
          <w:color w:val="auto"/>
        </w:rPr>
      </w:pPr>
    </w:p>
    <w:p>
      <w:pPr>
        <w:ind w:left="320" w:hanging="315"/>
        <w:spacing w:after="0"/>
        <w:tabs>
          <w:tab w:leader="none" w:pos="3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Represents Company stock options awarded to NEOs prior to Fiscal 2007 under the 2004 Plan. No stock options have been awarded to NEOs since Fiscal 2007.</w:t>
      </w:r>
    </w:p>
    <w:p>
      <w:pPr>
        <w:spacing w:after="0" w:line="48" w:lineRule="exact"/>
        <w:rPr>
          <w:rFonts w:ascii="Arial" w:cs="Arial" w:eastAsia="Arial" w:hAnsi="Arial"/>
          <w:sz w:val="12"/>
          <w:szCs w:val="12"/>
          <w:color w:val="auto"/>
        </w:rPr>
      </w:pPr>
    </w:p>
    <w:p>
      <w:pPr>
        <w:ind w:left="320" w:hanging="315"/>
        <w:spacing w:after="0"/>
        <w:tabs>
          <w:tab w:leader="none" w:pos="3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Unvested restricted stock awarded to NEOs in Fiscal 2013 and 2014 pursuant to the 2004 Plan.</w:t>
      </w:r>
    </w:p>
    <w:p>
      <w:pPr>
        <w:spacing w:after="0" w:line="48" w:lineRule="exact"/>
        <w:rPr>
          <w:rFonts w:ascii="Arial" w:cs="Arial" w:eastAsia="Arial" w:hAnsi="Arial"/>
          <w:sz w:val="12"/>
          <w:szCs w:val="12"/>
          <w:color w:val="auto"/>
        </w:rPr>
      </w:pPr>
    </w:p>
    <w:p>
      <w:pPr>
        <w:ind w:left="320" w:right="220" w:hanging="315"/>
        <w:spacing w:after="0" w:line="245" w:lineRule="auto"/>
        <w:tabs>
          <w:tab w:leader="none" w:pos="3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All stock options were granted under the 2004 Plan with the exercise price equal to the mean of the highest and lowest price of the Company's Common Stock, as quoted on the NYSE, on the date of the grant.</w:t>
      </w:r>
    </w:p>
    <w:p>
      <w:pPr>
        <w:spacing w:after="0" w:line="37" w:lineRule="exact"/>
        <w:rPr>
          <w:rFonts w:ascii="Arial" w:cs="Arial" w:eastAsia="Arial" w:hAnsi="Arial"/>
          <w:sz w:val="12"/>
          <w:szCs w:val="12"/>
          <w:color w:val="auto"/>
        </w:rPr>
      </w:pPr>
    </w:p>
    <w:p>
      <w:pPr>
        <w:ind w:left="320" w:right="540" w:hanging="315"/>
        <w:spacing w:after="0" w:line="245" w:lineRule="auto"/>
        <w:tabs>
          <w:tab w:leader="none" w:pos="3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Shares of restricted stock generally vest in one-third increments beginning one year from the date of grant. A discussion of the vesting of awards provided for under various termination situations is set forth in the section “Potential Payments upon Termination or Change of Control” below.</w:t>
      </w:r>
    </w:p>
    <w:p>
      <w:pPr>
        <w:spacing w:after="0" w:line="37" w:lineRule="exact"/>
        <w:rPr>
          <w:rFonts w:ascii="Arial" w:cs="Arial" w:eastAsia="Arial" w:hAnsi="Arial"/>
          <w:sz w:val="12"/>
          <w:szCs w:val="12"/>
          <w:color w:val="auto"/>
        </w:rPr>
      </w:pPr>
    </w:p>
    <w:p>
      <w:pPr>
        <w:ind w:left="320" w:right="60" w:hanging="315"/>
        <w:spacing w:after="0" w:line="245" w:lineRule="auto"/>
        <w:tabs>
          <w:tab w:leader="none" w:pos="3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Amount is calculated by multiplying the number of restricted shares that have not vested by the closing price of the Company's Common Stock ($20.42) as quoted on the NYSE on August 28, 2015, the last trading day of Fiscal 2015.</w:t>
      </w:r>
    </w:p>
    <w:p>
      <w:pPr>
        <w:spacing w:after="0" w:line="37" w:lineRule="exact"/>
        <w:rPr>
          <w:rFonts w:ascii="Arial" w:cs="Arial" w:eastAsia="Arial" w:hAnsi="Arial"/>
          <w:sz w:val="12"/>
          <w:szCs w:val="12"/>
          <w:color w:val="auto"/>
        </w:rPr>
      </w:pPr>
    </w:p>
    <w:p>
      <w:pPr>
        <w:ind w:left="320" w:hanging="315"/>
        <w:spacing w:after="0"/>
        <w:tabs>
          <w:tab w:leader="none" w:pos="3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Mr. Olson became Interim CEO on August 6, 2015. See the discussion above under "Employment Agreement" for Mr. Olson under “Compensation Discussion and Analysis”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OPTION EXERCISES AND STOCK VESTED TABLE</w:t>
      </w:r>
    </w:p>
    <w:p>
      <w:pPr>
        <w:spacing w:after="0" w:line="104" w:lineRule="exact"/>
        <w:rPr>
          <w:sz w:val="20"/>
          <w:szCs w:val="20"/>
          <w:color w:val="auto"/>
        </w:rPr>
      </w:pPr>
    </w:p>
    <w:p>
      <w:pPr>
        <w:ind w:right="380"/>
        <w:spacing w:after="0" w:line="244" w:lineRule="auto"/>
        <w:rPr>
          <w:sz w:val="20"/>
          <w:szCs w:val="20"/>
          <w:color w:val="auto"/>
        </w:rPr>
      </w:pPr>
      <w:r>
        <w:rPr>
          <w:rFonts w:ascii="Arial" w:cs="Arial" w:eastAsia="Arial" w:hAnsi="Arial"/>
          <w:sz w:val="16"/>
          <w:szCs w:val="16"/>
          <w:color w:val="auto"/>
        </w:rPr>
        <w:t>The following table provides the amounts received before payroll withholding taxes upon the exercise of options or similar instruments or the vesting of stock or similar instruments during the most recent fiscal year.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3340" w:type="dxa"/>
            <w:vAlign w:val="bottom"/>
            <w:gridSpan w:val="4"/>
          </w:tcPr>
          <w:p>
            <w:pPr>
              <w:ind w:left="1060"/>
              <w:spacing w:after="0"/>
              <w:rPr>
                <w:sz w:val="20"/>
                <w:szCs w:val="20"/>
                <w:color w:val="auto"/>
              </w:rPr>
            </w:pPr>
            <w:r>
              <w:rPr>
                <w:rFonts w:ascii="Arial" w:cs="Arial" w:eastAsia="Arial" w:hAnsi="Arial"/>
                <w:sz w:val="16"/>
                <w:szCs w:val="16"/>
                <w:b w:val="1"/>
                <w:bCs w:val="1"/>
                <w:color w:val="auto"/>
              </w:rPr>
              <w:t>Option Awards</w:t>
            </w:r>
          </w:p>
        </w:tc>
        <w:tc>
          <w:tcPr>
            <w:tcW w:w="3040" w:type="dxa"/>
            <w:vAlign w:val="bottom"/>
            <w:gridSpan w:val="2"/>
          </w:tcPr>
          <w:p>
            <w:pPr>
              <w:jc w:val="right"/>
              <w:ind w:right="905"/>
              <w:spacing w:after="0"/>
              <w:rPr>
                <w:sz w:val="20"/>
                <w:szCs w:val="20"/>
                <w:color w:val="auto"/>
              </w:rPr>
            </w:pPr>
            <w:r>
              <w:rPr>
                <w:rFonts w:ascii="Arial" w:cs="Arial" w:eastAsia="Arial" w:hAnsi="Arial"/>
                <w:sz w:val="16"/>
                <w:szCs w:val="16"/>
                <w:b w:val="1"/>
                <w:bCs w:val="1"/>
                <w:color w:val="auto"/>
              </w:rPr>
              <w:t>Stock Awards</w:t>
            </w:r>
          </w:p>
        </w:tc>
      </w:tr>
      <w:tr>
        <w:trPr>
          <w:trHeight w:val="191"/>
        </w:trPr>
        <w:tc>
          <w:tcPr>
            <w:tcW w:w="5040" w:type="dxa"/>
            <w:vAlign w:val="bottom"/>
          </w:tcPr>
          <w:p>
            <w:pPr>
              <w:spacing w:after="0"/>
              <w:rPr>
                <w:sz w:val="16"/>
                <w:szCs w:val="16"/>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Number of</w:t>
            </w:r>
          </w:p>
        </w:tc>
        <w:tc>
          <w:tcPr>
            <w:tcW w:w="3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99"/>
              </w:rPr>
              <w:t>Number of</w:t>
            </w:r>
          </w:p>
        </w:tc>
        <w:tc>
          <w:tcPr>
            <w:tcW w:w="1320" w:type="dxa"/>
            <w:vAlign w:val="bottom"/>
            <w:tcBorders>
              <w:top w:val="single" w:sz="8" w:color="auto"/>
            </w:tcBorders>
          </w:tcPr>
          <w:p>
            <w:pPr>
              <w:spacing w:after="0"/>
              <w:rPr>
                <w:sz w:val="16"/>
                <w:szCs w:val="16"/>
                <w:color w:val="auto"/>
              </w:rPr>
            </w:pPr>
          </w:p>
        </w:tc>
      </w:tr>
      <w:tr>
        <w:trPr>
          <w:trHeight w:val="183"/>
        </w:trPr>
        <w:tc>
          <w:tcPr>
            <w:tcW w:w="50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Shares Acquired</w:t>
            </w:r>
          </w:p>
        </w:tc>
        <w:tc>
          <w:tcPr>
            <w:tcW w:w="30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 Realized</w:t>
            </w:r>
          </w:p>
        </w:tc>
        <w:tc>
          <w:tcPr>
            <w:tcW w:w="1720" w:type="dxa"/>
            <w:vAlign w:val="bottom"/>
          </w:tcPr>
          <w:p>
            <w:pPr>
              <w:jc w:val="center"/>
              <w:ind w:right="161"/>
              <w:spacing w:after="0"/>
              <w:rPr>
                <w:sz w:val="20"/>
                <w:szCs w:val="20"/>
                <w:color w:val="auto"/>
              </w:rPr>
            </w:pPr>
            <w:r>
              <w:rPr>
                <w:rFonts w:ascii="Arial" w:cs="Arial" w:eastAsia="Arial" w:hAnsi="Arial"/>
                <w:sz w:val="16"/>
                <w:szCs w:val="16"/>
                <w:b w:val="1"/>
                <w:bCs w:val="1"/>
                <w:color w:val="auto"/>
                <w:w w:val="97"/>
              </w:rPr>
              <w:t>Shares Acquired</w:t>
            </w:r>
          </w:p>
        </w:tc>
        <w:tc>
          <w:tcPr>
            <w:tcW w:w="1320" w:type="dxa"/>
            <w:vAlign w:val="bottom"/>
          </w:tcPr>
          <w:p>
            <w:pPr>
              <w:jc w:val="center"/>
              <w:ind w:right="65"/>
              <w:spacing w:after="0"/>
              <w:rPr>
                <w:sz w:val="20"/>
                <w:szCs w:val="20"/>
                <w:color w:val="auto"/>
              </w:rPr>
            </w:pPr>
            <w:r>
              <w:rPr>
                <w:rFonts w:ascii="Arial" w:cs="Arial" w:eastAsia="Arial" w:hAnsi="Arial"/>
                <w:sz w:val="16"/>
                <w:szCs w:val="16"/>
                <w:b w:val="1"/>
                <w:bCs w:val="1"/>
                <w:color w:val="auto"/>
                <w:w w:val="98"/>
              </w:rPr>
              <w:t>Value Realized</w:t>
            </w:r>
          </w:p>
        </w:tc>
      </w:tr>
      <w:tr>
        <w:trPr>
          <w:trHeight w:val="183"/>
        </w:trPr>
        <w:tc>
          <w:tcPr>
            <w:tcW w:w="50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on Exercise</w:t>
            </w:r>
          </w:p>
        </w:tc>
        <w:tc>
          <w:tcPr>
            <w:tcW w:w="30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on Exercise</w:t>
            </w:r>
          </w:p>
        </w:tc>
        <w:tc>
          <w:tcPr>
            <w:tcW w:w="1720" w:type="dxa"/>
            <w:vAlign w:val="bottom"/>
          </w:tcPr>
          <w:p>
            <w:pPr>
              <w:jc w:val="center"/>
              <w:ind w:right="161"/>
              <w:spacing w:after="0"/>
              <w:rPr>
                <w:sz w:val="20"/>
                <w:szCs w:val="20"/>
                <w:color w:val="auto"/>
              </w:rPr>
            </w:pPr>
            <w:r>
              <w:rPr>
                <w:rFonts w:ascii="Arial" w:cs="Arial" w:eastAsia="Arial" w:hAnsi="Arial"/>
                <w:sz w:val="16"/>
                <w:szCs w:val="16"/>
                <w:b w:val="1"/>
                <w:bCs w:val="1"/>
                <w:color w:val="auto"/>
                <w:w w:val="97"/>
              </w:rPr>
              <w:t>on Vesting</w:t>
            </w:r>
          </w:p>
        </w:tc>
        <w:tc>
          <w:tcPr>
            <w:tcW w:w="1320" w:type="dxa"/>
            <w:vAlign w:val="bottom"/>
          </w:tcPr>
          <w:p>
            <w:pPr>
              <w:jc w:val="center"/>
              <w:ind w:right="25"/>
              <w:spacing w:after="0"/>
              <w:rPr>
                <w:sz w:val="20"/>
                <w:szCs w:val="20"/>
                <w:color w:val="auto"/>
              </w:rPr>
            </w:pPr>
            <w:r>
              <w:rPr>
                <w:rFonts w:ascii="Arial" w:cs="Arial" w:eastAsia="Arial" w:hAnsi="Arial"/>
                <w:sz w:val="16"/>
                <w:szCs w:val="16"/>
                <w:b w:val="1"/>
                <w:bCs w:val="1"/>
                <w:color w:val="auto"/>
                <w:w w:val="95"/>
              </w:rPr>
              <w:t>on Vesting</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1"/>
              </w:rPr>
              <w:t>($)</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center"/>
              <w:ind w:right="65"/>
              <w:spacing w:after="0" w:line="227" w:lineRule="exact"/>
              <w:rPr>
                <w:sz w:val="20"/>
                <w:szCs w:val="20"/>
                <w:color w:val="auto"/>
              </w:rPr>
            </w:pPr>
            <w:r>
              <w:rPr>
                <w:rFonts w:ascii="Arial" w:cs="Arial" w:eastAsia="Arial" w:hAnsi="Arial"/>
                <w:sz w:val="26"/>
                <w:szCs w:val="26"/>
                <w:b w:val="1"/>
                <w:bCs w:val="1"/>
                <w:color w:val="auto"/>
                <w:w w:val="89"/>
                <w:vertAlign w:val="subscript"/>
              </w:rPr>
              <w:t>($)</w:t>
            </w:r>
            <w:r>
              <w:rPr>
                <w:rFonts w:ascii="Arial" w:cs="Arial" w:eastAsia="Arial" w:hAnsi="Arial"/>
                <w:sz w:val="10"/>
                <w:szCs w:val="10"/>
                <w:b w:val="1"/>
                <w:bCs w:val="1"/>
                <w:color w:val="auto"/>
                <w:w w:val="89"/>
              </w:rPr>
              <w:t>(1)</w:t>
            </w:r>
          </w:p>
        </w:tc>
      </w:tr>
      <w:tr>
        <w:trPr>
          <w:trHeight w:val="255"/>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r>
      <w:tr>
        <w:trPr>
          <w:trHeight w:val="252"/>
        </w:trPr>
        <w:tc>
          <w:tcPr>
            <w:tcW w:w="504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166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w:t>
            </w:r>
          </w:p>
        </w:tc>
        <w:tc>
          <w:tcPr>
            <w:tcW w:w="1720" w:type="dxa"/>
            <w:vAlign w:val="bottom"/>
          </w:tcPr>
          <w:p>
            <w:pPr>
              <w:jc w:val="right"/>
              <w:ind w:right="281"/>
              <w:spacing w:after="0"/>
              <w:rPr>
                <w:sz w:val="20"/>
                <w:szCs w:val="20"/>
                <w:color w:val="auto"/>
              </w:rPr>
            </w:pPr>
            <w:r>
              <w:rPr>
                <w:rFonts w:ascii="Arial" w:cs="Arial" w:eastAsia="Arial" w:hAnsi="Arial"/>
                <w:sz w:val="16"/>
                <w:szCs w:val="16"/>
                <w:color w:val="auto"/>
              </w:rPr>
              <w:t>13,265</w:t>
            </w:r>
          </w:p>
        </w:tc>
        <w:tc>
          <w:tcPr>
            <w:tcW w:w="1320" w:type="dxa"/>
            <w:vAlign w:val="bottom"/>
          </w:tcPr>
          <w:p>
            <w:pPr>
              <w:jc w:val="right"/>
              <w:ind w:right="25"/>
              <w:spacing w:after="0"/>
              <w:rPr>
                <w:sz w:val="20"/>
                <w:szCs w:val="20"/>
                <w:color w:val="auto"/>
              </w:rPr>
            </w:pPr>
            <w:r>
              <w:rPr>
                <w:rFonts w:ascii="Arial" w:cs="Arial" w:eastAsia="Arial" w:hAnsi="Arial"/>
                <w:sz w:val="16"/>
                <w:szCs w:val="16"/>
                <w:color w:val="auto"/>
              </w:rPr>
              <w:t>283,930</w:t>
            </w:r>
          </w:p>
        </w:tc>
      </w:tr>
      <w:tr>
        <w:trPr>
          <w:trHeight w:val="272"/>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9"/>
              </w:rPr>
              <w:t>—</w:t>
            </w:r>
          </w:p>
        </w:tc>
        <w:tc>
          <w:tcPr>
            <w:tcW w:w="17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9,079</w:t>
            </w:r>
          </w:p>
        </w:tc>
        <w:tc>
          <w:tcPr>
            <w:tcW w:w="13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194,517</w:t>
            </w:r>
          </w:p>
        </w:tc>
      </w:tr>
      <w:tr>
        <w:trPr>
          <w:trHeight w:val="252"/>
        </w:trPr>
        <w:tc>
          <w:tcPr>
            <w:tcW w:w="504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166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w:t>
            </w:r>
          </w:p>
        </w:tc>
        <w:tc>
          <w:tcPr>
            <w:tcW w:w="1720" w:type="dxa"/>
            <w:vAlign w:val="bottom"/>
          </w:tcPr>
          <w:p>
            <w:pPr>
              <w:jc w:val="right"/>
              <w:ind w:right="281"/>
              <w:spacing w:after="0"/>
              <w:rPr>
                <w:sz w:val="20"/>
                <w:szCs w:val="20"/>
                <w:color w:val="auto"/>
              </w:rPr>
            </w:pPr>
            <w:r>
              <w:rPr>
                <w:rFonts w:ascii="Arial" w:cs="Arial" w:eastAsia="Arial" w:hAnsi="Arial"/>
                <w:sz w:val="16"/>
                <w:szCs w:val="16"/>
                <w:color w:val="auto"/>
              </w:rPr>
              <w:t>11,954</w:t>
            </w:r>
          </w:p>
        </w:tc>
        <w:tc>
          <w:tcPr>
            <w:tcW w:w="1320" w:type="dxa"/>
            <w:vAlign w:val="bottom"/>
          </w:tcPr>
          <w:p>
            <w:pPr>
              <w:jc w:val="right"/>
              <w:ind w:right="25"/>
              <w:spacing w:after="0"/>
              <w:rPr>
                <w:sz w:val="20"/>
                <w:szCs w:val="20"/>
                <w:color w:val="auto"/>
              </w:rPr>
            </w:pPr>
            <w:r>
              <w:rPr>
                <w:rFonts w:ascii="Arial" w:cs="Arial" w:eastAsia="Arial" w:hAnsi="Arial"/>
                <w:sz w:val="16"/>
                <w:szCs w:val="16"/>
                <w:color w:val="auto"/>
              </w:rPr>
              <w:t>255,927</w:t>
            </w:r>
          </w:p>
        </w:tc>
      </w:tr>
      <w:tr>
        <w:trPr>
          <w:trHeight w:val="272"/>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9"/>
              </w:rPr>
              <w:t>—</w:t>
            </w:r>
          </w:p>
        </w:tc>
        <w:tc>
          <w:tcPr>
            <w:tcW w:w="17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8,401</w:t>
            </w:r>
          </w:p>
        </w:tc>
        <w:tc>
          <w:tcPr>
            <w:tcW w:w="13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180,035</w:t>
            </w:r>
          </w:p>
        </w:tc>
      </w:tr>
      <w:tr>
        <w:trPr>
          <w:trHeight w:val="242"/>
        </w:trPr>
        <w:tc>
          <w:tcPr>
            <w:tcW w:w="5040" w:type="dxa"/>
            <w:vAlign w:val="bottom"/>
          </w:tcPr>
          <w:p>
            <w:pPr>
              <w:ind w:left="40"/>
              <w:spacing w:after="0"/>
              <w:rPr>
                <w:sz w:val="20"/>
                <w:szCs w:val="20"/>
                <w:color w:val="auto"/>
              </w:rPr>
            </w:pPr>
            <w:r>
              <w:rPr>
                <w:rFonts w:ascii="Arial" w:cs="Arial" w:eastAsia="Arial" w:hAnsi="Arial"/>
                <w:sz w:val="16"/>
                <w:szCs w:val="16"/>
                <w:color w:val="auto"/>
              </w:rPr>
              <w:t>Randy J. Potts</w:t>
            </w:r>
          </w:p>
        </w:tc>
        <w:tc>
          <w:tcPr>
            <w:tcW w:w="166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81"/>
              <w:spacing w:after="0"/>
              <w:rPr>
                <w:sz w:val="20"/>
                <w:szCs w:val="20"/>
                <w:color w:val="auto"/>
              </w:rPr>
            </w:pPr>
            <w:r>
              <w:rPr>
                <w:rFonts w:ascii="Arial" w:cs="Arial" w:eastAsia="Arial" w:hAnsi="Arial"/>
                <w:sz w:val="16"/>
                <w:szCs w:val="16"/>
                <w:color w:val="auto"/>
              </w:rPr>
              <w:t>64,913</w:t>
            </w:r>
          </w:p>
        </w:tc>
        <w:tc>
          <w:tcPr>
            <w:tcW w:w="1320" w:type="dxa"/>
            <w:vAlign w:val="bottom"/>
          </w:tcPr>
          <w:p>
            <w:pPr>
              <w:jc w:val="right"/>
              <w:ind w:right="25"/>
              <w:spacing w:after="0"/>
              <w:rPr>
                <w:sz w:val="20"/>
                <w:szCs w:val="20"/>
                <w:color w:val="auto"/>
              </w:rPr>
            </w:pPr>
            <w:r>
              <w:rPr>
                <w:rFonts w:ascii="Arial" w:cs="Arial" w:eastAsia="Arial" w:hAnsi="Arial"/>
                <w:sz w:val="16"/>
                <w:szCs w:val="16"/>
                <w:color w:val="auto"/>
              </w:rPr>
              <w:t>1,378,191</w:t>
            </w:r>
          </w:p>
        </w:tc>
      </w:tr>
    </w:tbl>
    <w:p>
      <w:pPr>
        <w:spacing w:after="0" w:line="76" w:lineRule="exact"/>
        <w:rPr>
          <w:sz w:val="20"/>
          <w:szCs w:val="20"/>
          <w:color w:val="auto"/>
        </w:rPr>
      </w:pPr>
    </w:p>
    <w:p>
      <w:pPr>
        <w:ind w:left="320" w:right="400" w:hanging="315"/>
        <w:spacing w:after="0" w:line="245" w:lineRule="auto"/>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Valued at the closing market price of the Company's Common Stock of $21.45, $21.36, $21.60, and $21.05 as quoted on the NYSE on the vesting dates of October 10, 2014, October 14, 2014, October 16, 2014, and August 14, 2015, respectively.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298" w:right="239" w:bottom="1440" w:gutter="0" w:footer="0" w:header="0"/>
          <w:type w:val="continuous"/>
        </w:sectPr>
      </w:pPr>
    </w:p>
    <w:bookmarkStart w:id="31" w:name="page32"/>
    <w:bookmarkEnd w:id="31"/>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NON-QUALIFIED DEFERRED COMPENSATION TABLE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contributions, earnings and balances under non-qualified deferred compensation plans for each NEO.</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4"/>
                <w:szCs w:val="14"/>
                <w:b w:val="1"/>
                <w:bCs w:val="1"/>
                <w:color w:val="auto"/>
              </w:rPr>
              <w:t>FY 2015 Activity</w:t>
            </w: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center"/>
              <w:ind w:right="85"/>
              <w:spacing w:after="0" w:line="159" w:lineRule="exact"/>
              <w:rPr>
                <w:sz w:val="20"/>
                <w:szCs w:val="20"/>
                <w:color w:val="auto"/>
              </w:rPr>
            </w:pPr>
            <w:r>
              <w:rPr>
                <w:rFonts w:ascii="Arial" w:cs="Arial" w:eastAsia="Arial" w:hAnsi="Arial"/>
                <w:sz w:val="14"/>
                <w:szCs w:val="14"/>
                <w:b w:val="1"/>
                <w:bCs w:val="1"/>
                <w:color w:val="auto"/>
                <w:w w:val="98"/>
              </w:rPr>
              <w:t>Aggregate</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65"/>
              <w:spacing w:after="0" w:line="159" w:lineRule="exact"/>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center"/>
              <w:ind w:right="105"/>
              <w:spacing w:after="0" w:line="157" w:lineRule="exact"/>
              <w:rPr>
                <w:sz w:val="20"/>
                <w:szCs w:val="20"/>
                <w:color w:val="auto"/>
              </w:rPr>
            </w:pPr>
            <w:r>
              <w:rPr>
                <w:rFonts w:ascii="Arial" w:cs="Arial" w:eastAsia="Arial" w:hAnsi="Arial"/>
                <w:sz w:val="14"/>
                <w:szCs w:val="14"/>
                <w:b w:val="1"/>
                <w:bCs w:val="1"/>
                <w:color w:val="auto"/>
                <w:w w:val="99"/>
              </w:rPr>
              <w:t>Balance at</w:t>
            </w:r>
          </w:p>
        </w:tc>
        <w:tc>
          <w:tcPr>
            <w:tcW w:w="120" w:type="dxa"/>
            <w:vAlign w:val="bottom"/>
          </w:tcPr>
          <w:p>
            <w:pPr>
              <w:spacing w:after="0"/>
              <w:rPr>
                <w:sz w:val="13"/>
                <w:szCs w:val="13"/>
                <w:color w:val="auto"/>
              </w:rPr>
            </w:pPr>
          </w:p>
        </w:tc>
        <w:tc>
          <w:tcPr>
            <w:tcW w:w="1060" w:type="dxa"/>
            <w:vAlign w:val="bottom"/>
          </w:tcPr>
          <w:p>
            <w:pPr>
              <w:jc w:val="right"/>
              <w:ind w:right="184"/>
              <w:spacing w:after="0" w:line="157" w:lineRule="exact"/>
              <w:rPr>
                <w:sz w:val="20"/>
                <w:szCs w:val="20"/>
                <w:color w:val="auto"/>
              </w:rPr>
            </w:pPr>
            <w:r>
              <w:rPr>
                <w:rFonts w:ascii="Arial" w:cs="Arial" w:eastAsia="Arial" w:hAnsi="Arial"/>
                <w:sz w:val="14"/>
                <w:szCs w:val="14"/>
                <w:b w:val="1"/>
                <w:bCs w:val="1"/>
                <w:color w:val="auto"/>
              </w:rPr>
              <w:t>Executive</w:t>
            </w:r>
          </w:p>
        </w:tc>
        <w:tc>
          <w:tcPr>
            <w:tcW w:w="260" w:type="dxa"/>
            <w:vAlign w:val="bottom"/>
          </w:tcPr>
          <w:p>
            <w:pPr>
              <w:spacing w:after="0"/>
              <w:rPr>
                <w:sz w:val="13"/>
                <w:szCs w:val="13"/>
                <w:color w:val="auto"/>
              </w:rPr>
            </w:pPr>
          </w:p>
        </w:tc>
        <w:tc>
          <w:tcPr>
            <w:tcW w:w="1020" w:type="dxa"/>
            <w:vAlign w:val="bottom"/>
          </w:tcPr>
          <w:p>
            <w:pPr>
              <w:jc w:val="right"/>
              <w:ind w:right="145"/>
              <w:spacing w:after="0" w:line="157" w:lineRule="exact"/>
              <w:rPr>
                <w:sz w:val="20"/>
                <w:szCs w:val="20"/>
                <w:color w:val="auto"/>
              </w:rPr>
            </w:pPr>
            <w:r>
              <w:rPr>
                <w:rFonts w:ascii="Arial" w:cs="Arial" w:eastAsia="Arial" w:hAnsi="Arial"/>
                <w:sz w:val="14"/>
                <w:szCs w:val="14"/>
                <w:b w:val="1"/>
                <w:bCs w:val="1"/>
                <w:color w:val="auto"/>
              </w:rPr>
              <w:t>Aggregate</w:t>
            </w:r>
          </w:p>
        </w:tc>
        <w:tc>
          <w:tcPr>
            <w:tcW w:w="500" w:type="dxa"/>
            <w:vAlign w:val="bottom"/>
          </w:tcPr>
          <w:p>
            <w:pPr>
              <w:spacing w:after="0"/>
              <w:rPr>
                <w:sz w:val="13"/>
                <w:szCs w:val="13"/>
                <w:color w:val="auto"/>
              </w:rPr>
            </w:pPr>
          </w:p>
        </w:tc>
        <w:tc>
          <w:tcPr>
            <w:tcW w:w="1600" w:type="dxa"/>
            <w:vAlign w:val="bottom"/>
            <w:gridSpan w:val="2"/>
          </w:tcPr>
          <w:p>
            <w:pPr>
              <w:jc w:val="center"/>
              <w:ind w:right="520"/>
              <w:spacing w:after="0" w:line="157" w:lineRule="exact"/>
              <w:rPr>
                <w:sz w:val="20"/>
                <w:szCs w:val="20"/>
                <w:color w:val="auto"/>
              </w:rPr>
            </w:pPr>
            <w:r>
              <w:rPr>
                <w:rFonts w:ascii="Arial" w:cs="Arial" w:eastAsia="Arial" w:hAnsi="Arial"/>
                <w:sz w:val="14"/>
                <w:szCs w:val="14"/>
                <w:b w:val="1"/>
                <w:bCs w:val="1"/>
                <w:color w:val="auto"/>
                <w:w w:val="98"/>
              </w:rPr>
              <w:t>Aggregate</w:t>
            </w:r>
          </w:p>
        </w:tc>
        <w:tc>
          <w:tcPr>
            <w:tcW w:w="1140" w:type="dxa"/>
            <w:vAlign w:val="bottom"/>
          </w:tcPr>
          <w:p>
            <w:pPr>
              <w:jc w:val="center"/>
              <w:ind w:right="85"/>
              <w:spacing w:after="0" w:line="157" w:lineRule="exact"/>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95"/>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Plan Name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Aug 30, 2014</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Contributions</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Earnings</w:t>
            </w:r>
          </w:p>
        </w:tc>
        <w:tc>
          <w:tcPr>
            <w:tcW w:w="21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9"/>
              </w:rPr>
              <w:t>Withdrawals/Distributions</w:t>
            </w:r>
          </w:p>
        </w:tc>
        <w:tc>
          <w:tcPr>
            <w:tcW w:w="114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6"/>
              </w:rPr>
              <w:t>Aug 29, 2015</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04"/>
        </w:trPr>
        <w:tc>
          <w:tcPr>
            <w:tcW w:w="15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2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Executive Deferred Compensation</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12,986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15,000</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(405)</w:t>
            </w:r>
          </w:p>
        </w:tc>
        <w:tc>
          <w:tcPr>
            <w:tcW w:w="500" w:type="dxa"/>
            <w:vAlign w:val="bottom"/>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27,581</w:t>
            </w:r>
          </w:p>
        </w:tc>
        <w:tc>
          <w:tcPr>
            <w:tcW w:w="0" w:type="dxa"/>
            <w:vAlign w:val="bottom"/>
          </w:tcPr>
          <w:p>
            <w:pPr>
              <w:spacing w:after="0"/>
              <w:rPr>
                <w:sz w:val="1"/>
                <w:szCs w:val="1"/>
                <w:color w:val="auto"/>
              </w:rPr>
            </w:pPr>
          </w:p>
        </w:tc>
      </w:tr>
      <w:tr>
        <w:trPr>
          <w:trHeight w:val="57"/>
        </w:trPr>
        <w:tc>
          <w:tcPr>
            <w:tcW w:w="1500" w:type="dxa"/>
            <w:vAlign w:val="bottom"/>
            <w:vMerge w:val="continue"/>
            <w:shd w:val="clear" w:color="auto" w:fill="CCEEFF"/>
          </w:tcPr>
          <w:p>
            <w:pPr>
              <w:spacing w:after="0"/>
              <w:rPr>
                <w:sz w:val="4"/>
                <w:szCs w:val="4"/>
                <w:color w:val="auto"/>
              </w:rPr>
            </w:pPr>
          </w:p>
        </w:tc>
        <w:tc>
          <w:tcPr>
            <w:tcW w:w="286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rPr>
              <w:t>Plan</w:t>
            </w:r>
          </w:p>
        </w:tc>
        <w:tc>
          <w:tcPr>
            <w:tcW w:w="3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500" w:type="dxa"/>
            <w:vAlign w:val="bottom"/>
            <w:shd w:val="clear" w:color="auto" w:fill="CCEEFF"/>
          </w:tcPr>
          <w:p>
            <w:pPr>
              <w:spacing w:after="0"/>
              <w:rPr>
                <w:sz w:val="13"/>
                <w:szCs w:val="13"/>
                <w:color w:val="auto"/>
              </w:rPr>
            </w:pPr>
          </w:p>
        </w:tc>
        <w:tc>
          <w:tcPr>
            <w:tcW w:w="286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50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2860" w:type="dxa"/>
            <w:vAlign w:val="bottom"/>
          </w:tcPr>
          <w:p>
            <w:pPr>
              <w:ind w:left="280"/>
              <w:spacing w:after="0"/>
              <w:rPr>
                <w:sz w:val="20"/>
                <w:szCs w:val="20"/>
                <w:color w:val="auto"/>
              </w:rPr>
            </w:pPr>
            <w:r>
              <w:rPr>
                <w:rFonts w:ascii="Arial" w:cs="Arial" w:eastAsia="Arial" w:hAnsi="Arial"/>
                <w:sz w:val="16"/>
                <w:szCs w:val="16"/>
                <w:color w:val="auto"/>
              </w:rPr>
              <w:t>Executive Deferred Compensation</w:t>
            </w:r>
          </w:p>
        </w:tc>
        <w:tc>
          <w:tcPr>
            <w:tcW w:w="32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16,576</w:t>
            </w:r>
          </w:p>
        </w:tc>
        <w:tc>
          <w:tcPr>
            <w:tcW w:w="1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27,960</w:t>
            </w:r>
          </w:p>
        </w:tc>
        <w:tc>
          <w:tcPr>
            <w:tcW w:w="260" w:type="dxa"/>
            <w:vAlign w:val="bottom"/>
          </w:tcPr>
          <w:p>
            <w:pPr>
              <w:spacing w:after="0"/>
              <w:rPr>
                <w:sz w:val="18"/>
                <w:szCs w:val="18"/>
                <w:color w:val="auto"/>
              </w:rPr>
            </w:pPr>
          </w:p>
        </w:tc>
        <w:tc>
          <w:tcPr>
            <w:tcW w:w="1020" w:type="dxa"/>
            <w:vAlign w:val="bottom"/>
          </w:tcPr>
          <w:p>
            <w:pPr>
              <w:jc w:val="right"/>
              <w:ind w:right="65"/>
              <w:spacing w:after="0"/>
              <w:rPr>
                <w:sz w:val="20"/>
                <w:szCs w:val="20"/>
                <w:color w:val="auto"/>
              </w:rPr>
            </w:pPr>
            <w:r>
              <w:rPr>
                <w:rFonts w:ascii="Arial" w:cs="Arial" w:eastAsia="Arial" w:hAnsi="Arial"/>
                <w:sz w:val="16"/>
                <w:szCs w:val="16"/>
                <w:color w:val="auto"/>
              </w:rPr>
              <w:t>(1,068)</w:t>
            </w:r>
          </w:p>
        </w:tc>
        <w:tc>
          <w:tcPr>
            <w:tcW w:w="50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43,468</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2860" w:type="dxa"/>
            <w:vAlign w:val="bottom"/>
          </w:tcPr>
          <w:p>
            <w:pPr>
              <w:ind w:left="280"/>
              <w:spacing w:after="0"/>
              <w:rPr>
                <w:sz w:val="20"/>
                <w:szCs w:val="20"/>
                <w:color w:val="auto"/>
              </w:rPr>
            </w:pPr>
            <w:r>
              <w:rPr>
                <w:rFonts w:ascii="Arial" w:cs="Arial" w:eastAsia="Arial" w:hAnsi="Arial"/>
                <w:sz w:val="16"/>
                <w:szCs w:val="16"/>
                <w:color w:val="auto"/>
              </w:rPr>
              <w:t>Plan</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p>
        </w:tc>
        <w:tc>
          <w:tcPr>
            <w:tcW w:w="2860" w:type="dxa"/>
            <w:vAlign w:val="bottom"/>
          </w:tcPr>
          <w:p>
            <w:pPr>
              <w:ind w:left="280"/>
              <w:spacing w:after="0"/>
              <w:rPr>
                <w:sz w:val="20"/>
                <w:szCs w:val="20"/>
                <w:color w:val="auto"/>
              </w:rPr>
            </w:pPr>
            <w:r>
              <w:rPr>
                <w:rFonts w:ascii="Arial" w:cs="Arial" w:eastAsia="Arial" w:hAnsi="Arial"/>
                <w:sz w:val="16"/>
                <w:szCs w:val="16"/>
                <w:color w:val="auto"/>
              </w:rPr>
              <w:t>Executive Share Option Program</w:t>
            </w:r>
          </w:p>
        </w:tc>
        <w:tc>
          <w:tcPr>
            <w:tcW w:w="320" w:type="dxa"/>
            <w:vAlign w:val="bottom"/>
          </w:tcPr>
          <w:p>
            <w:pPr>
              <w:spacing w:after="0"/>
              <w:rPr>
                <w:sz w:val="20"/>
                <w:szCs w:val="20"/>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31,305</w:t>
            </w:r>
          </w:p>
        </w:tc>
        <w:tc>
          <w:tcPr>
            <w:tcW w:w="120" w:type="dxa"/>
            <w:vAlign w:val="bottom"/>
          </w:tcPr>
          <w:p>
            <w:pPr>
              <w:spacing w:after="0"/>
              <w:rPr>
                <w:sz w:val="20"/>
                <w:szCs w:val="20"/>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tcPr>
          <w:p>
            <w:pPr>
              <w:jc w:val="right"/>
              <w:ind w:right="105"/>
              <w:spacing w:after="0"/>
              <w:rPr>
                <w:sz w:val="20"/>
                <w:szCs w:val="20"/>
                <w:color w:val="auto"/>
              </w:rPr>
            </w:pPr>
            <w:r>
              <w:rPr>
                <w:rFonts w:ascii="Arial" w:cs="Arial" w:eastAsia="Arial" w:hAnsi="Arial"/>
                <w:sz w:val="16"/>
                <w:szCs w:val="16"/>
                <w:color w:val="auto"/>
              </w:rPr>
              <w:t>573</w:t>
            </w:r>
          </w:p>
        </w:tc>
        <w:tc>
          <w:tcPr>
            <w:tcW w:w="500" w:type="dxa"/>
            <w:vAlign w:val="bottom"/>
          </w:tcPr>
          <w:p>
            <w:pPr>
              <w:spacing w:after="0"/>
              <w:rPr>
                <w:sz w:val="20"/>
                <w:szCs w:val="20"/>
                <w:color w:val="auto"/>
              </w:rPr>
            </w:pPr>
          </w:p>
        </w:tc>
        <w:tc>
          <w:tcPr>
            <w:tcW w:w="1440" w:type="dxa"/>
            <w:vAlign w:val="bottom"/>
          </w:tcPr>
          <w:p>
            <w:pPr>
              <w:jc w:val="right"/>
              <w:ind w:right="83"/>
              <w:spacing w:after="0"/>
              <w:rPr>
                <w:sz w:val="20"/>
                <w:szCs w:val="20"/>
                <w:color w:val="auto"/>
              </w:rPr>
            </w:pPr>
            <w:r>
              <w:rPr>
                <w:rFonts w:ascii="Arial" w:cs="Arial" w:eastAsia="Arial" w:hAnsi="Arial"/>
                <w:sz w:val="16"/>
                <w:szCs w:val="16"/>
                <w:color w:val="auto"/>
              </w:rPr>
              <w:t>(31,878)</w:t>
            </w:r>
          </w:p>
        </w:tc>
        <w:tc>
          <w:tcPr>
            <w:tcW w:w="160" w:type="dxa"/>
            <w:vAlign w:val="bottom"/>
          </w:tcPr>
          <w:p>
            <w:pPr>
              <w:spacing w:after="0"/>
              <w:rPr>
                <w:sz w:val="20"/>
                <w:szCs w:val="20"/>
                <w:color w:val="auto"/>
              </w:rPr>
            </w:pP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15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2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Executive Share Option Program</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66,792</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(787)</w:t>
            </w:r>
          </w:p>
        </w:tc>
        <w:tc>
          <w:tcPr>
            <w:tcW w:w="5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66,005</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20" w:hanging="315"/>
        <w:spacing w:after="0"/>
        <w:tabs>
          <w:tab w:leader="none" w:pos="320" w:val="left"/>
        </w:tabs>
        <w:numPr>
          <w:ilvl w:val="0"/>
          <w:numId w:val="50"/>
        </w:numPr>
        <w:rPr>
          <w:rFonts w:ascii="Arial" w:cs="Arial" w:eastAsia="Arial" w:hAnsi="Arial"/>
          <w:sz w:val="12"/>
          <w:szCs w:val="12"/>
          <w:color w:val="auto"/>
        </w:rPr>
      </w:pPr>
      <w:r>
        <w:rPr>
          <w:rFonts w:ascii="Arial" w:cs="Arial" w:eastAsia="Arial" w:hAnsi="Arial"/>
          <w:sz w:val="14"/>
          <w:szCs w:val="14"/>
          <w:color w:val="auto"/>
        </w:rPr>
        <w:t>Represents the market price of the financial instruments as of August 29, 2015.</w:t>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right="40"/>
        <w:spacing w:after="0"/>
        <w:rPr>
          <w:sz w:val="20"/>
          <w:szCs w:val="20"/>
          <w:color w:val="auto"/>
        </w:rPr>
      </w:pPr>
      <w:r>
        <w:rPr>
          <w:rFonts w:ascii="Arial" w:cs="Arial" w:eastAsia="Arial" w:hAnsi="Arial"/>
          <w:sz w:val="16"/>
          <w:szCs w:val="16"/>
          <w:color w:val="auto"/>
        </w:rPr>
        <w:t>The Executive Deferred Compensation Plan permits NEOs to defer a portion of their salary and all or a portion of their cash incentive award compensation. The Executive Deferred Compensation Plan was effective as of January 1, 2007 and applies to compensation paid to participants on and after such date. See “Compensation Discussion and Analysis-Executive Deferred Compensation Plan 2007 (Non-Qualified Deferred Compensation Plan)” for a description of this plan.</w:t>
      </w:r>
    </w:p>
    <w:p>
      <w:pPr>
        <w:spacing w:after="0" w:line="179"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The Executive Share Option Program was established in 1997 to provide executives with an opportunity to defer a portion of their compensation in the form of options to purchase mutual funds invested in companies other than Winnebago Industries. The Executive Share Option Program was frozen effective December 31, 2004. Accordingly, no new deferrals or contributions to the Executive Share Option Program have been made after that date and no new participants may enter the plan.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Payments upon Termination or Change of Control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Change of Control Agreements</w:t>
      </w:r>
    </w:p>
    <w:p>
      <w:pPr>
        <w:spacing w:after="0" w:line="199"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During Fiscal 2001, the Board of Directors approved Executive Change of Control Agreements for certain executive officers and, at later dates, approved agreements for certain other executive officers, including NEOs, not previously a party to an Executive Change of Control Agreement. In December 2008, the Board of Directors approved amendments to the Executive Change of Control Agreements primarily to comply with the enactment of IRC Section 409A, while still preserving material terms of the Company's agreement with each executive (the Executive Change of Control Agreements, as amended, “Agreements”).</w:t>
      </w:r>
    </w:p>
    <w:p>
      <w:pPr>
        <w:spacing w:after="0" w:line="167"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The purpose of the Agreements is to reinforce and encourage executives to remain with the Company, to maintain objectivity and a high level of attention to their duties without distraction from the possibility of a change of control of the Company. The Agreements provide that in the event of a “Change of Control” of the Company, as that term is defined in the Agreements, each such executive (provided such Change of Control occurs when the executive is in the employ of the Company) would receive, in the event he or she ceases to be employed by the Company within three years following a Change of Control of the Company (for a reason other than death, disability, willful</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200" w:right="80"/>
        <w:spacing w:after="0" w:line="239" w:lineRule="auto"/>
        <w:rPr>
          <w:sz w:val="20"/>
          <w:szCs w:val="20"/>
          <w:color w:val="auto"/>
        </w:rPr>
      </w:pPr>
      <w:r>
        <w:rPr>
          <w:rFonts w:ascii="Arial" w:cs="Arial" w:eastAsia="Arial" w:hAnsi="Arial"/>
          <w:sz w:val="16"/>
          <w:szCs w:val="16"/>
          <w:color w:val="auto"/>
        </w:rPr>
        <w:t>misconduct, normal retirement or, under certain circumstances, a voluntary termination of employment by the executive), a lump-sum equal to three times the average of the aggregate annual compensation paid to the executive during the three fiscal years preceding the Change of Control. The executives also receive annual and long-term incentive payments upon a Change in Control event if there is no termination of employment upon Change in Control. This multiple was arrived at through an analysis of certain Compensation Peers change of control agreements at the time these agreements were initially developed.</w:t>
      </w:r>
    </w:p>
    <w:p>
      <w:pPr>
        <w:spacing w:after="0" w:line="184" w:lineRule="exact"/>
        <w:rPr>
          <w:sz w:val="20"/>
          <w:szCs w:val="20"/>
          <w:color w:val="auto"/>
        </w:rPr>
      </w:pPr>
    </w:p>
    <w:p>
      <w:pPr>
        <w:ind w:left="200" w:right="140"/>
        <w:spacing w:after="0"/>
        <w:rPr>
          <w:sz w:val="20"/>
          <w:szCs w:val="20"/>
          <w:color w:val="auto"/>
        </w:rPr>
      </w:pPr>
      <w:r>
        <w:rPr>
          <w:rFonts w:ascii="Arial" w:cs="Arial" w:eastAsia="Arial" w:hAnsi="Arial"/>
          <w:sz w:val="16"/>
          <w:szCs w:val="16"/>
          <w:color w:val="auto"/>
        </w:rPr>
        <w:t>In addition, under the Agreements, if it is determined that any payment or distribution made to the executive would be subject to a federal excise tax, we would pay to the executive an additional payment (a “gross-up benefit”) so that he or she would not be subject to a net reduction in compensation due to the imposition of the excise tax.</w:t>
      </w:r>
    </w:p>
    <w:p>
      <w:pPr>
        <w:spacing w:after="0" w:line="180" w:lineRule="exact"/>
        <w:rPr>
          <w:sz w:val="20"/>
          <w:szCs w:val="20"/>
          <w:color w:val="auto"/>
        </w:rPr>
      </w:pPr>
    </w:p>
    <w:p>
      <w:pPr>
        <w:ind w:left="200" w:right="20"/>
        <w:spacing w:after="0" w:line="239" w:lineRule="auto"/>
        <w:rPr>
          <w:sz w:val="20"/>
          <w:szCs w:val="20"/>
          <w:color w:val="auto"/>
        </w:rPr>
      </w:pPr>
      <w:r>
        <w:rPr>
          <w:rFonts w:ascii="Arial" w:cs="Arial" w:eastAsia="Arial" w:hAnsi="Arial"/>
          <w:sz w:val="16"/>
          <w:szCs w:val="16"/>
          <w:color w:val="auto"/>
        </w:rPr>
        <w:t>Under the Agreements, a “Change of Control” occurs when (i) any person becomes an “acquiring person” (as defined below) or (ii) individuals who shall qualify as Continuing Directors (as defined below) shall have ceased for any reason to constitute at least a majority of our Board of Directors;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“Continuing Director” means (i) any member of our Board of Directors,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 An "acquiring person" means any person or any individual or group of affiliates or associates of such person who acquires beneficial ownership, directly or indirectly, of 20% or more of the outstanding stock of the Company if</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ectPr>
          <w:pgSz w:w="11900" w:h="16838" w:orient="portrait"/>
          <w:cols w:equalWidth="0" w:num="2">
            <w:col w:w="5600" w:space="20"/>
            <w:col w:w="5800"/>
          </w:cols>
          <w:pgMar w:left="240" w:top="298" w:right="239" w:bottom="1440" w:gutter="0" w:footer="0" w:header="0"/>
          <w:type w:val="continuous"/>
        </w:sectPr>
      </w:pPr>
    </w:p>
    <w:bookmarkStart w:id="32" w:name="page33"/>
    <w:bookmarkEnd w:id="32"/>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right="260"/>
        <w:spacing w:after="0" w:line="244" w:lineRule="auto"/>
        <w:rPr>
          <w:sz w:val="20"/>
          <w:szCs w:val="20"/>
          <w:color w:val="auto"/>
        </w:rPr>
      </w:pPr>
      <w:r>
        <w:rPr>
          <w:rFonts w:ascii="Arial" w:cs="Arial" w:eastAsia="Arial" w:hAnsi="Arial"/>
          <w:sz w:val="16"/>
          <w:szCs w:val="16"/>
          <w:color w:val="auto"/>
        </w:rPr>
        <w:t>such acquisition occurs in whole or in part following the date of that person's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Plan Payments</w:t>
      </w:r>
    </w:p>
    <w:p>
      <w:pPr>
        <w:spacing w:after="0" w:line="19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within 15 days of the effective date of the Change in Control based upon the Committee's estimate of our financial performance through the end of the fiscal year in which such Change in Control occurs and such payment is not dependent upon termination of employment. A participant must be employed by the Company at the end of the fiscal year to be eligible for annual incentive payments, except for a Change in Control as described above or as determined by the Committee for normal retirement, disability and death.</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 Payments</w:t>
      </w:r>
    </w:p>
    <w:p>
      <w:pPr>
        <w:spacing w:after="0" w:line="199"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In the event of a “Change in Control” (as defined in each of the Long-Term Incentive Plans) participants are entitled to receive awards within 15 days of the effective date of the Change in Control based on the Committee's estimate of our financial performance through the end of the Long-Term Incentive Plan three-year fiscal period in which such Change in Control occurs. A participant must be employed by the Company at the end of the three-year fiscal period to be eligible for any long-term incentive award, except for a Change in Control as described above or as waived by the Committee.</w:t>
      </w:r>
    </w:p>
    <w:p>
      <w:pPr>
        <w:spacing w:after="0" w:line="151"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i w:val="1"/>
          <w:iCs w:val="1"/>
          <w:color w:val="auto"/>
        </w:rPr>
        <w:t>2004 Incentive Compensation Plan and 2014 Incentive Compensation Plan Payments</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Pursuant to restricted award agreements entered into by each</w:t>
      </w:r>
      <w:r>
        <w:rPr>
          <w:rFonts w:ascii="Arial" w:cs="Arial" w:eastAsia="Arial" w:hAnsi="Arial"/>
          <w:sz w:val="16"/>
          <w:szCs w:val="16"/>
          <w:i w:val="1"/>
          <w:iCs w:val="1"/>
          <w:color w:val="auto"/>
        </w:rPr>
        <w:t xml:space="preserve"> </w:t>
      </w:r>
      <w:r>
        <w:rPr>
          <w:rFonts w:ascii="Arial" w:cs="Arial" w:eastAsia="Arial" w:hAnsi="Arial"/>
          <w:sz w:val="16"/>
          <w:szCs w:val="16"/>
          <w:color w:val="auto"/>
        </w:rPr>
        <w:t>NEO, unvested awards of restricted stock will immediately vest to NEOs under the following circumstances:</w:t>
      </w:r>
    </w:p>
    <w:p>
      <w:pPr>
        <w:spacing w:after="0" w:line="170" w:lineRule="exact"/>
        <w:rPr>
          <w:sz w:val="20"/>
          <w:szCs w:val="20"/>
          <w:color w:val="auto"/>
        </w:rPr>
      </w:pPr>
    </w:p>
    <w:p>
      <w:pPr>
        <w:ind w:left="320" w:right="120" w:hanging="315"/>
        <w:spacing w:after="0" w:line="239"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retirement and occurs after at least five consecutive years of employment with the Company, any unvested awards of restricted stock immediately vest if the participant is at least 60 years of age;</w:t>
      </w:r>
    </w:p>
    <w:p>
      <w:pPr>
        <w:ind w:left="320" w:right="60" w:hanging="315"/>
        <w:spacing w:after="0" w:line="239"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(as defined in the applicable Plan) and occurs after at least five consecutive years of employment with the Company, any unvested awards of restricted stock immediately vest; and</w:t>
      </w:r>
    </w:p>
    <w:p>
      <w:pPr>
        <w:ind w:left="320" w:right="140" w:hanging="315"/>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occurs after at least five consecutive years of employment with the Company or any subsidiary, any unvested awards of restricted stock shall immediately vest.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right="260"/>
        <w:spacing w:after="0"/>
        <w:rPr>
          <w:sz w:val="20"/>
          <w:szCs w:val="20"/>
          <w:color w:val="auto"/>
        </w:rPr>
      </w:pPr>
      <w:r>
        <w:rPr>
          <w:rFonts w:ascii="Arial" w:cs="Arial" w:eastAsia="Arial" w:hAnsi="Arial"/>
          <w:sz w:val="16"/>
          <w:szCs w:val="16"/>
          <w:color w:val="auto"/>
        </w:rPr>
        <w:t xml:space="preserve">In addition, any restricted shares that are not vested under either the 2004 or 2014 Plan will vest upon a “Change of Control” (as defined in the applicable Plan) of the Company. In all other circumstances, in the event that a NEO ceases to be employed by the Company or any subsidiary, any unvested awards held by such grantee will terminate and thereafter, be null and void. </w:t>
      </w:r>
      <w:r>
        <w:rPr>
          <w:rFonts w:ascii="Arial" w:cs="Arial" w:eastAsia="Arial" w:hAnsi="Arial"/>
          <w:sz w:val="16"/>
          <w:szCs w:val="16"/>
          <w:i w:val="1"/>
          <w:iCs w:val="1"/>
          <w:color w:val="auto"/>
        </w:rPr>
        <w:t>Stock Options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Any options not vested under the 2004 Plan will vest upon a “Change of Control” (as defined in the 2004 Plan) of the Company, pursuant to the terms of the 2004 Plan. In the event that a NEO ceases to be employed by the Company, stock options held by such NEO will vest as follows:</w:t>
      </w:r>
    </w:p>
    <w:p>
      <w:pPr>
        <w:spacing w:after="0" w:line="181" w:lineRule="exact"/>
        <w:rPr>
          <w:sz w:val="20"/>
          <w:szCs w:val="20"/>
          <w:color w:val="auto"/>
        </w:rPr>
      </w:pPr>
    </w:p>
    <w:p>
      <w:pPr>
        <w:ind w:left="320" w:right="120" w:hanging="312"/>
        <w:spacing w:after="0" w:line="239"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retirement, and occurs after at least five consecutive years of employment with the Company, the stock options become vested in full and immediately exercisable for a period of three months following such termination of employment for incentive stock options and for a period of ten years after any stock option grant date for non-qualified stock options;</w:t>
      </w:r>
    </w:p>
    <w:p>
      <w:pPr>
        <w:ind w:left="320" w:right="200" w:hanging="312"/>
        <w:spacing w:after="0" w:line="239"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and occurs after at least five consecutive years of employment with the Company, the stock options become vested in full and immediately exercisable for a period of one year following such termination of employment for incentive stock options and for a period of ten years after any stock option grant date for non-qualified stock options; and</w:t>
      </w:r>
    </w:p>
    <w:p>
      <w:pPr>
        <w:ind w:left="320" w:right="1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occurs after at least five consecutive years of employment with the Company, the options shall become vested in full and immediately exercisable by the NEO's estate or legal representative for a period of one year following such termination of employment and shall thereafter, terminate, for both incentive and non-qualified stock options.</w:t>
      </w:r>
    </w:p>
    <w:p>
      <w:pPr>
        <w:spacing w:after="0" w:line="179"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In the event that a NEO ceases to be employed by the Company other than because of retirement, disability or death or if retirement, disability or death occurs before the NEO has completed five consecutive years of employment with the Company, any outstanding stock options held by the NEO which have not vested as of the date of termination of employment will terminate and the NEO may exercise any options in which he or she is vested at the date of termination of employment for a period of three months following such date of termination of employment.</w:t>
      </w:r>
    </w:p>
    <w:p>
      <w:pPr>
        <w:spacing w:after="0" w:line="1101" w:lineRule="exact"/>
        <w:rPr>
          <w:sz w:val="20"/>
          <w:szCs w:val="20"/>
          <w:color w:val="auto"/>
        </w:rPr>
      </w:pPr>
    </w:p>
    <w:p>
      <w:pPr>
        <w:sectPr>
          <w:pgSz w:w="11900" w:h="16838" w:orient="portrait"/>
          <w:cols w:equalWidth="0" w:num="2">
            <w:col w:w="5560" w:space="260"/>
            <w:col w:w="5600"/>
          </w:cols>
          <w:pgMar w:left="240" w:top="29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ESTIMATED CHANGE OF CONTROL OR TERMINATION PAYMENTS AND BENEFITS AT THE END OF FISCAL 2015</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The tables below reflect the payments and benefits payable to each of the NEOs in the event of a termination of the executive's employment under several different circumstances. The discussion below does not include Mr. Potts and Mr. Olson. As previously disclosed, Mr. Potts retired on August 6, 2015 and Mr. Olson served as Interim CEO from August 6, 2015 to September 24, 2015. See discussion under "Retirement Agreement" and "Employment Agreement" for Mr. Potts and Mr. Olson in the Compensation Discussion and Analysis above. The amounts shown assume that termination was effective as of August 29, 2015, at the executive's compensation and service levels as of that date, and are estimates of the amounts that would be payable to the NEOs in each scenario and do not include benefits paid by insurance providers under life and disability policies or payments and benefits provided on a non-discriminatory basis to employees upon a termination of employment. The actual amounts to be paid out can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298" w:right="239" w:bottom="1440" w:gutter="0" w:footer="0" w:header="0"/>
          <w:type w:val="continuous"/>
        </w:sectPr>
      </w:pPr>
    </w:p>
    <w:bookmarkStart w:id="33" w:name="page34"/>
    <w:bookmarkEnd w:id="33"/>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only be determined at the time of an executive's actual separation from the Company. Factors that could affect the nature and amount of the amounts paid on termination of employment, among others, include the timing of event, compensation level, the market price of the Company's Common Stock and the executive's age.</w:t>
      </w:r>
    </w:p>
    <w:p>
      <w:pPr>
        <w:spacing w:after="0" w:line="100" w:lineRule="exact"/>
        <w:rPr>
          <w:sz w:val="20"/>
          <w:szCs w:val="20"/>
          <w:color w:val="auto"/>
        </w:rPr>
      </w:pPr>
    </w:p>
    <w:p>
      <w:pPr>
        <w:jc w:val="both"/>
        <w:ind w:right="180"/>
        <w:spacing w:after="0" w:line="241" w:lineRule="auto"/>
        <w:rPr>
          <w:sz w:val="20"/>
          <w:szCs w:val="20"/>
          <w:color w:val="auto"/>
        </w:rPr>
      </w:pPr>
      <w:r>
        <w:rPr>
          <w:rFonts w:ascii="Arial" w:cs="Arial" w:eastAsia="Arial" w:hAnsi="Arial"/>
          <w:sz w:val="16"/>
          <w:szCs w:val="16"/>
          <w:color w:val="auto"/>
        </w:rPr>
        <w:t>Actual payments relating to the Officers Incentive Compensation Plan Fiscal Period 2015 and the Long-Term Incentive Plan Fiscal 2013-2015 are illustrated in the "Compensation Discussion and Analysis" section above; payments under these plans occurred in October 2015. Additionally, estimates related to the Long-Term Incentive Plan Fiscal 2014-2016 and Long-Term Incentive Plan Fiscal 2015-2017 are illustrated in the tables below.</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SARAH N. NIELSEN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Change of Control</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44"/>
              <w:spacing w:after="0" w:line="171" w:lineRule="exact"/>
              <w:rPr>
                <w:sz w:val="20"/>
                <w:szCs w:val="20"/>
                <w:color w:val="auto"/>
              </w:rPr>
            </w:pPr>
            <w:r>
              <w:rPr>
                <w:rFonts w:ascii="Arial" w:cs="Arial" w:eastAsia="Arial" w:hAnsi="Arial"/>
                <w:sz w:val="14"/>
                <w:szCs w:val="14"/>
                <w:b w:val="1"/>
                <w:bCs w:val="1"/>
                <w:color w:val="auto"/>
                <w:w w:val="96"/>
              </w:rPr>
              <w:t>Retirement</w:t>
            </w:r>
            <w:r>
              <w:rPr>
                <w:rFonts w:ascii="Arial" w:cs="Arial" w:eastAsia="Arial" w:hAnsi="Arial"/>
                <w:sz w:val="17"/>
                <w:szCs w:val="17"/>
                <w:b w:val="1"/>
                <w:bCs w:val="1"/>
                <w:color w:val="auto"/>
                <w:w w:val="96"/>
                <w:vertAlign w:val="superscript"/>
              </w:rPr>
              <w:t>(1)</w:t>
            </w:r>
          </w:p>
        </w:tc>
        <w:tc>
          <w:tcPr>
            <w:tcW w:w="220" w:type="dxa"/>
            <w:vAlign w:val="bottom"/>
          </w:tcPr>
          <w:p>
            <w:pPr>
              <w:spacing w:after="0"/>
              <w:rPr>
                <w:sz w:val="14"/>
                <w:szCs w:val="14"/>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8"/>
              </w:rPr>
              <w:t>Involuntary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83"/>
              <w:spacing w:after="0"/>
              <w:rPr>
                <w:sz w:val="20"/>
                <w:szCs w:val="20"/>
                <w:color w:val="auto"/>
              </w:rPr>
            </w:pPr>
            <w:r>
              <w:rPr>
                <w:rFonts w:ascii="Arial" w:cs="Arial" w:eastAsia="Arial" w:hAnsi="Arial"/>
                <w:sz w:val="14"/>
                <w:szCs w:val="14"/>
                <w:b w:val="1"/>
                <w:bCs w:val="1"/>
                <w:color w:val="auto"/>
                <w:w w:val="97"/>
              </w:rPr>
              <w:t>Termination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64"/>
              <w:spacing w:after="0" w:line="157" w:lineRule="exact"/>
              <w:rPr>
                <w:sz w:val="20"/>
                <w:szCs w:val="20"/>
                <w:color w:val="auto"/>
              </w:rPr>
            </w:pPr>
            <w:r>
              <w:rPr>
                <w:rFonts w:ascii="Arial" w:cs="Arial" w:eastAsia="Arial" w:hAnsi="Arial"/>
                <w:sz w:val="14"/>
                <w:szCs w:val="14"/>
                <w:b w:val="1"/>
                <w:bCs w:val="1"/>
                <w:color w:val="auto"/>
                <w:w w:val="99"/>
              </w:rPr>
              <w:t>or Voluntary</w:t>
            </w:r>
          </w:p>
        </w:tc>
        <w:tc>
          <w:tcPr>
            <w:tcW w:w="220" w:type="dxa"/>
            <w:vAlign w:val="bottom"/>
          </w:tcPr>
          <w:p>
            <w:pPr>
              <w:spacing w:after="0"/>
              <w:rPr>
                <w:sz w:val="13"/>
                <w:szCs w:val="13"/>
                <w:color w:val="auto"/>
              </w:rPr>
            </w:pPr>
          </w:p>
        </w:tc>
        <w:tc>
          <w:tcPr>
            <w:tcW w:w="1080" w:type="dxa"/>
            <w:vAlign w:val="bottom"/>
          </w:tcPr>
          <w:p>
            <w:pPr>
              <w:jc w:val="center"/>
              <w:ind w:right="104"/>
              <w:spacing w:after="0" w:line="157" w:lineRule="exact"/>
              <w:rPr>
                <w:sz w:val="20"/>
                <w:szCs w:val="20"/>
                <w:color w:val="auto"/>
              </w:rPr>
            </w:pPr>
            <w:r>
              <w:rPr>
                <w:rFonts w:ascii="Arial" w:cs="Arial" w:eastAsia="Arial" w:hAnsi="Arial"/>
                <w:sz w:val="14"/>
                <w:szCs w:val="14"/>
                <w:b w:val="1"/>
                <w:bCs w:val="1"/>
                <w:color w:val="auto"/>
                <w:w w:val="97"/>
              </w:rPr>
              <w:t>Termination</w:t>
            </w:r>
          </w:p>
        </w:tc>
        <w:tc>
          <w:tcPr>
            <w:tcW w:w="180" w:type="dxa"/>
            <w:vAlign w:val="bottom"/>
          </w:tcPr>
          <w:p>
            <w:pPr>
              <w:spacing w:after="0"/>
              <w:rPr>
                <w:sz w:val="13"/>
                <w:szCs w:val="13"/>
                <w:color w:val="auto"/>
              </w:rPr>
            </w:pPr>
          </w:p>
        </w:tc>
        <w:tc>
          <w:tcPr>
            <w:tcW w:w="1040" w:type="dxa"/>
            <w:vAlign w:val="bottom"/>
          </w:tcPr>
          <w:p>
            <w:pPr>
              <w:jc w:val="right"/>
              <w:ind w:right="264"/>
              <w:spacing w:after="0" w:line="157" w:lineRule="exact"/>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Without Cause /</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9"/>
              </w:rPr>
              <w:t>Separation</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9"/>
              </w:rPr>
              <w:t>For Cause</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8"/>
              </w:rPr>
              <w:t>Good Reason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6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16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0"/>
                <w:szCs w:val="20"/>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1,840,851</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900" w:type="dxa"/>
            <w:vAlign w:val="bottom"/>
            <w:vMerge w:val="restart"/>
          </w:tcPr>
          <w:p>
            <w:pPr>
              <w:ind w:left="10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0"/>
                <w:szCs w:val="20"/>
                <w:color w:val="auto"/>
                <w:vertAlign w:val="superscript"/>
              </w:rPr>
              <w:t>(3)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(Included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88,611</w:t>
            </w:r>
          </w:p>
        </w:tc>
        <w:tc>
          <w:tcPr>
            <w:tcW w:w="220" w:type="dxa"/>
            <w:vAlign w:val="bottom"/>
          </w:tcPr>
          <w:p>
            <w:pPr>
              <w:spacing w:after="0"/>
              <w:rPr>
                <w:sz w:val="18"/>
                <w:szCs w:val="18"/>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88,611</w:t>
            </w:r>
          </w:p>
        </w:tc>
        <w:tc>
          <w:tcPr>
            <w:tcW w:w="18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88,611</w:t>
            </w: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Above)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88,611</w:t>
            </w:r>
          </w:p>
        </w:tc>
        <w:tc>
          <w:tcPr>
            <w:tcW w:w="260" w:type="dxa"/>
            <w:vAlign w:val="bottom"/>
          </w:tcPr>
          <w:p>
            <w:pPr>
              <w:spacing w:after="0"/>
              <w:rPr>
                <w:sz w:val="18"/>
                <w:szCs w:val="18"/>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88,611</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160"/>
              <w:spacing w:after="0"/>
              <w:rPr>
                <w:sz w:val="20"/>
                <w:szCs w:val="20"/>
                <w:color w:val="auto"/>
              </w:rPr>
            </w:pPr>
            <w:r>
              <w:rPr>
                <w:rFonts w:ascii="Arial" w:cs="Arial" w:eastAsia="Arial" w:hAnsi="Arial"/>
                <w:sz w:val="16"/>
                <w:szCs w:val="16"/>
                <w:color w:val="auto"/>
              </w:rPr>
              <w:t>LTIP</w:t>
            </w:r>
            <w:r>
              <w:rPr>
                <w:rFonts w:ascii="Arial" w:cs="Arial" w:eastAsia="Arial" w:hAnsi="Arial"/>
                <w:sz w:val="20"/>
                <w:szCs w:val="20"/>
                <w:color w:val="auto"/>
                <w:vertAlign w:val="superscript"/>
              </w:rPr>
              <w:t>(4)</w:t>
            </w:r>
          </w:p>
        </w:tc>
        <w:tc>
          <w:tcPr>
            <w:tcW w:w="160" w:type="dxa"/>
            <w:vAlign w:val="bottom"/>
          </w:tcPr>
          <w:p>
            <w:pPr>
              <w:spacing w:after="0"/>
              <w:rPr>
                <w:sz w:val="20"/>
                <w:szCs w:val="20"/>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81,613</w:t>
            </w:r>
          </w:p>
        </w:tc>
        <w:tc>
          <w:tcPr>
            <w:tcW w:w="220" w:type="dxa"/>
            <w:vAlign w:val="bottom"/>
          </w:tcPr>
          <w:p>
            <w:pPr>
              <w:spacing w:after="0"/>
              <w:rPr>
                <w:sz w:val="20"/>
                <w:szCs w:val="20"/>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81,613</w:t>
            </w:r>
          </w:p>
        </w:tc>
        <w:tc>
          <w:tcPr>
            <w:tcW w:w="180" w:type="dxa"/>
            <w:vAlign w:val="bottom"/>
          </w:tcPr>
          <w:p>
            <w:pPr>
              <w:spacing w:after="0"/>
              <w:rPr>
                <w:sz w:val="20"/>
                <w:szCs w:val="20"/>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177,060</w:t>
            </w:r>
          </w:p>
        </w:tc>
        <w:tc>
          <w:tcPr>
            <w:tcW w:w="18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177,060</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81,613</w:t>
            </w:r>
          </w:p>
        </w:tc>
        <w:tc>
          <w:tcPr>
            <w:tcW w:w="26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81,613</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0"/>
                <w:szCs w:val="20"/>
                <w:color w:val="auto"/>
                <w:vertAlign w:val="superscript"/>
              </w:rPr>
              <w:t>(5)</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3900" w:type="dxa"/>
            <w:vAlign w:val="bottom"/>
          </w:tcPr>
          <w:p>
            <w:pPr>
              <w:ind w:left="260"/>
              <w:spacing w:after="0"/>
              <w:rPr>
                <w:sz w:val="20"/>
                <w:szCs w:val="20"/>
                <w:color w:val="auto"/>
              </w:rPr>
            </w:pPr>
            <w:r>
              <w:rPr>
                <w:rFonts w:ascii="Arial" w:cs="Arial" w:eastAsia="Arial" w:hAnsi="Arial"/>
                <w:sz w:val="16"/>
                <w:szCs w:val="16"/>
                <w:color w:val="auto"/>
              </w:rPr>
              <w:t>Accelerated Vesting</w:t>
            </w:r>
          </w:p>
        </w:tc>
        <w:tc>
          <w:tcPr>
            <w:tcW w:w="160" w:type="dxa"/>
            <w:vAlign w:val="bottom"/>
          </w:tcPr>
          <w:p>
            <w:pPr>
              <w:spacing w:after="0"/>
              <w:rPr>
                <w:sz w:val="19"/>
                <w:szCs w:val="19"/>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217,820</w:t>
            </w:r>
          </w:p>
        </w:tc>
        <w:tc>
          <w:tcPr>
            <w:tcW w:w="180" w:type="dxa"/>
            <w:vAlign w:val="bottom"/>
          </w:tcPr>
          <w:p>
            <w:pPr>
              <w:spacing w:after="0"/>
              <w:rPr>
                <w:sz w:val="19"/>
                <w:szCs w:val="19"/>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217,820</w:t>
            </w:r>
          </w:p>
        </w:tc>
        <w:tc>
          <w:tcPr>
            <w:tcW w:w="18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217,820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217,820</w:t>
            </w:r>
          </w:p>
        </w:tc>
        <w:tc>
          <w:tcPr>
            <w:tcW w:w="26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217,820</w:t>
            </w:r>
          </w:p>
        </w:tc>
        <w:tc>
          <w:tcPr>
            <w:tcW w:w="0" w:type="dxa"/>
            <w:vAlign w:val="bottom"/>
          </w:tcPr>
          <w:p>
            <w:pPr>
              <w:spacing w:after="0"/>
              <w:rPr>
                <w:sz w:val="1"/>
                <w:szCs w:val="1"/>
                <w:color w:val="auto"/>
              </w:rPr>
            </w:pPr>
          </w:p>
        </w:tc>
      </w:tr>
      <w:tr>
        <w:trPr>
          <w:trHeight w:val="27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Executive Deferred Compensation Plan</w:t>
            </w:r>
            <w:r>
              <w:rPr>
                <w:rFonts w:ascii="Arial" w:cs="Arial" w:eastAsia="Arial" w:hAnsi="Arial"/>
                <w:sz w:val="20"/>
                <w:szCs w:val="20"/>
                <w:color w:val="auto"/>
                <w:vertAlign w:val="superscript"/>
              </w:rPr>
              <w:t>(6)</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27,581</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27,581</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27,581</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27,581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27,581</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27,581</w:t>
            </w:r>
          </w:p>
        </w:tc>
        <w:tc>
          <w:tcPr>
            <w:tcW w:w="0" w:type="dxa"/>
            <w:vAlign w:val="bottom"/>
          </w:tcPr>
          <w:p>
            <w:pPr>
              <w:spacing w:after="0"/>
              <w:rPr>
                <w:sz w:val="1"/>
                <w:szCs w:val="1"/>
                <w:color w:val="auto"/>
              </w:rPr>
            </w:pPr>
          </w:p>
        </w:tc>
      </w:tr>
      <w:tr>
        <w:trPr>
          <w:trHeight w:val="22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197,805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415,625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511,072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2,263,312</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415,625</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415,625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hanging="315"/>
        <w:spacing w:after="0"/>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Retirement under the 2004 and 2014 Plans is defined as attaining age 60 and five or more years of service with the Company.</w:t>
      </w:r>
    </w:p>
    <w:p>
      <w:pPr>
        <w:ind w:left="320" w:right="240" w:hanging="315"/>
        <w:spacing w:after="0" w:line="234" w:lineRule="auto"/>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Severance upon a Change of Control for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20" w:hanging="315"/>
        <w:spacing w:after="0" w:line="234" w:lineRule="auto"/>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Represents the annual incentive eligibility pursuant to the 2015 Officers Incentive Compensation Plan.</w:t>
      </w:r>
    </w:p>
    <w:p>
      <w:pPr>
        <w:jc w:val="both"/>
        <w:ind w:left="320" w:right="40" w:hanging="315"/>
        <w:spacing w:after="0" w:line="234" w:lineRule="auto"/>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Represents the LTIP incentive achieved pursuant to the 2013-2015 Officers Long-Term Incentive Plan, except by a termination pursuant to a Change of Control, which includes the full amount payable under the 2013-2015 Officers Long-Term Incentive Plan and the entire amount estimated to be payable under the 2014-2016 and the 2015-2017 Officers Long-Term Incentive Plans.</w:t>
      </w:r>
    </w:p>
    <w:p>
      <w:pPr>
        <w:ind w:left="320" w:hanging="315"/>
        <w:spacing w:after="0" w:line="234" w:lineRule="auto"/>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Represents the intrinsic value of stock grants based on our closing stock price of $20.42 per share on August 28, 2015, the last trading day of Fiscal 2015.</w:t>
      </w:r>
    </w:p>
    <w:p>
      <w:pPr>
        <w:ind w:left="320" w:hanging="315"/>
        <w:spacing w:after="0"/>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Represents market value balance as of August 29, 2015.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98" w:right="239" w:bottom="1440" w:gutter="0" w:footer="0" w:header="0"/>
        </w:sectPr>
      </w:pPr>
    </w:p>
    <w:bookmarkStart w:id="34" w:name="page35"/>
    <w:bookmarkEnd w:id="34"/>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S. SCOTT DEGNAN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4"/>
                <w:szCs w:val="14"/>
                <w:b w:val="1"/>
                <w:bCs w:val="1"/>
                <w:color w:val="auto"/>
              </w:rPr>
              <w:t>Change of Control</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45"/>
              <w:spacing w:after="0" w:line="171" w:lineRule="exact"/>
              <w:rPr>
                <w:sz w:val="20"/>
                <w:szCs w:val="20"/>
                <w:color w:val="auto"/>
              </w:rPr>
            </w:pPr>
            <w:r>
              <w:rPr>
                <w:rFonts w:ascii="Arial" w:cs="Arial" w:eastAsia="Arial" w:hAnsi="Arial"/>
                <w:sz w:val="14"/>
                <w:szCs w:val="14"/>
                <w:b w:val="1"/>
                <w:bCs w:val="1"/>
                <w:color w:val="auto"/>
                <w:w w:val="96"/>
              </w:rPr>
              <w:t>Retirement</w:t>
            </w:r>
            <w:r>
              <w:rPr>
                <w:rFonts w:ascii="Arial" w:cs="Arial" w:eastAsia="Arial" w:hAnsi="Arial"/>
                <w:sz w:val="17"/>
                <w:szCs w:val="17"/>
                <w:b w:val="1"/>
                <w:bCs w:val="1"/>
                <w:color w:val="auto"/>
                <w:w w:val="96"/>
                <w:vertAlign w:val="superscript"/>
              </w:rPr>
              <w:t>(1)</w:t>
            </w:r>
          </w:p>
        </w:tc>
        <w:tc>
          <w:tcPr>
            <w:tcW w:w="220" w:type="dxa"/>
            <w:vAlign w:val="bottom"/>
          </w:tcPr>
          <w:p>
            <w:pPr>
              <w:spacing w:after="0"/>
              <w:rPr>
                <w:sz w:val="14"/>
                <w:szCs w:val="14"/>
                <w:color w:val="auto"/>
              </w:rPr>
            </w:pPr>
          </w:p>
        </w:tc>
        <w:tc>
          <w:tcPr>
            <w:tcW w:w="1080" w:type="dxa"/>
            <w:vAlign w:val="bottom"/>
          </w:tcPr>
          <w:p>
            <w:pPr>
              <w:jc w:val="center"/>
              <w:ind w:right="105"/>
              <w:spacing w:after="0"/>
              <w:rPr>
                <w:sz w:val="20"/>
                <w:szCs w:val="20"/>
                <w:color w:val="auto"/>
              </w:rPr>
            </w:pPr>
            <w:r>
              <w:rPr>
                <w:rFonts w:ascii="Arial" w:cs="Arial" w:eastAsia="Arial" w:hAnsi="Arial"/>
                <w:sz w:val="14"/>
                <w:szCs w:val="14"/>
                <w:b w:val="1"/>
                <w:bCs w:val="1"/>
                <w:color w:val="auto"/>
                <w:w w:val="98"/>
              </w:rPr>
              <w:t>Involuntary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84"/>
              <w:spacing w:after="0"/>
              <w:rPr>
                <w:sz w:val="20"/>
                <w:szCs w:val="20"/>
                <w:color w:val="auto"/>
              </w:rPr>
            </w:pPr>
            <w:r>
              <w:rPr>
                <w:rFonts w:ascii="Arial" w:cs="Arial" w:eastAsia="Arial" w:hAnsi="Arial"/>
                <w:sz w:val="14"/>
                <w:szCs w:val="14"/>
                <w:b w:val="1"/>
                <w:bCs w:val="1"/>
                <w:color w:val="auto"/>
                <w:w w:val="97"/>
              </w:rPr>
              <w:t>Termination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65"/>
              <w:spacing w:after="0" w:line="157" w:lineRule="exact"/>
              <w:rPr>
                <w:sz w:val="20"/>
                <w:szCs w:val="20"/>
                <w:color w:val="auto"/>
              </w:rPr>
            </w:pPr>
            <w:r>
              <w:rPr>
                <w:rFonts w:ascii="Arial" w:cs="Arial" w:eastAsia="Arial" w:hAnsi="Arial"/>
                <w:sz w:val="14"/>
                <w:szCs w:val="14"/>
                <w:b w:val="1"/>
                <w:bCs w:val="1"/>
                <w:color w:val="auto"/>
                <w:w w:val="99"/>
              </w:rPr>
              <w:t>or Voluntary</w:t>
            </w:r>
          </w:p>
        </w:tc>
        <w:tc>
          <w:tcPr>
            <w:tcW w:w="220" w:type="dxa"/>
            <w:vAlign w:val="bottom"/>
          </w:tcPr>
          <w:p>
            <w:pPr>
              <w:spacing w:after="0"/>
              <w:rPr>
                <w:sz w:val="13"/>
                <w:szCs w:val="13"/>
                <w:color w:val="auto"/>
              </w:rPr>
            </w:pPr>
          </w:p>
        </w:tc>
        <w:tc>
          <w:tcPr>
            <w:tcW w:w="1080" w:type="dxa"/>
            <w:vAlign w:val="bottom"/>
          </w:tcPr>
          <w:p>
            <w:pPr>
              <w:jc w:val="center"/>
              <w:ind w:right="105"/>
              <w:spacing w:after="0" w:line="157" w:lineRule="exact"/>
              <w:rPr>
                <w:sz w:val="20"/>
                <w:szCs w:val="20"/>
                <w:color w:val="auto"/>
              </w:rPr>
            </w:pPr>
            <w:r>
              <w:rPr>
                <w:rFonts w:ascii="Arial" w:cs="Arial" w:eastAsia="Arial" w:hAnsi="Arial"/>
                <w:sz w:val="14"/>
                <w:szCs w:val="14"/>
                <w:b w:val="1"/>
                <w:bCs w:val="1"/>
                <w:color w:val="auto"/>
                <w:w w:val="97"/>
              </w:rPr>
              <w:t>Termination</w:t>
            </w:r>
          </w:p>
        </w:tc>
        <w:tc>
          <w:tcPr>
            <w:tcW w:w="180" w:type="dxa"/>
            <w:vAlign w:val="bottom"/>
          </w:tcPr>
          <w:p>
            <w:pPr>
              <w:spacing w:after="0"/>
              <w:rPr>
                <w:sz w:val="13"/>
                <w:szCs w:val="13"/>
                <w:color w:val="auto"/>
              </w:rPr>
            </w:pPr>
          </w:p>
        </w:tc>
        <w:tc>
          <w:tcPr>
            <w:tcW w:w="1040" w:type="dxa"/>
            <w:vAlign w:val="bottom"/>
          </w:tcPr>
          <w:p>
            <w:pPr>
              <w:jc w:val="right"/>
              <w:ind w:right="265"/>
              <w:spacing w:after="0" w:line="157" w:lineRule="exact"/>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Without Cause /</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9"/>
              </w:rPr>
              <w:t>Separation</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9"/>
              </w:rPr>
              <w:t>For Cause</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Good Reason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6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16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0"/>
                <w:szCs w:val="20"/>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1,795,366</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900" w:type="dxa"/>
            <w:vAlign w:val="bottom"/>
            <w:vMerge w:val="restart"/>
          </w:tcPr>
          <w:p>
            <w:pPr>
              <w:ind w:left="10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0"/>
                <w:szCs w:val="20"/>
                <w:color w:val="auto"/>
                <w:vertAlign w:val="superscript"/>
              </w:rPr>
              <w:t>(3)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(Included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91,153</w:t>
            </w:r>
          </w:p>
        </w:tc>
        <w:tc>
          <w:tcPr>
            <w:tcW w:w="220" w:type="dxa"/>
            <w:vAlign w:val="bottom"/>
          </w:tcPr>
          <w:p>
            <w:pPr>
              <w:spacing w:after="0"/>
              <w:rPr>
                <w:sz w:val="18"/>
                <w:szCs w:val="18"/>
                <w:color w:val="auto"/>
              </w:rPr>
            </w:pP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91,153</w:t>
            </w:r>
          </w:p>
        </w:tc>
        <w:tc>
          <w:tcPr>
            <w:tcW w:w="180" w:type="dxa"/>
            <w:vAlign w:val="bottom"/>
          </w:tcPr>
          <w:p>
            <w:pPr>
              <w:spacing w:after="0"/>
              <w:rPr>
                <w:sz w:val="18"/>
                <w:szCs w:val="18"/>
                <w:color w:val="auto"/>
              </w:rPr>
            </w:pP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91,153</w:t>
            </w:r>
          </w:p>
        </w:tc>
        <w:tc>
          <w:tcPr>
            <w:tcW w:w="180" w:type="dxa"/>
            <w:vAlign w:val="bottom"/>
          </w:tcPr>
          <w:p>
            <w:pPr>
              <w:spacing w:after="0"/>
              <w:rPr>
                <w:sz w:val="18"/>
                <w:szCs w:val="18"/>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Above)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91,153</w:t>
            </w:r>
          </w:p>
        </w:tc>
        <w:tc>
          <w:tcPr>
            <w:tcW w:w="260" w:type="dxa"/>
            <w:vAlign w:val="bottom"/>
          </w:tcPr>
          <w:p>
            <w:pPr>
              <w:spacing w:after="0"/>
              <w:rPr>
                <w:sz w:val="18"/>
                <w:szCs w:val="18"/>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91,153</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160"/>
              <w:spacing w:after="0"/>
              <w:rPr>
                <w:sz w:val="20"/>
                <w:szCs w:val="20"/>
                <w:color w:val="auto"/>
              </w:rPr>
            </w:pPr>
            <w:r>
              <w:rPr>
                <w:rFonts w:ascii="Arial" w:cs="Arial" w:eastAsia="Arial" w:hAnsi="Arial"/>
                <w:sz w:val="16"/>
                <w:szCs w:val="16"/>
                <w:color w:val="auto"/>
              </w:rPr>
              <w:t>LTIP</w:t>
            </w:r>
            <w:r>
              <w:rPr>
                <w:rFonts w:ascii="Arial" w:cs="Arial" w:eastAsia="Arial" w:hAnsi="Arial"/>
                <w:sz w:val="20"/>
                <w:szCs w:val="20"/>
                <w:color w:val="auto"/>
                <w:vertAlign w:val="superscript"/>
              </w:rPr>
              <w:t>(4)</w:t>
            </w:r>
          </w:p>
        </w:tc>
        <w:tc>
          <w:tcPr>
            <w:tcW w:w="160" w:type="dxa"/>
            <w:vAlign w:val="bottom"/>
          </w:tcPr>
          <w:p>
            <w:pPr>
              <w:spacing w:after="0"/>
              <w:rPr>
                <w:sz w:val="20"/>
                <w:szCs w:val="20"/>
                <w:color w:val="auto"/>
              </w:rPr>
            </w:pP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84,809</w:t>
            </w:r>
          </w:p>
        </w:tc>
        <w:tc>
          <w:tcPr>
            <w:tcW w:w="220" w:type="dxa"/>
            <w:vAlign w:val="bottom"/>
          </w:tcPr>
          <w:p>
            <w:pPr>
              <w:spacing w:after="0"/>
              <w:rPr>
                <w:sz w:val="20"/>
                <w:szCs w:val="20"/>
                <w:color w:val="auto"/>
              </w:rPr>
            </w:pP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84,809</w:t>
            </w:r>
          </w:p>
        </w:tc>
        <w:tc>
          <w:tcPr>
            <w:tcW w:w="180" w:type="dxa"/>
            <w:vAlign w:val="bottom"/>
          </w:tcPr>
          <w:p>
            <w:pPr>
              <w:spacing w:after="0"/>
              <w:rPr>
                <w:sz w:val="20"/>
                <w:szCs w:val="20"/>
                <w:color w:val="auto"/>
              </w:rPr>
            </w:pP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184,416</w:t>
            </w:r>
          </w:p>
        </w:tc>
        <w:tc>
          <w:tcPr>
            <w:tcW w:w="180" w:type="dxa"/>
            <w:vAlign w:val="bottom"/>
          </w:tcPr>
          <w:p>
            <w:pPr>
              <w:spacing w:after="0"/>
              <w:rPr>
                <w:sz w:val="20"/>
                <w:szCs w:val="20"/>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184,416</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84,809</w:t>
            </w:r>
          </w:p>
        </w:tc>
        <w:tc>
          <w:tcPr>
            <w:tcW w:w="26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84,809</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0"/>
                <w:szCs w:val="20"/>
                <w:color w:val="auto"/>
                <w:vertAlign w:val="superscript"/>
              </w:rPr>
              <w:t>(5)</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Accelerated Vesting</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217,820</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217,820</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217,820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217,820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217,820</w:t>
            </w:r>
          </w:p>
        </w:tc>
        <w:tc>
          <w:tcPr>
            <w:tcW w:w="0" w:type="dxa"/>
            <w:vAlign w:val="bottom"/>
          </w:tcPr>
          <w:p>
            <w:pPr>
              <w:spacing w:after="0"/>
              <w:rPr>
                <w:sz w:val="1"/>
                <w:szCs w:val="1"/>
                <w:color w:val="auto"/>
              </w:rPr>
            </w:pPr>
          </w:p>
        </w:tc>
      </w:tr>
      <w:tr>
        <w:trPr>
          <w:trHeight w:val="233"/>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175,962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393,782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493,389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2,197,602</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393,782</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393,782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320" w:hanging="315"/>
        <w:spacing w:after="0"/>
        <w:tabs>
          <w:tab w:leader="none" w:pos="320" w:val="left"/>
        </w:tabs>
        <w:numPr>
          <w:ilvl w:val="0"/>
          <w:numId w:val="54"/>
        </w:numPr>
        <w:rPr>
          <w:rFonts w:ascii="Arial" w:cs="Arial" w:eastAsia="Arial" w:hAnsi="Arial"/>
          <w:sz w:val="12"/>
          <w:szCs w:val="12"/>
          <w:color w:val="auto"/>
        </w:rPr>
      </w:pPr>
      <w:r>
        <w:rPr>
          <w:rFonts w:ascii="Arial" w:cs="Arial" w:eastAsia="Arial" w:hAnsi="Arial"/>
          <w:sz w:val="14"/>
          <w:szCs w:val="14"/>
          <w:color w:val="auto"/>
        </w:rPr>
        <w:t>Retirement under the 2004 and 2014 Plans is defined as attaining age 60 and five or more years of service with the Company.</w:t>
      </w:r>
    </w:p>
    <w:p>
      <w:pPr>
        <w:ind w:left="320" w:right="80" w:hanging="315"/>
        <w:spacing w:after="0" w:line="234" w:lineRule="auto"/>
        <w:tabs>
          <w:tab w:leader="none" w:pos="320" w:val="left"/>
        </w:tabs>
        <w:numPr>
          <w:ilvl w:val="0"/>
          <w:numId w:val="54"/>
        </w:numPr>
        <w:rPr>
          <w:rFonts w:ascii="Arial" w:cs="Arial" w:eastAsia="Arial" w:hAnsi="Arial"/>
          <w:sz w:val="12"/>
          <w:szCs w:val="12"/>
          <w:color w:val="auto"/>
        </w:rPr>
      </w:pPr>
      <w:r>
        <w:rPr>
          <w:rFonts w:ascii="Arial" w:cs="Arial" w:eastAsia="Arial" w:hAnsi="Arial"/>
          <w:sz w:val="14"/>
          <w:szCs w:val="14"/>
          <w:color w:val="auto"/>
        </w:rPr>
        <w:t>Severance upon a Change of Control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20" w:hanging="315"/>
        <w:spacing w:after="0" w:line="234" w:lineRule="auto"/>
        <w:tabs>
          <w:tab w:leader="none" w:pos="320" w:val="left"/>
        </w:tabs>
        <w:numPr>
          <w:ilvl w:val="0"/>
          <w:numId w:val="54"/>
        </w:numPr>
        <w:rPr>
          <w:rFonts w:ascii="Arial" w:cs="Arial" w:eastAsia="Arial" w:hAnsi="Arial"/>
          <w:sz w:val="12"/>
          <w:szCs w:val="12"/>
          <w:color w:val="auto"/>
        </w:rPr>
      </w:pPr>
      <w:r>
        <w:rPr>
          <w:rFonts w:ascii="Arial" w:cs="Arial" w:eastAsia="Arial" w:hAnsi="Arial"/>
          <w:sz w:val="14"/>
          <w:szCs w:val="14"/>
          <w:color w:val="auto"/>
        </w:rPr>
        <w:t>Represents the annual incentive eligibility pursuant to the 2015 Officers Incentive Compensation Plan.</w:t>
      </w:r>
    </w:p>
    <w:p>
      <w:pPr>
        <w:ind w:left="320" w:hanging="315"/>
        <w:spacing w:after="0" w:line="234" w:lineRule="auto"/>
        <w:tabs>
          <w:tab w:leader="none" w:pos="320" w:val="left"/>
        </w:tabs>
        <w:numPr>
          <w:ilvl w:val="0"/>
          <w:numId w:val="54"/>
        </w:numPr>
        <w:rPr>
          <w:rFonts w:ascii="Arial" w:cs="Arial" w:eastAsia="Arial" w:hAnsi="Arial"/>
          <w:sz w:val="12"/>
          <w:szCs w:val="12"/>
          <w:color w:val="auto"/>
        </w:rPr>
      </w:pPr>
      <w:r>
        <w:rPr>
          <w:rFonts w:ascii="Arial" w:cs="Arial" w:eastAsia="Arial" w:hAnsi="Arial"/>
          <w:sz w:val="14"/>
          <w:szCs w:val="14"/>
          <w:color w:val="auto"/>
        </w:rPr>
        <w:t>Represents the entire amount of LTIP incentive estimated to be payable under the 2013-2015 Officers Long-Term Incentive Plans.</w:t>
      </w:r>
    </w:p>
    <w:p>
      <w:pPr>
        <w:ind w:left="320" w:hanging="315"/>
        <w:spacing w:after="0"/>
        <w:tabs>
          <w:tab w:leader="none" w:pos="320" w:val="left"/>
        </w:tabs>
        <w:numPr>
          <w:ilvl w:val="0"/>
          <w:numId w:val="54"/>
        </w:numPr>
        <w:rPr>
          <w:rFonts w:ascii="Arial" w:cs="Arial" w:eastAsia="Arial" w:hAnsi="Arial"/>
          <w:sz w:val="12"/>
          <w:szCs w:val="12"/>
          <w:color w:val="auto"/>
        </w:rPr>
      </w:pPr>
      <w:r>
        <w:rPr>
          <w:rFonts w:ascii="Arial" w:cs="Arial" w:eastAsia="Arial" w:hAnsi="Arial"/>
          <w:sz w:val="14"/>
          <w:szCs w:val="14"/>
          <w:color w:val="auto"/>
        </w:rPr>
        <w:t>Represents the intrinsic value of stock grants based on our closing stock price of $20.42 per share on August 28, 2015, the last trading day of Fiscal 2015.</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SCOTT C. FOLKERS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4"/>
                <w:szCs w:val="14"/>
                <w:b w:val="1"/>
                <w:bCs w:val="1"/>
                <w:color w:val="auto"/>
              </w:rPr>
              <w:t>Change of Control</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45"/>
              <w:spacing w:after="0" w:line="171" w:lineRule="exact"/>
              <w:rPr>
                <w:sz w:val="20"/>
                <w:szCs w:val="20"/>
                <w:color w:val="auto"/>
              </w:rPr>
            </w:pPr>
            <w:r>
              <w:rPr>
                <w:rFonts w:ascii="Arial" w:cs="Arial" w:eastAsia="Arial" w:hAnsi="Arial"/>
                <w:sz w:val="14"/>
                <w:szCs w:val="14"/>
                <w:b w:val="1"/>
                <w:bCs w:val="1"/>
                <w:color w:val="auto"/>
                <w:w w:val="96"/>
              </w:rPr>
              <w:t>Retirement</w:t>
            </w:r>
            <w:r>
              <w:rPr>
                <w:rFonts w:ascii="Arial" w:cs="Arial" w:eastAsia="Arial" w:hAnsi="Arial"/>
                <w:sz w:val="17"/>
                <w:szCs w:val="17"/>
                <w:b w:val="1"/>
                <w:bCs w:val="1"/>
                <w:color w:val="auto"/>
                <w:w w:val="96"/>
                <w:vertAlign w:val="superscript"/>
              </w:rPr>
              <w:t>(1)</w:t>
            </w:r>
          </w:p>
        </w:tc>
        <w:tc>
          <w:tcPr>
            <w:tcW w:w="220" w:type="dxa"/>
            <w:vAlign w:val="bottom"/>
          </w:tcPr>
          <w:p>
            <w:pPr>
              <w:spacing w:after="0"/>
              <w:rPr>
                <w:sz w:val="14"/>
                <w:szCs w:val="14"/>
                <w:color w:val="auto"/>
              </w:rPr>
            </w:pPr>
          </w:p>
        </w:tc>
        <w:tc>
          <w:tcPr>
            <w:tcW w:w="1080" w:type="dxa"/>
            <w:vAlign w:val="bottom"/>
          </w:tcPr>
          <w:p>
            <w:pPr>
              <w:jc w:val="center"/>
              <w:ind w:right="105"/>
              <w:spacing w:after="0"/>
              <w:rPr>
                <w:sz w:val="20"/>
                <w:szCs w:val="20"/>
                <w:color w:val="auto"/>
              </w:rPr>
            </w:pPr>
            <w:r>
              <w:rPr>
                <w:rFonts w:ascii="Arial" w:cs="Arial" w:eastAsia="Arial" w:hAnsi="Arial"/>
                <w:sz w:val="14"/>
                <w:szCs w:val="14"/>
                <w:b w:val="1"/>
                <w:bCs w:val="1"/>
                <w:color w:val="auto"/>
                <w:w w:val="98"/>
              </w:rPr>
              <w:t>Involuntary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84"/>
              <w:spacing w:after="0"/>
              <w:rPr>
                <w:sz w:val="20"/>
                <w:szCs w:val="20"/>
                <w:color w:val="auto"/>
              </w:rPr>
            </w:pPr>
            <w:r>
              <w:rPr>
                <w:rFonts w:ascii="Arial" w:cs="Arial" w:eastAsia="Arial" w:hAnsi="Arial"/>
                <w:sz w:val="14"/>
                <w:szCs w:val="14"/>
                <w:b w:val="1"/>
                <w:bCs w:val="1"/>
                <w:color w:val="auto"/>
                <w:w w:val="97"/>
              </w:rPr>
              <w:t>Termination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65"/>
              <w:spacing w:after="0" w:line="157" w:lineRule="exact"/>
              <w:rPr>
                <w:sz w:val="20"/>
                <w:szCs w:val="20"/>
                <w:color w:val="auto"/>
              </w:rPr>
            </w:pPr>
            <w:r>
              <w:rPr>
                <w:rFonts w:ascii="Arial" w:cs="Arial" w:eastAsia="Arial" w:hAnsi="Arial"/>
                <w:sz w:val="14"/>
                <w:szCs w:val="14"/>
                <w:b w:val="1"/>
                <w:bCs w:val="1"/>
                <w:color w:val="auto"/>
                <w:w w:val="99"/>
              </w:rPr>
              <w:t>or Voluntary</w:t>
            </w:r>
          </w:p>
        </w:tc>
        <w:tc>
          <w:tcPr>
            <w:tcW w:w="220" w:type="dxa"/>
            <w:vAlign w:val="bottom"/>
          </w:tcPr>
          <w:p>
            <w:pPr>
              <w:spacing w:after="0"/>
              <w:rPr>
                <w:sz w:val="13"/>
                <w:szCs w:val="13"/>
                <w:color w:val="auto"/>
              </w:rPr>
            </w:pPr>
          </w:p>
        </w:tc>
        <w:tc>
          <w:tcPr>
            <w:tcW w:w="1080" w:type="dxa"/>
            <w:vAlign w:val="bottom"/>
          </w:tcPr>
          <w:p>
            <w:pPr>
              <w:jc w:val="center"/>
              <w:ind w:right="105"/>
              <w:spacing w:after="0" w:line="157" w:lineRule="exact"/>
              <w:rPr>
                <w:sz w:val="20"/>
                <w:szCs w:val="20"/>
                <w:color w:val="auto"/>
              </w:rPr>
            </w:pPr>
            <w:r>
              <w:rPr>
                <w:rFonts w:ascii="Arial" w:cs="Arial" w:eastAsia="Arial" w:hAnsi="Arial"/>
                <w:sz w:val="14"/>
                <w:szCs w:val="14"/>
                <w:b w:val="1"/>
                <w:bCs w:val="1"/>
                <w:color w:val="auto"/>
                <w:w w:val="97"/>
              </w:rPr>
              <w:t>Termination</w:t>
            </w:r>
          </w:p>
        </w:tc>
        <w:tc>
          <w:tcPr>
            <w:tcW w:w="180" w:type="dxa"/>
            <w:vAlign w:val="bottom"/>
          </w:tcPr>
          <w:p>
            <w:pPr>
              <w:spacing w:after="0"/>
              <w:rPr>
                <w:sz w:val="13"/>
                <w:szCs w:val="13"/>
                <w:color w:val="auto"/>
              </w:rPr>
            </w:pPr>
          </w:p>
        </w:tc>
        <w:tc>
          <w:tcPr>
            <w:tcW w:w="1040" w:type="dxa"/>
            <w:vAlign w:val="bottom"/>
          </w:tcPr>
          <w:p>
            <w:pPr>
              <w:jc w:val="right"/>
              <w:ind w:right="265"/>
              <w:spacing w:after="0" w:line="157" w:lineRule="exact"/>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Without Cause /</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9"/>
              </w:rPr>
              <w:t>Separation</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9"/>
              </w:rPr>
              <w:t>For Cause</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Good Reason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6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16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0"/>
                <w:szCs w:val="20"/>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1,583,820</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900" w:type="dxa"/>
            <w:vAlign w:val="bottom"/>
            <w:vMerge w:val="restart"/>
          </w:tcPr>
          <w:p>
            <w:pPr>
              <w:ind w:left="10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0"/>
                <w:szCs w:val="20"/>
                <w:color w:val="auto"/>
                <w:vertAlign w:val="superscript"/>
              </w:rPr>
              <w:t>(3)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(Included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78,130</w:t>
            </w:r>
          </w:p>
        </w:tc>
        <w:tc>
          <w:tcPr>
            <w:tcW w:w="220" w:type="dxa"/>
            <w:vAlign w:val="bottom"/>
          </w:tcPr>
          <w:p>
            <w:pPr>
              <w:spacing w:after="0"/>
              <w:rPr>
                <w:sz w:val="18"/>
                <w:szCs w:val="18"/>
                <w:color w:val="auto"/>
              </w:rPr>
            </w:pP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78,130</w:t>
            </w:r>
          </w:p>
        </w:tc>
        <w:tc>
          <w:tcPr>
            <w:tcW w:w="180" w:type="dxa"/>
            <w:vAlign w:val="bottom"/>
          </w:tcPr>
          <w:p>
            <w:pPr>
              <w:spacing w:after="0"/>
              <w:rPr>
                <w:sz w:val="18"/>
                <w:szCs w:val="18"/>
                <w:color w:val="auto"/>
              </w:rPr>
            </w:pP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78,130</w:t>
            </w:r>
          </w:p>
        </w:tc>
        <w:tc>
          <w:tcPr>
            <w:tcW w:w="180" w:type="dxa"/>
            <w:vAlign w:val="bottom"/>
          </w:tcPr>
          <w:p>
            <w:pPr>
              <w:spacing w:after="0"/>
              <w:rPr>
                <w:sz w:val="18"/>
                <w:szCs w:val="18"/>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Above)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78,130</w:t>
            </w:r>
          </w:p>
        </w:tc>
        <w:tc>
          <w:tcPr>
            <w:tcW w:w="260" w:type="dxa"/>
            <w:vAlign w:val="bottom"/>
          </w:tcPr>
          <w:p>
            <w:pPr>
              <w:spacing w:after="0"/>
              <w:rPr>
                <w:sz w:val="18"/>
                <w:szCs w:val="18"/>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78,130</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160"/>
              <w:spacing w:after="0"/>
              <w:rPr>
                <w:sz w:val="20"/>
                <w:szCs w:val="20"/>
                <w:color w:val="auto"/>
              </w:rPr>
            </w:pPr>
            <w:r>
              <w:rPr>
                <w:rFonts w:ascii="Arial" w:cs="Arial" w:eastAsia="Arial" w:hAnsi="Arial"/>
                <w:sz w:val="16"/>
                <w:szCs w:val="16"/>
                <w:color w:val="auto"/>
              </w:rPr>
              <w:t>LTIP</w:t>
            </w:r>
            <w:r>
              <w:rPr>
                <w:rFonts w:ascii="Arial" w:cs="Arial" w:eastAsia="Arial" w:hAnsi="Arial"/>
                <w:sz w:val="20"/>
                <w:szCs w:val="20"/>
                <w:color w:val="auto"/>
                <w:vertAlign w:val="superscript"/>
              </w:rPr>
              <w:t>(4)</w:t>
            </w:r>
          </w:p>
        </w:tc>
        <w:tc>
          <w:tcPr>
            <w:tcW w:w="160" w:type="dxa"/>
            <w:vAlign w:val="bottom"/>
          </w:tcPr>
          <w:p>
            <w:pPr>
              <w:spacing w:after="0"/>
              <w:rPr>
                <w:sz w:val="20"/>
                <w:szCs w:val="20"/>
                <w:color w:val="auto"/>
              </w:rPr>
            </w:pP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74,658</w:t>
            </w:r>
          </w:p>
        </w:tc>
        <w:tc>
          <w:tcPr>
            <w:tcW w:w="220" w:type="dxa"/>
            <w:vAlign w:val="bottom"/>
          </w:tcPr>
          <w:p>
            <w:pPr>
              <w:spacing w:after="0"/>
              <w:rPr>
                <w:sz w:val="20"/>
                <w:szCs w:val="20"/>
                <w:color w:val="auto"/>
              </w:rPr>
            </w:pP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74,658</w:t>
            </w:r>
          </w:p>
        </w:tc>
        <w:tc>
          <w:tcPr>
            <w:tcW w:w="180" w:type="dxa"/>
            <w:vAlign w:val="bottom"/>
          </w:tcPr>
          <w:p>
            <w:pPr>
              <w:spacing w:after="0"/>
              <w:rPr>
                <w:sz w:val="20"/>
                <w:szCs w:val="20"/>
                <w:color w:val="auto"/>
              </w:rPr>
            </w:pP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158,770</w:t>
            </w:r>
          </w:p>
        </w:tc>
        <w:tc>
          <w:tcPr>
            <w:tcW w:w="180" w:type="dxa"/>
            <w:vAlign w:val="bottom"/>
          </w:tcPr>
          <w:p>
            <w:pPr>
              <w:spacing w:after="0"/>
              <w:rPr>
                <w:sz w:val="20"/>
                <w:szCs w:val="20"/>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158,770</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74,658</w:t>
            </w:r>
          </w:p>
        </w:tc>
        <w:tc>
          <w:tcPr>
            <w:tcW w:w="26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74,658</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0"/>
                <w:szCs w:val="20"/>
                <w:color w:val="auto"/>
                <w:vertAlign w:val="superscript"/>
              </w:rPr>
              <w:t>(5)</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Accelerated Vesting</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217,820</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217,820</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217,820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217,820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217,820</w:t>
            </w:r>
          </w:p>
        </w:tc>
        <w:tc>
          <w:tcPr>
            <w:tcW w:w="0" w:type="dxa"/>
            <w:vAlign w:val="bottom"/>
          </w:tcPr>
          <w:p>
            <w:pPr>
              <w:spacing w:after="0"/>
              <w:rPr>
                <w:sz w:val="1"/>
                <w:szCs w:val="1"/>
                <w:color w:val="auto"/>
              </w:rPr>
            </w:pPr>
          </w:p>
        </w:tc>
      </w:tr>
      <w:tr>
        <w:trPr>
          <w:trHeight w:val="233"/>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152,788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370,608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454,720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1,960,410</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370,608</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370,608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hanging="315"/>
        <w:spacing w:after="0"/>
        <w:tabs>
          <w:tab w:leader="none" w:pos="320" w:val="left"/>
        </w:tabs>
        <w:numPr>
          <w:ilvl w:val="0"/>
          <w:numId w:val="55"/>
        </w:numPr>
        <w:rPr>
          <w:rFonts w:ascii="Arial" w:cs="Arial" w:eastAsia="Arial" w:hAnsi="Arial"/>
          <w:sz w:val="12"/>
          <w:szCs w:val="12"/>
          <w:color w:val="auto"/>
        </w:rPr>
      </w:pPr>
      <w:r>
        <w:rPr>
          <w:rFonts w:ascii="Arial" w:cs="Arial" w:eastAsia="Arial" w:hAnsi="Arial"/>
          <w:sz w:val="14"/>
          <w:szCs w:val="14"/>
          <w:color w:val="auto"/>
        </w:rPr>
        <w:t>Retirement under the 2004 and 2014 Plans is defined as attaining age 60 and five or more years of service with the Company.</w:t>
      </w:r>
    </w:p>
    <w:p>
      <w:pPr>
        <w:ind w:left="320" w:right="80" w:hanging="315"/>
        <w:spacing w:after="0" w:line="234" w:lineRule="auto"/>
        <w:tabs>
          <w:tab w:leader="none" w:pos="320" w:val="left"/>
        </w:tabs>
        <w:numPr>
          <w:ilvl w:val="0"/>
          <w:numId w:val="55"/>
        </w:numPr>
        <w:rPr>
          <w:rFonts w:ascii="Arial" w:cs="Arial" w:eastAsia="Arial" w:hAnsi="Arial"/>
          <w:sz w:val="12"/>
          <w:szCs w:val="12"/>
          <w:color w:val="auto"/>
        </w:rPr>
      </w:pPr>
      <w:r>
        <w:rPr>
          <w:rFonts w:ascii="Arial" w:cs="Arial" w:eastAsia="Arial" w:hAnsi="Arial"/>
          <w:sz w:val="14"/>
          <w:szCs w:val="14"/>
          <w:color w:val="auto"/>
        </w:rPr>
        <w:t>Severance upon a Change of Control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20" w:hanging="315"/>
        <w:spacing w:after="0" w:line="234" w:lineRule="auto"/>
        <w:tabs>
          <w:tab w:leader="none" w:pos="320" w:val="left"/>
        </w:tabs>
        <w:numPr>
          <w:ilvl w:val="0"/>
          <w:numId w:val="55"/>
        </w:numPr>
        <w:rPr>
          <w:rFonts w:ascii="Arial" w:cs="Arial" w:eastAsia="Arial" w:hAnsi="Arial"/>
          <w:sz w:val="12"/>
          <w:szCs w:val="12"/>
          <w:color w:val="auto"/>
        </w:rPr>
      </w:pPr>
      <w:r>
        <w:rPr>
          <w:rFonts w:ascii="Arial" w:cs="Arial" w:eastAsia="Arial" w:hAnsi="Arial"/>
          <w:sz w:val="14"/>
          <w:szCs w:val="14"/>
          <w:color w:val="auto"/>
        </w:rPr>
        <w:t>Represents the annual incentive eligibility pursuant to the 2015 Officers Incentive Compensation Plan.</w:t>
      </w:r>
    </w:p>
    <w:p>
      <w:pPr>
        <w:jc w:val="both"/>
        <w:ind w:left="320" w:right="40" w:hanging="315"/>
        <w:spacing w:after="0" w:line="234" w:lineRule="auto"/>
        <w:tabs>
          <w:tab w:leader="none" w:pos="320" w:val="left"/>
        </w:tabs>
        <w:numPr>
          <w:ilvl w:val="0"/>
          <w:numId w:val="55"/>
        </w:numPr>
        <w:rPr>
          <w:rFonts w:ascii="Arial" w:cs="Arial" w:eastAsia="Arial" w:hAnsi="Arial"/>
          <w:sz w:val="12"/>
          <w:szCs w:val="12"/>
          <w:color w:val="auto"/>
        </w:rPr>
      </w:pPr>
      <w:r>
        <w:rPr>
          <w:rFonts w:ascii="Arial" w:cs="Arial" w:eastAsia="Arial" w:hAnsi="Arial"/>
          <w:sz w:val="14"/>
          <w:szCs w:val="14"/>
          <w:color w:val="auto"/>
        </w:rPr>
        <w:t>Represents the LTIP incentive achieved pursuant to the 2013-2015 Officers Long-Term Incentive Plan, except by a termination pursuant to a Change of Control, which includes the full amount payable under the 2013-2015 Officers Long-Term Incentive Plan and the entire amount estimated to be payable under the 2014-2016 and the 2015-2017 Officers Long-Term Incentive Plans.</w:t>
      </w:r>
    </w:p>
    <w:p>
      <w:pPr>
        <w:ind w:left="320" w:hanging="315"/>
        <w:spacing w:after="0"/>
        <w:tabs>
          <w:tab w:leader="none" w:pos="320" w:val="left"/>
        </w:tabs>
        <w:numPr>
          <w:ilvl w:val="0"/>
          <w:numId w:val="55"/>
        </w:numPr>
        <w:rPr>
          <w:rFonts w:ascii="Arial" w:cs="Arial" w:eastAsia="Arial" w:hAnsi="Arial"/>
          <w:sz w:val="12"/>
          <w:szCs w:val="12"/>
          <w:color w:val="auto"/>
        </w:rPr>
      </w:pPr>
      <w:r>
        <w:rPr>
          <w:rFonts w:ascii="Arial" w:cs="Arial" w:eastAsia="Arial" w:hAnsi="Arial"/>
          <w:sz w:val="14"/>
          <w:szCs w:val="14"/>
          <w:color w:val="auto"/>
        </w:rPr>
        <w:t>Represents the intrinsic value of stock grants based on our closing stock price of $20.42 per share on August 28, 2015, the last trading day of Fiscal 2015.</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298" w:right="239" w:bottom="1440" w:gutter="0" w:footer="0" w:header="0"/>
        </w:sectPr>
      </w:pPr>
    </w:p>
    <w:bookmarkStart w:id="35" w:name="page36"/>
    <w:bookmarkEnd w:id="35"/>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DARYL W. KRIEGER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Change of Control</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44"/>
              <w:spacing w:after="0" w:line="171" w:lineRule="exact"/>
              <w:rPr>
                <w:sz w:val="20"/>
                <w:szCs w:val="20"/>
                <w:color w:val="auto"/>
              </w:rPr>
            </w:pPr>
            <w:r>
              <w:rPr>
                <w:rFonts w:ascii="Arial" w:cs="Arial" w:eastAsia="Arial" w:hAnsi="Arial"/>
                <w:sz w:val="14"/>
                <w:szCs w:val="14"/>
                <w:b w:val="1"/>
                <w:bCs w:val="1"/>
                <w:color w:val="auto"/>
                <w:w w:val="96"/>
              </w:rPr>
              <w:t>Retirement</w:t>
            </w:r>
            <w:r>
              <w:rPr>
                <w:rFonts w:ascii="Arial" w:cs="Arial" w:eastAsia="Arial" w:hAnsi="Arial"/>
                <w:sz w:val="17"/>
                <w:szCs w:val="17"/>
                <w:b w:val="1"/>
                <w:bCs w:val="1"/>
                <w:color w:val="auto"/>
                <w:w w:val="96"/>
                <w:vertAlign w:val="superscript"/>
              </w:rPr>
              <w:t>(1)</w:t>
            </w:r>
          </w:p>
        </w:tc>
        <w:tc>
          <w:tcPr>
            <w:tcW w:w="220" w:type="dxa"/>
            <w:vAlign w:val="bottom"/>
          </w:tcPr>
          <w:p>
            <w:pPr>
              <w:spacing w:after="0"/>
              <w:rPr>
                <w:sz w:val="14"/>
                <w:szCs w:val="14"/>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8"/>
              </w:rPr>
              <w:t>Involuntary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83"/>
              <w:spacing w:after="0"/>
              <w:rPr>
                <w:sz w:val="20"/>
                <w:szCs w:val="20"/>
                <w:color w:val="auto"/>
              </w:rPr>
            </w:pPr>
            <w:r>
              <w:rPr>
                <w:rFonts w:ascii="Arial" w:cs="Arial" w:eastAsia="Arial" w:hAnsi="Arial"/>
                <w:sz w:val="14"/>
                <w:szCs w:val="14"/>
                <w:b w:val="1"/>
                <w:bCs w:val="1"/>
                <w:color w:val="auto"/>
                <w:w w:val="97"/>
              </w:rPr>
              <w:t>Termination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64"/>
              <w:spacing w:after="0" w:line="157" w:lineRule="exact"/>
              <w:rPr>
                <w:sz w:val="20"/>
                <w:szCs w:val="20"/>
                <w:color w:val="auto"/>
              </w:rPr>
            </w:pPr>
            <w:r>
              <w:rPr>
                <w:rFonts w:ascii="Arial" w:cs="Arial" w:eastAsia="Arial" w:hAnsi="Arial"/>
                <w:sz w:val="14"/>
                <w:szCs w:val="14"/>
                <w:b w:val="1"/>
                <w:bCs w:val="1"/>
                <w:color w:val="auto"/>
                <w:w w:val="99"/>
              </w:rPr>
              <w:t>or Voluntary</w:t>
            </w:r>
          </w:p>
        </w:tc>
        <w:tc>
          <w:tcPr>
            <w:tcW w:w="220" w:type="dxa"/>
            <w:vAlign w:val="bottom"/>
          </w:tcPr>
          <w:p>
            <w:pPr>
              <w:spacing w:after="0"/>
              <w:rPr>
                <w:sz w:val="13"/>
                <w:szCs w:val="13"/>
                <w:color w:val="auto"/>
              </w:rPr>
            </w:pPr>
          </w:p>
        </w:tc>
        <w:tc>
          <w:tcPr>
            <w:tcW w:w="1080" w:type="dxa"/>
            <w:vAlign w:val="bottom"/>
          </w:tcPr>
          <w:p>
            <w:pPr>
              <w:jc w:val="center"/>
              <w:ind w:right="104"/>
              <w:spacing w:after="0" w:line="157" w:lineRule="exact"/>
              <w:rPr>
                <w:sz w:val="20"/>
                <w:szCs w:val="20"/>
                <w:color w:val="auto"/>
              </w:rPr>
            </w:pPr>
            <w:r>
              <w:rPr>
                <w:rFonts w:ascii="Arial" w:cs="Arial" w:eastAsia="Arial" w:hAnsi="Arial"/>
                <w:sz w:val="14"/>
                <w:szCs w:val="14"/>
                <w:b w:val="1"/>
                <w:bCs w:val="1"/>
                <w:color w:val="auto"/>
                <w:w w:val="97"/>
              </w:rPr>
              <w:t>Termination</w:t>
            </w:r>
          </w:p>
        </w:tc>
        <w:tc>
          <w:tcPr>
            <w:tcW w:w="180" w:type="dxa"/>
            <w:vAlign w:val="bottom"/>
          </w:tcPr>
          <w:p>
            <w:pPr>
              <w:spacing w:after="0"/>
              <w:rPr>
                <w:sz w:val="13"/>
                <w:szCs w:val="13"/>
                <w:color w:val="auto"/>
              </w:rPr>
            </w:pPr>
          </w:p>
        </w:tc>
        <w:tc>
          <w:tcPr>
            <w:tcW w:w="1040" w:type="dxa"/>
            <w:vAlign w:val="bottom"/>
          </w:tcPr>
          <w:p>
            <w:pPr>
              <w:jc w:val="right"/>
              <w:ind w:right="264"/>
              <w:spacing w:after="0" w:line="157" w:lineRule="exact"/>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Without Cause /</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9"/>
              </w:rPr>
              <w:t>Separation</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9"/>
              </w:rPr>
              <w:t>For Cause</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8"/>
              </w:rPr>
              <w:t>Good Reason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6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16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0"/>
                <w:szCs w:val="20"/>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1,618,043</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900" w:type="dxa"/>
            <w:vAlign w:val="bottom"/>
            <w:vMerge w:val="restart"/>
          </w:tcPr>
          <w:p>
            <w:pPr>
              <w:ind w:left="10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0"/>
                <w:szCs w:val="20"/>
                <w:color w:val="auto"/>
                <w:vertAlign w:val="superscript"/>
              </w:rPr>
              <w:t>(3)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(Included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76,226</w:t>
            </w:r>
          </w:p>
        </w:tc>
        <w:tc>
          <w:tcPr>
            <w:tcW w:w="220" w:type="dxa"/>
            <w:vAlign w:val="bottom"/>
          </w:tcPr>
          <w:p>
            <w:pPr>
              <w:spacing w:after="0"/>
              <w:rPr>
                <w:sz w:val="18"/>
                <w:szCs w:val="18"/>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76,226</w:t>
            </w:r>
          </w:p>
        </w:tc>
        <w:tc>
          <w:tcPr>
            <w:tcW w:w="18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76,226</w:t>
            </w: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Above)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76,226</w:t>
            </w:r>
          </w:p>
        </w:tc>
        <w:tc>
          <w:tcPr>
            <w:tcW w:w="260" w:type="dxa"/>
            <w:vAlign w:val="bottom"/>
          </w:tcPr>
          <w:p>
            <w:pPr>
              <w:spacing w:after="0"/>
              <w:rPr>
                <w:sz w:val="18"/>
                <w:szCs w:val="18"/>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76,226</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160"/>
              <w:spacing w:after="0"/>
              <w:rPr>
                <w:sz w:val="20"/>
                <w:szCs w:val="20"/>
                <w:color w:val="auto"/>
              </w:rPr>
            </w:pPr>
            <w:r>
              <w:rPr>
                <w:rFonts w:ascii="Arial" w:cs="Arial" w:eastAsia="Arial" w:hAnsi="Arial"/>
                <w:sz w:val="16"/>
                <w:szCs w:val="16"/>
                <w:color w:val="auto"/>
              </w:rPr>
              <w:t>LTIP</w:t>
            </w:r>
            <w:r>
              <w:rPr>
                <w:rFonts w:ascii="Arial" w:cs="Arial" w:eastAsia="Arial" w:hAnsi="Arial"/>
                <w:sz w:val="20"/>
                <w:szCs w:val="20"/>
                <w:color w:val="auto"/>
                <w:vertAlign w:val="superscript"/>
              </w:rPr>
              <w:t>(4)</w:t>
            </w:r>
          </w:p>
        </w:tc>
        <w:tc>
          <w:tcPr>
            <w:tcW w:w="160" w:type="dxa"/>
            <w:vAlign w:val="bottom"/>
          </w:tcPr>
          <w:p>
            <w:pPr>
              <w:spacing w:after="0"/>
              <w:rPr>
                <w:sz w:val="20"/>
                <w:szCs w:val="20"/>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69,017</w:t>
            </w:r>
          </w:p>
        </w:tc>
        <w:tc>
          <w:tcPr>
            <w:tcW w:w="220" w:type="dxa"/>
            <w:vAlign w:val="bottom"/>
          </w:tcPr>
          <w:p>
            <w:pPr>
              <w:spacing w:after="0"/>
              <w:rPr>
                <w:sz w:val="20"/>
                <w:szCs w:val="20"/>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69,017</w:t>
            </w:r>
          </w:p>
        </w:tc>
        <w:tc>
          <w:tcPr>
            <w:tcW w:w="180" w:type="dxa"/>
            <w:vAlign w:val="bottom"/>
          </w:tcPr>
          <w:p>
            <w:pPr>
              <w:spacing w:after="0"/>
              <w:rPr>
                <w:sz w:val="20"/>
                <w:szCs w:val="20"/>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151,143</w:t>
            </w:r>
          </w:p>
        </w:tc>
        <w:tc>
          <w:tcPr>
            <w:tcW w:w="18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151,143</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69,017</w:t>
            </w:r>
          </w:p>
        </w:tc>
        <w:tc>
          <w:tcPr>
            <w:tcW w:w="26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69,017</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0"/>
                <w:szCs w:val="20"/>
                <w:color w:val="auto"/>
                <w:vertAlign w:val="superscript"/>
              </w:rPr>
              <w:t>(5)</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3900" w:type="dxa"/>
            <w:vAlign w:val="bottom"/>
          </w:tcPr>
          <w:p>
            <w:pPr>
              <w:ind w:left="260"/>
              <w:spacing w:after="0"/>
              <w:rPr>
                <w:sz w:val="20"/>
                <w:szCs w:val="20"/>
                <w:color w:val="auto"/>
              </w:rPr>
            </w:pPr>
            <w:r>
              <w:rPr>
                <w:rFonts w:ascii="Arial" w:cs="Arial" w:eastAsia="Arial" w:hAnsi="Arial"/>
                <w:sz w:val="16"/>
                <w:szCs w:val="16"/>
                <w:color w:val="auto"/>
              </w:rPr>
              <w:t>Accelerated Vesting</w:t>
            </w:r>
          </w:p>
        </w:tc>
        <w:tc>
          <w:tcPr>
            <w:tcW w:w="160" w:type="dxa"/>
            <w:vAlign w:val="bottom"/>
          </w:tcPr>
          <w:p>
            <w:pPr>
              <w:spacing w:after="0"/>
              <w:rPr>
                <w:sz w:val="19"/>
                <w:szCs w:val="19"/>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217,820</w:t>
            </w:r>
          </w:p>
        </w:tc>
        <w:tc>
          <w:tcPr>
            <w:tcW w:w="180" w:type="dxa"/>
            <w:vAlign w:val="bottom"/>
          </w:tcPr>
          <w:p>
            <w:pPr>
              <w:spacing w:after="0"/>
              <w:rPr>
                <w:sz w:val="19"/>
                <w:szCs w:val="19"/>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217,820</w:t>
            </w:r>
          </w:p>
        </w:tc>
        <w:tc>
          <w:tcPr>
            <w:tcW w:w="18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217,820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217,820</w:t>
            </w:r>
          </w:p>
        </w:tc>
        <w:tc>
          <w:tcPr>
            <w:tcW w:w="26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217,820</w:t>
            </w:r>
          </w:p>
        </w:tc>
        <w:tc>
          <w:tcPr>
            <w:tcW w:w="0" w:type="dxa"/>
            <w:vAlign w:val="bottom"/>
          </w:tcPr>
          <w:p>
            <w:pPr>
              <w:spacing w:after="0"/>
              <w:rPr>
                <w:sz w:val="1"/>
                <w:szCs w:val="1"/>
                <w:color w:val="auto"/>
              </w:rPr>
            </w:pPr>
          </w:p>
        </w:tc>
      </w:tr>
      <w:tr>
        <w:trPr>
          <w:trHeight w:val="27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Executive Deferred Compensation Plan</w:t>
            </w:r>
            <w:r>
              <w:rPr>
                <w:rFonts w:ascii="Arial" w:cs="Arial" w:eastAsia="Arial" w:hAnsi="Arial"/>
                <w:sz w:val="20"/>
                <w:szCs w:val="20"/>
                <w:color w:val="auto"/>
                <w:vertAlign w:val="superscript"/>
              </w:rPr>
              <w:t>(6)</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43,468</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43,468</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43,468</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43,468</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43,468</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43,468</w:t>
            </w:r>
          </w:p>
        </w:tc>
        <w:tc>
          <w:tcPr>
            <w:tcW w:w="0" w:type="dxa"/>
            <w:vAlign w:val="bottom"/>
          </w:tcPr>
          <w:p>
            <w:pPr>
              <w:spacing w:after="0"/>
              <w:rPr>
                <w:sz w:val="1"/>
                <w:szCs w:val="1"/>
                <w:color w:val="auto"/>
              </w:rPr>
            </w:pPr>
          </w:p>
        </w:tc>
      </w:tr>
      <w:tr>
        <w:trPr>
          <w:trHeight w:val="22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188,711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406,531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488,657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2,030,474</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406,531</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406,531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hanging="315"/>
        <w:spacing w:after="0"/>
        <w:tabs>
          <w:tab w:leader="none" w:pos="320" w:val="left"/>
        </w:tabs>
        <w:numPr>
          <w:ilvl w:val="0"/>
          <w:numId w:val="56"/>
        </w:numPr>
        <w:rPr>
          <w:rFonts w:ascii="Arial" w:cs="Arial" w:eastAsia="Arial" w:hAnsi="Arial"/>
          <w:sz w:val="12"/>
          <w:szCs w:val="12"/>
          <w:color w:val="auto"/>
        </w:rPr>
      </w:pPr>
      <w:r>
        <w:rPr>
          <w:rFonts w:ascii="Arial" w:cs="Arial" w:eastAsia="Arial" w:hAnsi="Arial"/>
          <w:sz w:val="14"/>
          <w:szCs w:val="14"/>
          <w:color w:val="auto"/>
        </w:rPr>
        <w:t>Retirement under the 2004 and 2014 Plans is defined as attaining age 60 and five or more years of service with the Company.</w:t>
      </w:r>
    </w:p>
    <w:p>
      <w:pPr>
        <w:ind w:left="320" w:right="80" w:hanging="315"/>
        <w:spacing w:after="0" w:line="234" w:lineRule="auto"/>
        <w:tabs>
          <w:tab w:leader="none" w:pos="320" w:val="left"/>
        </w:tabs>
        <w:numPr>
          <w:ilvl w:val="0"/>
          <w:numId w:val="56"/>
        </w:numPr>
        <w:rPr>
          <w:rFonts w:ascii="Arial" w:cs="Arial" w:eastAsia="Arial" w:hAnsi="Arial"/>
          <w:sz w:val="12"/>
          <w:szCs w:val="12"/>
          <w:color w:val="auto"/>
        </w:rPr>
      </w:pPr>
      <w:r>
        <w:rPr>
          <w:rFonts w:ascii="Arial" w:cs="Arial" w:eastAsia="Arial" w:hAnsi="Arial"/>
          <w:sz w:val="14"/>
          <w:szCs w:val="14"/>
          <w:color w:val="auto"/>
        </w:rPr>
        <w:t>Severance upon a Change of Control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20" w:hanging="315"/>
        <w:spacing w:after="0" w:line="234" w:lineRule="auto"/>
        <w:tabs>
          <w:tab w:leader="none" w:pos="320" w:val="left"/>
        </w:tabs>
        <w:numPr>
          <w:ilvl w:val="0"/>
          <w:numId w:val="56"/>
        </w:numPr>
        <w:rPr>
          <w:rFonts w:ascii="Arial" w:cs="Arial" w:eastAsia="Arial" w:hAnsi="Arial"/>
          <w:sz w:val="12"/>
          <w:szCs w:val="12"/>
          <w:color w:val="auto"/>
        </w:rPr>
      </w:pPr>
      <w:r>
        <w:rPr>
          <w:rFonts w:ascii="Arial" w:cs="Arial" w:eastAsia="Arial" w:hAnsi="Arial"/>
          <w:sz w:val="14"/>
          <w:szCs w:val="14"/>
          <w:color w:val="auto"/>
        </w:rPr>
        <w:t>Represents the annual incentive eligibility pursuant to the 2015 Officers Incentive Compensation Plan.</w:t>
      </w:r>
    </w:p>
    <w:p>
      <w:pPr>
        <w:ind w:left="320" w:right="60" w:hanging="315"/>
        <w:spacing w:after="0" w:line="234" w:lineRule="auto"/>
        <w:tabs>
          <w:tab w:leader="none" w:pos="320" w:val="left"/>
        </w:tabs>
        <w:numPr>
          <w:ilvl w:val="0"/>
          <w:numId w:val="56"/>
        </w:numPr>
        <w:rPr>
          <w:rFonts w:ascii="Arial" w:cs="Arial" w:eastAsia="Arial" w:hAnsi="Arial"/>
          <w:sz w:val="12"/>
          <w:szCs w:val="12"/>
          <w:color w:val="auto"/>
        </w:rPr>
      </w:pPr>
      <w:r>
        <w:rPr>
          <w:rFonts w:ascii="Arial" w:cs="Arial" w:eastAsia="Arial" w:hAnsi="Arial"/>
          <w:sz w:val="14"/>
          <w:szCs w:val="14"/>
          <w:color w:val="auto"/>
        </w:rPr>
        <w:t>Represents the LTIP incentive achieved pursuant to the 2013-2015 Officers Long-Term Incentive Plan, except by a termination pursuant to a Change of Control, which includes the full amount payable under the 2013-2015 Officers Long-Term Incentive Plan and the entire amount estimated to be payable under the 2014-2016 and 2015-2017 Officers Long-Term Incentive Plans.</w:t>
      </w:r>
    </w:p>
    <w:p>
      <w:pPr>
        <w:ind w:left="320" w:hanging="315"/>
        <w:spacing w:after="0" w:line="234" w:lineRule="auto"/>
        <w:tabs>
          <w:tab w:leader="none" w:pos="320" w:val="left"/>
        </w:tabs>
        <w:numPr>
          <w:ilvl w:val="0"/>
          <w:numId w:val="56"/>
        </w:numPr>
        <w:rPr>
          <w:rFonts w:ascii="Arial" w:cs="Arial" w:eastAsia="Arial" w:hAnsi="Arial"/>
          <w:sz w:val="12"/>
          <w:szCs w:val="12"/>
          <w:color w:val="auto"/>
        </w:rPr>
      </w:pPr>
      <w:r>
        <w:rPr>
          <w:rFonts w:ascii="Arial" w:cs="Arial" w:eastAsia="Arial" w:hAnsi="Arial"/>
          <w:sz w:val="14"/>
          <w:szCs w:val="14"/>
          <w:color w:val="auto"/>
        </w:rPr>
        <w:t>Represents the intrinsic value of stock grants based on our closing stock price of $20.42 per share on August 28, 2015, the last trading day of Fiscal 2015.</w:t>
      </w:r>
    </w:p>
    <w:p>
      <w:pPr>
        <w:ind w:left="320" w:hanging="315"/>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market value balance as of August 29, 2015.</w:t>
      </w:r>
    </w:p>
    <w:p>
      <w:pPr>
        <w:sectPr>
          <w:pgSz w:w="11900" w:h="16838" w:orient="portrait"/>
          <w:cols w:equalWidth="0" w:num="1">
            <w:col w:w="11420"/>
          </w:cols>
          <w:pgMar w:left="240" w:top="298" w:right="23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83"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b w:val="1"/>
          <w:bCs w:val="1"/>
          <w:color w:val="auto"/>
        </w:rPr>
        <w:t>PROPOSAL FOR AN ADVISORY VOTE ON EXECUTIVE COMPENSATION (THE "SAY ON PAY" VOTE)</w:t>
      </w:r>
    </w:p>
    <w:p>
      <w:pPr>
        <w:spacing w:after="0" w:line="156" w:lineRule="exact"/>
        <w:rPr>
          <w:sz w:val="20"/>
          <w:szCs w:val="20"/>
          <w:color w:val="auto"/>
        </w:rPr>
      </w:pPr>
    </w:p>
    <w:p>
      <w:pPr>
        <w:ind w:right="80"/>
        <w:spacing w:after="0"/>
        <w:rPr>
          <w:sz w:val="20"/>
          <w:szCs w:val="20"/>
          <w:color w:val="auto"/>
        </w:rPr>
      </w:pPr>
      <w:r>
        <w:rPr>
          <w:rFonts w:ascii="Arial" w:cs="Arial" w:eastAsia="Arial" w:hAnsi="Arial"/>
          <w:sz w:val="16"/>
          <w:szCs w:val="16"/>
          <w:color w:val="auto"/>
        </w:rPr>
        <w:t>The Dodd-Frank Wall Street Reform and Consumer Protection Act requires the Board to provide our shareholders with the opportunity to vote, on a non-binding, advisory basis, on the compensation of our NEOs as set forth in this Proxy Statement in accordance with the compensation disclosure rules of the SEC. This proposal is also referred to as the "Say on Pay" vote. At the 2011 Annual Meeting, the shareholders determined that the Say on Pay vote would be held annually.</w:t>
      </w:r>
    </w:p>
    <w:p>
      <w:pPr>
        <w:spacing w:after="0" w:line="17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The Board believes the compensation of the NEOs outlined in the Proxy Statement is appropriate based upon the performance of the Company.</w:t>
      </w:r>
    </w:p>
    <w:p>
      <w:pPr>
        <w:spacing w:after="0" w:line="184"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While the Board of Directors and especially the Human Resources Committee intend to carefully consider the results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of the voting on this proposal when making future decisions regarding executive compensation, the vote is not binding on the Company or the Board and is advisory in nature.</w:t>
      </w:r>
    </w:p>
    <w:p>
      <w:pPr>
        <w:spacing w:after="0" w:line="159"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b w:val="1"/>
          <w:bCs w:val="1"/>
          <w:color w:val="auto"/>
        </w:rPr>
        <w:t>YOUR BOARD OF DIRECTORS UNANIMOUSLY RECOMMENDS VOTING, ON A NON-BINDING, ADVISORY BASIS, FOR APPROVAL OF THE EXECUTIVE COMPENSATION AS OUTLINED IN THE PROXY STATEMENT FOR THE REASONS DISCUSSED ABOVE. PROXIES SOLICITED BY THE BOARD OF DIRECTORS WILL BE VOTED FOR APPROVAL OF THIS ITEM, UNLESS A SHAREHOLDER INDICATES OTHERWISE IN VOTING THE PROXY.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serves as the representative of the Company's Board of</w:t>
      </w:r>
    </w:p>
    <w:p>
      <w:pPr>
        <w:spacing w:after="0"/>
        <w:rPr>
          <w:sz w:val="20"/>
          <w:szCs w:val="20"/>
          <w:color w:val="auto"/>
        </w:rPr>
      </w:pPr>
      <w:r>
        <w:rPr>
          <w:rFonts w:ascii="Arial" w:cs="Arial" w:eastAsia="Arial" w:hAnsi="Arial"/>
          <w:sz w:val="16"/>
          <w:szCs w:val="16"/>
          <w:color w:val="auto"/>
        </w:rPr>
        <w:t>Directors for general oversight of the Company's financial accounting and</w:t>
      </w:r>
    </w:p>
    <w:p>
      <w:pPr>
        <w:spacing w:after="0"/>
        <w:rPr>
          <w:sz w:val="20"/>
          <w:szCs w:val="20"/>
          <w:color w:val="auto"/>
        </w:rPr>
      </w:pPr>
      <w:r>
        <w:rPr>
          <w:rFonts w:ascii="Arial" w:cs="Arial" w:eastAsia="Arial" w:hAnsi="Arial"/>
          <w:sz w:val="16"/>
          <w:szCs w:val="16"/>
          <w:color w:val="auto"/>
        </w:rPr>
        <w:t>reporting, systems of internal control and audit process, and monitoring</w:t>
      </w:r>
    </w:p>
    <w:p>
      <w:pPr>
        <w:spacing w:after="0"/>
        <w:rPr>
          <w:sz w:val="20"/>
          <w:szCs w:val="20"/>
          <w:color w:val="auto"/>
        </w:rPr>
      </w:pPr>
      <w:r>
        <w:rPr>
          <w:rFonts w:ascii="Arial" w:cs="Arial" w:eastAsia="Arial" w:hAnsi="Arial"/>
          <w:sz w:val="15"/>
          <w:szCs w:val="15"/>
          <w:color w:val="auto"/>
        </w:rPr>
        <w:t>compliance with laws, regulations, and standards of business conduct. A copy of</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Charter, as last amended as of October 15, 2013, is</w:t>
      </w:r>
    </w:p>
    <w:p>
      <w:pPr>
        <w:spacing w:after="0"/>
        <w:rPr>
          <w:sz w:val="20"/>
          <w:szCs w:val="20"/>
          <w:color w:val="auto"/>
        </w:rPr>
      </w:pPr>
      <w:r>
        <w:rPr>
          <w:rFonts w:ascii="Arial" w:cs="Arial" w:eastAsia="Arial" w:hAnsi="Arial"/>
          <w:sz w:val="16"/>
          <w:szCs w:val="16"/>
          <w:color w:val="auto"/>
        </w:rPr>
        <w:t>available on the Company's Web Site at</w:t>
      </w:r>
    </w:p>
    <w:p>
      <w:pPr>
        <w:spacing w:after="0"/>
        <w:rPr>
          <w:sz w:val="20"/>
          <w:szCs w:val="20"/>
          <w:color w:val="auto"/>
        </w:rPr>
      </w:pPr>
      <w:r>
        <w:rPr>
          <w:rFonts w:ascii="Arial" w:cs="Arial" w:eastAsia="Arial" w:hAnsi="Arial"/>
          <w:sz w:val="16"/>
          <w:szCs w:val="16"/>
          <w:color w:val="auto"/>
        </w:rPr>
        <w:t>http://www.winnebagoind.com/governance.html and is available in print free of</w:t>
      </w:r>
    </w:p>
    <w:p>
      <w:pPr>
        <w:spacing w:after="0"/>
        <w:rPr>
          <w:sz w:val="20"/>
          <w:szCs w:val="20"/>
          <w:color w:val="auto"/>
        </w:rPr>
      </w:pPr>
      <w:r>
        <w:rPr>
          <w:rFonts w:ascii="Arial" w:cs="Arial" w:eastAsia="Arial" w:hAnsi="Arial"/>
          <w:sz w:val="16"/>
          <w:szCs w:val="16"/>
          <w:color w:val="auto"/>
        </w:rPr>
        <w:t>charge to any shareholder who requests it.</w:t>
      </w:r>
    </w:p>
    <w:p>
      <w:pPr>
        <w:spacing w:after="0" w:line="209" w:lineRule="exact"/>
        <w:rPr>
          <w:sz w:val="20"/>
          <w:szCs w:val="20"/>
          <w:color w:val="auto"/>
        </w:rPr>
      </w:pPr>
    </w:p>
    <w:p>
      <w:pPr>
        <w:ind w:right="520"/>
        <w:spacing w:after="0" w:line="244" w:lineRule="auto"/>
        <w:rPr>
          <w:sz w:val="20"/>
          <w:szCs w:val="20"/>
          <w:color w:val="auto"/>
        </w:rPr>
      </w:pPr>
      <w:r>
        <w:rPr>
          <w:rFonts w:ascii="Arial" w:cs="Arial" w:eastAsia="Arial" w:hAnsi="Arial"/>
          <w:sz w:val="16"/>
          <w:szCs w:val="16"/>
          <w:color w:val="auto"/>
        </w:rPr>
        <w:t>Management is responsible for the financial statements and the reporting process, including the system of internal controls.</w:t>
      </w:r>
    </w:p>
    <w:p>
      <w:pPr>
        <w:spacing w:after="0" w:line="291" w:lineRule="exact"/>
        <w:rPr>
          <w:sz w:val="20"/>
          <w:szCs w:val="20"/>
          <w:color w:val="auto"/>
        </w:rPr>
      </w:pPr>
    </w:p>
    <w:p>
      <w:pPr>
        <w:sectPr>
          <w:pgSz w:w="11900" w:h="16838" w:orient="portrait"/>
          <w:cols w:equalWidth="0" w:num="2">
            <w:col w:w="5560" w:space="260"/>
            <w:col w:w="5600"/>
          </w:cols>
          <w:pgMar w:left="240" w:top="298" w:right="239" w:bottom="1440" w:gutter="0" w:footer="0" w:header="0"/>
          <w:type w:val="continuous"/>
        </w:sectPr>
      </w:pP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98" w:right="239" w:bottom="1440" w:gutter="0" w:footer="0" w:header="0"/>
          <w:type w:val="continuous"/>
        </w:sectPr>
      </w:pPr>
    </w:p>
    <w:bookmarkStart w:id="36" w:name="page37"/>
    <w:bookmarkEnd w:id="36"/>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5"/>
          <w:szCs w:val="15"/>
          <w:color w:val="auto"/>
        </w:rPr>
        <w:t>16, "Communications with Audit Committees", as adopted by the PCAOB.</w:t>
      </w:r>
    </w:p>
    <w:p>
      <w:pPr>
        <w:sectPr>
          <w:pgSz w:w="11900" w:h="16838" w:orient="portrait"/>
          <w:cols w:equalWidth="0" w:num="1">
            <w:col w:w="11420"/>
          </w:cols>
          <w:pgMar w:left="240" w:top="298" w:right="239" w:bottom="1440" w:gutter="0" w:footer="0" w:header="0"/>
        </w:sectPr>
      </w:pPr>
    </w:p>
    <w:p>
      <w:pPr>
        <w:spacing w:after="0" w:line="11"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The Company retained Baker Tilly Virchow Krause, LLP ("Baker Tilly") to act as the Company's internal audit function. In this role, Baker Tilly assisted management with completing its assessment of the Company's internal controls over financial reporting by testing and reviewing the Company's internal control processes. Deloitte &amp; Touche LLP ("Deloitte"), the Company's independent registered public accountant, is responsible for expressing an opinion on the conformity of those audited financial statements with accounting principles generally accepted in the United States and an assessment of the Company's internal controls over financial reporting in accordance with the standards of the United States Public Company Accounting Oversight Board ("PCAOB").</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312" w:right="160" w:hanging="312"/>
        <w:spacing w:after="0" w:line="255" w:lineRule="auto"/>
        <w:tabs>
          <w:tab w:leader="none" w:pos="312"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Audit Committee has received the written disclosures from Deloitte required by applicable requirements of the PCAOB regarding Deloitte's communications with the Audit Committee concerning independence, and</w:t>
      </w:r>
    </w:p>
    <w:p>
      <w:pPr>
        <w:ind w:left="312"/>
        <w:spacing w:after="0"/>
        <w:rPr>
          <w:sz w:val="20"/>
          <w:szCs w:val="20"/>
          <w:color w:val="auto"/>
        </w:rPr>
      </w:pPr>
      <w:r>
        <w:rPr>
          <w:rFonts w:ascii="Arial" w:cs="Arial" w:eastAsia="Arial" w:hAnsi="Arial"/>
          <w:sz w:val="16"/>
          <w:szCs w:val="16"/>
          <w:color w:val="auto"/>
        </w:rPr>
        <w:t>has discussed with Deloitte its independence.</w:t>
      </w:r>
    </w:p>
    <w:p>
      <w:pPr>
        <w:ind w:left="312" w:right="180" w:hanging="313"/>
        <w:spacing w:after="0"/>
        <w:rPr>
          <w:sz w:val="20"/>
          <w:szCs w:val="20"/>
          <w:color w:val="auto"/>
        </w:rPr>
      </w:pPr>
      <w:r>
        <w:rPr>
          <w:rFonts w:ascii="Arial" w:cs="Arial" w:eastAsia="Arial" w:hAnsi="Arial"/>
          <w:sz w:val="16"/>
          <w:szCs w:val="16"/>
          <w:color w:val="auto"/>
        </w:rPr>
        <w:t>•Based on the review and discussion referred to in the bullet points above, the Audit Committee recommended to the Board of Directors of Winnebago Industries, Inc., and the Board has approved, that the Audited Financial Statements be included in Winnebago Industries, Inc.'s Fiscal 2015 Form 10-K, for filing with the SEC.</w:t>
      </w:r>
    </w:p>
    <w:p>
      <w:pPr>
        <w:spacing w:after="0" w:line="164" w:lineRule="exact"/>
        <w:rPr>
          <w:sz w:val="20"/>
          <w:szCs w:val="20"/>
          <w:color w:val="auto"/>
        </w:rPr>
      </w:pPr>
    </w:p>
    <w:p>
      <w:pPr>
        <w:sectPr>
          <w:pgSz w:w="11900" w:h="16838" w:orient="portrait"/>
          <w:cols w:equalWidth="0" w:num="2">
            <w:col w:w="5540" w:space="288"/>
            <w:col w:w="5592"/>
          </w:cols>
          <w:pgMar w:left="240" w:top="298" w:right="239" w:bottom="1440" w:gutter="0" w:footer="0" w:header="0"/>
          <w:type w:val="continuous"/>
        </w:sectPr>
      </w:pPr>
    </w:p>
    <w:p>
      <w:pPr>
        <w:spacing w:after="0" w:line="81"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Audit Committee reviews the Company's financial reporting process on behalf of the Board of Directors. In fulfilling its responsibilities, the Committee has reviewed and discussed the audited financial statements to be included in the Fiscal 2015 Form 10-K with Management and the independent accountants. The Audit Committee hereby reports as follows:</w:t>
      </w:r>
    </w:p>
    <w:p>
      <w:pPr>
        <w:spacing w:after="0" w:line="101" w:lineRule="exact"/>
        <w:rPr>
          <w:sz w:val="20"/>
          <w:szCs w:val="20"/>
          <w:color w:val="auto"/>
        </w:rPr>
      </w:pPr>
    </w:p>
    <w:p>
      <w:pPr>
        <w:ind w:left="320" w:right="320" w:hanging="315"/>
        <w:spacing w:after="0" w:line="239" w:lineRule="auto"/>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Audit Committee has reviewed and discussed the audited financial statements for the fiscal year ended August 29, 2015 of Winnebago Industries, Inc. (the “Audited Financial Statements”) with Winnebago Industries, Inc.'s Management.</w:t>
      </w:r>
    </w:p>
    <w:p>
      <w:pPr>
        <w:ind w:left="320" w:hanging="315"/>
        <w:spacing w:after="0" w:line="244" w:lineRule="auto"/>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Audit Committee has discussed with Deloitte the matters required to be discussed by Auditing Standard No.</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6"/>
          <w:szCs w:val="16"/>
          <w:i w:val="1"/>
          <w:iCs w:val="1"/>
          <w:color w:val="auto"/>
        </w:rPr>
        <w:t>The Audit Committee: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Mark T. Schroepfer, Chair</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Jerry N. Currie</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Martha T. Rodamaker</w:t>
      </w:r>
    </w:p>
    <w:p>
      <w:pPr>
        <w:spacing w:after="0" w:line="193"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i w:val="1"/>
          <w:iCs w:val="1"/>
          <w:color w:val="auto"/>
        </w:rPr>
        <w:t>The foregoing report of our Audit Committee shall not be deemed to be incorporated by reference in any previous or future documents filed by our Company with the SEC under the Securities Act or the Exchange Act, except to the extent that we incorporate the report by reference in any such document.</w:t>
      </w:r>
    </w:p>
    <w:p>
      <w:pPr>
        <w:spacing w:after="0" w:line="292" w:lineRule="exact"/>
        <w:rPr>
          <w:sz w:val="20"/>
          <w:szCs w:val="20"/>
          <w:color w:val="auto"/>
        </w:rPr>
      </w:pPr>
    </w:p>
    <w:p>
      <w:pPr>
        <w:sectPr>
          <w:pgSz w:w="11900" w:h="16838" w:orient="portrait"/>
          <w:cols w:equalWidth="0" w:num="2">
            <w:col w:w="5580" w:space="560"/>
            <w:col w:w="5280"/>
          </w:cols>
          <w:pgMar w:left="240" w:top="298" w:right="239"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REGISTERED PUBLIC ACCOUNTANTS FEES AND SERVICES</w:t>
      </w:r>
    </w:p>
    <w:p>
      <w:pPr>
        <w:spacing w:after="0" w:line="203" w:lineRule="exact"/>
        <w:rPr>
          <w:sz w:val="20"/>
          <w:szCs w:val="20"/>
          <w:color w:val="auto"/>
        </w:rPr>
      </w:pPr>
    </w:p>
    <w:p>
      <w:pPr>
        <w:ind w:right="740"/>
        <w:spacing w:after="0" w:line="244" w:lineRule="auto"/>
        <w:rPr>
          <w:sz w:val="20"/>
          <w:szCs w:val="20"/>
          <w:color w:val="auto"/>
        </w:rPr>
      </w:pPr>
      <w:r>
        <w:rPr>
          <w:rFonts w:ascii="Arial" w:cs="Arial" w:eastAsia="Arial" w:hAnsi="Arial"/>
          <w:sz w:val="16"/>
          <w:szCs w:val="16"/>
          <w:color w:val="auto"/>
        </w:rPr>
        <w:t>The following table presents fees for professional audit services rendered by Deloitte for the audit of our annual financial statements for fiscal years ended August 29, 2015 and August 30, 2014, and fees billed for other services rendered by Deloitte during those periods.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Fiscal 2015</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Fiscal 2014</w:t>
            </w:r>
          </w:p>
        </w:tc>
      </w:tr>
      <w:tr>
        <w:trPr>
          <w:trHeight w:val="236"/>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Audit Fees </w:t>
            </w:r>
            <w:r>
              <w:rPr>
                <w:rFonts w:ascii="Arial" w:cs="Arial" w:eastAsia="Arial" w:hAnsi="Arial"/>
                <w:sz w:val="20"/>
                <w:szCs w:val="20"/>
                <w:color w:val="auto"/>
                <w:vertAlign w:val="superscript"/>
              </w:rPr>
              <w:t>(1)</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585,000</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550,000</w:t>
            </w:r>
          </w:p>
        </w:tc>
      </w:tr>
      <w:tr>
        <w:trPr>
          <w:trHeight w:val="236"/>
        </w:trPr>
        <w:tc>
          <w:tcPr>
            <w:tcW w:w="8220" w:type="dxa"/>
            <w:vAlign w:val="bottom"/>
          </w:tcPr>
          <w:p>
            <w:pPr>
              <w:ind w:left="40"/>
              <w:spacing w:after="0"/>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0"/>
                <w:szCs w:val="20"/>
                <w:color w:val="auto"/>
                <w:vertAlign w:val="superscript"/>
              </w:rPr>
              <w:t>(2)</w:t>
            </w:r>
          </w:p>
        </w:tc>
        <w:tc>
          <w:tcPr>
            <w:tcW w:w="200" w:type="dxa"/>
            <w:vAlign w:val="bottom"/>
          </w:tcPr>
          <w:p>
            <w:pPr>
              <w:spacing w:after="0"/>
              <w:rPr>
                <w:sz w:val="20"/>
                <w:szCs w:val="20"/>
                <w:color w:val="auto"/>
              </w:rPr>
            </w:pPr>
          </w:p>
        </w:tc>
        <w:tc>
          <w:tcPr>
            <w:tcW w:w="1360" w:type="dxa"/>
            <w:vAlign w:val="bottom"/>
          </w:tcPr>
          <w:p>
            <w:pPr>
              <w:jc w:val="right"/>
              <w:ind w:right="221"/>
              <w:spacing w:after="0"/>
              <w:rPr>
                <w:sz w:val="20"/>
                <w:szCs w:val="20"/>
                <w:color w:val="auto"/>
              </w:rPr>
            </w:pPr>
            <w:r>
              <w:rPr>
                <w:rFonts w:ascii="Arial" w:cs="Arial" w:eastAsia="Arial" w:hAnsi="Arial"/>
                <w:sz w:val="16"/>
                <w:szCs w:val="16"/>
                <w:color w:val="auto"/>
              </w:rPr>
              <w:t>23,000</w:t>
            </w:r>
          </w:p>
        </w:tc>
        <w:tc>
          <w:tcPr>
            <w:tcW w:w="4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29,000</w:t>
            </w:r>
          </w:p>
        </w:tc>
      </w:tr>
      <w:tr>
        <w:trPr>
          <w:trHeight w:val="236"/>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Tax Fees </w:t>
            </w:r>
            <w:r>
              <w:rPr>
                <w:rFonts w:ascii="Arial" w:cs="Arial" w:eastAsia="Arial" w:hAnsi="Arial"/>
                <w:sz w:val="20"/>
                <w:szCs w:val="20"/>
                <w:color w:val="auto"/>
                <w:vertAlign w:val="superscript"/>
              </w:rPr>
              <w:t>(3)</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76,371</w:t>
            </w: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109,000</w:t>
            </w:r>
          </w:p>
        </w:tc>
      </w:tr>
      <w:tr>
        <w:trPr>
          <w:trHeight w:val="236"/>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All Other Fees </w:t>
            </w:r>
            <w:r>
              <w:rPr>
                <w:rFonts w:ascii="Arial" w:cs="Arial" w:eastAsia="Arial" w:hAnsi="Arial"/>
                <w:sz w:val="20"/>
                <w:szCs w:val="20"/>
                <w:color w:val="auto"/>
                <w:vertAlign w:val="superscript"/>
              </w:rPr>
              <w:t>(4)</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196,500</w:t>
            </w:r>
          </w:p>
        </w:tc>
      </w:tr>
      <w:tr>
        <w:trPr>
          <w:trHeight w:val="22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684,371</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884,500</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320" w:right="80" w:hanging="315"/>
        <w:spacing w:after="0" w:line="245" w:lineRule="auto"/>
        <w:tabs>
          <w:tab w:leader="none" w:pos="320" w:val="left"/>
        </w:tabs>
        <w:numPr>
          <w:ilvl w:val="0"/>
          <w:numId w:val="59"/>
        </w:numPr>
        <w:rPr>
          <w:rFonts w:ascii="Arial" w:cs="Arial" w:eastAsia="Arial" w:hAnsi="Arial"/>
          <w:sz w:val="12"/>
          <w:szCs w:val="12"/>
          <w:color w:val="auto"/>
        </w:rPr>
      </w:pPr>
      <w:r>
        <w:rPr>
          <w:rFonts w:ascii="Arial" w:cs="Arial" w:eastAsia="Arial" w:hAnsi="Arial"/>
          <w:sz w:val="14"/>
          <w:szCs w:val="14"/>
          <w:color w:val="auto"/>
        </w:rPr>
        <w:t>Represents fees for professional services provided for the audit of our annual financial statements, the audit of our internal control over financial reporting and review of our interim financial information.</w:t>
      </w:r>
    </w:p>
    <w:p>
      <w:pPr>
        <w:spacing w:after="0" w:line="24" w:lineRule="exact"/>
        <w:rPr>
          <w:rFonts w:ascii="Arial" w:cs="Arial" w:eastAsia="Arial" w:hAnsi="Arial"/>
          <w:sz w:val="12"/>
          <w:szCs w:val="12"/>
          <w:color w:val="auto"/>
        </w:rPr>
      </w:pPr>
    </w:p>
    <w:p>
      <w:pPr>
        <w:ind w:left="320" w:hanging="315"/>
        <w:spacing w:after="0"/>
        <w:tabs>
          <w:tab w:leader="none" w:pos="320" w:val="left"/>
        </w:tabs>
        <w:numPr>
          <w:ilvl w:val="0"/>
          <w:numId w:val="59"/>
        </w:numPr>
        <w:rPr>
          <w:rFonts w:ascii="Arial" w:cs="Arial" w:eastAsia="Arial" w:hAnsi="Arial"/>
          <w:sz w:val="12"/>
          <w:szCs w:val="12"/>
          <w:color w:val="auto"/>
        </w:rPr>
      </w:pPr>
      <w:r>
        <w:rPr>
          <w:rFonts w:ascii="Arial" w:cs="Arial" w:eastAsia="Arial" w:hAnsi="Arial"/>
          <w:sz w:val="14"/>
          <w:szCs w:val="14"/>
          <w:color w:val="auto"/>
        </w:rPr>
        <w:t>Represents fees for professional services provided for the audit of our benefit plan and services which are reasonably related to the audit of our financial statements.</w:t>
      </w:r>
    </w:p>
    <w:p>
      <w:pPr>
        <w:spacing w:after="0" w:line="22" w:lineRule="exact"/>
        <w:rPr>
          <w:rFonts w:ascii="Arial" w:cs="Arial" w:eastAsia="Arial" w:hAnsi="Arial"/>
          <w:sz w:val="12"/>
          <w:szCs w:val="12"/>
          <w:color w:val="auto"/>
        </w:rPr>
      </w:pPr>
    </w:p>
    <w:p>
      <w:pPr>
        <w:ind w:left="320" w:hanging="315"/>
        <w:spacing w:after="0"/>
        <w:tabs>
          <w:tab w:leader="none" w:pos="320" w:val="left"/>
        </w:tabs>
        <w:numPr>
          <w:ilvl w:val="0"/>
          <w:numId w:val="59"/>
        </w:numPr>
        <w:rPr>
          <w:rFonts w:ascii="Arial" w:cs="Arial" w:eastAsia="Arial" w:hAnsi="Arial"/>
          <w:sz w:val="12"/>
          <w:szCs w:val="12"/>
          <w:color w:val="auto"/>
        </w:rPr>
      </w:pPr>
      <w:r>
        <w:rPr>
          <w:rFonts w:ascii="Arial" w:cs="Arial" w:eastAsia="Arial" w:hAnsi="Arial"/>
          <w:sz w:val="14"/>
          <w:szCs w:val="14"/>
          <w:color w:val="auto"/>
        </w:rPr>
        <w:t>Represents fees for professional services related to tax compliance and tax planning.</w:t>
      </w:r>
    </w:p>
    <w:p>
      <w:pPr>
        <w:spacing w:after="0" w:line="22" w:lineRule="exact"/>
        <w:rPr>
          <w:rFonts w:ascii="Arial" w:cs="Arial" w:eastAsia="Arial" w:hAnsi="Arial"/>
          <w:sz w:val="12"/>
          <w:szCs w:val="12"/>
          <w:color w:val="auto"/>
        </w:rPr>
      </w:pPr>
    </w:p>
    <w:p>
      <w:pPr>
        <w:ind w:left="320" w:hanging="315"/>
        <w:spacing w:after="0"/>
        <w:tabs>
          <w:tab w:leader="none" w:pos="320" w:val="left"/>
        </w:tabs>
        <w:numPr>
          <w:ilvl w:val="0"/>
          <w:numId w:val="59"/>
        </w:numPr>
        <w:rPr>
          <w:rFonts w:ascii="Arial" w:cs="Arial" w:eastAsia="Arial" w:hAnsi="Arial"/>
          <w:sz w:val="12"/>
          <w:szCs w:val="12"/>
          <w:color w:val="auto"/>
        </w:rPr>
      </w:pPr>
      <w:r>
        <w:rPr>
          <w:rFonts w:ascii="Arial" w:cs="Arial" w:eastAsia="Arial" w:hAnsi="Arial"/>
          <w:sz w:val="14"/>
          <w:szCs w:val="14"/>
          <w:color w:val="auto"/>
        </w:rPr>
        <w:t>Represents fees for professional services provided to us not otherwise included in the categories above.</w:t>
      </w:r>
    </w:p>
    <w:p>
      <w:pPr>
        <w:spacing w:after="0" w:line="137" w:lineRule="exact"/>
        <w:rPr>
          <w:sz w:val="20"/>
          <w:szCs w:val="20"/>
          <w:color w:val="auto"/>
        </w:rPr>
      </w:pPr>
    </w:p>
    <w:p>
      <w:pPr>
        <w:ind w:right="620"/>
        <w:spacing w:after="0" w:line="244" w:lineRule="auto"/>
        <w:rPr>
          <w:sz w:val="20"/>
          <w:szCs w:val="20"/>
          <w:color w:val="auto"/>
        </w:rPr>
      </w:pPr>
      <w:r>
        <w:rPr>
          <w:rFonts w:ascii="Arial" w:cs="Arial" w:eastAsia="Arial" w:hAnsi="Arial"/>
          <w:sz w:val="16"/>
          <w:szCs w:val="16"/>
          <w:color w:val="auto"/>
        </w:rPr>
        <w:t>The Audit Committee considered whether the provision of tax, benefit plan audit and all other accounting consulting services by Deloitte are compatible with maintaining their independence and concluded that the independence of Deloitte is not compromised by the provision of such services.</w:t>
      </w:r>
    </w:p>
    <w:p>
      <w:pPr>
        <w:spacing w:after="0" w:line="160"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i w:val="1"/>
          <w:iCs w:val="1"/>
          <w:color w:val="auto"/>
        </w:rPr>
        <w:t xml:space="preserve">Policy Regarding the Approval of Independent Registered Public Accountant Provision of Audit and Nonaudit Services </w:t>
      </w:r>
      <w:r>
        <w:rPr>
          <w:rFonts w:ascii="Arial" w:cs="Arial" w:eastAsia="Arial" w:hAnsi="Arial"/>
          <w:sz w:val="16"/>
          <w:szCs w:val="16"/>
          <w:color w:val="auto"/>
        </w:rPr>
        <w:t>- The Audit Committee Charter requires the</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to pre-approve the audit and non-audit fees and services that may be provided by, Deloitte, our independent registered public accountants, to us.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all of the audit and non-audit fees and services provided by Deloitte for Fiscal 2015 and Fiscal 2014.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298" w:right="239" w:bottom="1440" w:gutter="0" w:footer="0" w:header="0"/>
          <w:type w:val="continuous"/>
        </w:sectPr>
      </w:pPr>
    </w:p>
    <w:bookmarkStart w:id="37" w:name="page38"/>
    <w:bookmarkEnd w:id="3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156"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b w:val="1"/>
          <w:bCs w:val="1"/>
          <w:color w:val="auto"/>
        </w:rPr>
        <w:t>RATIFICATION OF THE APPOINTMENT OF INDEPENDENT REGISTERED PUBLIC ACCOUNTANT FOR THE FISCAL YEAR ENDING AUGUST 27, 2016.</w:t>
      </w:r>
    </w:p>
    <w:p>
      <w:pPr>
        <w:spacing w:after="0" w:line="143"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Deloitte &amp; Touche LLP was appointed by the Audit Committee as our independent registered public accountants for the fiscal year ending August 27, 2016. We are asking our shareholders to ratify the appointment of Deloitte, who has served as our independent registered public accountants for over 25 years. Representatives of the firm will be present at the Annual Meeting with the opportunity to make a statement if they so desire and will be available to respond to any shareholder questions that may be asked. For a description of the fees for services rendered by Deloitte in Fiscal 2016 and Fiscal 2015, and a description of our policy regarding the approval of independent registered public accountant provision of audit and non-audit services, see “Independent Registered Public Accountants Fees and Services” above.</w:t>
      </w:r>
    </w:p>
    <w:p>
      <w:pPr>
        <w:spacing w:after="0" w:line="158"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40"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Passage of the proposal requires the affirmative vote of a majority of the shares entitled to vote on the proposal and represented in person or by proxy at the Meeting at which a quorum is present.</w:t>
      </w:r>
    </w:p>
    <w:p>
      <w:pPr>
        <w:spacing w:after="0" w:line="13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b w:val="1"/>
          <w:bCs w:val="1"/>
          <w:color w:val="auto"/>
        </w:rPr>
        <w:t>YOUR BOARD OF DIRECTORS UNANIMOUSLY RECOMMENDS THAT YOU VOTE FOR THE RATIFICATION OF THE APPOINTMENT OF DELOITTE &amp; TOUCHE LLP AS INDEPENDENT REGISTERED PUBLIC ACCOUNTANT FOR OUR FISCAL YEAR ENDING AUGUST 27, 2016.</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does not know of any matter, other than the election of directors, the advisory approval of executive compensation and the ratification of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2016 SHAREHOLDER PROPOSALS</w:t>
      </w:r>
    </w:p>
    <w:p>
      <w:pPr>
        <w:spacing w:after="0" w:line="229" w:lineRule="exact"/>
        <w:rPr>
          <w:sz w:val="20"/>
          <w:szCs w:val="20"/>
          <w:color w:val="auto"/>
        </w:rPr>
      </w:pPr>
    </w:p>
    <w:p>
      <w:pPr>
        <w:ind w:right="40"/>
        <w:spacing w:after="0"/>
        <w:rPr>
          <w:sz w:val="20"/>
          <w:szCs w:val="20"/>
          <w:color w:val="auto"/>
        </w:rPr>
      </w:pPr>
      <w:r>
        <w:rPr>
          <w:rFonts w:ascii="Arial" w:cs="Arial" w:eastAsia="Arial" w:hAnsi="Arial"/>
          <w:sz w:val="16"/>
          <w:szCs w:val="16"/>
          <w:color w:val="auto"/>
        </w:rPr>
        <w:t>If a shareholder intends to present a proposal at our Annual Meeting following Fiscal 2016, scheduled for December 13, 2016 and desires that the proposal be included in our 2016 proxy statement and form of proxy for that meeting, the proposal must be in compliance with Rule 14a-8 under the Exchange Act and received at our principal executive offices no later than June 20,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line="239" w:lineRule="auto"/>
        <w:rPr>
          <w:sz w:val="20"/>
          <w:szCs w:val="20"/>
          <w:color w:val="auto"/>
        </w:rPr>
      </w:pPr>
      <w:r>
        <w:rPr>
          <w:rFonts w:ascii="Arial" w:cs="Arial" w:eastAsia="Arial" w:hAnsi="Arial"/>
          <w:sz w:val="16"/>
          <w:szCs w:val="16"/>
          <w:color w:val="auto"/>
        </w:rPr>
        <w:t>Our By-Laws and the Directors Nomination Policy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except in the case of candidates recommended by shareholders of more than 5% of the Company's Common Stock who may also submit nominations in accordance with the procedures in the Director Nomination Policy (included as an Appendix to this Proxy statement) and except in compliance with in our By-Laws.</w:t>
      </w:r>
    </w:p>
    <w:p>
      <w:pPr>
        <w:spacing w:after="0" w:line="211" w:lineRule="exact"/>
        <w:rPr>
          <w:sz w:val="20"/>
          <w:szCs w:val="20"/>
          <w:color w:val="auto"/>
        </w:rPr>
      </w:pPr>
    </w:p>
    <w:p>
      <w:pPr>
        <w:ind w:left="200" w:right="40"/>
        <w:spacing w:after="0" w:line="239" w:lineRule="auto"/>
        <w:rPr>
          <w:sz w:val="20"/>
          <w:szCs w:val="20"/>
          <w:color w:val="auto"/>
        </w:rPr>
      </w:pPr>
      <w:r>
        <w:rPr>
          <w:rFonts w:ascii="Arial" w:cs="Arial" w:eastAsia="Arial" w:hAnsi="Arial"/>
          <w:sz w:val="16"/>
          <w:szCs w:val="16"/>
          <w:color w:val="auto"/>
        </w:rPr>
        <w:t>The By-Laws also require that in order to present a proposal for action by shareholders at an annual meeting, a shareholder must provide advance written notice to the Secretary, which notice must contain detailed information specified in our By-Laws. This notice must be delivered to or mailed and received at our principal executive offices not less than 90 days nor more than 120 days before the anniversary of the preceding year's annual meeting. As to any proposal that a shareholder intends to present to shareholders without inclusion in our proxy statement for our annual meeting following Fiscal 2016,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of the Common Stock, to recommend nominees for director are set forth in the Director Nomination Policy, a copy of which is attached hereto as Appendix A and the By-Laws. A copy of our By-Laws may be obtained by written request to: Winnebago Industries, Inc., Attn: Vice President, General Counsel and Secretary, 605 West Crystal Lake Road, Forest City, Iowa 50436.</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GENERAL</w:t>
      </w:r>
    </w:p>
    <w:p>
      <w:pPr>
        <w:spacing w:after="0" w:line="124" w:lineRule="exact"/>
        <w:rPr>
          <w:sz w:val="20"/>
          <w:szCs w:val="20"/>
          <w:color w:val="auto"/>
        </w:rPr>
      </w:pPr>
    </w:p>
    <w:p>
      <w:pPr>
        <w:ind w:left="200" w:right="20"/>
        <w:spacing w:after="0"/>
        <w:rPr>
          <w:sz w:val="20"/>
          <w:szCs w:val="20"/>
          <w:color w:val="auto"/>
        </w:rPr>
      </w:pPr>
      <w:r>
        <w:rPr>
          <w:rFonts w:ascii="Arial" w:cs="Arial" w:eastAsia="Arial" w:hAnsi="Arial"/>
          <w:sz w:val="16"/>
          <w:szCs w:val="16"/>
          <w:color w:val="auto"/>
        </w:rPr>
        <w:t>The cost of this proxy solicitation will be borne by us. Solicitation will be made primarily through the Internet and the use of the mail, but our officers, directors or regular employees may solicit proxies personally or by telephone or telegraph without additional remuneration for such activity. In addition, we will reimburse brokerage houses and other custodians, nominees or fiduciaries for their reasonable expenses in forwarding proxies and proxy material to the beneficial owners of such shares.</w:t>
      </w:r>
    </w:p>
    <w:p>
      <w:pPr>
        <w:spacing w:after="0" w:line="100" w:lineRule="exact"/>
        <w:rPr>
          <w:sz w:val="20"/>
          <w:szCs w:val="20"/>
          <w:color w:val="auto"/>
        </w:rPr>
      </w:pPr>
    </w:p>
    <w:p>
      <w:pPr>
        <w:ind w:left="200" w:right="120"/>
        <w:spacing w:after="0"/>
        <w:rPr>
          <w:sz w:val="20"/>
          <w:szCs w:val="20"/>
          <w:color w:val="auto"/>
        </w:rPr>
      </w:pPr>
      <w:r>
        <w:rPr>
          <w:rFonts w:ascii="Arial" w:cs="Arial" w:eastAsia="Arial" w:hAnsi="Arial"/>
          <w:sz w:val="16"/>
          <w:szCs w:val="16"/>
          <w:color w:val="auto"/>
        </w:rPr>
        <w:t>A copy of our Annual Report for the fiscal year ended August 29, 2015,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80" w:lineRule="exact"/>
        <w:rPr>
          <w:sz w:val="20"/>
          <w:szCs w:val="20"/>
          <w:color w:val="auto"/>
        </w:rPr>
      </w:pPr>
    </w:p>
    <w:p>
      <w:pPr>
        <w:ind w:left="200" w:right="80"/>
        <w:spacing w:after="0" w:line="249" w:lineRule="auto"/>
        <w:rPr>
          <w:sz w:val="20"/>
          <w:szCs w:val="20"/>
          <w:color w:val="auto"/>
        </w:rPr>
      </w:pPr>
      <w:r>
        <w:rPr>
          <w:rFonts w:ascii="Arial" w:cs="Arial" w:eastAsia="Arial" w:hAnsi="Arial"/>
          <w:sz w:val="16"/>
          <w:szCs w:val="16"/>
          <w:b w:val="1"/>
          <w:bCs w:val="1"/>
          <w:color w:val="auto"/>
        </w:rPr>
        <w:t>A COPY OF THIS PROXY STATEMENT AND OUR MOST RECENT ANNUAL REPORT TO THE SEC ON FORM 10-K (WITHOUT EXHIBITS) WILL BE FURNISHED, WITHOUT CHARGE, TO OUR SHAREHOLDERS UPON WRITTEN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ectPr>
          <w:pgSz w:w="11900" w:h="16838" w:orient="portrait"/>
          <w:cols w:equalWidth="0" w:num="2">
            <w:col w:w="5600" w:space="20"/>
            <w:col w:w="5800"/>
          </w:cols>
          <w:pgMar w:left="240" w:top="298" w:right="239" w:bottom="1440" w:gutter="0" w:footer="0" w:header="0"/>
          <w:type w:val="continuous"/>
        </w:sectPr>
      </w:pPr>
    </w:p>
    <w:bookmarkStart w:id="38" w:name="page39"/>
    <w:bookmarkEnd w:id="38"/>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5984240</wp:posOffset>
            </wp:positionH>
            <wp:positionV relativeFrom="page">
              <wp:posOffset>188595</wp:posOffset>
            </wp:positionV>
            <wp:extent cx="1405255" cy="1993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405255" cy="199390"/>
                    </a:xfrm>
                    <a:prstGeom prst="rect">
                      <a:avLst/>
                    </a:prstGeom>
                    <a:noFill/>
                  </pic:spPr>
                </pic:pic>
              </a:graphicData>
            </a:graphic>
          </wp:anchor>
        </w:drawing>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REQUEST PURSUANT TO THE INSTRUCTIONS SET FORTH IN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INTERNET AVAILABILITY OF PROXY MATERIALS.</w:t>
      </w:r>
    </w:p>
    <w:p>
      <w:pPr>
        <w:spacing w:after="0" w:line="84" w:lineRule="exact"/>
        <w:rPr>
          <w:sz w:val="20"/>
          <w:szCs w:val="20"/>
          <w:color w:val="auto"/>
        </w:rPr>
      </w:pPr>
    </w:p>
    <w:p>
      <w:pPr>
        <w:ind w:right="4759"/>
        <w:spacing w:after="0" w:line="268" w:lineRule="auto"/>
        <w:rPr>
          <w:sz w:val="20"/>
          <w:szCs w:val="20"/>
          <w:color w:val="auto"/>
        </w:rPr>
      </w:pPr>
      <w:r>
        <w:rPr>
          <w:rFonts w:ascii="Arial" w:cs="Arial" w:eastAsia="Arial" w:hAnsi="Arial"/>
          <w:sz w:val="15"/>
          <w:szCs w:val="15"/>
          <w:b w:val="1"/>
          <w:bCs w:val="1"/>
          <w:color w:val="auto"/>
        </w:rPr>
        <w:t>FOR INFORMATION ABOUT US, INCLUDING OUR ANNUAL, QUARTERLY AND CURRENT REPORTS ON SEC FORMS 10-K, 10-Q AND 8-K,</w:t>
      </w:r>
    </w:p>
    <w:p>
      <w:pPr>
        <w:spacing w:after="0" w:line="1" w:lineRule="exact"/>
        <w:rPr>
          <w:sz w:val="20"/>
          <w:szCs w:val="20"/>
          <w:color w:val="auto"/>
        </w:rPr>
      </w:pPr>
    </w:p>
    <w:p>
      <w:pPr>
        <w:ind w:right="4719"/>
        <w:spacing w:after="0"/>
        <w:rPr>
          <w:sz w:val="20"/>
          <w:szCs w:val="20"/>
          <w:color w:val="auto"/>
        </w:rPr>
      </w:pPr>
      <w:r>
        <w:rPr>
          <w:rFonts w:ascii="Arial" w:cs="Arial" w:eastAsia="Arial" w:hAnsi="Arial"/>
          <w:sz w:val="16"/>
          <w:szCs w:val="16"/>
          <w:b w:val="1"/>
          <w:bCs w:val="1"/>
          <w:color w:val="auto"/>
        </w:rPr>
        <w:t>RESPECTIVELY, PLEASE VISIT OUR HOME PAGE ON THE INTERNET - http://www.winnebagoind.com. INFORMATION CONTAINED ON OUR WEB SITE IS NOT INCORPORATED INTO THIS PROXY STATEMENT OR OTHER SECURITIES FILINGS.</w:t>
      </w:r>
    </w:p>
    <w:p>
      <w:pPr>
        <w:spacing w:after="0" w:line="102" w:lineRule="exact"/>
        <w:rPr>
          <w:sz w:val="20"/>
          <w:szCs w:val="20"/>
          <w:color w:val="auto"/>
        </w:rPr>
      </w:pPr>
    </w:p>
    <w:p>
      <w:pPr>
        <w:ind w:right="4659"/>
        <w:spacing w:after="0" w:line="262" w:lineRule="auto"/>
        <w:rPr>
          <w:sz w:val="20"/>
          <w:szCs w:val="20"/>
          <w:color w:val="auto"/>
        </w:rPr>
      </w:pPr>
      <w:r>
        <w:rPr>
          <w:rFonts w:ascii="Arial" w:cs="Arial" w:eastAsia="Arial" w:hAnsi="Arial"/>
          <w:sz w:val="15"/>
          <w:szCs w:val="15"/>
          <w:color w:val="auto"/>
        </w:rPr>
        <w:t>As of the date of this Proxy Statement, Management knows of no other matters to be brought before the Annual Meeting. However, if any other matters should properly come before the meeting, it is the intention of the persons named in the proxy to vote thereon in accordance with their best judgment.</w:t>
      </w:r>
    </w:p>
    <w:p>
      <w:pPr>
        <w:spacing w:after="0" w:line="163"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By Order of the Board of Directors</w:t>
      </w:r>
    </w:p>
    <w:p>
      <w:pPr>
        <w:spacing w:after="0" w:line="298"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6"/>
          <w:szCs w:val="16"/>
          <w:color w:val="auto"/>
        </w:rPr>
        <w:t>October 27, 2015</w:t>
      </w:r>
      <w:r>
        <w:rPr>
          <w:sz w:val="20"/>
          <w:szCs w:val="20"/>
          <w:color w:val="auto"/>
        </w:rPr>
        <w:tab/>
      </w:r>
      <w:r>
        <w:rPr>
          <w:rFonts w:ascii="Arial" w:cs="Arial" w:eastAsia="Arial" w:hAnsi="Arial"/>
          <w:sz w:val="15"/>
          <w:szCs w:val="15"/>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25400</wp:posOffset>
            </wp:positionV>
            <wp:extent cx="23368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36800" cy="8255"/>
                    </a:xfrm>
                    <a:prstGeom prst="rect">
                      <a:avLst/>
                    </a:prstGeom>
                    <a:noFill/>
                  </pic:spPr>
                </pic:pic>
              </a:graphicData>
            </a:graphic>
          </wp:anchor>
        </w:drawing>
      </w:r>
    </w:p>
    <w:p>
      <w:pPr>
        <w:spacing w:after="0" w:line="74"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Scott C. Folkers</w:t>
      </w:r>
    </w:p>
    <w:p>
      <w:pPr>
        <w:spacing w:after="0" w:line="78"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Secretary</w:t>
      </w:r>
    </w:p>
    <w:p>
      <w:pPr>
        <w:spacing w:after="0" w:line="261"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219"/>
          </w:cols>
          <w:pgMar w:left="240" w:top="298" w:right="1440"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Appendix 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NOMINATION OF DIRECTORS</w:t>
      </w:r>
    </w:p>
    <w:p>
      <w:pPr>
        <w:spacing w:after="0" w:line="213"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 xml:space="preserve">The Nominating and Governance Committee (the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has adopted the following policy (the </w:t>
      </w:r>
      <w:r>
        <w:rPr>
          <w:rFonts w:ascii="Arial" w:cs="Arial" w:eastAsia="Arial" w:hAnsi="Arial"/>
          <w:sz w:val="16"/>
          <w:szCs w:val="16"/>
          <w:i w:val="1"/>
          <w:iCs w:val="1"/>
          <w:color w:val="auto"/>
        </w:rPr>
        <w:t>“Director Nomination Policy”</w:t>
      </w:r>
      <w:r>
        <w:rPr>
          <w:rFonts w:ascii="Arial" w:cs="Arial" w:eastAsia="Arial" w:hAnsi="Arial"/>
          <w:sz w:val="16"/>
          <w:szCs w:val="16"/>
          <w:color w:val="auto"/>
        </w:rPr>
        <w:t xml:space="preserve">) to assist it in fulfilling its duties and responsibilities as provided in its charter (the </w:t>
      </w:r>
      <w:r>
        <w:rPr>
          <w:rFonts w:ascii="Arial" w:cs="Arial" w:eastAsia="Arial" w:hAnsi="Arial"/>
          <w:sz w:val="16"/>
          <w:szCs w:val="16"/>
          <w:i w:val="1"/>
          <w:iCs w:val="1"/>
          <w:color w:val="auto"/>
        </w:rPr>
        <w:t>“Charter”</w:t>
      </w:r>
      <w:r>
        <w:rPr>
          <w:rFonts w:ascii="Arial" w:cs="Arial" w:eastAsia="Arial" w:hAnsi="Arial"/>
          <w:sz w:val="16"/>
          <w:szCs w:val="16"/>
          <w:color w:val="auto"/>
        </w:rPr>
        <w:t>). This Director Nomination Policy may be amended and/or restated from time to time by the Committee in accordance with the Charter and as provided herein.</w:t>
      </w:r>
    </w:p>
    <w:p>
      <w:pPr>
        <w:spacing w:after="0" w:line="196" w:lineRule="exact"/>
        <w:rPr>
          <w:sz w:val="20"/>
          <w:szCs w:val="20"/>
          <w:color w:val="auto"/>
        </w:rPr>
      </w:pPr>
    </w:p>
    <w:p>
      <w:pPr>
        <w:ind w:left="320" w:right="20" w:hanging="315"/>
        <w:spacing w:after="0" w:line="239" w:lineRule="auto"/>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RECOMMENDED CANDIDATES. The Committee shall consider any and all candidates recommended as nominees for directors to the Committee by any directors, officers, shareholders of the Company, third-party search firms and other sources. Under the terms of our By-Laws, the Committee will consider director nominations from shareholders of record who provide timely written notice along with prescribed information to the Secretary of the Company. To be timely, the notice must be received by the Secretary at our principal executive offices not later than 90 or earlier than 120 days prior to the anniversary of the previous year’s annual meeting, except in the case of candidates recommended by shareholders of more than 5 percent of the Company’s Common Stock who may also submit nominations in accordance with the procedures in Section 2 under “5% SHAREHOLDER RECOMMENDATIONS” and except as otherwise provided in our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our books together with the number of shares of the Company’s Common Stock which are owned beneficially and of record by the shareholder and any beneficial owner; and (3) a signed statement by the nominee agreeing that, if elected, such nominee will (a) represent all of our shareholders in accordance with applicable laws and By-Laws and (b) comply with our Code of Ethics.</w:t>
      </w:r>
    </w:p>
    <w:p>
      <w:pPr>
        <w:spacing w:after="0" w:line="210" w:lineRule="exact"/>
        <w:rPr>
          <w:rFonts w:ascii="Arial" w:cs="Arial" w:eastAsia="Arial" w:hAnsi="Arial"/>
          <w:sz w:val="16"/>
          <w:szCs w:val="16"/>
          <w:color w:val="auto"/>
        </w:rPr>
      </w:pPr>
    </w:p>
    <w:p>
      <w:pPr>
        <w:ind w:left="320" w:right="180" w:hanging="315"/>
        <w:spacing w:after="0" w:line="239" w:lineRule="auto"/>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5% SHAREHOLDER RECOMMENDATIONS. For purposes of facilitating disclosure required in the Proxy Statement, the Committee and the Corporate Secretary shall identify any candidates recommended by shareholders owning more than 5 percent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percent of the Company’s Common Stock for at least one year as of the date the recommendation was made, may recommend nominees for director to the Committee provided that (1) written notice from the shareholder(s) must be received by the Secretary of the Company at our principal executive offices not later than 120 days prior to the anniversary of the date our proxy statement was released to shareholders in connection with the previous year’s annual meeting, except as otherwise provided in our By-Laws; (2) such notice must contain the name and address of the shareholder(s) and any beneficial owner(s) giving the notice as they appear on our books, together with evidence regarding the number of shares of the Company’s Common Stock together with the holding period and the written consent of the recommended candidate and the shareholder(s) to being identified in our proxy statement; (3) such notice must contain all information relating to such director nominee that is required to be disclosed under federal securities laws in solicitation of proxies for election of directors in an election contest; and (4) such notice must contain a signed statement by the nominee agreeing that, if elected, such nominee will (a) represent all our shareholders in accordance with applicable laws and our By-Laws and (b) comply with our Code of Ethics.</w:t>
      </w:r>
    </w:p>
    <w:p>
      <w:pPr>
        <w:spacing w:after="0" w:line="210" w:lineRule="exact"/>
        <w:rPr>
          <w:rFonts w:ascii="Arial" w:cs="Arial" w:eastAsia="Arial" w:hAnsi="Arial"/>
          <w:sz w:val="16"/>
          <w:szCs w:val="16"/>
          <w:color w:val="auto"/>
        </w:rPr>
      </w:pPr>
    </w:p>
    <w:p>
      <w:pPr>
        <w:ind w:left="320" w:right="440" w:hanging="315"/>
        <w:spacing w:after="0" w:line="241" w:lineRule="auto"/>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DESIRED QUALIFICATIONS, QUALITIES AND SKILLS. The Committee shall endeavor to find individuals of high integrity who have a solid record of 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205" w:lineRule="exact"/>
        <w:rPr>
          <w:rFonts w:ascii="Arial" w:cs="Arial" w:eastAsia="Arial" w:hAnsi="Arial"/>
          <w:sz w:val="16"/>
          <w:szCs w:val="16"/>
          <w:color w:val="auto"/>
        </w:rPr>
      </w:pPr>
    </w:p>
    <w:p>
      <w:pPr>
        <w:ind w:left="320" w:right="180"/>
        <w:spacing w:after="0" w:line="244" w:lineRule="auto"/>
        <w:rPr>
          <w:rFonts w:ascii="Arial" w:cs="Arial" w:eastAsia="Arial" w:hAnsi="Arial"/>
          <w:sz w:val="16"/>
          <w:szCs w:val="16"/>
          <w:color w:val="auto"/>
        </w:rPr>
      </w:pPr>
      <w:r>
        <w:rPr>
          <w:rFonts w:ascii="Arial" w:cs="Arial" w:eastAsia="Arial" w:hAnsi="Arial"/>
          <w:sz w:val="16"/>
          <w:szCs w:val="16"/>
          <w:color w:val="auto"/>
        </w:rPr>
        <w:t>The Committee considers the following qualifications at a minimum to be required of any Board members in recommending to the Board of Directors potential new Board members or the continued service of existing members:</w:t>
      </w:r>
    </w:p>
    <w:p>
      <w:pPr>
        <w:spacing w:after="0" w:line="149" w:lineRule="exact"/>
        <w:rPr>
          <w:rFonts w:ascii="Arial" w:cs="Arial" w:eastAsia="Arial" w:hAnsi="Arial"/>
          <w:sz w:val="16"/>
          <w:szCs w:val="16"/>
          <w:color w:val="auto"/>
        </w:rPr>
      </w:pPr>
    </w:p>
    <w:p>
      <w:pPr>
        <w:ind w:left="640" w:hanging="321"/>
        <w:spacing w:after="0"/>
        <w:tabs>
          <w:tab w:leader="none" w:pos="6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highest professional and personal ethics;</w:t>
      </w:r>
    </w:p>
    <w:p>
      <w:pPr>
        <w:ind w:left="640" w:hanging="321"/>
        <w:spacing w:after="0"/>
        <w:tabs>
          <w:tab w:leader="none" w:pos="6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broad experience in business, government, education or technology;</w:t>
      </w:r>
    </w:p>
    <w:p>
      <w:pPr>
        <w:ind w:left="640" w:hanging="321"/>
        <w:spacing w:after="0"/>
        <w:tabs>
          <w:tab w:leader="none" w:pos="6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ability to provide insights and practical wisdom based on their experience and expertise;</w:t>
      </w:r>
    </w:p>
    <w:p>
      <w:pPr>
        <w:ind w:left="640" w:hanging="321"/>
        <w:spacing w:after="0"/>
        <w:tabs>
          <w:tab w:leader="none" w:pos="6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commitment to enhancing shareholder value;</w:t>
      </w:r>
    </w:p>
    <w:p>
      <w:pPr>
        <w:ind w:left="640" w:hanging="321"/>
        <w:spacing w:after="0"/>
        <w:tabs>
          <w:tab w:leader="none" w:pos="6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ind w:left="640" w:right="220" w:hanging="321"/>
        <w:spacing w:after="0" w:line="239" w:lineRule="auto"/>
        <w:tabs>
          <w:tab w:leader="none" w:pos="6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ability to develop a good working relationship with other Board members and contribute to the Board's working relationship with our senior management; and</w:t>
      </w:r>
    </w:p>
    <w:p>
      <w:pPr>
        <w:ind w:left="640" w:hanging="321"/>
        <w:spacing w:after="0"/>
        <w:tabs>
          <w:tab w:leader="none" w:pos="6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independence; a majority of the Board shall consist of independent directors, as defined in this Director Nomination Policy.</w:t>
      </w:r>
    </w:p>
    <w:p>
      <w:pPr>
        <w:spacing w:after="0" w:line="183" w:lineRule="exact"/>
        <w:rPr>
          <w:sz w:val="20"/>
          <w:szCs w:val="20"/>
          <w:color w:val="auto"/>
        </w:rPr>
      </w:pPr>
    </w:p>
    <w:p>
      <w:pPr>
        <w:ind w:left="320" w:right="240"/>
        <w:spacing w:after="0" w:line="241" w:lineRule="auto"/>
        <w:rPr>
          <w:sz w:val="20"/>
          <w:szCs w:val="20"/>
          <w:color w:val="auto"/>
        </w:rPr>
      </w:pPr>
      <w:r>
        <w:rPr>
          <w:rFonts w:ascii="Arial" w:cs="Arial" w:eastAsia="Arial" w:hAnsi="Arial"/>
          <w:sz w:val="16"/>
          <w:szCs w:val="16"/>
          <w:color w:val="auto"/>
        </w:rPr>
        <w:t>Other than the foregoing, there are no stated minimum criteria for director nominees, although the Committee may also consider such other factors as it may deem are in our best interests and those of our shareholders. The Committee does, however, believe it appropriate for at least one member of the Board to meet the criteria for an “audit committee financial expert” as defined by Securities and Exchange Commission rules.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50" w:right="239" w:bottom="1440" w:gutter="0" w:footer="0" w:header="0"/>
        </w:sectPr>
      </w:pPr>
    </w:p>
    <w:bookmarkStart w:id="40" w:name="page41"/>
    <w:bookmarkEnd w:id="40"/>
    <w:p>
      <w:pPr>
        <w:ind w:left="320" w:hanging="315"/>
        <w:spacing w:after="0" w:line="241" w:lineRule="auto"/>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INDEPENDENCE. The Committee believes and it is our policy that a majority of the members of the Board meet the definition of “independent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17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An independent director is one who:</w:t>
      </w:r>
    </w:p>
    <w:p>
      <w:pPr>
        <w:spacing w:after="0" w:line="156" w:lineRule="exact"/>
        <w:rPr>
          <w:rFonts w:ascii="Arial" w:cs="Arial" w:eastAsia="Arial" w:hAnsi="Arial"/>
          <w:sz w:val="16"/>
          <w:szCs w:val="16"/>
          <w:color w:val="auto"/>
        </w:rPr>
      </w:pPr>
    </w:p>
    <w:p>
      <w:pPr>
        <w:ind w:left="640" w:right="460" w:hanging="321"/>
        <w:spacing w:after="0" w:line="244" w:lineRule="auto"/>
        <w:tabs>
          <w:tab w:leader="none" w:pos="6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has no material relationship with the Company, either directly or as a partner, shareholder or officer of an organization that has a relationship with the Company;</w:t>
      </w:r>
    </w:p>
    <w:p>
      <w:pPr>
        <w:spacing w:after="0" w:line="149" w:lineRule="exact"/>
        <w:rPr>
          <w:rFonts w:ascii="Arial" w:cs="Arial" w:eastAsia="Arial" w:hAnsi="Arial"/>
          <w:sz w:val="16"/>
          <w:szCs w:val="16"/>
          <w:color w:val="auto"/>
        </w:rPr>
      </w:pPr>
    </w:p>
    <w:p>
      <w:pPr>
        <w:ind w:left="640" w:hanging="321"/>
        <w:spacing w:after="0"/>
        <w:tabs>
          <w:tab w:leader="none" w:pos="6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is not an employee of the Company and no member of his or her immediate family is an executive officer of the Company;</w:t>
      </w:r>
    </w:p>
    <w:p>
      <w:pPr>
        <w:spacing w:after="0" w:line="156" w:lineRule="exact"/>
        <w:rPr>
          <w:rFonts w:ascii="Arial" w:cs="Arial" w:eastAsia="Arial" w:hAnsi="Arial"/>
          <w:sz w:val="16"/>
          <w:szCs w:val="16"/>
          <w:color w:val="auto"/>
        </w:rPr>
      </w:pPr>
    </w:p>
    <w:p>
      <w:pPr>
        <w:ind w:left="640" w:hanging="321"/>
        <w:spacing w:after="0" w:line="244" w:lineRule="auto"/>
        <w:tabs>
          <w:tab w:leader="none" w:pos="6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has not been employed by the Company and no member of his or her immediate family has been an executive officer of the Company during the past three years;</w:t>
      </w:r>
    </w:p>
    <w:p>
      <w:pPr>
        <w:spacing w:after="0" w:line="149" w:lineRule="exact"/>
        <w:rPr>
          <w:rFonts w:ascii="Arial" w:cs="Arial" w:eastAsia="Arial" w:hAnsi="Arial"/>
          <w:sz w:val="16"/>
          <w:szCs w:val="16"/>
          <w:color w:val="auto"/>
        </w:rPr>
      </w:pPr>
    </w:p>
    <w:p>
      <w:pPr>
        <w:ind w:left="640" w:right="280" w:hanging="321"/>
        <w:spacing w:after="0" w:line="244" w:lineRule="auto"/>
        <w:tabs>
          <w:tab w:leader="none" w:pos="6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has not received and no member of his or her immediate family has received more than $120,000 per year in direct compensation from the Company in any capacity other than as a director during the past three years;</w:t>
      </w:r>
    </w:p>
    <w:p>
      <w:pPr>
        <w:spacing w:after="0" w:line="149" w:lineRule="exact"/>
        <w:rPr>
          <w:rFonts w:ascii="Arial" w:cs="Arial" w:eastAsia="Arial" w:hAnsi="Arial"/>
          <w:sz w:val="16"/>
          <w:szCs w:val="16"/>
          <w:color w:val="auto"/>
        </w:rPr>
      </w:pPr>
    </w:p>
    <w:p>
      <w:pPr>
        <w:jc w:val="both"/>
        <w:ind w:left="640" w:hanging="321"/>
        <w:spacing w:after="0"/>
        <w:tabs>
          <w:tab w:leader="none" w:pos="6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 is not a current partner or employee of a firm that is the Company's internal or external auditor; (B) does not have an immediate family member who is a current partner of a firm that is the Company's internal or external auditor; (C) does not have an immediate family member who is a current employee of the Company's internal or external auditor and who personally works on the Company's audit; and (D) within the last three years was not and no member of his or her immediate family was a partner or employee of the Company's internal or external auditor and personally worked on the Company's audit within that time.</w:t>
      </w:r>
    </w:p>
    <w:p>
      <w:pPr>
        <w:spacing w:after="0" w:line="153" w:lineRule="exact"/>
        <w:rPr>
          <w:rFonts w:ascii="Arial" w:cs="Arial" w:eastAsia="Arial" w:hAnsi="Arial"/>
          <w:sz w:val="16"/>
          <w:szCs w:val="16"/>
          <w:color w:val="auto"/>
        </w:rPr>
      </w:pPr>
    </w:p>
    <w:p>
      <w:pPr>
        <w:jc w:val="both"/>
        <w:ind w:left="640" w:right="80" w:hanging="321"/>
        <w:spacing w:after="0" w:line="241" w:lineRule="auto"/>
        <w:tabs>
          <w:tab w:leader="none" w:pos="6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152" w:lineRule="exact"/>
        <w:rPr>
          <w:rFonts w:ascii="Arial" w:cs="Arial" w:eastAsia="Arial" w:hAnsi="Arial"/>
          <w:sz w:val="16"/>
          <w:szCs w:val="16"/>
          <w:color w:val="auto"/>
        </w:rPr>
      </w:pPr>
    </w:p>
    <w:p>
      <w:pPr>
        <w:jc w:val="both"/>
        <w:ind w:left="640" w:right="40" w:hanging="321"/>
        <w:spacing w:after="0" w:line="241" w:lineRule="auto"/>
        <w:tabs>
          <w:tab w:leader="none" w:pos="6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percent of such other company's consolidated revenues during any of the past three years;</w:t>
      </w:r>
    </w:p>
    <w:p>
      <w:pPr>
        <w:spacing w:after="0" w:line="152" w:lineRule="exact"/>
        <w:rPr>
          <w:rFonts w:ascii="Arial" w:cs="Arial" w:eastAsia="Arial" w:hAnsi="Arial"/>
          <w:sz w:val="16"/>
          <w:szCs w:val="16"/>
          <w:color w:val="auto"/>
        </w:rPr>
      </w:pPr>
    </w:p>
    <w:p>
      <w:pPr>
        <w:ind w:left="640" w:hanging="321"/>
        <w:spacing w:after="0"/>
        <w:tabs>
          <w:tab w:leader="none" w:pos="6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is free of any relationships with the Company that may impair, or appear to impair, his or her ability to make independent judgments; and</w:t>
      </w:r>
    </w:p>
    <w:p>
      <w:pPr>
        <w:spacing w:after="0" w:line="156" w:lineRule="exact"/>
        <w:rPr>
          <w:rFonts w:ascii="Arial" w:cs="Arial" w:eastAsia="Arial" w:hAnsi="Arial"/>
          <w:sz w:val="16"/>
          <w:szCs w:val="16"/>
          <w:color w:val="auto"/>
        </w:rPr>
      </w:pPr>
    </w:p>
    <w:p>
      <w:pPr>
        <w:ind w:left="640" w:right="400" w:hanging="321"/>
        <w:spacing w:after="0" w:line="241" w:lineRule="auto"/>
        <w:tabs>
          <w:tab w:leader="none" w:pos="6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percent of such charitable organization's total annual receipts.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This policy may be modified temporarily if, due to unforeseen circumstances, strict adherence would be detrimental to the Board’s performance.</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purposes of determining a “material relationship,” the Committee shall utilize the following standards:</w:t>
      </w:r>
    </w:p>
    <w:p>
      <w:pPr>
        <w:spacing w:after="0" w:line="183" w:lineRule="exact"/>
        <w:rPr>
          <w:sz w:val="20"/>
          <w:szCs w:val="20"/>
          <w:color w:val="auto"/>
        </w:rPr>
      </w:pPr>
    </w:p>
    <w:p>
      <w:pPr>
        <w:ind w:left="640" w:right="60" w:hanging="321"/>
        <w:spacing w:after="0" w:line="241" w:lineRule="auto"/>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w:t>
      </w:r>
    </w:p>
    <w:p>
      <w:pPr>
        <w:spacing w:after="0" w:line="179" w:lineRule="exact"/>
        <w:rPr>
          <w:rFonts w:ascii="Arial" w:cs="Arial" w:eastAsia="Arial" w:hAnsi="Arial"/>
          <w:sz w:val="16"/>
          <w:szCs w:val="16"/>
          <w:color w:val="auto"/>
        </w:rPr>
      </w:pPr>
    </w:p>
    <w:p>
      <w:pPr>
        <w:ind w:left="640" w:hanging="321"/>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aggregate amount of such payments must not exceed 2 percent of the Company's consolidated gross revenues.</w:t>
      </w:r>
    </w:p>
    <w:p>
      <w:pPr>
        <w:spacing w:after="0" w:line="183" w:lineRule="exact"/>
        <w:rPr>
          <w:sz w:val="20"/>
          <w:szCs w:val="20"/>
          <w:color w:val="auto"/>
        </w:rPr>
      </w:pPr>
    </w:p>
    <w:p>
      <w:pPr>
        <w:ind w:left="320"/>
        <w:spacing w:after="0" w:line="255" w:lineRule="auto"/>
        <w:rPr>
          <w:sz w:val="20"/>
          <w:szCs w:val="20"/>
          <w:color w:val="auto"/>
        </w:rPr>
      </w:pPr>
      <w:r>
        <w:rPr>
          <w:rFonts w:ascii="Arial" w:cs="Arial" w:eastAsia="Arial" w:hAnsi="Arial"/>
          <w:sz w:val="15"/>
          <w:szCs w:val="15"/>
          <w:color w:val="auto"/>
        </w:rPr>
        <w:t>For purposes of these independence standards, (i) immediate family members of a director include the director's spouse, parents, children, siblings, mother-and father-in-law, sons- and daughters-in-law, and brothers and sisters-in-law and anyone (other than domestic employees) who shares the director's home and</w:t>
      </w:r>
    </w:p>
    <w:p>
      <w:pPr>
        <w:ind w:left="320" w:right="180"/>
        <w:spacing w:after="0" w:line="244" w:lineRule="auto"/>
        <w:rPr>
          <w:sz w:val="20"/>
          <w:szCs w:val="20"/>
          <w:color w:val="auto"/>
        </w:rPr>
      </w:pPr>
      <w:r>
        <w:rPr>
          <w:rFonts w:ascii="Arial" w:cs="Arial" w:eastAsia="Arial" w:hAnsi="Arial"/>
          <w:sz w:val="16"/>
          <w:szCs w:val="16"/>
          <w:color w:val="auto"/>
        </w:rPr>
        <w:t>(ii) the term “primary business affiliation” means an entity of which the director is a principal/executive officer or in which the director holds at least a 5 percent equity interest.</w:t>
      </w:r>
    </w:p>
    <w:p>
      <w:pPr>
        <w:spacing w:after="0" w:line="175" w:lineRule="exact"/>
        <w:rPr>
          <w:sz w:val="20"/>
          <w:szCs w:val="20"/>
          <w:color w:val="auto"/>
        </w:rPr>
      </w:pPr>
    </w:p>
    <w:p>
      <w:pPr>
        <w:ind w:left="320" w:hanging="315"/>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NOMINEE EVALUATION PROCESS. The Committee will consider as a candidate any director of the Company who has indicated to the Committee that he or she is willing to stand for re-election as well as any other person who is recommended by any shareholders of the Company in accordance with the procedures described under “RECOMMENDED CANDIDATES” in Section 1 and under “5% SHAREHOLDER RECOMMENDATIONS” in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770" w:right="239" w:bottom="1440" w:gutter="0" w:footer="0" w:header="0"/>
        </w:sectPr>
      </w:pPr>
    </w:p>
    <w:bookmarkStart w:id="41" w:name="page42"/>
    <w:bookmarkEnd w:id="41"/>
    <w:p>
      <w:pPr>
        <w:ind w:left="320"/>
        <w:spacing w:after="0" w:line="325" w:lineRule="auto"/>
        <w:rPr>
          <w:sz w:val="20"/>
          <w:szCs w:val="20"/>
          <w:color w:val="auto"/>
        </w:rPr>
      </w:pPr>
      <w:r>
        <w:rPr>
          <w:rFonts w:ascii="Arial" w:cs="Arial" w:eastAsia="Arial" w:hAnsi="Arial"/>
          <w:sz w:val="16"/>
          <w:szCs w:val="16"/>
          <w:color w:val="auto"/>
        </w:rPr>
        <w:t>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 recommended by a shareholder of the Company pursuant to a process substantially different than that used for other nominees for the same election or appointment of directors.</w:t>
      </w:r>
    </w:p>
    <w:p>
      <w:pPr>
        <w:spacing w:after="0" w:line="155" w:lineRule="exact"/>
        <w:rPr>
          <w:sz w:val="20"/>
          <w:szCs w:val="20"/>
          <w:color w:val="auto"/>
        </w:rPr>
      </w:pPr>
    </w:p>
    <w:p>
      <w:pPr>
        <w:ind w:left="320" w:right="20" w:hanging="315"/>
        <w:spacing w:after="0" w:line="241" w:lineRule="auto"/>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CATEGORIZE RECOMMENDATIONS. For purposes of facilitating disclosure required in the Proxy Statement, the Committee and the Corporate 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179" w:lineRule="exact"/>
        <w:rPr>
          <w:rFonts w:ascii="Arial" w:cs="Arial" w:eastAsia="Arial" w:hAnsi="Arial"/>
          <w:sz w:val="16"/>
          <w:szCs w:val="16"/>
          <w:color w:val="auto"/>
        </w:rPr>
      </w:pPr>
    </w:p>
    <w:p>
      <w:pPr>
        <w:ind w:left="820" w:hanging="501"/>
        <w:spacing w:after="0"/>
        <w:tabs>
          <w:tab w:leader="none" w:pos="8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 shareholder, a 5% shareholder, independent director, chief executive officer, or other executive officer of the Company;</w:t>
      </w:r>
    </w:p>
    <w:p>
      <w:pPr>
        <w:spacing w:after="0" w:line="221" w:lineRule="exact"/>
        <w:rPr>
          <w:rFonts w:ascii="Arial" w:cs="Arial" w:eastAsia="Arial" w:hAnsi="Arial"/>
          <w:sz w:val="16"/>
          <w:szCs w:val="16"/>
          <w:color w:val="auto"/>
        </w:rPr>
      </w:pPr>
    </w:p>
    <w:p>
      <w:pPr>
        <w:ind w:left="820" w:hanging="501"/>
        <w:spacing w:after="0"/>
        <w:tabs>
          <w:tab w:leader="none" w:pos="8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 third-party search firm used by or on behalf of the Company; and</w:t>
      </w:r>
    </w:p>
    <w:p>
      <w:pPr>
        <w:spacing w:after="0" w:line="221" w:lineRule="exact"/>
        <w:rPr>
          <w:rFonts w:ascii="Arial" w:cs="Arial" w:eastAsia="Arial" w:hAnsi="Arial"/>
          <w:sz w:val="16"/>
          <w:szCs w:val="16"/>
          <w:color w:val="auto"/>
        </w:rPr>
      </w:pPr>
    </w:p>
    <w:p>
      <w:pPr>
        <w:ind w:left="820" w:hanging="501"/>
        <w:spacing w:after="0"/>
        <w:tabs>
          <w:tab w:leader="none" w:pos="8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other specified source.</w:t>
      </w:r>
    </w:p>
    <w:p>
      <w:pPr>
        <w:spacing w:after="0" w:line="195" w:lineRule="exact"/>
        <w:rPr>
          <w:rFonts w:ascii="Arial" w:cs="Arial" w:eastAsia="Arial" w:hAnsi="Arial"/>
          <w:sz w:val="16"/>
          <w:szCs w:val="16"/>
          <w:color w:val="auto"/>
        </w:rPr>
      </w:pPr>
    </w:p>
    <w:p>
      <w:pPr>
        <w:ind w:left="320" w:hanging="315"/>
        <w:spacing w:after="0" w:line="241" w:lineRule="auto"/>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MATERIAL CHANGES TO NOMINATION PROCEDURES. For purposes of facilitating disclosure required in Form 10-K and Form 10-Q, the Committee and the Corporate Secretary shall identify any material changes to the procedures for shareholder nominations of directors for the reporting period in which such material changes occur.</w:t>
      </w:r>
    </w:p>
    <w:p>
      <w:pPr>
        <w:spacing w:after="0" w:line="152" w:lineRule="exact"/>
        <w:rPr>
          <w:rFonts w:ascii="Arial" w:cs="Arial" w:eastAsia="Arial" w:hAnsi="Arial"/>
          <w:sz w:val="16"/>
          <w:szCs w:val="16"/>
          <w:color w:val="auto"/>
        </w:rPr>
      </w:pPr>
    </w:p>
    <w:p>
      <w:pPr>
        <w:ind w:left="320" w:right="120" w:hanging="315"/>
        <w:spacing w:after="0" w:line="244" w:lineRule="auto"/>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POSTING OF POLICY. This Director Nomination Policy shall be posted to the Company's Web Site in accordance with the Company's Corporate Governance Policy.</w:t>
      </w:r>
    </w:p>
    <w:p>
      <w:pPr>
        <w:spacing w:after="0" w:line="149" w:lineRule="exact"/>
        <w:rPr>
          <w:rFonts w:ascii="Arial" w:cs="Arial" w:eastAsia="Arial" w:hAnsi="Arial"/>
          <w:sz w:val="16"/>
          <w:szCs w:val="16"/>
          <w:color w:val="auto"/>
        </w:rPr>
      </w:pPr>
    </w:p>
    <w:p>
      <w:pPr>
        <w:ind w:left="320" w:hanging="315"/>
        <w:spacing w:after="0"/>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AMENDMENTS TO THIS POLICY. Any amendments to this Director Nomination Policy must be approved by the Committee and ratified by the Board.</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September 11, 2008</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796" w:right="259" w:bottom="1440" w:gutter="0" w:footer="0" w:header="0"/>
        </w:sectPr>
      </w:pPr>
    </w:p>
    <w:bookmarkStart w:id="42" w:name="page43"/>
    <w:bookmarkEnd w:id="42"/>
    <w:p>
      <w:pPr>
        <w:ind w:left="1780"/>
        <w:spacing w:after="0"/>
        <w:rPr>
          <w:sz w:val="20"/>
          <w:szCs w:val="20"/>
          <w:color w:val="auto"/>
        </w:rPr>
      </w:pPr>
      <w:r>
        <w:rPr>
          <w:rFonts w:ascii="Arial" w:cs="Arial" w:eastAsia="Arial" w:hAnsi="Arial"/>
          <w:sz w:val="16"/>
          <w:szCs w:val="16"/>
          <w:color w:val="auto"/>
        </w:rPr>
        <w:t>Shareowner Services</w:t>
      </w:r>
      <w:r>
        <w:rPr>
          <w:rFonts w:ascii="Arial" w:cs="Arial" w:eastAsia="Arial" w:hAnsi="Arial"/>
          <w:sz w:val="20"/>
          <w:szCs w:val="20"/>
          <w:color w:val="auto"/>
          <w:vertAlign w:val="superscript"/>
        </w:rPr>
        <w:t>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-116840</wp:posOffset>
            </wp:positionV>
            <wp:extent cx="1072515" cy="149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72515" cy="14986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6"/>
          <w:szCs w:val="16"/>
          <w:color w:val="auto"/>
        </w:rPr>
        <w:t>P.O. Box 64945</w:t>
      </w:r>
    </w:p>
    <w:p>
      <w:pPr>
        <w:ind w:left="1780"/>
        <w:spacing w:after="0"/>
        <w:rPr>
          <w:sz w:val="20"/>
          <w:szCs w:val="20"/>
          <w:color w:val="auto"/>
        </w:rPr>
      </w:pPr>
      <w:r>
        <w:rPr>
          <w:rFonts w:ascii="Arial" w:cs="Arial" w:eastAsia="Arial" w:hAnsi="Arial"/>
          <w:sz w:val="16"/>
          <w:szCs w:val="16"/>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98425</wp:posOffset>
            </wp:positionV>
            <wp:extent cx="2186940" cy="3162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86940" cy="31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Three Ways to Appoint Your Proxy to Vote</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To appoint your proxy electronically by telephone:</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1-800-560-1965</w:t>
      </w:r>
    </w:p>
    <w:p>
      <w:pPr>
        <w:ind w:left="5740"/>
        <w:spacing w:after="0"/>
        <w:tabs>
          <w:tab w:leader="none" w:pos="5940" w:val="left"/>
        </w:tabs>
        <w:rPr>
          <w:sz w:val="20"/>
          <w:szCs w:val="20"/>
          <w:color w:val="auto"/>
        </w:rPr>
      </w:pPr>
      <w:r>
        <w:rPr>
          <w:rFonts w:ascii="Arial" w:cs="Arial" w:eastAsia="Arial" w:hAnsi="Arial"/>
          <w:sz w:val="12"/>
          <w:szCs w:val="12"/>
          <w:color w:val="auto"/>
        </w:rPr>
        <w:t>1)</w:t>
        <w:tab/>
        <w:t>Read the Proxy Statement and have the proxy card below at hand.</w:t>
      </w:r>
    </w:p>
    <w:p>
      <w:pPr>
        <w:ind w:left="5740"/>
        <w:spacing w:after="0" w:line="227" w:lineRule="auto"/>
        <w:tabs>
          <w:tab w:leader="none" w:pos="5940" w:val="left"/>
        </w:tabs>
        <w:rPr>
          <w:sz w:val="20"/>
          <w:szCs w:val="20"/>
          <w:color w:val="auto"/>
        </w:rPr>
      </w:pPr>
      <w:r>
        <w:rPr>
          <w:rFonts w:ascii="Arial" w:cs="Arial" w:eastAsia="Arial" w:hAnsi="Arial"/>
          <w:sz w:val="12"/>
          <w:szCs w:val="12"/>
          <w:color w:val="auto"/>
        </w:rPr>
        <w:t>2)</w:t>
        <w:tab/>
        <w:t xml:space="preserve">Call </w:t>
      </w:r>
      <w:r>
        <w:rPr>
          <w:rFonts w:ascii="Arial" w:cs="Arial" w:eastAsia="Arial" w:hAnsi="Arial"/>
          <w:sz w:val="12"/>
          <w:szCs w:val="12"/>
          <w:b w:val="1"/>
          <w:bCs w:val="1"/>
          <w:color w:val="auto"/>
        </w:rPr>
        <w:t>1-800-560-1965</w:t>
      </w:r>
      <w:r>
        <w:rPr>
          <w:rFonts w:ascii="Arial" w:cs="Arial" w:eastAsia="Arial" w:hAnsi="Arial"/>
          <w:sz w:val="12"/>
          <w:szCs w:val="12"/>
          <w:color w:val="auto"/>
        </w:rPr>
        <w:t>.</w:t>
      </w:r>
    </w:p>
    <w:p>
      <w:pPr>
        <w:ind w:left="5740"/>
        <w:spacing w:after="0"/>
        <w:tabs>
          <w:tab w:leader="none" w:pos="5940" w:val="left"/>
        </w:tabs>
        <w:rPr>
          <w:sz w:val="20"/>
          <w:szCs w:val="20"/>
          <w:color w:val="auto"/>
        </w:rPr>
      </w:pPr>
      <w:r>
        <w:rPr>
          <w:rFonts w:ascii="Arial" w:cs="Arial" w:eastAsia="Arial" w:hAnsi="Arial"/>
          <w:sz w:val="12"/>
          <w:szCs w:val="12"/>
          <w:color w:val="auto"/>
        </w:rPr>
        <w:t>3)</w:t>
        <w:tab/>
        <w:t>Follow the instructions.</w:t>
      </w:r>
    </w:p>
    <w:p>
      <w:pPr>
        <w:spacing w:after="0" w:line="44"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To appoint your proxy electronically via the Internet: www.eproxy.com/wgo/</w:t>
      </w:r>
    </w:p>
    <w:p>
      <w:pPr>
        <w:ind w:left="5720"/>
        <w:spacing w:after="0"/>
        <w:rPr>
          <w:sz w:val="20"/>
          <w:szCs w:val="20"/>
          <w:color w:val="auto"/>
        </w:rPr>
      </w:pPr>
      <w:r>
        <w:rPr>
          <w:rFonts w:ascii="Arial" w:cs="Arial" w:eastAsia="Arial" w:hAnsi="Arial"/>
          <w:sz w:val="12"/>
          <w:szCs w:val="12"/>
          <w:color w:val="auto"/>
        </w:rPr>
        <w:t>1) Read the Proxy Statement and have the proxy card below at hand.</w:t>
      </w:r>
    </w:p>
    <w:p>
      <w:pPr>
        <w:ind w:left="5720"/>
        <w:spacing w:after="0" w:line="227" w:lineRule="auto"/>
        <w:rPr>
          <w:sz w:val="20"/>
          <w:szCs w:val="20"/>
          <w:color w:val="auto"/>
        </w:rPr>
      </w:pPr>
      <w:r>
        <w:rPr>
          <w:rFonts w:ascii="Arial" w:cs="Arial" w:eastAsia="Arial" w:hAnsi="Arial"/>
          <w:sz w:val="12"/>
          <w:szCs w:val="12"/>
          <w:color w:val="auto"/>
        </w:rPr>
        <w:t xml:space="preserve">2) Go to website </w:t>
      </w:r>
      <w:r>
        <w:rPr>
          <w:rFonts w:ascii="Arial" w:cs="Arial" w:eastAsia="Arial" w:hAnsi="Arial"/>
          <w:sz w:val="12"/>
          <w:szCs w:val="12"/>
          <w:b w:val="1"/>
          <w:bCs w:val="1"/>
          <w:color w:val="auto"/>
        </w:rPr>
        <w:t>www.eproxy.com/wgo/</w:t>
      </w:r>
      <w:r>
        <w:rPr>
          <w:rFonts w:ascii="Arial" w:cs="Arial" w:eastAsia="Arial" w:hAnsi="Arial"/>
          <w:sz w:val="12"/>
          <w:szCs w:val="12"/>
          <w:color w:val="auto"/>
        </w:rPr>
        <w:t>.</w:t>
      </w:r>
    </w:p>
    <w:p>
      <w:pPr>
        <w:ind w:left="5720"/>
        <w:spacing w:after="0"/>
        <w:rPr>
          <w:sz w:val="20"/>
          <w:szCs w:val="20"/>
          <w:color w:val="auto"/>
        </w:rPr>
      </w:pPr>
      <w:r>
        <w:rPr>
          <w:rFonts w:ascii="Arial" w:cs="Arial" w:eastAsia="Arial" w:hAnsi="Arial"/>
          <w:sz w:val="12"/>
          <w:szCs w:val="12"/>
          <w:color w:val="auto"/>
        </w:rPr>
        <w:t>3) Follow the instructions provided on the website.</w:t>
      </w:r>
    </w:p>
    <w:p>
      <w:pPr>
        <w:spacing w:after="0" w:line="44"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To appoint your proxy by mail</w:t>
      </w:r>
    </w:p>
    <w:p>
      <w:pPr>
        <w:ind w:left="5720"/>
        <w:spacing w:after="0"/>
        <w:rPr>
          <w:sz w:val="20"/>
          <w:szCs w:val="20"/>
          <w:color w:val="auto"/>
        </w:rPr>
      </w:pPr>
      <w:r>
        <w:rPr>
          <w:rFonts w:ascii="Arial" w:cs="Arial" w:eastAsia="Arial" w:hAnsi="Arial"/>
          <w:sz w:val="12"/>
          <w:szCs w:val="12"/>
          <w:color w:val="auto"/>
        </w:rPr>
        <w:t>1) Read the Proxy Statement.</w:t>
      </w:r>
    </w:p>
    <w:p>
      <w:pPr>
        <w:ind w:left="5720"/>
        <w:spacing w:after="0" w:line="227" w:lineRule="auto"/>
        <w:rPr>
          <w:sz w:val="20"/>
          <w:szCs w:val="20"/>
          <w:color w:val="auto"/>
        </w:rPr>
      </w:pPr>
      <w:r>
        <w:rPr>
          <w:rFonts w:ascii="Arial" w:cs="Arial" w:eastAsia="Arial" w:hAnsi="Arial"/>
          <w:sz w:val="12"/>
          <w:szCs w:val="12"/>
          <w:color w:val="auto"/>
        </w:rPr>
        <w:t>2) Check the appropriate boxes on the proxy card below.</w:t>
      </w:r>
    </w:p>
    <w:p>
      <w:pPr>
        <w:ind w:left="5720"/>
        <w:spacing w:after="0" w:line="228" w:lineRule="auto"/>
        <w:rPr>
          <w:sz w:val="20"/>
          <w:szCs w:val="20"/>
          <w:color w:val="auto"/>
        </w:rPr>
      </w:pPr>
      <w:r>
        <w:rPr>
          <w:rFonts w:ascii="Arial" w:cs="Arial" w:eastAsia="Arial" w:hAnsi="Arial"/>
          <w:sz w:val="12"/>
          <w:szCs w:val="12"/>
          <w:color w:val="auto"/>
        </w:rPr>
        <w:t>3) Sign and date the proxy card.</w:t>
      </w:r>
    </w:p>
    <w:p>
      <w:pPr>
        <w:ind w:left="5720"/>
        <w:spacing w:after="0"/>
        <w:rPr>
          <w:sz w:val="20"/>
          <w:szCs w:val="20"/>
          <w:color w:val="auto"/>
        </w:rPr>
      </w:pPr>
      <w:r>
        <w:rPr>
          <w:rFonts w:ascii="Arial" w:cs="Arial" w:eastAsia="Arial" w:hAnsi="Arial"/>
          <w:sz w:val="12"/>
          <w:szCs w:val="12"/>
          <w:color w:val="auto"/>
        </w:rPr>
        <w:t>4) Return the proxy card in the envelope provided.</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The deadline for voting is 12:00 p.m. (CST) on Monday, December 14, 2015.</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Your Vote is Important</w:t>
      </w:r>
    </w:p>
    <w:p>
      <w:pPr>
        <w:spacing w:after="0" w:line="145"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7037705</wp:posOffset>
            </wp:positionH>
            <wp:positionV relativeFrom="paragraph">
              <wp:posOffset>579120</wp:posOffset>
            </wp:positionV>
            <wp:extent cx="224790" cy="1162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4790" cy="11620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579120</wp:posOffset>
            </wp:positionV>
            <wp:extent cx="149860" cy="1162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9860" cy="116205"/>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80645</wp:posOffset>
            </wp:positionV>
            <wp:extent cx="2128520" cy="149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28520" cy="149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The Board of Directors Recommends a</w:t>
            </w:r>
          </w:p>
        </w:tc>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Vote FOR Items 1, 2, 3, and 4.</w:t>
            </w:r>
          </w:p>
        </w:tc>
        <w:tc>
          <w:tcPr>
            <w:tcW w:w="1440" w:type="dxa"/>
            <w:vAlign w:val="bottom"/>
          </w:tcPr>
          <w:p>
            <w:pPr>
              <w:spacing w:after="0"/>
              <w:rPr>
                <w:sz w:val="18"/>
                <w:szCs w:val="18"/>
                <w:color w:val="auto"/>
              </w:rPr>
            </w:pPr>
          </w:p>
        </w:tc>
      </w:tr>
      <w:tr>
        <w:trPr>
          <w:trHeight w:val="236"/>
        </w:trPr>
        <w:tc>
          <w:tcPr>
            <w:tcW w:w="1500" w:type="dxa"/>
            <w:vAlign w:val="bottom"/>
          </w:tcPr>
          <w:p>
            <w:pPr>
              <w:spacing w:after="0"/>
              <w:rPr>
                <w:sz w:val="20"/>
                <w:szCs w:val="20"/>
                <w:color w:val="auto"/>
              </w:rPr>
            </w:pPr>
            <w:r>
              <w:rPr>
                <w:rFonts w:ascii="Arial" w:cs="Arial" w:eastAsia="Arial" w:hAnsi="Arial"/>
                <w:sz w:val="14"/>
                <w:szCs w:val="14"/>
                <w:b w:val="1"/>
                <w:bCs w:val="1"/>
                <w:color w:val="auto"/>
              </w:rPr>
              <w:t xml:space="preserve">1.  </w:t>
            </w:r>
            <w:r>
              <w:rPr>
                <w:rFonts w:ascii="Arial" w:cs="Arial" w:eastAsia="Arial" w:hAnsi="Arial"/>
                <w:sz w:val="14"/>
                <w:szCs w:val="14"/>
                <w:color w:val="auto"/>
              </w:rPr>
              <w:t>Election of</w:t>
            </w: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2620" w:type="dxa"/>
            <w:vAlign w:val="bottom"/>
          </w:tcPr>
          <w:p>
            <w:pPr>
              <w:ind w:left="20"/>
              <w:spacing w:after="0"/>
              <w:rPr>
                <w:sz w:val="20"/>
                <w:szCs w:val="20"/>
                <w:color w:val="auto"/>
              </w:rPr>
            </w:pPr>
            <w:r>
              <w:rPr>
                <w:rFonts w:ascii="Arial" w:cs="Arial" w:eastAsia="Arial" w:hAnsi="Arial"/>
                <w:sz w:val="14"/>
                <w:szCs w:val="14"/>
                <w:color w:val="auto"/>
              </w:rPr>
              <w:t>Christopher J. Braun</w:t>
            </w:r>
          </w:p>
        </w:tc>
        <w:tc>
          <w:tcPr>
            <w:tcW w:w="1360" w:type="dxa"/>
            <w:vAlign w:val="bottom"/>
          </w:tcPr>
          <w:p>
            <w:pPr>
              <w:jc w:val="right"/>
              <w:spacing w:after="0"/>
              <w:rPr>
                <w:sz w:val="20"/>
                <w:szCs w:val="20"/>
                <w:color w:val="auto"/>
              </w:rPr>
            </w:pPr>
            <w:r>
              <w:rPr>
                <w:rFonts w:ascii="Arial" w:cs="Arial" w:eastAsia="Arial" w:hAnsi="Arial"/>
                <w:sz w:val="16"/>
                <w:szCs w:val="16"/>
                <w:color w:val="auto"/>
              </w:rPr>
              <w:t>o</w:t>
            </w:r>
          </w:p>
        </w:tc>
        <w:tc>
          <w:tcPr>
            <w:tcW w:w="2300" w:type="dxa"/>
            <w:vAlign w:val="bottom"/>
          </w:tcPr>
          <w:p>
            <w:pPr>
              <w:ind w:left="140"/>
              <w:spacing w:after="0"/>
              <w:rPr>
                <w:sz w:val="20"/>
                <w:szCs w:val="20"/>
                <w:color w:val="auto"/>
              </w:rPr>
            </w:pPr>
            <w:r>
              <w:rPr>
                <w:rFonts w:ascii="Arial" w:cs="Arial" w:eastAsia="Arial" w:hAnsi="Arial"/>
                <w:sz w:val="14"/>
                <w:szCs w:val="14"/>
                <w:color w:val="auto"/>
              </w:rPr>
              <w:t>Vote FOR all nominees</w:t>
            </w:r>
          </w:p>
        </w:tc>
        <w:tc>
          <w:tcPr>
            <w:tcW w:w="1440" w:type="dxa"/>
            <w:vAlign w:val="bottom"/>
          </w:tcPr>
          <w:p>
            <w:pPr>
              <w:ind w:left="10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3"/>
                <w:szCs w:val="13"/>
                <w:color w:val="auto"/>
              </w:rPr>
              <w:t>Vote WITHHELD</w:t>
            </w:r>
          </w:p>
        </w:tc>
      </w:tr>
      <w:tr>
        <w:trPr>
          <w:trHeight w:val="245"/>
        </w:trPr>
        <w:tc>
          <w:tcPr>
            <w:tcW w:w="1500" w:type="dxa"/>
            <w:vAlign w:val="bottom"/>
          </w:tcPr>
          <w:p>
            <w:pPr>
              <w:ind w:left="220"/>
              <w:spacing w:after="0"/>
              <w:rPr>
                <w:sz w:val="20"/>
                <w:szCs w:val="20"/>
                <w:color w:val="auto"/>
              </w:rPr>
            </w:pPr>
            <w:r>
              <w:rPr>
                <w:rFonts w:ascii="Arial" w:cs="Arial" w:eastAsia="Arial" w:hAnsi="Arial"/>
                <w:sz w:val="14"/>
                <w:szCs w:val="14"/>
                <w:color w:val="auto"/>
              </w:rPr>
              <w:t>Class I directors:</w:t>
            </w:r>
          </w:p>
        </w:tc>
        <w:tc>
          <w:tcPr>
            <w:tcW w:w="380" w:type="dxa"/>
            <w:vAlign w:val="bottom"/>
          </w:tcPr>
          <w:p>
            <w:pPr>
              <w:jc w:val="right"/>
              <w:spacing w:after="0"/>
              <w:rPr>
                <w:sz w:val="20"/>
                <w:szCs w:val="20"/>
                <w:color w:val="auto"/>
              </w:rPr>
            </w:pPr>
            <w:r>
              <w:rPr>
                <w:rFonts w:ascii="Arial" w:cs="Arial" w:eastAsia="Arial" w:hAnsi="Arial"/>
                <w:sz w:val="14"/>
                <w:szCs w:val="14"/>
                <w:color w:val="auto"/>
              </w:rPr>
              <w:t>02</w:t>
            </w:r>
          </w:p>
        </w:tc>
        <w:tc>
          <w:tcPr>
            <w:tcW w:w="2620" w:type="dxa"/>
            <w:vAlign w:val="bottom"/>
          </w:tcPr>
          <w:p>
            <w:pPr>
              <w:ind w:left="20"/>
              <w:spacing w:after="0"/>
              <w:rPr>
                <w:sz w:val="20"/>
                <w:szCs w:val="20"/>
                <w:color w:val="auto"/>
              </w:rPr>
            </w:pPr>
            <w:r>
              <w:rPr>
                <w:rFonts w:ascii="Arial" w:cs="Arial" w:eastAsia="Arial" w:hAnsi="Arial"/>
                <w:sz w:val="14"/>
                <w:szCs w:val="14"/>
                <w:color w:val="auto"/>
              </w:rPr>
              <w:t>David W. Miles</w:t>
            </w:r>
          </w:p>
        </w:tc>
        <w:tc>
          <w:tcPr>
            <w:tcW w:w="1360" w:type="dxa"/>
            <w:vAlign w:val="bottom"/>
          </w:tcPr>
          <w:p>
            <w:pPr>
              <w:spacing w:after="0"/>
              <w:rPr>
                <w:sz w:val="21"/>
                <w:szCs w:val="21"/>
                <w:color w:val="auto"/>
              </w:rPr>
            </w:pPr>
          </w:p>
        </w:tc>
        <w:tc>
          <w:tcPr>
            <w:tcW w:w="2300" w:type="dxa"/>
            <w:vAlign w:val="bottom"/>
          </w:tcPr>
          <w:p>
            <w:pPr>
              <w:ind w:left="100"/>
              <w:spacing w:after="0"/>
              <w:rPr>
                <w:sz w:val="20"/>
                <w:szCs w:val="20"/>
                <w:color w:val="auto"/>
              </w:rPr>
            </w:pPr>
            <w:r>
              <w:rPr>
                <w:rFonts w:ascii="Arial" w:cs="Arial" w:eastAsia="Arial" w:hAnsi="Arial"/>
                <w:sz w:val="14"/>
                <w:szCs w:val="14"/>
                <w:color w:val="auto"/>
              </w:rPr>
              <w:t>(except as marked)</w:t>
            </w:r>
          </w:p>
        </w:tc>
        <w:tc>
          <w:tcPr>
            <w:tcW w:w="1440" w:type="dxa"/>
            <w:vAlign w:val="bottom"/>
          </w:tcPr>
          <w:p>
            <w:pPr>
              <w:ind w:left="340"/>
              <w:spacing w:after="0"/>
              <w:rPr>
                <w:sz w:val="20"/>
                <w:szCs w:val="20"/>
                <w:color w:val="auto"/>
              </w:rPr>
            </w:pPr>
            <w:r>
              <w:rPr>
                <w:rFonts w:ascii="Arial" w:cs="Arial" w:eastAsia="Arial" w:hAnsi="Arial"/>
                <w:sz w:val="14"/>
                <w:szCs w:val="14"/>
                <w:color w:val="auto"/>
                <w:w w:val="97"/>
              </w:rPr>
              <w:t>from all nominees</w:t>
            </w:r>
          </w:p>
        </w:tc>
      </w:tr>
      <w:tr>
        <w:trPr>
          <w:trHeight w:val="262"/>
        </w:trPr>
        <w:tc>
          <w:tcPr>
            <w:tcW w:w="15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2620" w:type="dxa"/>
            <w:vAlign w:val="bottom"/>
          </w:tcPr>
          <w:p>
            <w:pPr>
              <w:ind w:left="20"/>
              <w:spacing w:after="0"/>
              <w:rPr>
                <w:sz w:val="20"/>
                <w:szCs w:val="20"/>
                <w:color w:val="auto"/>
              </w:rPr>
            </w:pPr>
            <w:r>
              <w:rPr>
                <w:rFonts w:ascii="Arial" w:cs="Arial" w:eastAsia="Arial" w:hAnsi="Arial"/>
                <w:sz w:val="14"/>
                <w:szCs w:val="14"/>
                <w:color w:val="auto"/>
              </w:rPr>
              <w:t>Martha T. Rodamaker</w:t>
            </w:r>
          </w:p>
        </w:tc>
        <w:tc>
          <w:tcPr>
            <w:tcW w:w="13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62"/>
        </w:trPr>
        <w:tc>
          <w:tcPr>
            <w:tcW w:w="1500" w:type="dxa"/>
            <w:vAlign w:val="bottom"/>
          </w:tcPr>
          <w:p>
            <w:pPr>
              <w:ind w:left="220"/>
              <w:spacing w:after="0"/>
              <w:rPr>
                <w:sz w:val="20"/>
                <w:szCs w:val="20"/>
                <w:color w:val="auto"/>
              </w:rPr>
            </w:pPr>
            <w:r>
              <w:rPr>
                <w:rFonts w:ascii="Arial" w:cs="Arial" w:eastAsia="Arial" w:hAnsi="Arial"/>
                <w:sz w:val="14"/>
                <w:szCs w:val="14"/>
                <w:color w:val="auto"/>
              </w:rPr>
              <w:t>Class III director:</w:t>
            </w:r>
          </w:p>
        </w:tc>
        <w:tc>
          <w:tcPr>
            <w:tcW w:w="380" w:type="dxa"/>
            <w:vAlign w:val="bottom"/>
          </w:tcPr>
          <w:p>
            <w:pPr>
              <w:jc w:val="right"/>
              <w:spacing w:after="0"/>
              <w:rPr>
                <w:sz w:val="20"/>
                <w:szCs w:val="20"/>
                <w:color w:val="auto"/>
              </w:rPr>
            </w:pPr>
            <w:r>
              <w:rPr>
                <w:rFonts w:ascii="Arial" w:cs="Arial" w:eastAsia="Arial" w:hAnsi="Arial"/>
                <w:sz w:val="14"/>
                <w:szCs w:val="14"/>
                <w:color w:val="auto"/>
              </w:rPr>
              <w:t>04</w:t>
            </w:r>
          </w:p>
        </w:tc>
        <w:tc>
          <w:tcPr>
            <w:tcW w:w="2620" w:type="dxa"/>
            <w:vAlign w:val="bottom"/>
          </w:tcPr>
          <w:p>
            <w:pPr>
              <w:ind w:left="20"/>
              <w:spacing w:after="0"/>
              <w:rPr>
                <w:sz w:val="20"/>
                <w:szCs w:val="20"/>
                <w:color w:val="auto"/>
              </w:rPr>
            </w:pPr>
            <w:r>
              <w:rPr>
                <w:rFonts w:ascii="Arial" w:cs="Arial" w:eastAsia="Arial" w:hAnsi="Arial"/>
                <w:sz w:val="14"/>
                <w:szCs w:val="14"/>
                <w:color w:val="auto"/>
              </w:rPr>
              <w:t>William C. Fisher</w:t>
            </w:r>
          </w:p>
        </w:tc>
        <w:tc>
          <w:tcPr>
            <w:tcW w:w="13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40005</wp:posOffset>
            </wp:positionV>
            <wp:extent cx="3043555" cy="241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43555" cy="241300"/>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p>
      <w:pPr>
        <w:spacing w:after="0" w:line="78" w:lineRule="exact"/>
        <w:rPr>
          <w:sz w:val="20"/>
          <w:szCs w:val="20"/>
          <w:color w:val="auto"/>
        </w:rPr>
      </w:pPr>
    </w:p>
    <w:p>
      <w:pPr>
        <w:ind w:left="380" w:right="540"/>
        <w:spacing w:after="0" w:line="269" w:lineRule="auto"/>
        <w:rPr>
          <w:sz w:val="20"/>
          <w:szCs w:val="20"/>
          <w:color w:val="auto"/>
        </w:rPr>
      </w:pPr>
      <w:r>
        <w:rPr>
          <w:rFonts w:ascii="Arial" w:cs="Arial" w:eastAsia="Arial" w:hAnsi="Arial"/>
          <w:sz w:val="14"/>
          <w:szCs w:val="14"/>
          <w:b w:val="1"/>
          <w:bCs w:val="1"/>
          <w:color w:val="auto"/>
        </w:rPr>
        <w:t>(Instructions: To withhold authority to vote any indicated nominee, write the number(s) of the nominee(s) in the box provided to the right.)</w:t>
      </w:r>
    </w:p>
    <w:p>
      <w:pPr>
        <w:spacing w:after="0" w:line="257" w:lineRule="exact"/>
        <w:rPr>
          <w:sz w:val="20"/>
          <w:szCs w:val="20"/>
          <w:color w:val="auto"/>
        </w:rPr>
      </w:pPr>
    </w:p>
    <w:p>
      <w:pPr>
        <w:ind w:left="620" w:hanging="202"/>
        <w:spacing w:after="0"/>
        <w:tabs>
          <w:tab w:leader="none" w:pos="620" w:val="left"/>
        </w:tabs>
        <w:numPr>
          <w:ilvl w:val="0"/>
          <w:numId w:val="65"/>
        </w:numPr>
        <w:rPr>
          <w:rFonts w:ascii="Arial" w:cs="Arial" w:eastAsia="Arial" w:hAnsi="Arial"/>
          <w:sz w:val="14"/>
          <w:szCs w:val="14"/>
          <w:b w:val="1"/>
          <w:bCs w:val="1"/>
          <w:color w:val="auto"/>
        </w:rPr>
      </w:pPr>
      <w:r>
        <w:rPr>
          <w:rFonts w:ascii="Arial" w:cs="Arial" w:eastAsia="Arial" w:hAnsi="Arial"/>
          <w:sz w:val="14"/>
          <w:szCs w:val="14"/>
          <w:color w:val="auto"/>
        </w:rPr>
        <w:t>Advisory approval of executive compensation, (the "say on pay" vote).</w:t>
      </w:r>
    </w:p>
    <w:p>
      <w:pPr>
        <w:spacing w:after="0" w:line="218" w:lineRule="exact"/>
        <w:rPr>
          <w:rFonts w:ascii="Arial" w:cs="Arial" w:eastAsia="Arial" w:hAnsi="Arial"/>
          <w:sz w:val="14"/>
          <w:szCs w:val="14"/>
          <w:b w:val="1"/>
          <w:bCs w:val="1"/>
          <w:color w:val="auto"/>
        </w:rPr>
      </w:pPr>
    </w:p>
    <w:p>
      <w:pPr>
        <w:ind w:left="620" w:hanging="202"/>
        <w:spacing w:after="0" w:line="245" w:lineRule="auto"/>
        <w:tabs>
          <w:tab w:leader="none" w:pos="620" w:val="left"/>
        </w:tabs>
        <w:numPr>
          <w:ilvl w:val="0"/>
          <w:numId w:val="65"/>
        </w:numPr>
        <w:rPr>
          <w:rFonts w:ascii="Arial" w:cs="Arial" w:eastAsia="Arial" w:hAnsi="Arial"/>
          <w:sz w:val="14"/>
          <w:szCs w:val="14"/>
          <w:b w:val="1"/>
          <w:bCs w:val="1"/>
          <w:color w:val="auto"/>
        </w:rPr>
      </w:pPr>
      <w:r>
        <w:rPr>
          <w:rFonts w:ascii="Arial" w:cs="Arial" w:eastAsia="Arial" w:hAnsi="Arial"/>
          <w:sz w:val="14"/>
          <w:szCs w:val="14"/>
          <w:color w:val="auto"/>
        </w:rPr>
        <w:t>Ratification of the appointment of Deloitte &amp; Touche LLP as Winnebago Industries, Inc. Independent Registered Public Accountant for our fiscal year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220" w:val="left"/>
          <w:tab w:leader="none" w:pos="1080" w:val="left"/>
          <w:tab w:leader="none" w:pos="1300" w:val="left"/>
          <w:tab w:leader="none" w:pos="2420" w:val="left"/>
          <w:tab w:leader="none" w:pos="26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3"/>
          <w:szCs w:val="13"/>
          <w:color w:val="auto"/>
        </w:rPr>
        <w:t>Abstain</w:t>
      </w:r>
    </w:p>
    <w:p>
      <w:pPr>
        <w:spacing w:after="0" w:line="271" w:lineRule="exact"/>
        <w:rPr>
          <w:sz w:val="20"/>
          <w:szCs w:val="20"/>
          <w:color w:val="auto"/>
        </w:rPr>
      </w:pPr>
    </w:p>
    <w:p>
      <w:pPr>
        <w:spacing w:after="0"/>
        <w:tabs>
          <w:tab w:leader="none" w:pos="220" w:val="left"/>
          <w:tab w:leader="none" w:pos="1080" w:val="left"/>
          <w:tab w:leader="none" w:pos="1300" w:val="left"/>
          <w:tab w:leader="none" w:pos="2420" w:val="left"/>
          <w:tab w:leader="none" w:pos="26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3"/>
          <w:szCs w:val="13"/>
          <w:color w:val="auto"/>
        </w:rPr>
        <w:t>Abstain</w:t>
      </w:r>
    </w:p>
    <w:p>
      <w:pPr>
        <w:spacing w:after="0" w:line="377" w:lineRule="exact"/>
        <w:rPr>
          <w:sz w:val="20"/>
          <w:szCs w:val="20"/>
          <w:color w:val="auto"/>
        </w:rPr>
      </w:pPr>
    </w:p>
    <w:p>
      <w:pPr>
        <w:sectPr>
          <w:pgSz w:w="11900" w:h="16838" w:orient="portrait"/>
          <w:cols w:equalWidth="0" w:num="2">
            <w:col w:w="5960" w:space="140"/>
            <w:col w:w="5300"/>
          </w:cols>
          <w:pgMar w:left="240" w:top="488" w:right="259" w:bottom="1440" w:gutter="0" w:footer="0" w:header="0"/>
          <w:type w:val="continuous"/>
        </w:sectPr>
      </w:pPr>
    </w:p>
    <w:p>
      <w:pPr>
        <w:spacing w:after="0" w:line="61" w:lineRule="exact"/>
        <w:rPr>
          <w:sz w:val="20"/>
          <w:szCs w:val="20"/>
          <w:color w:val="auto"/>
        </w:rPr>
      </w:pPr>
    </w:p>
    <w:p>
      <w:pPr>
        <w:ind w:left="620" w:hanging="202"/>
        <w:spacing w:after="0"/>
        <w:tabs>
          <w:tab w:leader="none" w:pos="620" w:val="left"/>
        </w:tabs>
        <w:numPr>
          <w:ilvl w:val="0"/>
          <w:numId w:val="66"/>
        </w:numPr>
        <w:rPr>
          <w:rFonts w:ascii="Arial" w:cs="Arial" w:eastAsia="Arial" w:hAnsi="Arial"/>
          <w:sz w:val="14"/>
          <w:szCs w:val="14"/>
          <w:b w:val="1"/>
          <w:bCs w:val="1"/>
          <w:color w:val="auto"/>
        </w:rPr>
      </w:pPr>
      <w:r>
        <w:rPr>
          <w:rFonts w:ascii="Arial" w:cs="Arial" w:eastAsia="Arial" w:hAnsi="Arial"/>
          <w:sz w:val="14"/>
          <w:szCs w:val="14"/>
          <w:color w:val="auto"/>
        </w:rPr>
        <w:t>To transact such other business as may properly come before the meeting or any adjournment or adjournments thereof.</w:t>
      </w:r>
    </w:p>
    <w:p>
      <w:pPr>
        <w:spacing w:after="0" w:line="200" w:lineRule="exact"/>
        <w:rPr>
          <w:sz w:val="20"/>
          <w:szCs w:val="20"/>
          <w:color w:val="auto"/>
        </w:rPr>
      </w:pPr>
    </w:p>
    <w:p>
      <w:pPr>
        <w:spacing w:after="0" w:line="343" w:lineRule="exact"/>
        <w:rPr>
          <w:sz w:val="20"/>
          <w:szCs w:val="20"/>
          <w:color w:val="auto"/>
        </w:rPr>
      </w:pPr>
    </w:p>
    <w:p>
      <w:pPr>
        <w:ind w:left="380" w:right="460"/>
        <w:spacing w:after="0" w:line="269" w:lineRule="auto"/>
        <w:rPr>
          <w:sz w:val="20"/>
          <w:szCs w:val="20"/>
          <w:color w:val="auto"/>
        </w:rPr>
      </w:pPr>
      <w:r>
        <w:rPr>
          <w:rFonts w:ascii="Arial" w:cs="Arial" w:eastAsia="Arial" w:hAnsi="Arial"/>
          <w:sz w:val="14"/>
          <w:szCs w:val="14"/>
          <w:b w:val="1"/>
          <w:bCs w:val="1"/>
          <w:color w:val="auto"/>
        </w:rPr>
        <w:t>THIS PROXY, WHEN PROPERLY EXECUTED, WILL BE VOTED IN THE MANNER DIRECTED HEREIN BY THE UNDERSIGNED SHAREHOLDER. IF NO DIRECTION IS MADE, THIS PROXY WILL BE VOTED FOR EACH PROPOSAL AND IN THE DISCRETION OF THE NAMED PROXIES ON ALL OTHER MATTERS.</w:t>
      </w:r>
    </w:p>
    <w:p>
      <w:pPr>
        <w:sectPr>
          <w:pgSz w:w="11900" w:h="16838" w:orient="portrait"/>
          <w:cols w:equalWidth="0" w:num="1">
            <w:col w:w="11400"/>
          </w:cols>
          <w:pgMar w:left="240" w:top="488" w:right="259" w:bottom="1440" w:gutter="0" w:footer="0" w:header="0"/>
          <w:type w:val="continuous"/>
        </w:sectPr>
      </w:pPr>
    </w:p>
    <w:p>
      <w:pPr>
        <w:spacing w:after="0" w:line="234" w:lineRule="exact"/>
        <w:rPr>
          <w:sz w:val="20"/>
          <w:szCs w:val="20"/>
          <w:color w:val="auto"/>
        </w:rPr>
      </w:pPr>
    </w:p>
    <w:p>
      <w:pPr>
        <w:ind w:left="380"/>
        <w:spacing w:after="0"/>
        <w:tabs>
          <w:tab w:leader="none" w:pos="1640" w:val="left"/>
          <w:tab w:leader="none" w:pos="2380" w:val="left"/>
          <w:tab w:leader="none" w:pos="2600" w:val="left"/>
        </w:tabs>
        <w:rPr>
          <w:sz w:val="20"/>
          <w:szCs w:val="20"/>
          <w:color w:val="auto"/>
        </w:rPr>
      </w:pPr>
      <w:r>
        <w:rPr>
          <w:rFonts w:ascii="Arial" w:cs="Arial" w:eastAsia="Arial" w:hAnsi="Arial"/>
          <w:sz w:val="14"/>
          <w:szCs w:val="14"/>
          <w:color w:val="auto"/>
        </w:rPr>
        <w:t>Address Change?</w:t>
        <w:tab/>
        <w:t>Mark Box</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3"/>
          <w:szCs w:val="13"/>
          <w:color w:val="auto"/>
        </w:rPr>
        <w:t>Indicate changes below:</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127635</wp:posOffset>
            </wp:positionV>
            <wp:extent cx="3043555" cy="382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43555" cy="38227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11430</wp:posOffset>
            </wp:positionV>
            <wp:extent cx="15881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Signature(s) in Box</w:t>
      </w:r>
    </w:p>
    <w:p>
      <w:pPr>
        <w:spacing w:after="0" w:line="49" w:lineRule="exact"/>
        <w:rPr>
          <w:sz w:val="20"/>
          <w:szCs w:val="20"/>
          <w:color w:val="auto"/>
        </w:rPr>
      </w:pPr>
    </w:p>
    <w:p>
      <w:pPr>
        <w:ind w:right="580"/>
        <w:spacing w:after="0" w:line="238" w:lineRule="auto"/>
        <w:rPr>
          <w:sz w:val="20"/>
          <w:szCs w:val="20"/>
          <w:color w:val="auto"/>
        </w:rPr>
      </w:pPr>
      <w:r>
        <w:rPr>
          <w:rFonts w:ascii="Arial" w:cs="Arial" w:eastAsia="Arial" w:hAnsi="Arial"/>
          <w:sz w:val="14"/>
          <w:szCs w:val="14"/>
          <w:color w:val="auto"/>
        </w:rPr>
        <w:t>Please sign exactly as your name(s) appears on the Proxy. If held in joint tenancy, all persons should sign. Trustees, administrators, etc., should include title and authority. Corporations should provide full name of corporation and title of authorized officer signing the Proxy.</w:t>
      </w:r>
    </w:p>
    <w:p>
      <w:pPr>
        <w:sectPr>
          <w:pgSz w:w="11900" w:h="16838" w:orient="portrait"/>
          <w:cols w:equalWidth="0" w:num="2">
            <w:col w:w="5600" w:space="720"/>
            <w:col w:w="5080"/>
          </w:cols>
          <w:pgMar w:left="240" w:top="488" w:right="259" w:bottom="1440" w:gutter="0" w:footer="0" w:header="0"/>
          <w:type w:val="continuous"/>
        </w:sectPr>
      </w:pPr>
    </w:p>
    <w:bookmarkStart w:id="43" w:name="page44"/>
    <w:bookmarkEnd w:id="43"/>
    <w:p>
      <w:pPr>
        <w:ind w:left="17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2466975</wp:posOffset>
            </wp:positionH>
            <wp:positionV relativeFrom="page">
              <wp:posOffset>338455</wp:posOffset>
            </wp:positionV>
            <wp:extent cx="2635885" cy="374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2635885" cy="374015"/>
                    </a:xfrm>
                    <a:prstGeom prst="rect">
                      <a:avLst/>
                    </a:prstGeom>
                    <a:noFill/>
                  </pic:spPr>
                </pic:pic>
              </a:graphicData>
            </a:graphic>
          </wp:anchor>
        </w:drawing>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-74295</wp:posOffset>
            </wp:positionV>
            <wp:extent cx="2627630" cy="32924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27630" cy="3292475"/>
                    </a:xfrm>
                    <a:prstGeom prst="rect">
                      <a:avLst/>
                    </a:prstGeom>
                    <a:noFill/>
                  </pic:spPr>
                </pic:pic>
              </a:graphicData>
            </a:graphic>
          </wp:anchor>
        </w:drawing>
      </w:r>
    </w:p>
    <w:p>
      <w:pPr>
        <w:spacing w:after="0" w:line="104" w:lineRule="exact"/>
        <w:rPr>
          <w:sz w:val="20"/>
          <w:szCs w:val="20"/>
          <w:color w:val="auto"/>
        </w:rPr>
      </w:pPr>
    </w:p>
    <w:p>
      <w:pPr>
        <w:ind w:left="1160"/>
        <w:spacing w:after="0"/>
        <w:rPr>
          <w:sz w:val="20"/>
          <w:szCs w:val="20"/>
          <w:color w:val="auto"/>
        </w:rPr>
      </w:pPr>
      <w:r>
        <w:rPr>
          <w:rFonts w:ascii="Arial" w:cs="Arial" w:eastAsia="Arial" w:hAnsi="Arial"/>
          <w:sz w:val="12"/>
          <w:szCs w:val="12"/>
          <w:b w:val="1"/>
          <w:bCs w:val="1"/>
          <w:color w:val="auto"/>
        </w:rPr>
        <w:t>Tuesday, December 15, 2015 4:00 p.m. Central Standard Time</w:t>
      </w:r>
    </w:p>
    <w:p>
      <w:pPr>
        <w:spacing w:after="0" w:line="124"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Winnebago Industries' South Office Complex Theater,</w:t>
      </w:r>
    </w:p>
    <w:p>
      <w:pPr>
        <w:spacing w:after="0" w:line="7" w:lineRule="exact"/>
        <w:rPr>
          <w:sz w:val="20"/>
          <w:szCs w:val="20"/>
          <w:color w:val="auto"/>
        </w:rPr>
      </w:pPr>
    </w:p>
    <w:p>
      <w:pPr>
        <w:ind w:left="1680"/>
        <w:spacing w:after="0"/>
        <w:rPr>
          <w:sz w:val="20"/>
          <w:szCs w:val="20"/>
          <w:color w:val="auto"/>
        </w:rPr>
      </w:pPr>
      <w:r>
        <w:rPr>
          <w:rFonts w:ascii="Arial" w:cs="Arial" w:eastAsia="Arial" w:hAnsi="Arial"/>
          <w:sz w:val="12"/>
          <w:szCs w:val="12"/>
          <w:b w:val="1"/>
          <w:bCs w:val="1"/>
          <w:color w:val="auto"/>
        </w:rPr>
        <w:t>605 W. Crystal Lake Road, Forest City, Iowa</w:t>
      </w:r>
    </w:p>
    <w:p>
      <w:pPr>
        <w:sectPr>
          <w:pgSz w:w="11900" w:h="16838" w:orient="portrait"/>
          <w:cols w:equalWidth="0" w:num="1">
            <w:col w:w="11140"/>
          </w:cols>
          <w:pgMar w:left="400" w:top="11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Winnebago Industries, Inc.</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15875</wp:posOffset>
            </wp:positionV>
            <wp:extent cx="70846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84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w:t>
      </w:r>
    </w:p>
    <w:p>
      <w:pPr>
        <w:spacing w:after="0" w:line="226" w:lineRule="exact"/>
        <w:rPr>
          <w:sz w:val="20"/>
          <w:szCs w:val="20"/>
          <w:color w:val="auto"/>
        </w:rPr>
      </w:pPr>
    </w:p>
    <w:p>
      <w:pPr>
        <w:sectPr>
          <w:pgSz w:w="11900" w:h="16838" w:orient="portrait"/>
          <w:cols w:equalWidth="0" w:num="2">
            <w:col w:w="9720" w:space="720"/>
            <w:col w:w="700"/>
          </w:cols>
          <w:pgMar w:left="400" w:top="1154"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Proxy solicited on behalf of the Board of Directors of the Company for Annual Meeting on December 15, 2015.</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appoints Scott C. Folkers and Donald L. Heidemann, or either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15th day of December, 2015, at 4:00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2"/>
          <w:szCs w:val="12"/>
          <w:i w:val="1"/>
          <w:iCs w:val="1"/>
          <w:color w:val="auto"/>
        </w:rPr>
        <w:t>(Continued, and to be signed and dated, on the other side.)</w:t>
      </w:r>
    </w:p>
    <w:sectPr>
      <w:pgSz w:w="11900" w:h="16838" w:orient="portrait"/>
      <w:cols w:equalWidth="0" w:num="1">
        <w:col w:w="11140"/>
      </w:cols>
      <w:pgMar w:left="400" w:top="115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o"/>
      <w:numFmt w:val="bullet"/>
      <w:start w:val="1"/>
    </w:lvl>
  </w:abstractNum>
  <w:abstractNum w:abstractNumId="1">
    <w:nsid w:val="614FD4A1"/>
    <w:multiLevelType w:val="hybridMultilevel"/>
    <w:lvl w:ilvl="0">
      <w:lvlJc w:val="left"/>
      <w:lvlText w:val="x"/>
      <w:numFmt w:val="bullet"/>
      <w:start w:val="1"/>
    </w:lvl>
  </w:abstractNum>
  <w:abstractNum w:abstractNumId="2">
    <w:nsid w:val="419AC241"/>
    <w:multiLevelType w:val="hybridMultilevel"/>
    <w:lvl w:ilvl="0">
      <w:lvlJc w:val="left"/>
      <w:lvlText w:val="o"/>
      <w:numFmt w:val="bullet"/>
      <w:start w:val="1"/>
    </w:lvl>
    <w:lvl w:ilvl="1">
      <w:lvlJc w:val="left"/>
      <w:lvlText w:val="%2)"/>
      <w:numFmt w:val="decimal"/>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lowerRoman"/>
      <w:start w:val="2"/>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3"/>
    </w:lvl>
  </w:abstractNum>
  <w:abstractNum w:abstractNumId="10">
    <w:nsid w:val="2463B9EA"/>
    <w:multiLevelType w:val="hybridMultilevel"/>
    <w:lvl w:ilvl="0">
      <w:lvlJc w:val="left"/>
      <w:lvlText w:val="(%1)"/>
      <w:numFmt w:val="decimal"/>
      <w:start w:val="5"/>
    </w:lvl>
  </w:abstractNum>
  <w:abstractNum w:abstractNumId="11">
    <w:nsid w:val="5E884ADC"/>
    <w:multiLevelType w:val="hybridMultilevel"/>
    <w:lvl w:ilvl="0">
      <w:lvlJc w:val="left"/>
      <w:lvlText w:val="(%1)"/>
      <w:numFmt w:val="decimal"/>
      <w:start w:val="1"/>
    </w:lvl>
    <w:lvl w:ilvl="1">
      <w:lvlJc w:val="left"/>
      <w:lvlText w:val="(%2)"/>
      <w:numFmt w:val="lowerRoman"/>
      <w:start w:val="1"/>
    </w:lvl>
  </w:abstractNum>
  <w:abstractNum w:abstractNumId="12">
    <w:nsid w:val="51EAD36B"/>
    <w:multiLevelType w:val="hybridMultilevel"/>
    <w:lvl w:ilvl="0">
      <w:lvlJc w:val="left"/>
      <w:lvlText w:val="%1"/>
      <w:numFmt w:val="decimal"/>
      <w:start w:val="1"/>
    </w:lvl>
    <w:lvl w:ilvl="1">
      <w:lvlJc w:val="left"/>
      <w:lvlText w:val="(%2)"/>
      <w:numFmt w:val="lowerRoman"/>
      <w:start w:val="2"/>
    </w:lvl>
  </w:abstractNum>
  <w:abstractNum w:abstractNumId="13">
    <w:nsid w:val="2D517796"/>
    <w:multiLevelType w:val="hybridMultilevel"/>
    <w:lvl w:ilvl="0">
      <w:lvlJc w:val="left"/>
      <w:lvlText w:val="(%1)"/>
      <w:numFmt w:val="decimal"/>
      <w:start w:val="5"/>
    </w:lvl>
    <w:lvl w:ilvl="1">
      <w:lvlJc w:val="left"/>
      <w:lvlText w:val="%2"/>
      <w:numFmt w:val="lowerRoman"/>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1"/>
    </w:lvl>
    <w:lvl w:ilvl="1">
      <w:lvlJc w:val="left"/>
      <w:lvlText w:val="(%2)"/>
      <w:numFmt w:val="lowerLetter"/>
      <w:start w:val="1"/>
    </w:lvl>
  </w:abstractNum>
  <w:abstractNum w:abstractNumId="45">
    <w:nsid w:val="275AC794"/>
    <w:multiLevelType w:val="hybridMultilevel"/>
    <w:lvl w:ilvl="0">
      <w:lvlJc w:val="left"/>
      <w:lvlText w:val="(%1)"/>
      <w:numFmt w:val="decimal"/>
      <w:start w:val="2"/>
    </w:lvl>
    <w:lvl w:ilvl="1">
      <w:lvlJc w:val="left"/>
      <w:lvlText w:val="%2"/>
      <w:numFmt w:val="lowerLetter"/>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lvl w:ilvl="1">
      <w:lvlJc w:val="left"/>
      <w:lvlText w:val="•"/>
      <w:numFmt w:val="bullet"/>
      <w:start w:val="1"/>
    </w:lvl>
  </w:abstractNum>
  <w:abstractNum w:abstractNumId="60">
    <w:nsid w:val="579BE4F1"/>
    <w:multiLevelType w:val="hybridMultilevel"/>
    <w:lvl w:ilvl="0">
      <w:lvlJc w:val="left"/>
      <w:lvlText w:val="%1."/>
      <w:numFmt w:val="decimal"/>
      <w:start w:val="4"/>
    </w:lvl>
    <w:lvl w:ilvl="1">
      <w:lvlJc w:val="left"/>
      <w:lvlText w:val="(%2)"/>
      <w:numFmt w:val="decimal"/>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5"/>
    </w:lvl>
  </w:abstractNum>
  <w:abstractNum w:abstractNumId="63">
    <w:nsid w:val="2F305DEF"/>
    <w:multiLevelType w:val="hybridMultilevel"/>
    <w:lvl w:ilvl="0">
      <w:lvlJc w:val="left"/>
      <w:lvlText w:val="%1."/>
      <w:numFmt w:val="decimal"/>
      <w:start w:val="6"/>
    </w:lvl>
    <w:lvl w:ilvl="1">
      <w:lvlJc w:val="left"/>
      <w:lvlText w:val="(%2)"/>
      <w:numFmt w:val="decimal"/>
      <w:start w:val="1"/>
    </w:lvl>
  </w:abstractNum>
  <w:abstractNum w:abstractNumId="64">
    <w:nsid w:val="25A70BF7"/>
    <w:multiLevelType w:val="hybridMultilevel"/>
    <w:lvl w:ilvl="0">
      <w:lvlJc w:val="left"/>
      <w:lvlText w:val="%1."/>
      <w:numFmt w:val="decimal"/>
      <w:start w:val="2"/>
    </w:lvl>
  </w:abstractNum>
  <w:abstractNum w:abstractNumId="65">
    <w:nsid w:val="1DBABF00"/>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2019-12-05T17:54:30Z</dcterms:created>
  <dcterms:modified xsi:type="dcterms:W3CDTF">2019-12-05T17:54:30Z</dcterms:modified>
</cp:coreProperties>
</file>