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Folkers Scott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06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306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90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VP-General Counsel &amp; Secretary</w:t>
            </w:r>
          </w:p>
        </w:tc>
        <w:tc>
          <w:tcPr>
            <w:tcW w:w="0" w:type="dxa"/>
            <w:vAlign w:val="bottom"/>
          </w:tcPr>
          <w:p>
            <w:pPr>
              <w:spacing w:after="0"/>
              <w:rPr>
                <w:sz w:val="1"/>
                <w:szCs w:val="1"/>
                <w:color w:val="auto"/>
              </w:rPr>
            </w:pPr>
          </w:p>
        </w:tc>
      </w:tr>
      <w:tr>
        <w:trPr>
          <w:trHeight w:val="222"/>
        </w:trPr>
        <w:tc>
          <w:tcPr>
            <w:tcW w:w="3140" w:type="dxa"/>
            <w:vAlign w:val="bottom"/>
            <w:gridSpan w:val="2"/>
          </w:tcPr>
          <w:p>
            <w:pPr>
              <w:ind w:left="80"/>
              <w:spacing w:after="0"/>
              <w:rPr>
                <w:sz w:val="20"/>
                <w:szCs w:val="20"/>
                <w:color w:val="auto"/>
              </w:rPr>
            </w:pPr>
            <w:r>
              <w:rPr>
                <w:rFonts w:ascii="Arial" w:cs="Arial" w:eastAsia="Arial" w:hAnsi="Arial"/>
                <w:sz w:val="18"/>
                <w:szCs w:val="18"/>
                <w:color w:val="0000FF"/>
              </w:rPr>
              <w:t>10/16/2017</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314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10/19/2017</w:t>
            </w:r>
          </w:p>
        </w:tc>
        <w:tc>
          <w:tcPr>
            <w:tcW w:w="84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Line)</w:t>
            </w:r>
          </w:p>
        </w:tc>
        <w:tc>
          <w:tcPr>
            <w:tcW w:w="1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10/16/2017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8"/>
                <w:szCs w:val="18"/>
                <w:color w:val="0000FF"/>
                <w:w w:val="79"/>
              </w:rPr>
              <w:t>850</w:t>
            </w:r>
            <w:r>
              <w:rPr>
                <w:rFonts w:ascii="Arial" w:cs="Arial" w:eastAsia="Arial" w:hAnsi="Arial"/>
                <w:sz w:val="22"/>
                <w:szCs w:val="22"/>
                <w:color w:val="008000"/>
                <w:w w:val="79"/>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44.15</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34,425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10/18/2017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8"/>
                <w:szCs w:val="18"/>
                <w:color w:val="0000FF"/>
                <w:w w:val="79"/>
              </w:rPr>
              <w:t>438</w:t>
            </w:r>
            <w:r>
              <w:rPr>
                <w:rFonts w:ascii="Arial" w:cs="Arial" w:eastAsia="Arial" w:hAnsi="Arial"/>
                <w:sz w:val="22"/>
                <w:szCs w:val="22"/>
                <w:color w:val="008000"/>
                <w:w w:val="79"/>
                <w:vertAlign w:val="superscript"/>
              </w:rPr>
              <w:t>(3)</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44.4</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34,863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10/18/2017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80"/>
              <w:spacing w:after="0"/>
              <w:rPr>
                <w:sz w:val="20"/>
                <w:szCs w:val="20"/>
                <w:color w:val="auto"/>
              </w:rPr>
            </w:pPr>
            <w:r>
              <w:rPr>
                <w:rFonts w:ascii="Arial" w:cs="Arial" w:eastAsia="Arial" w:hAnsi="Arial"/>
                <w:sz w:val="11"/>
                <w:szCs w:val="11"/>
                <w:color w:val="008000"/>
              </w:rPr>
              <w:t>(4)</w:t>
            </w: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8"/>
                <w:szCs w:val="18"/>
                <w:color w:val="0000FF"/>
                <w:w w:val="85"/>
              </w:rPr>
              <w:t>1,980</w:t>
            </w:r>
            <w:r>
              <w:rPr>
                <w:rFonts w:ascii="Arial" w:cs="Arial" w:eastAsia="Arial" w:hAnsi="Arial"/>
                <w:sz w:val="22"/>
                <w:szCs w:val="22"/>
                <w:color w:val="008000"/>
                <w:w w:val="85"/>
                <w:vertAlign w:val="superscript"/>
              </w:rPr>
              <w:t>(5)</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44.4</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36,843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10/15/14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total amount of Winnebago Stock Units held by reporting person in Winnebago Industries, Inc. as of reporting date.</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Awards and Incentive Compensation Plan which provides for stock grants to Executive Officers under the Officers' Long-Term Incentive Plan for Fiscal Three-Year Period 2015, 2016, and 2017.</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Granted 10/18/17 under the Winnebago Industries, Inc. 2014 Omnibus Equity, Performance Awards, and Incentive Plan. Restricted shares vest in annual increments of one-third beginning on 10/18/2018.</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amount of Winnebago Stock Units acquired by reporting person on the transaction date.</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10/20/2017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147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2019-12-03T23:40:13Z</dcterms:created>
  <dcterms:modified xsi:type="dcterms:W3CDTF">2019-12-03T23:40:13Z</dcterms:modified>
</cp:coreProperties>
</file>