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June 20, 2019</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92075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35"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FORM S-8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3126740</wp:posOffset>
            </wp:positionH>
            <wp:positionV relativeFrom="paragraph">
              <wp:posOffset>42545</wp:posOffset>
            </wp:positionV>
            <wp:extent cx="10890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2371725</wp:posOffset>
            </wp:positionH>
            <wp:positionV relativeFrom="paragraph">
              <wp:posOffset>31750</wp:posOffset>
            </wp:positionV>
            <wp:extent cx="2521585"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1585" cy="3517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WINNEBAGO INDUSTRIES, INC.</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p>
    <w:p>
      <w:pPr>
        <w:spacing w:after="0" w:line="201" w:lineRule="exact"/>
        <w:rPr>
          <w:sz w:val="24"/>
          <w:szCs w:val="24"/>
          <w:color w:val="auto"/>
        </w:rPr>
      </w:pPr>
    </w:p>
    <w:tbl>
      <w:tblPr>
        <w:tblLayout w:type="fixed"/>
        <w:tblInd w:w="1100" w:type="dxa"/>
        <w:tblCellMar>
          <w:top w:w="0" w:type="dxa"/>
          <w:left w:w="0" w:type="dxa"/>
          <w:bottom w:w="0" w:type="dxa"/>
          <w:right w:w="0" w:type="dxa"/>
        </w:tblCellMar>
      </w:tblPr>
      <w:tr>
        <w:trPr>
          <w:trHeight w:val="228"/>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580" w:type="dxa"/>
            <w:vAlign w:val="bottom"/>
          </w:tcPr>
          <w:p>
            <w:pPr>
              <w:spacing w:after="0"/>
              <w:rPr>
                <w:sz w:val="19"/>
                <w:szCs w:val="19"/>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7"/>
        </w:trPr>
        <w:tc>
          <w:tcPr>
            <w:tcW w:w="490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99"/>
        </w:trPr>
        <w:tc>
          <w:tcPr>
            <w:tcW w:w="4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58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7"/>
        </w:trPr>
        <w:tc>
          <w:tcPr>
            <w:tcW w:w="4900" w:type="dxa"/>
            <w:vAlign w:val="bottom"/>
            <w:gridSpan w:val="2"/>
          </w:tcPr>
          <w:p>
            <w:pPr>
              <w:jc w:val="center"/>
              <w:ind w:right="60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24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 2019 OMNIBUS INCENTIVE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31750</wp:posOffset>
            </wp:positionV>
            <wp:extent cx="5866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(Full title of plan)</w:t>
      </w: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Stacy L. Bogart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Vice President - General Counsel and Secretary</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Winnebago Industries,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P.O. Box 152, Forest City, Iowa 50436</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(Name, address, and telephone number, including area code, of agent for service)</w:t>
      </w:r>
    </w:p>
    <w:p>
      <w:pPr>
        <w:spacing w:after="0" w:line="194" w:lineRule="exact"/>
        <w:rPr>
          <w:sz w:val="24"/>
          <w:szCs w:val="24"/>
          <w:color w:val="auto"/>
        </w:rPr>
      </w:pPr>
    </w:p>
    <w:p>
      <w:pPr>
        <w:ind w:right="16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9" w:right="239" w:bottom="1440" w:gutter="0" w:footer="0" w:header="0"/>
        </w:sectPr>
      </w:pPr>
    </w:p>
    <w:p>
      <w:pPr>
        <w:spacing w:after="0" w:line="13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x</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72" w:lineRule="exact"/>
        <w:rPr>
          <w:sz w:val="24"/>
          <w:szCs w:val="24"/>
          <w:color w:val="auto"/>
        </w:rPr>
      </w:pPr>
    </w:p>
    <w:p>
      <w:pPr>
        <w:sectPr>
          <w:pgSz w:w="11900" w:h="16838" w:orient="portrait"/>
          <w:cols w:equalWidth="0" w:num="2">
            <w:col w:w="3920" w:space="720"/>
            <w:col w:w="6780"/>
          </w:cols>
          <w:pgMar w:left="240" w:top="689" w:right="239" w:bottom="1440" w:gutter="0" w:footer="0" w:header="0"/>
          <w:type w:val="continuous"/>
        </w:sectPr>
      </w:pPr>
    </w:p>
    <w:p>
      <w:pPr>
        <w:ind w:left="4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3" w:lineRule="exact"/>
        <w:rPr>
          <w:sz w:val="24"/>
          <w:szCs w:val="24"/>
          <w:color w:val="auto"/>
        </w:rPr>
      </w:pPr>
    </w:p>
    <w:p>
      <w:pPr>
        <w:sectPr>
          <w:pgSz w:w="11900" w:h="16838" w:orient="portrait"/>
          <w:cols w:equalWidth="0" w:num="2">
            <w:col w:w="3920" w:space="720"/>
            <w:col w:w="6780"/>
          </w:cols>
          <w:pgMar w:left="240" w:top="689" w:right="239" w:bottom="1440" w:gutter="0" w:footer="0" w:header="0"/>
          <w:type w:val="continuous"/>
        </w:sectPr>
      </w:pPr>
    </w:p>
    <w:p>
      <w:pPr>
        <w:jc w:val="center"/>
        <w:ind w:right="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689" w:right="239" w:bottom="1440" w:gutter="0" w:footer="0" w:header="0"/>
          <w:type w:val="continuous"/>
        </w:sectPr>
      </w:pPr>
    </w:p>
    <w:p>
      <w:pPr>
        <w:spacing w:after="0" w:line="209" w:lineRule="exact"/>
        <w:rPr>
          <w:sz w:val="24"/>
          <w:szCs w:val="24"/>
          <w:color w:val="auto"/>
        </w:rPr>
      </w:pPr>
    </w:p>
    <w:p>
      <w:pPr>
        <w:ind w:right="300"/>
        <w:spacing w:after="0" w:line="201" w:lineRule="exact"/>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MS PGothic" w:cs="MS PGothic" w:eastAsia="MS PGothic" w:hAnsi="MS PGothic"/>
          <w:sz w:val="16"/>
          <w:szCs w:val="16"/>
          <w:color w:val="auto"/>
        </w:rPr>
        <w:t>☐</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37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16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1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jc w:val="center"/>
              <w:ind w:right="99"/>
              <w:spacing w:after="0"/>
              <w:rPr>
                <w:sz w:val="20"/>
                <w:szCs w:val="20"/>
                <w:color w:val="auto"/>
              </w:rPr>
            </w:pPr>
            <w:r>
              <w:rPr>
                <w:rFonts w:ascii="Arial" w:cs="Arial" w:eastAsia="Arial" w:hAnsi="Arial"/>
                <w:sz w:val="16"/>
                <w:szCs w:val="16"/>
                <w:b w:val="1"/>
                <w:bCs w:val="1"/>
                <w:color w:val="auto"/>
              </w:rPr>
              <w:t>Proposed maximum</w:t>
            </w:r>
          </w:p>
        </w:tc>
        <w:tc>
          <w:tcPr>
            <w:tcW w:w="1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9"/>
        </w:trPr>
        <w:tc>
          <w:tcPr>
            <w:tcW w:w="2120" w:type="dxa"/>
            <w:vAlign w:val="bottom"/>
          </w:tcPr>
          <w:p>
            <w:pPr>
              <w:jc w:val="center"/>
              <w:ind w:left="99"/>
              <w:spacing w:after="0"/>
              <w:rPr>
                <w:sz w:val="20"/>
                <w:szCs w:val="20"/>
                <w:color w:val="auto"/>
              </w:rPr>
            </w:pPr>
            <w:r>
              <w:rPr>
                <w:rFonts w:ascii="Arial" w:cs="Arial" w:eastAsia="Arial" w:hAnsi="Arial"/>
                <w:sz w:val="16"/>
                <w:szCs w:val="16"/>
                <w:b w:val="1"/>
                <w:bCs w:val="1"/>
                <w:color w:val="auto"/>
              </w:rPr>
              <w:t>Title of securities</w:t>
            </w:r>
          </w:p>
        </w:tc>
        <w:tc>
          <w:tcPr>
            <w:tcW w:w="2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0" w:type="dxa"/>
            <w:vAlign w:val="bottom"/>
          </w:tcPr>
          <w:p>
            <w:pPr>
              <w:jc w:val="center"/>
              <w:ind w:right="119"/>
              <w:spacing w:after="0"/>
              <w:rPr>
                <w:sz w:val="20"/>
                <w:szCs w:val="20"/>
                <w:color w:val="auto"/>
              </w:rPr>
            </w:pPr>
            <w:r>
              <w:rPr>
                <w:rFonts w:ascii="Arial" w:cs="Arial" w:eastAsia="Arial" w:hAnsi="Arial"/>
                <w:sz w:val="16"/>
                <w:szCs w:val="16"/>
                <w:b w:val="1"/>
                <w:bCs w:val="1"/>
                <w:color w:val="auto"/>
              </w:rPr>
              <w:t>offering price</w:t>
            </w:r>
          </w:p>
        </w:tc>
        <w:tc>
          <w:tcPr>
            <w:tcW w:w="180" w:type="dxa"/>
            <w:vAlign w:val="bottom"/>
          </w:tcPr>
          <w:p>
            <w:pPr>
              <w:spacing w:after="0"/>
              <w:rPr>
                <w:sz w:val="16"/>
                <w:szCs w:val="16"/>
                <w:color w:val="auto"/>
              </w:rPr>
            </w:pPr>
          </w:p>
        </w:tc>
        <w:tc>
          <w:tcPr>
            <w:tcW w:w="2100" w:type="dxa"/>
            <w:vAlign w:val="bottom"/>
          </w:tcPr>
          <w:p>
            <w:pPr>
              <w:jc w:val="center"/>
              <w:ind w:right="19"/>
              <w:spacing w:after="0"/>
              <w:rPr>
                <w:sz w:val="20"/>
                <w:szCs w:val="20"/>
                <w:color w:val="auto"/>
              </w:rPr>
            </w:pPr>
            <w:r>
              <w:rPr>
                <w:rFonts w:ascii="Arial" w:cs="Arial" w:eastAsia="Arial" w:hAnsi="Arial"/>
                <w:sz w:val="16"/>
                <w:szCs w:val="16"/>
                <w:b w:val="1"/>
                <w:bCs w:val="1"/>
                <w:color w:val="auto"/>
              </w:rPr>
              <w:t>Proposed maximum</w:t>
            </w:r>
          </w:p>
        </w:tc>
        <w:tc>
          <w:tcPr>
            <w:tcW w:w="380" w:type="dxa"/>
            <w:vAlign w:val="bottom"/>
          </w:tcPr>
          <w:p>
            <w:pPr>
              <w:spacing w:after="0"/>
              <w:rPr>
                <w:sz w:val="16"/>
                <w:szCs w:val="16"/>
                <w:color w:val="auto"/>
              </w:rPr>
            </w:pPr>
          </w:p>
        </w:tc>
        <w:tc>
          <w:tcPr>
            <w:tcW w:w="1920" w:type="dxa"/>
            <w:vAlign w:val="bottom"/>
          </w:tcPr>
          <w:p>
            <w:pPr>
              <w:jc w:val="center"/>
              <w:ind w:right="259"/>
              <w:spacing w:after="0"/>
              <w:rPr>
                <w:sz w:val="20"/>
                <w:szCs w:val="20"/>
                <w:color w:val="auto"/>
              </w:rPr>
            </w:pPr>
            <w:r>
              <w:rPr>
                <w:rFonts w:ascii="Arial" w:cs="Arial" w:eastAsia="Arial" w:hAnsi="Arial"/>
                <w:sz w:val="16"/>
                <w:szCs w:val="16"/>
                <w:b w:val="1"/>
                <w:bCs w:val="1"/>
                <w:color w:val="auto"/>
              </w:rPr>
              <w:t>Amount of</w:t>
            </w:r>
          </w:p>
        </w:tc>
      </w:tr>
      <w:tr>
        <w:trPr>
          <w:trHeight w:val="234"/>
        </w:trPr>
        <w:tc>
          <w:tcPr>
            <w:tcW w:w="212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to be registered</w:t>
            </w:r>
          </w:p>
        </w:tc>
        <w:tc>
          <w:tcPr>
            <w:tcW w:w="2420" w:type="dxa"/>
            <w:vAlign w:val="bottom"/>
            <w:tcBorders>
              <w:bottom w:val="single" w:sz="8" w:color="auto"/>
            </w:tcBorders>
          </w:tcPr>
          <w:p>
            <w:pPr>
              <w:jc w:val="right"/>
              <w:ind w:right="19"/>
              <w:spacing w:after="0" w:line="234" w:lineRule="exact"/>
              <w:rPr>
                <w:sz w:val="20"/>
                <w:szCs w:val="20"/>
                <w:color w:val="auto"/>
              </w:rPr>
            </w:pPr>
            <w:r>
              <w:rPr>
                <w:rFonts w:ascii="Arial" w:cs="Arial" w:eastAsia="Arial" w:hAnsi="Arial"/>
                <w:sz w:val="16"/>
                <w:szCs w:val="16"/>
                <w:b w:val="1"/>
                <w:bCs w:val="1"/>
                <w:color w:val="auto"/>
              </w:rPr>
              <w:t>Amount to be registered</w:t>
            </w:r>
            <w:r>
              <w:rPr>
                <w:rFonts w:ascii="Arial" w:cs="Arial" w:eastAsia="Arial" w:hAnsi="Arial"/>
                <w:sz w:val="21"/>
                <w:szCs w:val="21"/>
                <w:b w:val="1"/>
                <w:bCs w:val="1"/>
                <w:color w:val="auto"/>
                <w:vertAlign w:val="superscript"/>
              </w:rPr>
              <w:t>(1)</w:t>
            </w:r>
          </w:p>
        </w:tc>
        <w:tc>
          <w:tcPr>
            <w:tcW w:w="2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99"/>
              <w:spacing w:after="0" w:line="234" w:lineRule="exact"/>
              <w:rPr>
                <w:sz w:val="20"/>
                <w:szCs w:val="20"/>
                <w:color w:val="auto"/>
              </w:rPr>
            </w:pPr>
            <w:r>
              <w:rPr>
                <w:rFonts w:ascii="Arial" w:cs="Arial" w:eastAsia="Arial" w:hAnsi="Arial"/>
                <w:sz w:val="16"/>
                <w:szCs w:val="16"/>
                <w:b w:val="1"/>
                <w:bCs w:val="1"/>
                <w:color w:val="auto"/>
                <w:w w:val="96"/>
              </w:rPr>
              <w:t>per share</w:t>
            </w:r>
            <w:r>
              <w:rPr>
                <w:rFonts w:ascii="Arial" w:cs="Arial" w:eastAsia="Arial" w:hAnsi="Arial"/>
                <w:sz w:val="21"/>
                <w:szCs w:val="21"/>
                <w:b w:val="1"/>
                <w:bCs w:val="1"/>
                <w:color w:val="auto"/>
                <w:w w:val="96"/>
                <w:vertAlign w:val="superscript"/>
              </w:rPr>
              <w:t>(2)</w:t>
            </w: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center"/>
              <w:ind w:right="19"/>
              <w:spacing w:after="0" w:line="234" w:lineRule="exact"/>
              <w:rPr>
                <w:sz w:val="20"/>
                <w:szCs w:val="20"/>
                <w:color w:val="auto"/>
              </w:rPr>
            </w:pPr>
            <w:r>
              <w:rPr>
                <w:rFonts w:ascii="Arial" w:cs="Arial" w:eastAsia="Arial" w:hAnsi="Arial"/>
                <w:sz w:val="16"/>
                <w:szCs w:val="16"/>
                <w:b w:val="1"/>
                <w:bCs w:val="1"/>
                <w:color w:val="auto"/>
                <w:w w:val="99"/>
              </w:rPr>
              <w:t>aggregate offering price</w:t>
            </w:r>
            <w:r>
              <w:rPr>
                <w:rFonts w:ascii="Arial" w:cs="Arial" w:eastAsia="Arial" w:hAnsi="Arial"/>
                <w:sz w:val="21"/>
                <w:szCs w:val="21"/>
                <w:b w:val="1"/>
                <w:bCs w:val="1"/>
                <w:color w:val="auto"/>
                <w:w w:val="99"/>
                <w:vertAlign w:val="superscript"/>
              </w:rPr>
              <w:t>(2)</w:t>
            </w:r>
          </w:p>
        </w:tc>
        <w:tc>
          <w:tcPr>
            <w:tcW w:w="3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registration fee</w:t>
            </w:r>
          </w:p>
        </w:tc>
      </w:tr>
      <w:tr>
        <w:trPr>
          <w:trHeight w:val="211"/>
        </w:trPr>
        <w:tc>
          <w:tcPr>
            <w:tcW w:w="2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08"/>
        </w:trPr>
        <w:tc>
          <w:tcPr>
            <w:tcW w:w="21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$.50 par value</w:t>
            </w: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4,100,000</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148,789,000</w:t>
            </w:r>
          </w:p>
        </w:tc>
        <w:tc>
          <w:tcPr>
            <w:tcW w:w="3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18,033.23</w:t>
            </w:r>
          </w:p>
        </w:tc>
      </w:tr>
    </w:tbl>
    <w:p>
      <w:pPr>
        <w:spacing w:after="0" w:line="167" w:lineRule="exact"/>
        <w:rPr>
          <w:sz w:val="24"/>
          <w:szCs w:val="24"/>
          <w:color w:val="auto"/>
        </w:rPr>
      </w:pPr>
    </w:p>
    <w:p>
      <w:pPr>
        <w:ind w:left="260" w:right="80" w:hanging="252"/>
        <w:spacing w:after="0" w:line="241" w:lineRule="auto"/>
        <w:tabs>
          <w:tab w:leader="none" w:pos="26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under the Securities Act of 1933, as amended (the “Securities Act”), this registration statement includes an indeterminate number of additional shares as may be issuable as a result of a stock split, stock dividend, or similar adjustment of the outstanding Common Stock of the Registrant.</w:t>
      </w:r>
    </w:p>
    <w:p>
      <w:pPr>
        <w:ind w:left="260" w:right="120" w:hanging="252"/>
        <w:spacing w:after="0" w:line="258" w:lineRule="auto"/>
        <w:tabs>
          <w:tab w:leader="none" w:pos="26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determining the registration fee pursuant to the provisions of Rules 457(c) and 457(h)(1) under the Securities Act, based on the average of the high and low prices per share of the Registrant’s Common Stock as quoted on the New York Stock Exchange on June 13,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6"/>
          <w:szCs w:val="16"/>
          <w:b w:val="1"/>
          <w:bCs w:val="1"/>
          <w:color w:val="auto"/>
        </w:rPr>
        <w:t>EXPLANATORY NOTE</w:t>
      </w:r>
    </w:p>
    <w:p>
      <w:pPr>
        <w:spacing w:after="0" w:line="21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The shareholders of Winnebago Industries, Inc. (the “Company” or the “Registrant”) approved the Company’s 2019 Omnibus Incentive Plan (the “2019 Plan”) on December 11, 2018 (the “Effective Date”). As provided in the 2019 Plan, 4,100,000 shares of Common Stock are available for issuance thereunder.</w:t>
      </w:r>
    </w:p>
    <w:p>
      <w:pPr>
        <w:spacing w:after="0" w:line="16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In addition, the number of shares of Common Stock available for issuance under the 2019 Plan will be increased by the number of shares subject to awards that were outstanding under the Company’s 2014 Omnibus Equity, Performance Award and Incentive Compensation Plan, and the Company’s 2004 Incentive Compensation Plan on the Effective Date that subsequently expire, are forfeited or cancelled or are settled for cash. Such shares may be registered for issuance under the 2019 Plan pursuant to subsequent registration statements or post-effective amendments to registration statements.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PART I</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INFORMATION REQUIRED IN THE SECTION 10(a) PROSPECTUS</w:t>
      </w:r>
    </w:p>
    <w:p>
      <w:pPr>
        <w:spacing w:after="0" w:line="19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documents containing the information specified in Part I of Form S-8 have been or will be sent or given to participants as specified by Rule 428(b)(1) under the Securities Act.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PART II</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INFORMATION REQUIRED IN THE REGISTRATION STATEMENT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Incorporation of Documents by Reference.</w:t>
      </w:r>
    </w:p>
    <w:p>
      <w:pPr>
        <w:spacing w:after="0" w:line="214"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The Registrant hereby incorporates by reference into this Registration Statement the following documents filed with the Securities and Exchange Commission (the “Commission”):</w:t>
      </w:r>
    </w:p>
    <w:p>
      <w:pPr>
        <w:spacing w:after="0" w:line="169" w:lineRule="exact"/>
        <w:rPr>
          <w:sz w:val="20"/>
          <w:szCs w:val="20"/>
          <w:color w:val="auto"/>
        </w:rPr>
      </w:pPr>
    </w:p>
    <w:p>
      <w:pPr>
        <w:ind w:left="980" w:right="240" w:hanging="324"/>
        <w:spacing w:after="0" w:line="253" w:lineRule="auto"/>
        <w:tabs>
          <w:tab w:leader="none" w:pos="980" w:val="left"/>
        </w:tabs>
        <w:numPr>
          <w:ilvl w:val="0"/>
          <w:numId w:val="2"/>
        </w:numPr>
        <w:rPr>
          <w:rFonts w:ascii="Arial" w:cs="Arial" w:eastAsia="Arial" w:hAnsi="Arial"/>
          <w:sz w:val="16"/>
          <w:szCs w:val="16"/>
          <w:color w:val="0000FF"/>
        </w:rPr>
      </w:pPr>
      <w:r>
        <w:rPr>
          <w:rFonts w:ascii="Arial" w:cs="Arial" w:eastAsia="Arial" w:hAnsi="Arial"/>
          <w:sz w:val="16"/>
          <w:szCs w:val="16"/>
          <w:color w:val="auto"/>
        </w:rPr>
        <w:t xml:space="preserve">The Registrant’s Annual Report on </w:t>
      </w:r>
      <w:hyperlink r:id="rId17">
        <w:r>
          <w:rPr>
            <w:rFonts w:ascii="Arial" w:cs="Arial" w:eastAsia="Arial" w:hAnsi="Arial"/>
            <w:sz w:val="16"/>
            <w:szCs w:val="16"/>
            <w:u w:val="single" w:color="auto"/>
            <w:color w:val="0000FF"/>
          </w:rPr>
          <w:t>Form 10-K for the year ended August 25, 2018</w:t>
        </w:r>
      </w:hyperlink>
      <w:r>
        <w:rPr>
          <w:rFonts w:ascii="Arial" w:cs="Arial" w:eastAsia="Arial" w:hAnsi="Arial"/>
          <w:sz w:val="16"/>
          <w:szCs w:val="16"/>
          <w:color w:val="auto"/>
        </w:rPr>
        <w:t xml:space="preserve">, including information specifically incorporated by reference </w:t>
      </w:r>
      <w:hyperlink r:id="rId18">
        <w:r>
          <w:rPr>
            <w:rFonts w:ascii="Arial" w:cs="Arial" w:eastAsia="Arial" w:hAnsi="Arial"/>
            <w:sz w:val="16"/>
            <w:szCs w:val="16"/>
            <w:color w:val="auto"/>
          </w:rPr>
          <w:t xml:space="preserve">into our Annual Report from our </w:t>
        </w:r>
        <w:r>
          <w:rPr>
            <w:rFonts w:ascii="Arial" w:cs="Arial" w:eastAsia="Arial" w:hAnsi="Arial"/>
            <w:sz w:val="16"/>
            <w:szCs w:val="16"/>
            <w:u w:val="single" w:color="auto"/>
            <w:color w:val="0000FF"/>
          </w:rPr>
          <w:t>definitive proxy statement on Schedule 14A for our 2018 Annual Meeting of Shareholders filed with the</w:t>
        </w:r>
      </w:hyperlink>
      <w:r>
        <w:rPr>
          <w:rFonts w:ascii="Arial" w:cs="Arial" w:eastAsia="Arial" w:hAnsi="Arial"/>
          <w:sz w:val="16"/>
          <w:szCs w:val="16"/>
          <w:color w:val="auto"/>
        </w:rPr>
        <w:t xml:space="preserve"> </w:t>
      </w:r>
      <w:hyperlink r:id="rId18">
        <w:r>
          <w:rPr>
            <w:rFonts w:ascii="Arial" w:cs="Arial" w:eastAsia="Arial" w:hAnsi="Arial"/>
            <w:sz w:val="16"/>
            <w:szCs w:val="16"/>
            <w:u w:val="single" w:color="auto"/>
            <w:color w:val="0000FF"/>
          </w:rPr>
          <w:t>Commission on October 31, 2018</w:t>
        </w:r>
        <w:r>
          <w:rPr>
            <w:rFonts w:ascii="Arial" w:cs="Arial" w:eastAsia="Arial" w:hAnsi="Arial"/>
            <w:sz w:val="16"/>
            <w:szCs w:val="16"/>
            <w:color w:val="000000"/>
          </w:rPr>
          <w:t>;</w:t>
        </w:r>
      </w:hyperlink>
    </w:p>
    <w:p>
      <w:pPr>
        <w:spacing w:after="0" w:line="174" w:lineRule="exact"/>
        <w:rPr>
          <w:rFonts w:ascii="Arial" w:cs="Arial" w:eastAsia="Arial" w:hAnsi="Arial"/>
          <w:sz w:val="16"/>
          <w:szCs w:val="16"/>
          <w:color w:val="0000FF"/>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Quarterly Reports on Form 10-Q for the quarters ended </w:t>
      </w:r>
      <w:hyperlink r:id="rId19">
        <w:r>
          <w:rPr>
            <w:rFonts w:ascii="Arial" w:cs="Arial" w:eastAsia="Arial" w:hAnsi="Arial"/>
            <w:sz w:val="16"/>
            <w:szCs w:val="16"/>
            <w:u w:val="single" w:color="auto"/>
            <w:color w:val="0000FF"/>
          </w:rPr>
          <w:t>November 24, 2018</w:t>
        </w:r>
      </w:hyperlink>
      <w:r>
        <w:rPr>
          <w:rFonts w:ascii="Arial" w:cs="Arial" w:eastAsia="Arial" w:hAnsi="Arial"/>
          <w:sz w:val="16"/>
          <w:szCs w:val="16"/>
          <w:color w:val="auto"/>
        </w:rPr>
        <w:t xml:space="preserve">, </w:t>
      </w:r>
      <w:hyperlink r:id="rId20">
        <w:r>
          <w:rPr>
            <w:rFonts w:ascii="Arial" w:cs="Arial" w:eastAsia="Arial" w:hAnsi="Arial"/>
            <w:sz w:val="16"/>
            <w:szCs w:val="16"/>
            <w:u w:val="single" w:color="auto"/>
            <w:color w:val="0000FF"/>
          </w:rPr>
          <w:t>February 23, 2019</w:t>
        </w:r>
      </w:hyperlink>
      <w:r>
        <w:rPr>
          <w:rFonts w:ascii="Arial" w:cs="Arial" w:eastAsia="Arial" w:hAnsi="Arial"/>
          <w:sz w:val="16"/>
          <w:szCs w:val="16"/>
          <w:color w:val="auto"/>
        </w:rPr>
        <w:t xml:space="preserve">, and </w:t>
      </w:r>
      <w:hyperlink r:id="rId21">
        <w:r>
          <w:rPr>
            <w:rFonts w:ascii="Arial" w:cs="Arial" w:eastAsia="Arial" w:hAnsi="Arial"/>
            <w:sz w:val="16"/>
            <w:szCs w:val="16"/>
            <w:u w:val="single" w:color="auto"/>
            <w:color w:val="0000FF"/>
          </w:rPr>
          <w:t>May 25, 2019</w:t>
        </w:r>
      </w:hyperlink>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left="980" w:hanging="32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The Registrant’s Current Reports on Form 8-K filed on </w:t>
      </w:r>
      <w:hyperlink r:id="rId22">
        <w:r>
          <w:rPr>
            <w:rFonts w:ascii="Arial" w:cs="Arial" w:eastAsia="Arial" w:hAnsi="Arial"/>
            <w:sz w:val="16"/>
            <w:szCs w:val="16"/>
            <w:u w:val="single" w:color="auto"/>
            <w:color w:val="0000FF"/>
          </w:rPr>
          <w:t>September 24, 2018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 xml:space="preserve">and </w:t>
      </w:r>
      <w:hyperlink r:id="rId23">
        <w:r>
          <w:rPr>
            <w:rFonts w:ascii="Arial" w:cs="Arial" w:eastAsia="Arial" w:hAnsi="Arial"/>
            <w:sz w:val="16"/>
            <w:szCs w:val="16"/>
            <w:u w:val="single" w:color="auto"/>
            <w:color w:val="0000FF"/>
          </w:rPr>
          <w:t>December 13, 2018</w:t>
        </w:r>
      </w:hyperlink>
      <w:r>
        <w:rPr>
          <w:rFonts w:ascii="Arial" w:cs="Arial" w:eastAsia="Arial" w:hAnsi="Arial"/>
          <w:sz w:val="16"/>
          <w:szCs w:val="16"/>
          <w:color w:val="auto"/>
        </w:rPr>
        <w:t>; and</w:t>
      </w:r>
    </w:p>
    <w:p>
      <w:pPr>
        <w:spacing w:after="0" w:line="194" w:lineRule="exact"/>
        <w:rPr>
          <w:rFonts w:ascii="Arial" w:cs="Arial" w:eastAsia="Arial" w:hAnsi="Arial"/>
          <w:sz w:val="16"/>
          <w:szCs w:val="16"/>
          <w:color w:val="auto"/>
        </w:rPr>
      </w:pPr>
    </w:p>
    <w:p>
      <w:pPr>
        <w:ind w:left="980" w:right="40" w:hanging="324"/>
        <w:spacing w:after="0" w:line="253"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description of the Registrant’s Common Stock contained in the Forms 8-A pursuant to Section 12(b) of the Exchange Act filed with the Commission on June 18, 1969 and June 16, 1971 (SEC File No. 001-06403) and any amendment or report filed for the purpose of updating such description.</w:t>
      </w:r>
    </w:p>
    <w:p>
      <w:pPr>
        <w:spacing w:after="0" w:line="174" w:lineRule="exact"/>
        <w:rPr>
          <w:rFonts w:ascii="Arial" w:cs="Arial" w:eastAsia="Arial" w:hAnsi="Arial"/>
          <w:sz w:val="16"/>
          <w:szCs w:val="16"/>
          <w:color w:val="auto"/>
        </w:rPr>
      </w:pPr>
    </w:p>
    <w:p>
      <w:pPr>
        <w:jc w:val="both"/>
        <w:ind w:right="180"/>
        <w:spacing w:after="0" w:line="253" w:lineRule="auto"/>
        <w:rPr>
          <w:sz w:val="20"/>
          <w:szCs w:val="20"/>
          <w:color w:val="auto"/>
        </w:rPr>
      </w:pPr>
      <w:r>
        <w:rPr>
          <w:rFonts w:ascii="Arial" w:cs="Arial" w:eastAsia="Arial" w:hAnsi="Arial"/>
          <w:sz w:val="16"/>
          <w:szCs w:val="16"/>
          <w:color w:val="auto"/>
        </w:rPr>
        <w:t>All reports and other documents filed by the Company pursuant to Sections 13(a), 13(c), 14, or 15(d) of the Exchange Act prior to the filing of a post-effective amendment that indicates that all of the shares of Common Stock offered have been sold or that deregisters all shares of the Common Stock then remaining unsold shall be deemed to be incorporated by reference in and a part of this Registration Statement from the date of filing of such documents.</w:t>
      </w:r>
    </w:p>
    <w:p>
      <w:pPr>
        <w:spacing w:after="0" w:line="174" w:lineRule="exact"/>
        <w:rPr>
          <w:rFonts w:ascii="Arial" w:cs="Arial" w:eastAsia="Arial" w:hAnsi="Arial"/>
          <w:sz w:val="16"/>
          <w:szCs w:val="16"/>
          <w:color w:val="auto"/>
        </w:rPr>
      </w:pPr>
    </w:p>
    <w:p>
      <w:pPr>
        <w:ind w:right="100"/>
        <w:spacing w:after="0" w:line="251" w:lineRule="auto"/>
        <w:rPr>
          <w:sz w:val="20"/>
          <w:szCs w:val="20"/>
          <w:color w:val="auto"/>
        </w:rPr>
      </w:pPr>
      <w:r>
        <w:rPr>
          <w:rFonts w:ascii="Arial" w:cs="Arial" w:eastAsia="Arial" w:hAnsi="Arial"/>
          <w:sz w:val="16"/>
          <w:szCs w:val="16"/>
          <w:color w:val="auto"/>
        </w:rPr>
        <w:t>Any statement contained in a document incorporated, or deemed to be incorporated, by reference herein shall be deemed to be modified or superseded for purposes of this Registration Statement to the extent that a statement contained herein or incorporated herein by reference or in any other subsequently filed document that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76" w:lineRule="exact"/>
        <w:rPr>
          <w:rFonts w:ascii="Arial" w:cs="Arial" w:eastAsia="Arial" w:hAnsi="Arial"/>
          <w:sz w:val="16"/>
          <w:szCs w:val="16"/>
          <w:color w:val="auto"/>
        </w:rPr>
      </w:pPr>
    </w:p>
    <w:p>
      <w:pPr>
        <w:ind w:right="20"/>
        <w:spacing w:after="0" w:line="251" w:lineRule="auto"/>
        <w:rPr>
          <w:sz w:val="20"/>
          <w:szCs w:val="20"/>
          <w:color w:val="auto"/>
        </w:rPr>
      </w:pPr>
      <w:r>
        <w:rPr>
          <w:rFonts w:ascii="Arial" w:cs="Arial" w:eastAsia="Arial" w:hAnsi="Arial"/>
          <w:sz w:val="16"/>
          <w:szCs w:val="16"/>
          <w:color w:val="auto"/>
        </w:rPr>
        <w:t>Notwithstanding the foregoing, nothing in this Registration Statement shall be deemed to incorporate (i) any information provided in documents incorporated by reference herein that is described in paragraph (d)(1), (d)(2), (d)(3), or (e)(5) of Item 407 of Regulation S-K promulgated by the Commission or Item 2.02 or Item 7.01 of any Form 8-K, or that is otherwise furnished under applicable Commission rules rather than filed, or (ii) any exhibits to the extent furnished in connection with such items.</w:t>
      </w:r>
    </w:p>
    <w:p>
      <w:pPr>
        <w:spacing w:after="0" w:line="156"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Item 4.  Description of Securities.</w:t>
      </w:r>
    </w:p>
    <w:p>
      <w:pPr>
        <w:spacing w:after="0" w:line="21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auto"/>
        </w:rPr>
        <w:t>The Company’s Common Stock is registered under Section 12 of the Exchange Act and, therefore, the description of securities is omitted.</w:t>
      </w:r>
    </w:p>
    <w:p>
      <w:pPr>
        <w:spacing w:after="0" w:line="17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b w:val="1"/>
          <w:bCs w:val="1"/>
          <w:color w:val="auto"/>
        </w:rPr>
        <w:t>Item 5.  Interests of Named Experts and Counsel.</w:t>
      </w:r>
    </w:p>
    <w:p>
      <w:pPr>
        <w:spacing w:after="0" w:line="214"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6"/>
          <w:szCs w:val="16"/>
          <w:color w:val="auto"/>
        </w:rPr>
        <w:t>None.</w:t>
      </w:r>
    </w:p>
    <w:p>
      <w:pPr>
        <w:spacing w:after="0" w:line="200" w:lineRule="exact"/>
        <w:rPr>
          <w:rFonts w:ascii="Arial" w:cs="Arial" w:eastAsia="Arial" w:hAnsi="Arial"/>
          <w:sz w:val="16"/>
          <w:szCs w:val="16"/>
          <w:color w:val="auto"/>
        </w:rPr>
      </w:pPr>
    </w:p>
    <w:p>
      <w:pPr>
        <w:spacing w:after="0" w:line="237" w:lineRule="exact"/>
        <w:rPr>
          <w:rFonts w:ascii="Arial" w:cs="Arial" w:eastAsia="Arial" w:hAnsi="Arial"/>
          <w:sz w:val="16"/>
          <w:szCs w:val="16"/>
          <w:color w:val="auto"/>
        </w:rPr>
      </w:pPr>
    </w:p>
    <w:p>
      <w:pPr>
        <w:jc w:val="center"/>
        <w:ind w:right="-3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00"/>
          </w:cols>
          <w:pgMar w:left="240" w:top="581" w:right="2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6.  Indemnification of Directors and Officers.</w:t>
      </w:r>
    </w:p>
    <w:p>
      <w:pPr>
        <w:spacing w:after="0" w:line="214"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Section 490.851 of the Iowa Business Corporation Act gives Iowa corporations the power to indemnify present and former directors under certain circumstances. The Amended and Restated Articles of Incorporation of the Company provide for indemnification by the Company to the fullest extent possible of directors against all expenses, liabilities, and loss (including attorney’s fees, judgments, fines, or penalties and amounts paid or to be paid in settlement) actually incurred by such person relating to his or her conduct as a director of the Company, except that the aforesaid mandatory indemnification shall not apply</w:t>
      </w:r>
    </w:p>
    <w:p>
      <w:pPr>
        <w:spacing w:after="0" w:line="2" w:lineRule="exact"/>
        <w:rPr>
          <w:sz w:val="20"/>
          <w:szCs w:val="20"/>
          <w:color w:val="auto"/>
        </w:rPr>
      </w:pPr>
    </w:p>
    <w:p>
      <w:pPr>
        <w:ind w:right="40" w:firstLine="8"/>
        <w:spacing w:after="0" w:line="249" w:lineRule="auto"/>
        <w:tabs>
          <w:tab w:leader="none" w:pos="189"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 breach of a director’s duty of loyalty to the corporation or its shareholders, (ii) for acts or omissions not in good faith or which involve intentional misconduct or knowing violation of the law, (iii) for a transaction from which a director derived an improper personal benefit, or (iv) against judgments, penalties, fines, and settlements arising from any proceeding by or in the right of the Company, or against expenses in any such case where such director shall be adjudged liable to the Company. The Amended and Restated Articles of Incorporation further provide that the indemnification provided thereunder shall not be exclusive of any other rights to which those indemnified may be entitled under any bylaw, agreement, vote of stockholders or disinterested directors, or otherwise.</w:t>
      </w:r>
    </w:p>
    <w:p>
      <w:pPr>
        <w:spacing w:after="0" w:line="17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The Iowa Business Corporation Act provides that the Company may purchase and maintain insurance on behalf of an individual who is a director or officer of the Company against liability asserted against or incurred by that individual in that capacity or arising from the individual’s status as a director or officer, whether or not the Company would have power to indemnify that individual against the same liability under the Iowa Business Corporation Act. The Company maintains a directors’ and officers’ liability insurance policy to insure individual directors and officers against these obligations.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Item 7. Exemption from Registration Claimed.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Not applicable. No securities are to be re-offered or resold pursuant to this Registration Statement.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Exhibits.</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560"/>
        <w:spacing w:after="0"/>
        <w:tabs>
          <w:tab w:leader="none" w:pos="162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19050</wp:posOffset>
            </wp:positionV>
            <wp:extent cx="67919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spacing w:after="0" w:line="53" w:lineRule="exact"/>
        <w:rPr>
          <w:sz w:val="20"/>
          <w:szCs w:val="20"/>
          <w:color w:val="auto"/>
        </w:rPr>
      </w:pPr>
    </w:p>
    <w:p>
      <w:pPr>
        <w:ind w:left="1640" w:right="500" w:hanging="679"/>
        <w:spacing w:after="0" w:line="260" w:lineRule="auto"/>
        <w:tabs>
          <w:tab w:leader="none" w:pos="1620" w:val="left"/>
        </w:tabs>
        <w:rPr>
          <w:rFonts w:ascii="Arial" w:cs="Arial" w:eastAsia="Arial" w:hAnsi="Arial"/>
          <w:sz w:val="16"/>
          <w:szCs w:val="16"/>
          <w:u w:val="single" w:color="auto"/>
          <w:color w:val="0000FF"/>
        </w:rPr>
      </w:pPr>
      <w:hyperlink r:id="rId25">
        <w:r>
          <w:rPr>
            <w:rFonts w:ascii="Arial" w:cs="Arial" w:eastAsia="Arial" w:hAnsi="Arial"/>
            <w:sz w:val="16"/>
            <w:szCs w:val="16"/>
            <w:u w:val="single" w:color="auto"/>
            <w:color w:val="0000FF"/>
          </w:rPr>
          <w:t>4.1</w:t>
        </w:r>
      </w:hyperlink>
      <w:r>
        <w:rPr>
          <w:rFonts w:ascii="Arial" w:cs="Arial" w:eastAsia="Arial" w:hAnsi="Arial"/>
          <w:sz w:val="16"/>
          <w:szCs w:val="16"/>
          <w:u w:val="single" w:color="auto"/>
          <w:color w:val="0000FF"/>
        </w:rPr>
        <w:tab/>
      </w:r>
      <w:hyperlink r:id="rId25">
        <w:r>
          <w:rPr>
            <w:rFonts w:ascii="Arial" w:cs="Arial" w:eastAsia="Arial" w:hAnsi="Arial"/>
            <w:sz w:val="16"/>
            <w:szCs w:val="16"/>
            <w:u w:val="single" w:color="auto"/>
            <w:color w:val="0000FF"/>
          </w:rPr>
          <w:t>Articles of Incorporation of the Registrant. (Incorporated by reference to Exhibit 3a of the Company’s Annual Report on Form 10-K</w:t>
        </w:r>
      </w:hyperlink>
      <w:r>
        <w:rPr>
          <w:rFonts w:ascii="Arial" w:cs="Arial" w:eastAsia="Arial" w:hAnsi="Arial"/>
          <w:sz w:val="16"/>
          <w:szCs w:val="16"/>
          <w:u w:val="single" w:color="auto"/>
          <w:color w:val="0000FF"/>
        </w:rPr>
        <w:t xml:space="preserve"> </w:t>
      </w:r>
      <w:hyperlink r:id="rId25">
        <w:r>
          <w:rPr>
            <w:rFonts w:ascii="Arial" w:cs="Arial" w:eastAsia="Arial" w:hAnsi="Arial"/>
            <w:sz w:val="16"/>
            <w:szCs w:val="16"/>
            <w:u w:val="single" w:color="auto"/>
            <w:color w:val="0000FF"/>
          </w:rPr>
          <w:t>filed on October 18, 2018.)</w:t>
        </w:r>
      </w:hyperlink>
    </w:p>
    <w:p>
      <w:pPr>
        <w:spacing w:after="0" w:line="34" w:lineRule="exact"/>
        <w:rPr>
          <w:rFonts w:ascii="Arial" w:cs="Arial" w:eastAsia="Arial" w:hAnsi="Arial"/>
          <w:sz w:val="16"/>
          <w:szCs w:val="16"/>
          <w:u w:val="single" w:color="auto"/>
          <w:color w:val="0000FF"/>
        </w:rPr>
      </w:pPr>
    </w:p>
    <w:p>
      <w:pPr>
        <w:ind w:left="960"/>
        <w:spacing w:after="0"/>
        <w:tabs>
          <w:tab w:leader="none" w:pos="1620" w:val="left"/>
        </w:tabs>
        <w:rPr>
          <w:rFonts w:ascii="Arial" w:cs="Arial" w:eastAsia="Arial" w:hAnsi="Arial"/>
          <w:sz w:val="16"/>
          <w:szCs w:val="16"/>
          <w:u w:val="single" w:color="auto"/>
          <w:color w:val="0000FF"/>
        </w:rPr>
      </w:pPr>
      <w:hyperlink r:id="rId26">
        <w:r>
          <w:rPr>
            <w:rFonts w:ascii="Arial" w:cs="Arial" w:eastAsia="Arial" w:hAnsi="Arial"/>
            <w:sz w:val="16"/>
            <w:szCs w:val="16"/>
            <w:u w:val="single" w:color="auto"/>
            <w:color w:val="0000FF"/>
          </w:rPr>
          <w:t>4.2</w:t>
        </w:r>
      </w:hyperlink>
      <w:r>
        <w:rPr>
          <w:rFonts w:ascii="Arial" w:cs="Arial" w:eastAsia="Arial" w:hAnsi="Arial"/>
          <w:sz w:val="16"/>
          <w:szCs w:val="16"/>
          <w:u w:val="single" w:color="auto"/>
          <w:color w:val="0000FF"/>
        </w:rPr>
        <w:tab/>
      </w:r>
      <w:hyperlink r:id="rId26">
        <w:r>
          <w:rPr>
            <w:rFonts w:ascii="Arial" w:cs="Arial" w:eastAsia="Arial" w:hAnsi="Arial"/>
            <w:sz w:val="16"/>
            <w:szCs w:val="16"/>
            <w:u w:val="single" w:color="auto"/>
            <w:color w:val="0000FF"/>
          </w:rPr>
          <w:t>Amended By-Laws of the Registrant. (Incorporated by reference to Exhibit 3.1 of the Company’s Report on Form 8-K filed on June</w:t>
        </w:r>
      </w:hyperlink>
    </w:p>
    <w:p>
      <w:pPr>
        <w:spacing w:after="0" w:line="5" w:lineRule="exact"/>
        <w:rPr>
          <w:sz w:val="20"/>
          <w:szCs w:val="20"/>
          <w:color w:val="auto"/>
        </w:rPr>
      </w:pPr>
    </w:p>
    <w:p>
      <w:pPr>
        <w:ind w:left="1640"/>
        <w:spacing w:after="0"/>
        <w:rPr>
          <w:rFonts w:ascii="Arial" w:cs="Arial" w:eastAsia="Arial" w:hAnsi="Arial"/>
          <w:sz w:val="16"/>
          <w:szCs w:val="16"/>
          <w:u w:val="single" w:color="auto"/>
          <w:color w:val="0000FF"/>
        </w:rPr>
      </w:pPr>
      <w:hyperlink r:id="rId26">
        <w:r>
          <w:rPr>
            <w:rFonts w:ascii="Arial" w:cs="Arial" w:eastAsia="Arial" w:hAnsi="Arial"/>
            <w:sz w:val="16"/>
            <w:szCs w:val="16"/>
            <w:u w:val="single" w:color="auto"/>
            <w:color w:val="0000FF"/>
          </w:rPr>
          <w:t>16, 2016.)</w:t>
        </w:r>
      </w:hyperlink>
    </w:p>
    <w:p>
      <w:pPr>
        <w:spacing w:after="0" w:line="59" w:lineRule="exact"/>
        <w:rPr>
          <w:sz w:val="20"/>
          <w:szCs w:val="20"/>
          <w:color w:val="auto"/>
        </w:rPr>
      </w:pPr>
    </w:p>
    <w:p>
      <w:pPr>
        <w:ind w:left="960"/>
        <w:spacing w:after="0"/>
        <w:tabs>
          <w:tab w:leader="none" w:pos="1620" w:val="left"/>
        </w:tabs>
        <w:rPr>
          <w:sz w:val="20"/>
          <w:szCs w:val="20"/>
          <w:color w:val="auto"/>
        </w:rPr>
      </w:pPr>
      <w:r>
        <w:rPr>
          <w:rFonts w:ascii="Arial" w:cs="Arial" w:eastAsia="Arial" w:hAnsi="Arial"/>
          <w:sz w:val="16"/>
          <w:szCs w:val="16"/>
          <w:u w:val="single" w:color="auto"/>
          <w:color w:val="0000FF"/>
        </w:rPr>
        <w:t>5.1</w:t>
      </w:r>
      <w:r>
        <w:rPr>
          <w:sz w:val="20"/>
          <w:szCs w:val="20"/>
          <w:color w:val="auto"/>
        </w:rPr>
        <w:tab/>
      </w:r>
      <w:r>
        <w:rPr>
          <w:rFonts w:ascii="Arial" w:cs="Arial" w:eastAsia="Arial" w:hAnsi="Arial"/>
          <w:sz w:val="16"/>
          <w:szCs w:val="16"/>
          <w:u w:val="single" w:color="auto"/>
          <w:color w:val="0000FF"/>
        </w:rPr>
        <w:t>Opinion of Faegre Baker Daniels LLP. (Filed herewith.)</w:t>
      </w:r>
    </w:p>
    <w:p>
      <w:pPr>
        <w:spacing w:after="0" w:line="59" w:lineRule="exact"/>
        <w:rPr>
          <w:sz w:val="20"/>
          <w:szCs w:val="20"/>
          <w:color w:val="auto"/>
        </w:rPr>
      </w:pPr>
    </w:p>
    <w:p>
      <w:pPr>
        <w:ind w:left="1640" w:right="880" w:hanging="724"/>
        <w:spacing w:after="0" w:line="260" w:lineRule="auto"/>
        <w:tabs>
          <w:tab w:leader="none" w:pos="1620" w:val="left"/>
        </w:tabs>
        <w:rPr>
          <w:rFonts w:ascii="Arial" w:cs="Arial" w:eastAsia="Arial" w:hAnsi="Arial"/>
          <w:sz w:val="16"/>
          <w:szCs w:val="16"/>
          <w:u w:val="single" w:color="auto"/>
          <w:color w:val="0000FF"/>
        </w:rPr>
      </w:pPr>
      <w:hyperlink r:id="rId18">
        <w:r>
          <w:rPr>
            <w:rFonts w:ascii="Arial" w:cs="Arial" w:eastAsia="Arial" w:hAnsi="Arial"/>
            <w:sz w:val="16"/>
            <w:szCs w:val="16"/>
            <w:u w:val="single" w:color="auto"/>
            <w:color w:val="0000FF"/>
          </w:rPr>
          <w:t>10.1</w:t>
        </w:r>
      </w:hyperlink>
      <w:r>
        <w:rPr>
          <w:rFonts w:ascii="Arial" w:cs="Arial" w:eastAsia="Arial" w:hAnsi="Arial"/>
          <w:sz w:val="16"/>
          <w:szCs w:val="16"/>
          <w:u w:val="single" w:color="auto"/>
          <w:color w:val="0000FF"/>
        </w:rPr>
        <w:tab/>
      </w:r>
      <w:hyperlink r:id="rId18">
        <w:r>
          <w:rPr>
            <w:rFonts w:ascii="Arial" w:cs="Arial" w:eastAsia="Arial" w:hAnsi="Arial"/>
            <w:sz w:val="16"/>
            <w:szCs w:val="16"/>
            <w:u w:val="single" w:color="auto"/>
            <w:color w:val="0000FF"/>
          </w:rPr>
          <w:t>Winnebago Industries, Inc. 2019 Omnibus Incentive Plan. (Incorporated by reference to Appendix A of the Company’s Proxy</w:t>
        </w:r>
      </w:hyperlink>
      <w:r>
        <w:rPr>
          <w:rFonts w:ascii="Arial" w:cs="Arial" w:eastAsia="Arial" w:hAnsi="Arial"/>
          <w:sz w:val="16"/>
          <w:szCs w:val="16"/>
          <w:u w:val="single" w:color="auto"/>
          <w:color w:val="0000FF"/>
        </w:rPr>
        <w:t xml:space="preserve"> </w:t>
      </w:r>
      <w:hyperlink r:id="rId18">
        <w:r>
          <w:rPr>
            <w:rFonts w:ascii="Arial" w:cs="Arial" w:eastAsia="Arial" w:hAnsi="Arial"/>
            <w:sz w:val="16"/>
            <w:szCs w:val="16"/>
            <w:u w:val="single" w:color="auto"/>
            <w:color w:val="0000FF"/>
          </w:rPr>
          <w:t>Statement on Definitive 14A filed on October 31, 2018.)</w:t>
        </w:r>
      </w:hyperlink>
    </w:p>
    <w:p>
      <w:pPr>
        <w:spacing w:after="0" w:line="34" w:lineRule="exact"/>
        <w:rPr>
          <w:rFonts w:ascii="Arial" w:cs="Arial" w:eastAsia="Arial" w:hAnsi="Arial"/>
          <w:sz w:val="16"/>
          <w:szCs w:val="16"/>
          <w:u w:val="single" w:color="auto"/>
          <w:color w:val="0000FF"/>
        </w:rPr>
      </w:pPr>
    </w:p>
    <w:p>
      <w:pPr>
        <w:ind w:left="920"/>
        <w:spacing w:after="0"/>
        <w:tabs>
          <w:tab w:leader="none" w:pos="1620" w:val="left"/>
        </w:tabs>
        <w:rPr>
          <w:sz w:val="20"/>
          <w:szCs w:val="20"/>
          <w:color w:val="auto"/>
        </w:rPr>
      </w:pPr>
      <w:r>
        <w:rPr>
          <w:rFonts w:ascii="Arial" w:cs="Arial" w:eastAsia="Arial" w:hAnsi="Arial"/>
          <w:sz w:val="16"/>
          <w:szCs w:val="16"/>
          <w:u w:val="single" w:color="auto"/>
          <w:color w:val="0000FF"/>
        </w:rPr>
        <w:t>23.1</w:t>
      </w:r>
      <w:r>
        <w:rPr>
          <w:sz w:val="20"/>
          <w:szCs w:val="20"/>
          <w:color w:val="auto"/>
        </w:rPr>
        <w:tab/>
      </w:r>
      <w:r>
        <w:rPr>
          <w:rFonts w:ascii="Arial" w:cs="Arial" w:eastAsia="Arial" w:hAnsi="Arial"/>
          <w:sz w:val="16"/>
          <w:szCs w:val="16"/>
          <w:u w:val="single" w:color="auto"/>
          <w:color w:val="0000FF"/>
        </w:rPr>
        <w:t>Consent of Independent Registered Public Accounting Firm. (Filed herewith.)</w:t>
      </w:r>
    </w:p>
    <w:p>
      <w:pPr>
        <w:spacing w:after="0" w:line="59" w:lineRule="exact"/>
        <w:rPr>
          <w:rFonts w:ascii="Arial" w:cs="Arial" w:eastAsia="Arial" w:hAnsi="Arial"/>
          <w:sz w:val="16"/>
          <w:szCs w:val="16"/>
          <w:u w:val="single" w:color="auto"/>
          <w:color w:val="0000FF"/>
        </w:rPr>
      </w:pPr>
    </w:p>
    <w:p>
      <w:pPr>
        <w:ind w:left="920"/>
        <w:spacing w:after="0"/>
        <w:tabs>
          <w:tab w:leader="none" w:pos="1620" w:val="left"/>
        </w:tabs>
        <w:rPr>
          <w:sz w:val="20"/>
          <w:szCs w:val="20"/>
          <w:color w:val="auto"/>
        </w:rPr>
      </w:pPr>
      <w:r>
        <w:rPr>
          <w:rFonts w:ascii="Arial" w:cs="Arial" w:eastAsia="Arial" w:hAnsi="Arial"/>
          <w:sz w:val="16"/>
          <w:szCs w:val="16"/>
          <w:u w:val="single" w:color="auto"/>
          <w:color w:val="0000FF"/>
        </w:rPr>
        <w:t>23.2</w:t>
      </w:r>
      <w:r>
        <w:rPr>
          <w:sz w:val="20"/>
          <w:szCs w:val="20"/>
          <w:color w:val="auto"/>
        </w:rPr>
        <w:tab/>
      </w:r>
      <w:r>
        <w:rPr>
          <w:rFonts w:ascii="Arial" w:cs="Arial" w:eastAsia="Arial" w:hAnsi="Arial"/>
          <w:sz w:val="16"/>
          <w:szCs w:val="16"/>
          <w:u w:val="single" w:color="auto"/>
          <w:color w:val="0000FF"/>
        </w:rPr>
        <w:t>Consent of Faegre Baker Daniels LLP. (Included in Exhibit 5.1.)</w:t>
      </w:r>
    </w:p>
    <w:p>
      <w:pPr>
        <w:spacing w:after="0" w:line="59" w:lineRule="exact"/>
        <w:rPr>
          <w:rFonts w:ascii="Arial" w:cs="Arial" w:eastAsia="Arial" w:hAnsi="Arial"/>
          <w:sz w:val="16"/>
          <w:szCs w:val="16"/>
          <w:u w:val="single" w:color="auto"/>
          <w:color w:val="0000FF"/>
        </w:rPr>
      </w:pPr>
    </w:p>
    <w:p>
      <w:pPr>
        <w:ind w:left="980"/>
        <w:spacing w:after="0"/>
        <w:tabs>
          <w:tab w:leader="none" w:pos="1620" w:val="left"/>
        </w:tabs>
        <w:rPr>
          <w:sz w:val="20"/>
          <w:szCs w:val="20"/>
          <w:color w:val="auto"/>
        </w:rPr>
      </w:pPr>
      <w:r>
        <w:rPr>
          <w:rFonts w:ascii="Arial" w:cs="Arial" w:eastAsia="Arial" w:hAnsi="Arial"/>
          <w:sz w:val="16"/>
          <w:szCs w:val="16"/>
          <w:u w:val="single" w:color="auto"/>
          <w:color w:val="0000FF"/>
        </w:rPr>
        <w:t>24</w:t>
      </w:r>
      <w:r>
        <w:rPr>
          <w:sz w:val="20"/>
          <w:szCs w:val="20"/>
          <w:color w:val="auto"/>
        </w:rPr>
        <w:tab/>
      </w:r>
      <w:r>
        <w:rPr>
          <w:rFonts w:ascii="Arial" w:cs="Arial" w:eastAsia="Arial" w:hAnsi="Arial"/>
          <w:sz w:val="16"/>
          <w:szCs w:val="16"/>
          <w:u w:val="single" w:color="auto"/>
          <w:color w:val="0000FF"/>
        </w:rPr>
        <w:t>Power of Attorney. (Filed herewith.)</w:t>
      </w:r>
    </w:p>
    <w:p>
      <w:pPr>
        <w:spacing w:after="0" w:line="201"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6"/>
          <w:szCs w:val="16"/>
          <w:b w:val="1"/>
          <w:bCs w:val="1"/>
          <w:color w:val="auto"/>
        </w:rPr>
        <w:t>Item 9.  Undertakings.</w:t>
      </w:r>
    </w:p>
    <w:p>
      <w:pPr>
        <w:spacing w:after="0" w:line="214" w:lineRule="exact"/>
        <w:rPr>
          <w:rFonts w:ascii="Arial" w:cs="Arial" w:eastAsia="Arial" w:hAnsi="Arial"/>
          <w:sz w:val="16"/>
          <w:szCs w:val="16"/>
          <w:u w:val="single" w:color="auto"/>
          <w:color w:val="0000FF"/>
        </w:rPr>
      </w:pPr>
    </w:p>
    <w:p>
      <w:pPr>
        <w:ind w:left="980" w:hanging="324"/>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hereby undertakes:</w:t>
      </w:r>
    </w:p>
    <w:p>
      <w:pPr>
        <w:spacing w:after="0" w:line="194" w:lineRule="exact"/>
        <w:rPr>
          <w:rFonts w:ascii="Arial" w:cs="Arial" w:eastAsia="Arial" w:hAnsi="Arial"/>
          <w:sz w:val="16"/>
          <w:szCs w:val="16"/>
          <w:color w:val="auto"/>
        </w:rPr>
      </w:pPr>
    </w:p>
    <w:p>
      <w:pPr>
        <w:ind w:left="1300" w:hanging="320"/>
        <w:spacing w:after="0"/>
        <w:tabs>
          <w:tab w:leader="none" w:pos="1300" w:val="left"/>
        </w:tabs>
        <w:numPr>
          <w:ilvl w:val="1"/>
          <w:numId w:val="4"/>
        </w:numPr>
        <w:rPr>
          <w:rFonts w:ascii="Arial" w:cs="Arial" w:eastAsia="Arial" w:hAnsi="Arial"/>
          <w:sz w:val="16"/>
          <w:szCs w:val="16"/>
          <w:color w:val="auto"/>
        </w:rPr>
      </w:pPr>
      <w:r>
        <w:rPr>
          <w:rFonts w:ascii="Arial" w:cs="Arial" w:eastAsia="Arial" w:hAnsi="Arial"/>
          <w:sz w:val="16"/>
          <w:szCs w:val="16"/>
          <w:color w:val="auto"/>
        </w:rPr>
        <w:t>To file, during any period in which offers or sales are being made, a post-effective amendment to this Registration Statement:</w:t>
      </w:r>
    </w:p>
    <w:p>
      <w:pPr>
        <w:spacing w:after="0" w:line="194" w:lineRule="exact"/>
        <w:rPr>
          <w:rFonts w:ascii="Arial" w:cs="Arial" w:eastAsia="Arial" w:hAnsi="Arial"/>
          <w:sz w:val="16"/>
          <w:szCs w:val="16"/>
          <w:color w:val="auto"/>
        </w:rPr>
      </w:pPr>
    </w:p>
    <w:p>
      <w:pPr>
        <w:ind w:left="1620" w:hanging="315"/>
        <w:spacing w:after="0"/>
        <w:tabs>
          <w:tab w:leader="none" w:pos="1620" w:val="left"/>
        </w:tabs>
        <w:numPr>
          <w:ilvl w:val="2"/>
          <w:numId w:val="4"/>
        </w:numPr>
        <w:rPr>
          <w:rFonts w:ascii="Arial" w:cs="Arial" w:eastAsia="Arial" w:hAnsi="Arial"/>
          <w:sz w:val="16"/>
          <w:szCs w:val="16"/>
          <w:color w:val="auto"/>
        </w:rPr>
      </w:pPr>
      <w:r>
        <w:rPr>
          <w:rFonts w:ascii="Arial" w:cs="Arial" w:eastAsia="Arial" w:hAnsi="Arial"/>
          <w:sz w:val="16"/>
          <w:szCs w:val="16"/>
          <w:color w:val="auto"/>
        </w:rPr>
        <w:t>To include any prospectus required by Section 10(a)(3) of the Securities Act of 1933;</w:t>
      </w:r>
    </w:p>
    <w:p>
      <w:pPr>
        <w:spacing w:after="0" w:line="194" w:lineRule="exact"/>
        <w:rPr>
          <w:rFonts w:ascii="Arial" w:cs="Arial" w:eastAsia="Arial" w:hAnsi="Arial"/>
          <w:sz w:val="16"/>
          <w:szCs w:val="16"/>
          <w:color w:val="auto"/>
        </w:rPr>
      </w:pPr>
    </w:p>
    <w:p>
      <w:pPr>
        <w:ind w:left="1620" w:hanging="315"/>
        <w:spacing w:after="0" w:line="248" w:lineRule="auto"/>
        <w:tabs>
          <w:tab w:leader="none" w:pos="1620" w:val="left"/>
        </w:tabs>
        <w:numPr>
          <w:ilvl w:val="2"/>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1" w:lineRule="exact"/>
        <w:rPr>
          <w:rFonts w:ascii="Arial" w:cs="Arial" w:eastAsia="Arial" w:hAnsi="Arial"/>
          <w:sz w:val="16"/>
          <w:szCs w:val="16"/>
          <w:color w:val="auto"/>
        </w:rPr>
      </w:pPr>
    </w:p>
    <w:p>
      <w:pPr>
        <w:ind w:left="1620" w:right="180" w:hanging="315"/>
        <w:spacing w:after="0" w:line="260" w:lineRule="auto"/>
        <w:tabs>
          <w:tab w:leader="none" w:pos="1620" w:val="left"/>
        </w:tabs>
        <w:numPr>
          <w:ilvl w:val="2"/>
          <w:numId w:val="4"/>
        </w:numPr>
        <w:rPr>
          <w:rFonts w:ascii="Arial" w:cs="Arial" w:eastAsia="Arial" w:hAnsi="Arial"/>
          <w:sz w:val="16"/>
          <w:szCs w:val="16"/>
          <w:color w:val="auto"/>
        </w:rPr>
      </w:pPr>
      <w:r>
        <w:rPr>
          <w:rFonts w:ascii="Arial" w:cs="Arial" w:eastAsia="Arial" w:hAnsi="Arial"/>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rFonts w:ascii="Arial" w:cs="Arial" w:eastAsia="Arial" w:hAnsi="Arial"/>
          <w:sz w:val="16"/>
          <w:szCs w:val="16"/>
          <w:u w:val="single" w:color="auto"/>
          <w:color w:val="0000FF"/>
        </w:rPr>
      </w:pPr>
    </w:p>
    <w:p>
      <w:pPr>
        <w:spacing w:after="0" w:line="212" w:lineRule="exact"/>
        <w:rPr>
          <w:rFonts w:ascii="Arial" w:cs="Arial" w:eastAsia="Arial" w:hAnsi="Arial"/>
          <w:sz w:val="16"/>
          <w:szCs w:val="16"/>
          <w:u w:val="single" w:color="auto"/>
          <w:color w:val="0000FF"/>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81" w:right="239" w:bottom="1440" w:gutter="0" w:footer="0" w:header="0"/>
        </w:sectPr>
      </w:pPr>
    </w:p>
    <w:bookmarkStart w:id="3" w:name="page4"/>
    <w:bookmarkEnd w:id="3"/>
    <w:p>
      <w:pPr>
        <w:ind w:left="644" w:right="120" w:firstLine="648"/>
        <w:spacing w:after="0" w:line="251" w:lineRule="auto"/>
        <w:rPr>
          <w:sz w:val="20"/>
          <w:szCs w:val="20"/>
          <w:color w:val="auto"/>
        </w:rPr>
      </w:pPr>
      <w:r>
        <w:rPr>
          <w:rFonts w:ascii="Arial" w:cs="Arial" w:eastAsia="Arial" w:hAnsi="Arial"/>
          <w:sz w:val="16"/>
          <w:szCs w:val="16"/>
          <w:color w:val="auto"/>
        </w:rPr>
        <w:t>provided, however, that paragraphs (A)(1)(i) and (A)(1)(ii) do not apply if the Registration Statement is on Form S-8 and the information required to be included in a post-effective amendment by those paragraphs is contained in reports filed with or furnished to the Securities and Exchange Commission by the Company pursuant to Section 13 or Section 15(d) of the Securities Exchange Act of 1934 that are incorporated by reference in the Registration Statement.</w:t>
      </w:r>
    </w:p>
    <w:p>
      <w:pPr>
        <w:spacing w:after="0" w:line="176" w:lineRule="exact"/>
        <w:rPr>
          <w:sz w:val="20"/>
          <w:szCs w:val="20"/>
          <w:color w:val="auto"/>
        </w:rPr>
      </w:pPr>
    </w:p>
    <w:p>
      <w:pPr>
        <w:ind w:left="644" w:hanging="320"/>
        <w:spacing w:after="0" w:line="253" w:lineRule="auto"/>
        <w:tabs>
          <w:tab w:leader="none" w:pos="644" w:val="left"/>
        </w:tabs>
        <w:numPr>
          <w:ilvl w:val="1"/>
          <w:numId w:val="5"/>
        </w:numPr>
        <w:rPr>
          <w:rFonts w:ascii="Arial" w:cs="Arial" w:eastAsia="Arial" w:hAnsi="Arial"/>
          <w:sz w:val="16"/>
          <w:szCs w:val="16"/>
          <w:color w:val="auto"/>
        </w:rPr>
      </w:pPr>
      <w:r>
        <w:rPr>
          <w:rFonts w:ascii="Arial" w:cs="Arial" w:eastAsia="Arial" w:hAnsi="Arial"/>
          <w:sz w:val="16"/>
          <w:szCs w:val="16"/>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4" w:lineRule="exact"/>
        <w:rPr>
          <w:rFonts w:ascii="Arial" w:cs="Arial" w:eastAsia="Arial" w:hAnsi="Arial"/>
          <w:sz w:val="16"/>
          <w:szCs w:val="16"/>
          <w:color w:val="auto"/>
        </w:rPr>
      </w:pPr>
    </w:p>
    <w:p>
      <w:pPr>
        <w:ind w:left="644" w:right="480" w:hanging="320"/>
        <w:spacing w:after="0" w:line="260" w:lineRule="auto"/>
        <w:tabs>
          <w:tab w:leader="none" w:pos="644" w:val="left"/>
        </w:tabs>
        <w:numPr>
          <w:ilvl w:val="1"/>
          <w:numId w:val="5"/>
        </w:numPr>
        <w:rPr>
          <w:rFonts w:ascii="Arial" w:cs="Arial" w:eastAsia="Arial" w:hAnsi="Arial"/>
          <w:sz w:val="16"/>
          <w:szCs w:val="16"/>
          <w:color w:val="auto"/>
        </w:rPr>
      </w:pPr>
      <w:r>
        <w:rPr>
          <w:rFonts w:ascii="Arial" w:cs="Arial" w:eastAsia="Arial" w:hAnsi="Arial"/>
          <w:sz w:val="16"/>
          <w:szCs w:val="16"/>
          <w:color w:val="auto"/>
        </w:rPr>
        <w:t>To remove from registration by means of a post-effective amendment any of the securities being registered which remain unsold at the termination of the offering.</w:t>
      </w:r>
    </w:p>
    <w:p>
      <w:pPr>
        <w:spacing w:after="0" w:line="168" w:lineRule="exact"/>
        <w:rPr>
          <w:rFonts w:ascii="Arial" w:cs="Arial" w:eastAsia="Arial" w:hAnsi="Arial"/>
          <w:sz w:val="16"/>
          <w:szCs w:val="16"/>
          <w:color w:val="auto"/>
        </w:rPr>
      </w:pPr>
    </w:p>
    <w:p>
      <w:pPr>
        <w:ind w:left="324" w:right="160" w:hanging="324"/>
        <w:spacing w:after="0" w:line="250"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hereby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76" w:lineRule="exact"/>
        <w:rPr>
          <w:rFonts w:ascii="Arial" w:cs="Arial" w:eastAsia="Arial" w:hAnsi="Arial"/>
          <w:sz w:val="16"/>
          <w:szCs w:val="16"/>
          <w:color w:val="auto"/>
        </w:rPr>
      </w:pPr>
    </w:p>
    <w:p>
      <w:pPr>
        <w:ind w:left="324" w:right="140" w:hanging="324"/>
        <w:spacing w:after="0" w:line="248" w:lineRule="auto"/>
        <w:tabs>
          <w:tab w:leader="none" w:pos="324" w:val="left"/>
        </w:tabs>
        <w:numPr>
          <w:ilvl w:val="0"/>
          <w:numId w:val="6"/>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004"/>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744"/>
          </w:cols>
          <w:pgMar w:left="896" w:top="601" w:right="25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SIGNATURES</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Eden Prairie, State of Minnesota, on June 20, 2019.</w:t>
      </w:r>
    </w:p>
    <w:p>
      <w:pPr>
        <w:spacing w:after="0" w:line="174"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WINNEBAGO INDUSTRIES, INC.</w:t>
      </w:r>
    </w:p>
    <w:p>
      <w:pPr>
        <w:spacing w:after="0" w:line="367" w:lineRule="exact"/>
        <w:rPr>
          <w:sz w:val="20"/>
          <w:szCs w:val="20"/>
          <w:color w:val="auto"/>
        </w:rPr>
      </w:pPr>
    </w:p>
    <w:p>
      <w:pPr>
        <w:ind w:left="5160"/>
        <w:spacing w:after="0"/>
        <w:tabs>
          <w:tab w:leader="none" w:pos="56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Stacy L.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29210</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Stacy L. Bogart</w:t>
      </w:r>
    </w:p>
    <w:p>
      <w:pPr>
        <w:spacing w:after="0" w:line="8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Vice President, General Counsel and Corporate Secretary</w:t>
      </w:r>
    </w:p>
    <w:p>
      <w:pPr>
        <w:spacing w:after="0" w:line="22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 indicated on June 20, 2019.</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60" w:type="dxa"/>
            <w:vAlign w:val="bottom"/>
          </w:tcPr>
          <w:p>
            <w:pPr>
              <w:spacing w:after="0"/>
              <w:rPr>
                <w:sz w:val="16"/>
                <w:szCs w:val="16"/>
                <w:color w:val="auto"/>
              </w:rPr>
            </w:pPr>
          </w:p>
        </w:tc>
        <w:tc>
          <w:tcPr>
            <w:tcW w:w="3100" w:type="dxa"/>
            <w:vAlign w:val="bottom"/>
            <w:gridSpan w:val="2"/>
          </w:tcPr>
          <w:p>
            <w:pPr>
              <w:spacing w:after="0"/>
              <w:rPr>
                <w:sz w:val="20"/>
                <w:szCs w:val="20"/>
                <w:color w:val="auto"/>
              </w:rPr>
            </w:pPr>
            <w:r>
              <w:rPr>
                <w:rFonts w:ascii="Arial" w:cs="Arial" w:eastAsia="Arial" w:hAnsi="Arial"/>
                <w:sz w:val="16"/>
                <w:szCs w:val="16"/>
                <w:b w:val="1"/>
                <w:bCs w:val="1"/>
                <w:color w:val="auto"/>
              </w:rPr>
              <w:t>SIGNATURE</w:t>
            </w:r>
          </w:p>
        </w:tc>
        <w:tc>
          <w:tcPr>
            <w:tcW w:w="308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Arial" w:cs="Arial" w:eastAsia="Arial" w:hAnsi="Arial"/>
                <w:sz w:val="16"/>
                <w:szCs w:val="16"/>
                <w:b w:val="1"/>
                <w:bCs w:val="1"/>
                <w:color w:val="auto"/>
              </w:rPr>
              <w:t>TITLE</w:t>
            </w:r>
          </w:p>
        </w:tc>
      </w:tr>
      <w:tr>
        <w:trPr>
          <w:trHeight w:val="298"/>
        </w:trPr>
        <w:tc>
          <w:tcPr>
            <w:tcW w:w="2160" w:type="dxa"/>
            <w:vAlign w:val="bottom"/>
            <w:tcBorders>
              <w:bottom w:val="single" w:sz="8" w:color="auto"/>
            </w:tcBorders>
          </w:tcPr>
          <w:p>
            <w:pPr>
              <w:ind w:left="40"/>
              <w:spacing w:after="0"/>
              <w:rPr>
                <w:sz w:val="20"/>
                <w:szCs w:val="20"/>
                <w:color w:val="auto"/>
              </w:rPr>
            </w:pPr>
            <w:r>
              <w:rPr>
                <w:rFonts w:ascii="Arial" w:cs="Arial" w:eastAsia="Arial" w:hAnsi="Arial"/>
                <w:sz w:val="16"/>
                <w:szCs w:val="16"/>
                <w:i w:val="1"/>
                <w:iCs w:val="1"/>
                <w:color w:val="auto"/>
              </w:rPr>
              <w:t>Michael J. Happe*</w:t>
            </w:r>
          </w:p>
        </w:tc>
        <w:tc>
          <w:tcPr>
            <w:tcW w:w="940" w:type="dxa"/>
            <w:vAlign w:val="bottom"/>
            <w:tcBorders>
              <w:top w:val="single" w:sz="8" w:color="auto"/>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r>
      <w:tr>
        <w:trPr>
          <w:trHeight w:val="204"/>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Michael J. Happe</w:t>
            </w:r>
          </w:p>
        </w:tc>
        <w:tc>
          <w:tcPr>
            <w:tcW w:w="3820" w:type="dxa"/>
            <w:vAlign w:val="bottom"/>
            <w:gridSpan w:val="3"/>
          </w:tcPr>
          <w:p>
            <w:pPr>
              <w:ind w:left="480"/>
              <w:spacing w:after="0"/>
              <w:rPr>
                <w:sz w:val="20"/>
                <w:szCs w:val="20"/>
                <w:color w:val="auto"/>
              </w:rPr>
            </w:pPr>
            <w:r>
              <w:rPr>
                <w:rFonts w:ascii="Arial" w:cs="Arial" w:eastAsia="Arial" w:hAnsi="Arial"/>
                <w:sz w:val="16"/>
                <w:szCs w:val="16"/>
                <w:color w:val="auto"/>
              </w:rPr>
              <w:t>Chief Executive Officer, President and Director</w:t>
            </w:r>
          </w:p>
        </w:tc>
      </w:tr>
      <w:tr>
        <w:trPr>
          <w:trHeight w:val="195"/>
        </w:trPr>
        <w:tc>
          <w:tcPr>
            <w:tcW w:w="2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820" w:type="dxa"/>
            <w:vAlign w:val="bottom"/>
            <w:gridSpan w:val="3"/>
          </w:tcPr>
          <w:p>
            <w:pPr>
              <w:ind w:left="480"/>
              <w:spacing w:after="0"/>
              <w:rPr>
                <w:sz w:val="20"/>
                <w:szCs w:val="20"/>
                <w:color w:val="auto"/>
              </w:rPr>
            </w:pPr>
            <w:r>
              <w:rPr>
                <w:rFonts w:ascii="Arial" w:cs="Arial" w:eastAsia="Arial" w:hAnsi="Arial"/>
                <w:sz w:val="16"/>
                <w:szCs w:val="16"/>
                <w:color w:val="auto"/>
              </w:rPr>
              <w:t>(Principal Executive Officer)</w:t>
            </w:r>
          </w:p>
        </w:tc>
      </w:tr>
      <w:tr>
        <w:trPr>
          <w:trHeight w:val="283"/>
        </w:trPr>
        <w:tc>
          <w:tcPr>
            <w:tcW w:w="52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i w:val="1"/>
                <w:iCs w:val="1"/>
                <w:color w:val="auto"/>
              </w:rPr>
              <w:t>/s/ Bryan L. Hughes</w:t>
            </w:r>
          </w:p>
        </w:tc>
        <w:tc>
          <w:tcPr>
            <w:tcW w:w="3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04"/>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Bryan L. Hughes</w:t>
            </w:r>
          </w:p>
        </w:tc>
        <w:tc>
          <w:tcPr>
            <w:tcW w:w="3820" w:type="dxa"/>
            <w:vAlign w:val="bottom"/>
            <w:gridSpan w:val="3"/>
          </w:tcPr>
          <w:p>
            <w:pPr>
              <w:ind w:left="480"/>
              <w:spacing w:after="0"/>
              <w:rPr>
                <w:sz w:val="20"/>
                <w:szCs w:val="20"/>
                <w:color w:val="auto"/>
              </w:rPr>
            </w:pPr>
            <w:r>
              <w:rPr>
                <w:rFonts w:ascii="Arial" w:cs="Arial" w:eastAsia="Arial" w:hAnsi="Arial"/>
                <w:sz w:val="16"/>
                <w:szCs w:val="16"/>
                <w:color w:val="auto"/>
              </w:rPr>
              <w:t>Vice President, Chief Financial Officer</w:t>
            </w:r>
          </w:p>
        </w:tc>
      </w:tr>
      <w:tr>
        <w:trPr>
          <w:trHeight w:val="195"/>
        </w:trPr>
        <w:tc>
          <w:tcPr>
            <w:tcW w:w="2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3820" w:type="dxa"/>
            <w:vAlign w:val="bottom"/>
            <w:gridSpan w:val="3"/>
          </w:tcPr>
          <w:p>
            <w:pPr>
              <w:ind w:left="480"/>
              <w:spacing w:after="0"/>
              <w:rPr>
                <w:sz w:val="20"/>
                <w:szCs w:val="20"/>
                <w:color w:val="auto"/>
              </w:rPr>
            </w:pPr>
            <w:r>
              <w:rPr>
                <w:rFonts w:ascii="Arial" w:cs="Arial" w:eastAsia="Arial" w:hAnsi="Arial"/>
                <w:sz w:val="16"/>
                <w:szCs w:val="16"/>
                <w:color w:val="auto"/>
              </w:rPr>
              <w:t>(Principal Financial and Accounting Officer)</w:t>
            </w:r>
          </w:p>
        </w:tc>
      </w:tr>
      <w:tr>
        <w:trPr>
          <w:trHeight w:val="594"/>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Maria F. Blase</w:t>
            </w:r>
          </w:p>
        </w:tc>
        <w:tc>
          <w:tcPr>
            <w:tcW w:w="30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Christopher J. Braun</w:t>
            </w:r>
          </w:p>
        </w:tc>
        <w:tc>
          <w:tcPr>
            <w:tcW w:w="3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7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Robert M. Chiusano</w:t>
            </w:r>
          </w:p>
        </w:tc>
        <w:tc>
          <w:tcPr>
            <w:tcW w:w="3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7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William C. Fisher</w:t>
            </w:r>
          </w:p>
        </w:tc>
        <w:tc>
          <w:tcPr>
            <w:tcW w:w="3820" w:type="dxa"/>
            <w:vAlign w:val="bottom"/>
            <w:gridSpan w:val="3"/>
          </w:tcPr>
          <w:p>
            <w:pPr>
              <w:ind w:left="480"/>
              <w:spacing w:after="0"/>
              <w:rPr>
                <w:sz w:val="20"/>
                <w:szCs w:val="20"/>
                <w:color w:val="auto"/>
              </w:rPr>
            </w:pPr>
            <w:r>
              <w:rPr>
                <w:rFonts w:ascii="Arial" w:cs="Arial" w:eastAsia="Arial" w:hAnsi="Arial"/>
                <w:sz w:val="16"/>
                <w:szCs w:val="16"/>
                <w:color w:val="auto"/>
              </w:rPr>
              <w:t>The Board of Directors*</w:t>
            </w:r>
          </w:p>
        </w:tc>
      </w:tr>
      <w:tr>
        <w:trPr>
          <w:trHeight w:val="27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David W. Miles</w:t>
            </w:r>
          </w:p>
        </w:tc>
        <w:tc>
          <w:tcPr>
            <w:tcW w:w="3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7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Richard D. Moss</w:t>
            </w:r>
          </w:p>
        </w:tc>
        <w:tc>
          <w:tcPr>
            <w:tcW w:w="3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r>
      <w:tr>
        <w:trPr>
          <w:trHeight w:val="270"/>
        </w:trPr>
        <w:tc>
          <w:tcPr>
            <w:tcW w:w="5260" w:type="dxa"/>
            <w:vAlign w:val="bottom"/>
            <w:gridSpan w:val="3"/>
          </w:tcPr>
          <w:p>
            <w:pPr>
              <w:ind w:left="40"/>
              <w:spacing w:after="0"/>
              <w:rPr>
                <w:sz w:val="20"/>
                <w:szCs w:val="20"/>
                <w:color w:val="auto"/>
              </w:rPr>
            </w:pPr>
            <w:r>
              <w:rPr>
                <w:rFonts w:ascii="Arial" w:cs="Arial" w:eastAsia="Arial" w:hAnsi="Arial"/>
                <w:sz w:val="16"/>
                <w:szCs w:val="16"/>
                <w:color w:val="auto"/>
              </w:rPr>
              <w:t>John M. Murabito</w:t>
            </w:r>
          </w:p>
        </w:tc>
        <w:tc>
          <w:tcPr>
            <w:tcW w:w="30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8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4" w:lineRule="exact"/>
        <w:rPr>
          <w:sz w:val="20"/>
          <w:szCs w:val="20"/>
          <w:color w:val="auto"/>
        </w:rPr>
      </w:pPr>
    </w:p>
    <w:p>
      <w:pPr>
        <w:ind w:left="260" w:right="640" w:hanging="252"/>
        <w:spacing w:after="0" w:line="260" w:lineRule="auto"/>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Stacy L. Bogart, by signing her name hereto, does hereby sign this document on behalf of each of the above-named officers and/or directors of the Registrant pursuant to powers of attorney duly executed by such persons.</w:t>
      </w:r>
    </w:p>
    <w:p>
      <w:pPr>
        <w:spacing w:after="0" w:line="153" w:lineRule="exact"/>
        <w:rPr>
          <w:sz w:val="20"/>
          <w:szCs w:val="20"/>
          <w:color w:val="auto"/>
        </w:rPr>
      </w:pPr>
    </w:p>
    <w:p>
      <w:pPr>
        <w:ind w:left="5180"/>
        <w:spacing w:after="0"/>
        <w:tabs>
          <w:tab w:leader="none" w:pos="562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Stacy L. Bogart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29210</wp:posOffset>
            </wp:positionV>
            <wp:extent cx="34734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8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Stacy L. Bogart</w:t>
      </w:r>
    </w:p>
    <w:p>
      <w:pPr>
        <w:spacing w:after="0" w:line="86"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Attorney-in-Fact</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00"/>
          </w:cols>
          <w:pgMar w:left="240" w:top="581" w:right="259" w:bottom="1440" w:gutter="0" w:footer="0" w:header="0"/>
        </w:sectPr>
      </w:pPr>
    </w:p>
    <w:bookmarkStart w:id="5" w:name="page6"/>
    <w:bookmarkEnd w:id="5"/>
    <w:p>
      <w:pPr>
        <w:jc w:val="right"/>
        <w:spacing w:after="0"/>
        <w:rPr>
          <w:sz w:val="20"/>
          <w:szCs w:val="20"/>
          <w:color w:val="auto"/>
        </w:rPr>
      </w:pPr>
      <w:r>
        <w:rPr>
          <w:rFonts w:ascii="Arial" w:cs="Arial" w:eastAsia="Arial" w:hAnsi="Arial"/>
          <w:sz w:val="16"/>
          <w:szCs w:val="16"/>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Faegre Baker Daniels LLP</w:t>
      </w:r>
    </w:p>
    <w:p>
      <w:pPr>
        <w:spacing w:after="0" w:line="3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2200 Wells Fargo Center, 90 South Seventh Street</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Minneapolis q Minnesota 55402-3901</w:t>
      </w:r>
    </w:p>
    <w:p>
      <w:pPr>
        <w:spacing w:after="0" w:line="11"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 xml:space="preserve">Phone </w:t>
      </w:r>
      <w:r>
        <w:rPr>
          <w:rFonts w:ascii="Arial" w:cs="Arial" w:eastAsia="Arial" w:hAnsi="Arial"/>
          <w:sz w:val="16"/>
          <w:szCs w:val="16"/>
          <w:b w:val="1"/>
          <w:bCs w:val="1"/>
          <w:color w:val="auto"/>
        </w:rPr>
        <w:t>+1 612 766 7000</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 xml:space="preserve">Fax </w:t>
      </w:r>
      <w:r>
        <w:rPr>
          <w:rFonts w:ascii="Arial" w:cs="Arial" w:eastAsia="Arial" w:hAnsi="Arial"/>
          <w:sz w:val="16"/>
          <w:szCs w:val="16"/>
          <w:b w:val="1"/>
          <w:bCs w:val="1"/>
          <w:color w:val="auto"/>
        </w:rPr>
        <w:t>+1 612 766 1600</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June 20, 2019</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P.O. Box 152</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Forest City, Iowa 50436</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Re: </w:t>
      </w:r>
      <w:r>
        <w:rPr>
          <w:rFonts w:ascii="Arial" w:cs="Arial" w:eastAsia="Arial" w:hAnsi="Arial"/>
          <w:sz w:val="16"/>
          <w:szCs w:val="16"/>
          <w:u w:val="single" w:color="auto"/>
          <w:color w:val="auto"/>
        </w:rPr>
        <w:t>Registration Statement on Form S-8</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94" w:lineRule="exact"/>
        <w:rPr>
          <w:sz w:val="20"/>
          <w:szCs w:val="20"/>
          <w:color w:val="auto"/>
        </w:rPr>
      </w:pPr>
    </w:p>
    <w:p>
      <w:pPr>
        <w:jc w:val="both"/>
        <w:ind w:firstLine="389"/>
        <w:spacing w:after="0" w:line="251" w:lineRule="auto"/>
        <w:rPr>
          <w:sz w:val="20"/>
          <w:szCs w:val="20"/>
          <w:color w:val="auto"/>
        </w:rPr>
      </w:pPr>
      <w:r>
        <w:rPr>
          <w:rFonts w:ascii="Arial" w:cs="Arial" w:eastAsia="Arial" w:hAnsi="Arial"/>
          <w:sz w:val="16"/>
          <w:szCs w:val="16"/>
          <w:color w:val="auto"/>
        </w:rPr>
        <w:t>We have acted as counsel to Winnebago Industries, Inc., an Iowa corporation (the “Company”), in connection with the preparation and filing with the Securities and Exchange Commission (the “Commission”) of the Company’s Registration Statement on Form S-8 (the “Registration Statement”) under the Securities Act of 1933, as amended (the “Act”), registering the offer and sale of up to 4,100,000 shares of the Company’s common stock, $.50 par value per share (the “Shares”), pursuant to the Winnebago Industries, Inc. 2019 Omnibus Incentive Plan (the “Plan”).</w:t>
      </w:r>
    </w:p>
    <w:p>
      <w:pPr>
        <w:spacing w:after="0" w:line="176"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16"/>
          <w:szCs w:val="16"/>
          <w:color w:val="auto"/>
        </w:rPr>
        <w:t>For purposes of this opinion letter, we have examined the Plan, the Registration Statement, the Articles of Incorporation, as currently in effect, and the Amended By-Laws, as currently in effect, of the Company, the resolutions of the Company’s board of directors authorizing the issuance of the Shares and such corporate and other records, agreements, instruments, certificates of public officials and documents as we have deemed necessary as a basis for the opinions hereinafter expressed and have made such examination of statutes as we have deemed relevant and necessary in connection with the opinions hereinafter expressed. As to facts material to this opinion letter, we have relied upon certificates, statements, or representations of public officials, of officers and representatives of the Company and of others, without any independent verification thereof.</w:t>
      </w:r>
    </w:p>
    <w:p>
      <w:pPr>
        <w:spacing w:after="0" w:line="17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In our examination, we have assumed: (i) the legal capacity of all natural persons; (ii) the genuineness of all signatures; (iii) the authenticity of all documents submitted to us as originals; (iv) the conformity to original documents of all documents submitted to us as certified, conformed, photostatic or facsimile copies; (v) the authenticity of the originals of such latter documents; (vi) the truth, accuracy and completeness of the information, representations and warranties contained in the records, documents, instruments, certificates and records we have reviewed; and (vii) the absence of any undisclosed modifications to the agreements and instruments reviewed by us.</w:t>
      </w:r>
    </w:p>
    <w:p>
      <w:pPr>
        <w:spacing w:after="0" w:line="17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6"/>
          <w:szCs w:val="16"/>
          <w:color w:val="auto"/>
        </w:rPr>
        <w:t>Based on and subject to the foregoing and to the other qualifications, assumptions and limitations set forth herein, we are of the opinion that all necessary corporate action on the part of the Company has been taken to authorize the issuance and sale of the Shares to be issued in accordance with the Plan and that, when (a) the Shares have been issued and sold as contemplated in the Registration Statement and related prospectus and in accordance with the Plan, and (b) the consideration for the Shares specified in the Plan has been received by the Company, the Shares will be validly issued, fully paid and nonassessable.</w:t>
      </w:r>
    </w:p>
    <w:p>
      <w:pPr>
        <w:spacing w:after="0" w:line="36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6"/>
          <w:szCs w:val="16"/>
          <w:color w:val="auto"/>
        </w:rPr>
        <w:t>This opinion speaks only as of the date the Registration Statement becomes effective under the Act, and we assume no obligation to revise or supplement this opinion thereafter. This opinion is limited to the specific issues addressed herein, and no opinion may be inferred or implied beyond that expressly stated herein.</w:t>
      </w:r>
    </w:p>
    <w:p>
      <w:pPr>
        <w:spacing w:after="0" w:line="174" w:lineRule="exact"/>
        <w:rPr>
          <w:sz w:val="20"/>
          <w:szCs w:val="20"/>
          <w:color w:val="auto"/>
        </w:rPr>
      </w:pPr>
    </w:p>
    <w:p>
      <w:pPr>
        <w:jc w:val="both"/>
        <w:ind w:right="20" w:firstLine="324"/>
        <w:spacing w:after="0" w:line="260" w:lineRule="auto"/>
        <w:rPr>
          <w:sz w:val="20"/>
          <w:szCs w:val="20"/>
          <w:color w:val="auto"/>
        </w:rPr>
      </w:pPr>
      <w:r>
        <w:rPr>
          <w:rFonts w:ascii="Arial" w:cs="Arial" w:eastAsia="Arial" w:hAnsi="Arial"/>
          <w:sz w:val="16"/>
          <w:szCs w:val="16"/>
          <w:color w:val="auto"/>
        </w:rPr>
        <w:t>We hereby consent to the filing of this opinion as an exhibit to the Registration Statement. In giving such consent, we do not thereby admit that we are within the category of persons whose consent is required under Section 7 of the Act or the rules and regulations of the Commission thereunder.</w:t>
      </w:r>
    </w:p>
    <w:p>
      <w:pPr>
        <w:spacing w:after="0" w:line="16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Yours very truly,</w:t>
      </w:r>
    </w:p>
    <w:p>
      <w:pPr>
        <w:spacing w:after="0" w:line="194" w:lineRule="exact"/>
        <w:rPr>
          <w:sz w:val="20"/>
          <w:szCs w:val="20"/>
          <w:color w:val="auto"/>
        </w:rPr>
      </w:pPr>
    </w:p>
    <w:p>
      <w:pPr>
        <w:ind w:left="4820"/>
        <w:spacing w:after="0"/>
        <w:rPr>
          <w:sz w:val="20"/>
          <w:szCs w:val="20"/>
          <w:color w:val="auto"/>
        </w:rPr>
      </w:pPr>
      <w:r>
        <w:rPr>
          <w:rFonts w:ascii="Arial" w:cs="Arial" w:eastAsia="Arial" w:hAnsi="Arial"/>
          <w:sz w:val="16"/>
          <w:szCs w:val="16"/>
          <w:color w:val="auto"/>
        </w:rPr>
        <w:t>FAEGRE BAKER DANIELS LLP</w:t>
      </w:r>
    </w:p>
    <w:p>
      <w:pPr>
        <w:spacing w:after="0" w:line="367" w:lineRule="exact"/>
        <w:rPr>
          <w:sz w:val="20"/>
          <w:szCs w:val="20"/>
          <w:color w:val="auto"/>
        </w:rPr>
      </w:pPr>
    </w:p>
    <w:p>
      <w:pPr>
        <w:ind w:left="4820"/>
        <w:spacing w:after="0"/>
        <w:tabs>
          <w:tab w:leader="none" w:pos="52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Amy C. Seidel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29210</wp:posOffset>
            </wp:positionV>
            <wp:extent cx="348170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82" w:lineRule="exact"/>
        <w:rPr>
          <w:sz w:val="20"/>
          <w:szCs w:val="20"/>
          <w:color w:val="auto"/>
        </w:rPr>
      </w:pPr>
    </w:p>
    <w:p>
      <w:pPr>
        <w:ind w:left="5280"/>
        <w:spacing w:after="0"/>
        <w:rPr>
          <w:sz w:val="20"/>
          <w:szCs w:val="20"/>
          <w:color w:val="auto"/>
        </w:rPr>
      </w:pPr>
      <w:r>
        <w:rPr>
          <w:rFonts w:ascii="Arial" w:cs="Arial" w:eastAsia="Arial" w:hAnsi="Arial"/>
          <w:sz w:val="16"/>
          <w:szCs w:val="16"/>
          <w:color w:val="auto"/>
        </w:rPr>
        <w:t>Amy C. Seidel</w:t>
      </w:r>
    </w:p>
    <w:p>
      <w:pPr>
        <w:sectPr>
          <w:pgSz w:w="11900" w:h="16838" w:orient="portrait"/>
          <w:cols w:equalWidth="0" w:num="1">
            <w:col w:w="11420"/>
          </w:cols>
          <w:pgMar w:left="240" w:top="58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6"/>
          <w:szCs w:val="16"/>
          <w:b w:val="1"/>
          <w:bCs w:val="1"/>
          <w:color w:val="auto"/>
        </w:rPr>
        <w:t>Exhibit 23.1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1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consent to the incorporation by reference in this Registration Statement on Form S-8 of our reports dated October 18, 2018, relating to the financial statements of Winnebago Industries, Inc. and subsidiaries, and the effectiveness of Winnebago Industries, Inc. and subsidiaries’ internal control over financial reporting, appearing in the Annual Report on Form 10-K of Winnebago Industries, Inc. for the year ended August 25, 2018.</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DELOITTE &amp; TOUCHE LLP</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Minneapolis, Minnesota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June 20, 2019</w:t>
      </w:r>
    </w:p>
    <w:p>
      <w:pPr>
        <w:sectPr>
          <w:pgSz w:w="11900" w:h="16838" w:orient="portrait"/>
          <w:cols w:equalWidth="0" w:num="1">
            <w:col w:w="11420"/>
          </w:cols>
          <w:pgMar w:left="240" w:top="58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6"/>
          <w:szCs w:val="16"/>
          <w:b w:val="1"/>
          <w:bCs w:val="1"/>
          <w:color w:val="auto"/>
        </w:rPr>
        <w:t>Exhibit 24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 OF ATTORNEY</w:t>
      </w:r>
    </w:p>
    <w:p>
      <w:pPr>
        <w:spacing w:after="0" w:line="21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undersigned director and/or officer of Winnebago Industries, Inc., an Iowa corporation (the “Company”), does hereby make, constitute and appoint Michael J. Happe, Bryan L. Hughes and Stacy L. Bogart, and each of them, his or her true and lawful attorneys-in-fact, with full power of substitution, for the undersigned and in his or her name, place and stead, to sign and affix the undersigned’s name as director and/or officer of the Company to a Registration Statement or Registration Statements, on Form S-8 or other applicable form, and all amendments (including post-effective amendments) thereto, to be filed by the Company with the Securities and Exchange Commission (the “SEC”), in connection with the registration under the Securities Act of 1933, as amended, of shares of Common Stock or other securities proposed to be issued or sold by the Company pursuant to the Winnebago Industries, Inc. 2019 Omnibus Incentive Plan and to file the same with the SEC, granting unto these attorneys-in-fact, full power and authority to do and perform any and all acts necessary or incidental to the performance and execution of the powers herein expressly granted.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undersigned has hereunto set his or her hand this 22</w:t>
      </w:r>
      <w:r>
        <w:rPr>
          <w:rFonts w:ascii="Arial" w:cs="Arial" w:eastAsia="Arial" w:hAnsi="Arial"/>
          <w:sz w:val="21"/>
          <w:szCs w:val="21"/>
          <w:color w:val="auto"/>
          <w:vertAlign w:val="superscript"/>
        </w:rPr>
        <w:t>nd</w:t>
      </w:r>
      <w:r>
        <w:rPr>
          <w:rFonts w:ascii="Arial" w:cs="Arial" w:eastAsia="Arial" w:hAnsi="Arial"/>
          <w:sz w:val="16"/>
          <w:szCs w:val="16"/>
          <w:color w:val="auto"/>
        </w:rPr>
        <w:t xml:space="preserve"> day of May, 2019.</w:t>
      </w:r>
    </w:p>
    <w:p>
      <w:pPr>
        <w:sectPr>
          <w:pgSz w:w="11900" w:h="16838" w:orient="portrait"/>
          <w:cols w:equalWidth="0" w:num="1">
            <w:col w:w="11420"/>
          </w:cols>
          <w:pgMar w:left="240" w:top="554" w:right="239" w:bottom="1440" w:gutter="0" w:footer="0" w:header="0"/>
        </w:sectPr>
      </w:pPr>
    </w:p>
    <w:p>
      <w:pPr>
        <w:spacing w:after="0" w:line="311" w:lineRule="exact"/>
        <w:rPr>
          <w:sz w:val="20"/>
          <w:szCs w:val="20"/>
          <w:color w:val="auto"/>
        </w:rPr>
      </w:pPr>
    </w:p>
    <w:p>
      <w:pPr>
        <w:jc w:val="right"/>
        <w:ind w:right="1860"/>
        <w:spacing w:after="0"/>
        <w:rPr>
          <w:sz w:val="20"/>
          <w:szCs w:val="20"/>
          <w:color w:val="auto"/>
        </w:rPr>
      </w:pPr>
      <w:r>
        <w:rPr>
          <w:rFonts w:ascii="Arial" w:cs="Arial" w:eastAsia="Arial" w:hAnsi="Arial"/>
          <w:sz w:val="16"/>
          <w:szCs w:val="16"/>
          <w:b w:val="1"/>
          <w:bCs w:val="1"/>
          <w:u w:val="single" w:color="auto"/>
          <w:color w:val="auto"/>
        </w:rPr>
        <w:t>SIGNATURE</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2499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Michael J. Happe</w:t>
      </w:r>
    </w:p>
    <w:p>
      <w:pPr>
        <w:spacing w:after="0" w:line="246"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2499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69" w:lineRule="exact"/>
        <w:rPr>
          <w:sz w:val="20"/>
          <w:szCs w:val="20"/>
          <w:color w:val="auto"/>
        </w:rPr>
      </w:pPr>
    </w:p>
    <w:p>
      <w:pPr>
        <w:ind w:left="40"/>
        <w:spacing w:after="0"/>
        <w:rPr>
          <w:sz w:val="20"/>
          <w:szCs w:val="20"/>
          <w:color w:val="auto"/>
        </w:rPr>
      </w:pPr>
      <w:r>
        <w:rPr>
          <w:rFonts w:ascii="Arial" w:cs="Arial" w:eastAsia="Arial" w:hAnsi="Arial"/>
          <w:sz w:val="16"/>
          <w:szCs w:val="16"/>
          <w:color w:val="auto"/>
        </w:rPr>
        <w:t>Bryan L. Hughes</w:t>
      </w: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Maria F. Blase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2499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Maria F. Blase</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Christopher J. Braun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2499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Christopher J. Braun</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Robert M. Chiusano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2499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Robert M. Chiusano</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William C.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2499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William C. Fisher</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David W. Miles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2499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David W. Miles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Richard D. Moss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2499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Richard D. Moss</w:t>
      </w:r>
    </w:p>
    <w:p>
      <w:pPr>
        <w:spacing w:after="0" w:line="367"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/s/ John M. Murabito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2499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John M. Murabito</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ind w:left="2640"/>
        <w:spacing w:after="0"/>
        <w:rPr>
          <w:sz w:val="20"/>
          <w:szCs w:val="20"/>
          <w:color w:val="auto"/>
        </w:rPr>
      </w:pPr>
      <w:r>
        <w:rPr>
          <w:rFonts w:ascii="Arial" w:cs="Arial" w:eastAsia="Arial" w:hAnsi="Arial"/>
          <w:sz w:val="16"/>
          <w:szCs w:val="16"/>
          <w:b w:val="1"/>
          <w:bCs w:val="1"/>
          <w:u w:val="single" w:color="auto"/>
          <w:color w:val="auto"/>
        </w:rPr>
        <w:t>TITLE</w:t>
      </w: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President and Director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Chief Financial Officer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sectPr>
      <w:pgSz w:w="11900" w:h="16838" w:orient="portrait"/>
      <w:cols w:equalWidth="0" w:num="2">
        <w:col w:w="4900" w:space="720"/>
        <w:col w:w="5800"/>
      </w:cols>
      <w:pgMar w:left="240" w:top="55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lowerRoman"/>
      <w:start w:val="1"/>
    </w:lvl>
  </w:abstractNum>
  <w:abstractNum w:abstractNumId="3">
    <w:nsid w:val="3D1B58BA"/>
    <w:multiLevelType w:val="hybridMultilevel"/>
    <w:lvl w:ilvl="0">
      <w:lvlJc w:val="left"/>
      <w:lvlText w:val="%1."/>
      <w:numFmt w:val="upperLetter"/>
      <w:start w:val="1"/>
    </w:lvl>
    <w:lvl w:ilvl="1">
      <w:lvlJc w:val="left"/>
      <w:lvlText w:val="(%2)"/>
      <w:numFmt w:val="decimal"/>
      <w:start w:val="1"/>
    </w:lvl>
    <w:lvl w:ilvl="2">
      <w:lvlJc w:val="left"/>
      <w:lvlText w:val="(%3)"/>
      <w:numFmt w:val="lowerRoman"/>
      <w:start w:val="1"/>
    </w:lvl>
  </w:abstractNum>
  <w:abstractNum w:abstractNumId="4">
    <w:nsid w:val="507ED7AB"/>
    <w:multiLevelType w:val="hybridMultilevel"/>
    <w:lvl w:ilvl="0">
      <w:lvlJc w:val="left"/>
      <w:lvlText w:val="%1"/>
      <w:numFmt w:val="upperLetter"/>
      <w:start w:val="1"/>
    </w:lvl>
    <w:lvl w:ilvl="1">
      <w:lvlJc w:val="left"/>
      <w:lvlText w:val="(%2)"/>
      <w:numFmt w:val="decimal"/>
      <w:start w:val="2"/>
    </w:lvl>
  </w:abstractNum>
  <w:abstractNum w:abstractNumId="5">
    <w:nsid w:val="2EB141F2"/>
    <w:multiLevelType w:val="hybridMultilevel"/>
    <w:lvl w:ilvl="0">
      <w:lvlJc w:val="left"/>
      <w:lvlText w:val="%1."/>
      <w:numFmt w:val="upperLetter"/>
      <w:start w:val="2"/>
    </w:lvl>
    <w:lvl w:ilvl="1">
      <w:lvlJc w:val="left"/>
      <w:lvlText w:val="%2"/>
      <w:numFmt w:val="decimal"/>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4"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17" Type="http://schemas.openxmlformats.org/officeDocument/2006/relationships/hyperlink" Target="http://www.sec.gov/Archives/edgar/data/107687/000010768718000026/a201810-k.htm" TargetMode="External"/><Relationship Id="rId18" Type="http://schemas.openxmlformats.org/officeDocument/2006/relationships/hyperlink" Target="http://www.sec.gov/Archives/edgar/data/107687/000010768718000029/wgo2018proxy.htm" TargetMode="External"/><Relationship Id="rId19" Type="http://schemas.openxmlformats.org/officeDocument/2006/relationships/hyperlink" Target="http://www.sec.gov/Archives/edgar/data/107687/000010768718000038/a2019q110q.htm" TargetMode="External"/><Relationship Id="rId20" Type="http://schemas.openxmlformats.org/officeDocument/2006/relationships/hyperlink" Target="http://www.sec.gov/Archives/edgar/data/107687/000010768719000004/a2019q210-q.htm" TargetMode="External"/><Relationship Id="rId21" Type="http://schemas.openxmlformats.org/officeDocument/2006/relationships/hyperlink" Target="http://www.sec.gov/Archives/edgar/data/107687/000010768719000011/a2019q310-q.htm" TargetMode="External"/><Relationship Id="rId22" Type="http://schemas.openxmlformats.org/officeDocument/2006/relationships/hyperlink" Target="http://www.sec.gov/Archives/edgar/data/107687/000010768718000022/a2018form8-k0924.htm" TargetMode="External"/><Relationship Id="rId23" Type="http://schemas.openxmlformats.org/officeDocument/2006/relationships/hyperlink" Target="http://www.sec.gov/Archives/edgar/data/107687/000010768718000031/wgo20188k1212annualmtg.htm" TargetMode="External"/><Relationship Id="rId25" Type="http://schemas.openxmlformats.org/officeDocument/2006/relationships/hyperlink" Target="http://www.sec.gov/Archives/edgar/data/107687/000010768718000026/exhibit3aarticlesofincor.htm" TargetMode="External"/><Relationship Id="rId26" Type="http://schemas.openxmlformats.org/officeDocument/2006/relationships/hyperlink" Target="http://www.sec.gov/Archives/edgar/data/107687/000010768716000075/exh31by-lawsasamended3x16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2019-12-01T14:26:36Z</dcterms:created>
  <dcterms:modified xsi:type="dcterms:W3CDTF">2019-12-01T14:26:36Z</dcterms:modified>
</cp:coreProperties>
</file>