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2"/>
          <w:szCs w:val="22"/>
          <w:b w:val="1"/>
          <w:bCs w:val="1"/>
          <w:color w:val="auto"/>
        </w:rPr>
        <w:t>UNITED STATES</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228"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FORM 8-K</w:t>
      </w:r>
    </w:p>
    <w:p>
      <w:pPr>
        <w:spacing w:after="0" w:line="290"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CURRENT REPORT</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192"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Date of report (Date of earliest event reported): June 25,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1864995</wp:posOffset>
            </wp:positionH>
            <wp:positionV relativeFrom="paragraph">
              <wp:posOffset>175260</wp:posOffset>
            </wp:positionV>
            <wp:extent cx="3420110" cy="9861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420110" cy="9861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6"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Winnebago Industries, Inc.</w:t>
      </w:r>
    </w:p>
    <w:p>
      <w:pPr>
        <w:spacing w:after="0" w:line="56"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(Exact Name of Registrant as Specified in its Charter)</w:t>
      </w:r>
    </w:p>
    <w:p>
      <w:pPr>
        <w:spacing w:after="0" w:line="138" w:lineRule="exact"/>
        <w:rPr>
          <w:sz w:val="24"/>
          <w:szCs w:val="24"/>
          <w:color w:val="auto"/>
        </w:rPr>
      </w:pPr>
    </w:p>
    <w:tbl>
      <w:tblPr>
        <w:tblLayout w:type="fixed"/>
        <w:tblInd w:w="0" w:type="dxa"/>
        <w:tblCellMar>
          <w:top w:w="0" w:type="dxa"/>
          <w:left w:w="0" w:type="dxa"/>
          <w:bottom w:w="0" w:type="dxa"/>
          <w:right w:w="0" w:type="dxa"/>
        </w:tblCellMar>
      </w:tblPr>
      <w:tr>
        <w:trPr>
          <w:trHeight w:val="217"/>
        </w:trPr>
        <w:tc>
          <w:tcPr>
            <w:tcW w:w="206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tcPr>
          <w:p>
            <w:pPr>
              <w:jc w:val="center"/>
              <w:ind w:right="699"/>
              <w:spacing w:after="0"/>
              <w:rPr>
                <w:sz w:val="20"/>
                <w:szCs w:val="20"/>
                <w:color w:val="auto"/>
              </w:rPr>
            </w:pPr>
            <w:r>
              <w:rPr>
                <w:rFonts w:ascii="Arial" w:cs="Arial" w:eastAsia="Arial" w:hAnsi="Arial"/>
                <w:sz w:val="16"/>
                <w:szCs w:val="16"/>
                <w:b w:val="1"/>
                <w:bCs w:val="1"/>
                <w:color w:val="auto"/>
              </w:rPr>
              <w:t>Minnesota</w:t>
            </w:r>
          </w:p>
        </w:tc>
        <w:tc>
          <w:tcPr>
            <w:tcW w:w="126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001-06403</w:t>
            </w:r>
          </w:p>
        </w:tc>
        <w:tc>
          <w:tcPr>
            <w:tcW w:w="3760" w:type="dxa"/>
            <w:vAlign w:val="bottom"/>
            <w:tcBorders>
              <w:bottom w:val="single" w:sz="8" w:color="auto"/>
            </w:tcBorders>
          </w:tcPr>
          <w:p>
            <w:pPr>
              <w:jc w:val="right"/>
              <w:ind w:right="1379"/>
              <w:spacing w:after="0"/>
              <w:rPr>
                <w:sz w:val="20"/>
                <w:szCs w:val="20"/>
                <w:color w:val="auto"/>
              </w:rPr>
            </w:pPr>
            <w:r>
              <w:rPr>
                <w:rFonts w:ascii="Arial" w:cs="Arial" w:eastAsia="Arial" w:hAnsi="Arial"/>
                <w:sz w:val="16"/>
                <w:szCs w:val="16"/>
                <w:b w:val="1"/>
                <w:bCs w:val="1"/>
                <w:color w:val="auto"/>
              </w:rPr>
              <w:t>42-0802678</w:t>
            </w:r>
          </w:p>
        </w:tc>
      </w:tr>
      <w:tr>
        <w:trPr>
          <w:trHeight w:val="208"/>
        </w:trPr>
        <w:tc>
          <w:tcPr>
            <w:tcW w:w="5420" w:type="dxa"/>
            <w:vAlign w:val="bottom"/>
            <w:gridSpan w:val="3"/>
          </w:tcPr>
          <w:p>
            <w:pPr>
              <w:jc w:val="center"/>
              <w:spacing w:after="0"/>
              <w:rPr>
                <w:sz w:val="20"/>
                <w:szCs w:val="20"/>
                <w:color w:val="auto"/>
              </w:rPr>
            </w:pPr>
            <w:r>
              <w:rPr>
                <w:rFonts w:ascii="Arial" w:cs="Arial" w:eastAsia="Arial" w:hAnsi="Arial"/>
                <w:sz w:val="16"/>
                <w:szCs w:val="16"/>
                <w:color w:val="auto"/>
              </w:rPr>
              <w:t>(State or Other Jurisdiction of Incorporation)</w:t>
            </w:r>
          </w:p>
        </w:tc>
        <w:tc>
          <w:tcPr>
            <w:tcW w:w="2060" w:type="dxa"/>
            <w:vAlign w:val="bottom"/>
          </w:tcPr>
          <w:p>
            <w:pPr>
              <w:jc w:val="center"/>
              <w:spacing w:after="0"/>
              <w:rPr>
                <w:sz w:val="20"/>
                <w:szCs w:val="20"/>
                <w:color w:val="auto"/>
              </w:rPr>
            </w:pPr>
            <w:r>
              <w:rPr>
                <w:rFonts w:ascii="Arial" w:cs="Arial" w:eastAsia="Arial" w:hAnsi="Arial"/>
                <w:sz w:val="16"/>
                <w:szCs w:val="16"/>
                <w:color w:val="auto"/>
              </w:rPr>
              <w:t>(Commission File Number)</w:t>
            </w:r>
          </w:p>
        </w:tc>
        <w:tc>
          <w:tcPr>
            <w:tcW w:w="3760" w:type="dxa"/>
            <w:vAlign w:val="bottom"/>
          </w:tcPr>
          <w:p>
            <w:pPr>
              <w:jc w:val="center"/>
              <w:spacing w:after="0"/>
              <w:rPr>
                <w:sz w:val="20"/>
                <w:szCs w:val="20"/>
                <w:color w:val="auto"/>
              </w:rPr>
            </w:pPr>
            <w:r>
              <w:rPr>
                <w:rFonts w:ascii="Arial" w:cs="Arial" w:eastAsia="Arial" w:hAnsi="Arial"/>
                <w:sz w:val="16"/>
                <w:szCs w:val="16"/>
                <w:color w:val="auto"/>
              </w:rPr>
              <w:t>(IRS Employer Identification No.)</w:t>
            </w:r>
          </w:p>
        </w:tc>
      </w:tr>
      <w:tr>
        <w:trPr>
          <w:trHeight w:val="433"/>
        </w:trPr>
        <w:tc>
          <w:tcPr>
            <w:tcW w:w="2060" w:type="dxa"/>
            <w:vAlign w:val="bottom"/>
            <w:tcBorders>
              <w:bottom w:val="single" w:sz="8" w:color="auto"/>
            </w:tcBorders>
          </w:tcPr>
          <w:p>
            <w:pPr>
              <w:ind w:left="340"/>
              <w:spacing w:after="0"/>
              <w:rPr>
                <w:sz w:val="20"/>
                <w:szCs w:val="20"/>
                <w:color w:val="auto"/>
              </w:rPr>
            </w:pPr>
            <w:r>
              <w:rPr>
                <w:rFonts w:ascii="Arial" w:cs="Arial" w:eastAsia="Arial" w:hAnsi="Arial"/>
                <w:sz w:val="16"/>
                <w:szCs w:val="16"/>
                <w:b w:val="1"/>
                <w:bCs w:val="1"/>
                <w:color w:val="auto"/>
              </w:rPr>
              <w:t>13200 Pioneer Trail</w:t>
            </w:r>
          </w:p>
        </w:tc>
        <w:tc>
          <w:tcPr>
            <w:tcW w:w="2100" w:type="dxa"/>
            <w:vAlign w:val="bottom"/>
            <w:tcBorders>
              <w:bottom w:val="single" w:sz="8" w:color="auto"/>
            </w:tcBorders>
          </w:tcPr>
          <w:p>
            <w:pPr>
              <w:ind w:left="420"/>
              <w:spacing w:after="0"/>
              <w:rPr>
                <w:sz w:val="20"/>
                <w:szCs w:val="20"/>
                <w:color w:val="auto"/>
              </w:rPr>
            </w:pPr>
            <w:r>
              <w:rPr>
                <w:rFonts w:ascii="Arial" w:cs="Arial" w:eastAsia="Arial" w:hAnsi="Arial"/>
                <w:sz w:val="16"/>
                <w:szCs w:val="16"/>
                <w:b w:val="1"/>
                <w:bCs w:val="1"/>
                <w:color w:val="auto"/>
              </w:rPr>
              <w:t>Eden Prairie</w:t>
            </w:r>
          </w:p>
        </w:tc>
        <w:tc>
          <w:tcPr>
            <w:tcW w:w="126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Minnesota</w:t>
            </w:r>
          </w:p>
        </w:tc>
        <w:tc>
          <w:tcPr>
            <w:tcW w:w="2060" w:type="dxa"/>
            <w:vAlign w:val="bottom"/>
          </w:tcPr>
          <w:p>
            <w:pPr>
              <w:spacing w:after="0"/>
              <w:rPr>
                <w:sz w:val="24"/>
                <w:szCs w:val="24"/>
                <w:color w:val="auto"/>
              </w:rPr>
            </w:pPr>
          </w:p>
        </w:tc>
        <w:tc>
          <w:tcPr>
            <w:tcW w:w="3760" w:type="dxa"/>
            <w:vAlign w:val="bottom"/>
            <w:tcBorders>
              <w:bottom w:val="single" w:sz="8" w:color="auto"/>
            </w:tcBorders>
          </w:tcPr>
          <w:p>
            <w:pPr>
              <w:jc w:val="right"/>
              <w:ind w:right="1579"/>
              <w:spacing w:after="0"/>
              <w:rPr>
                <w:sz w:val="20"/>
                <w:szCs w:val="20"/>
                <w:color w:val="auto"/>
              </w:rPr>
            </w:pPr>
            <w:r>
              <w:rPr>
                <w:rFonts w:ascii="Arial" w:cs="Arial" w:eastAsia="Arial" w:hAnsi="Arial"/>
                <w:sz w:val="16"/>
                <w:szCs w:val="16"/>
                <w:b w:val="1"/>
                <w:bCs w:val="1"/>
                <w:color w:val="auto"/>
              </w:rPr>
              <w:t>55347</w:t>
            </w:r>
          </w:p>
        </w:tc>
      </w:tr>
      <w:tr>
        <w:trPr>
          <w:trHeight w:val="208"/>
        </w:trPr>
        <w:tc>
          <w:tcPr>
            <w:tcW w:w="4160" w:type="dxa"/>
            <w:vAlign w:val="bottom"/>
            <w:gridSpan w:val="2"/>
          </w:tcPr>
          <w:p>
            <w:pPr>
              <w:jc w:val="center"/>
              <w:ind w:left="1199"/>
              <w:spacing w:after="0"/>
              <w:rPr>
                <w:sz w:val="20"/>
                <w:szCs w:val="20"/>
                <w:color w:val="auto"/>
              </w:rPr>
            </w:pPr>
            <w:r>
              <w:rPr>
                <w:rFonts w:ascii="Arial" w:cs="Arial" w:eastAsia="Arial" w:hAnsi="Arial"/>
                <w:sz w:val="16"/>
                <w:szCs w:val="16"/>
                <w:color w:val="auto"/>
              </w:rPr>
              <w:t>(Address of Principal Executive Offices)</w:t>
            </w:r>
          </w:p>
        </w:tc>
        <w:tc>
          <w:tcPr>
            <w:tcW w:w="12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3760" w:type="dxa"/>
            <w:vAlign w:val="bottom"/>
          </w:tcPr>
          <w:p>
            <w:pPr>
              <w:jc w:val="center"/>
              <w:spacing w:after="0"/>
              <w:rPr>
                <w:sz w:val="20"/>
                <w:szCs w:val="20"/>
                <w:color w:val="auto"/>
              </w:rPr>
            </w:pPr>
            <w:r>
              <w:rPr>
                <w:rFonts w:ascii="Arial" w:cs="Arial" w:eastAsia="Arial" w:hAnsi="Arial"/>
                <w:sz w:val="16"/>
                <w:szCs w:val="16"/>
                <w:color w:val="auto"/>
              </w:rPr>
              <w:t>(Zip Code)</w:t>
            </w:r>
          </w:p>
        </w:tc>
      </w:tr>
    </w:tbl>
    <w:p>
      <w:pPr>
        <w:spacing w:after="0" w:line="338" w:lineRule="exact"/>
        <w:rPr>
          <w:sz w:val="24"/>
          <w:szCs w:val="24"/>
          <w:color w:val="auto"/>
        </w:rPr>
      </w:pPr>
    </w:p>
    <w:p>
      <w:pPr>
        <w:jc w:val="center"/>
        <w:spacing w:after="0"/>
        <w:tabs>
          <w:tab w:leader="none" w:pos="120" w:val="left"/>
        </w:tabs>
        <w:rPr>
          <w:sz w:val="20"/>
          <w:szCs w:val="20"/>
          <w:color w:val="auto"/>
        </w:rPr>
      </w:pPr>
      <w:r>
        <w:rPr>
          <w:rFonts w:ascii="Arial" w:cs="Arial" w:eastAsia="Arial" w:hAnsi="Arial"/>
          <w:sz w:val="16"/>
          <w:szCs w:val="16"/>
          <w:color w:val="auto"/>
        </w:rPr>
        <w:t>Registrant's telephone number, including area code:</w:t>
      </w:r>
      <w:r>
        <w:rPr>
          <w:sz w:val="20"/>
          <w:szCs w:val="20"/>
          <w:color w:val="auto"/>
        </w:rPr>
        <w:tab/>
      </w:r>
      <w:r>
        <w:rPr>
          <w:rFonts w:ascii="Arial" w:cs="Arial" w:eastAsia="Arial" w:hAnsi="Arial"/>
          <w:sz w:val="16"/>
          <w:szCs w:val="16"/>
          <w:b w:val="1"/>
          <w:bCs w:val="1"/>
          <w:color w:val="auto"/>
        </w:rPr>
        <w:t>(952) 829-8600</w:t>
      </w:r>
    </w:p>
    <w:p>
      <w:pPr>
        <w:spacing w:after="0" w:line="21" w:lineRule="exact"/>
        <w:rPr>
          <w:sz w:val="24"/>
          <w:szCs w:val="24"/>
          <w:color w:val="auto"/>
        </w:rPr>
      </w:pPr>
    </w:p>
    <w:p>
      <w:pPr>
        <w:ind w:left="2480"/>
        <w:spacing w:after="0"/>
        <w:rPr>
          <w:sz w:val="20"/>
          <w:szCs w:val="20"/>
          <w:color w:val="auto"/>
        </w:rPr>
      </w:pPr>
      <w:r>
        <w:rPr>
          <w:rFonts w:ascii="Arial" w:cs="Arial" w:eastAsia="Arial" w:hAnsi="Arial"/>
          <w:sz w:val="16"/>
          <w:szCs w:val="16"/>
          <w:color w:val="auto"/>
        </w:rPr>
        <w:t>______________________________________________________________________</w:t>
      </w:r>
    </w:p>
    <w:p>
      <w:pPr>
        <w:spacing w:after="0" w:line="5" w:lineRule="exact"/>
        <w:rPr>
          <w:sz w:val="24"/>
          <w:szCs w:val="24"/>
          <w:color w:val="auto"/>
        </w:rPr>
      </w:pPr>
    </w:p>
    <w:p>
      <w:pPr>
        <w:jc w:val="center"/>
        <w:ind w:right="60"/>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246" w:lineRule="exact"/>
        <w:rPr>
          <w:sz w:val="24"/>
          <w:szCs w:val="24"/>
          <w:color w:val="auto"/>
        </w:rPr>
      </w:pPr>
    </w:p>
    <w:p>
      <w:pPr>
        <w:jc w:val="both"/>
        <w:ind w:right="20"/>
        <w:spacing w:after="0" w:line="286"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 (see General Instruction A.2. below):</w:t>
      </w:r>
    </w:p>
    <w:p>
      <w:pPr>
        <w:spacing w:after="0" w:line="142"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207" w:lineRule="exact"/>
        <w:rPr>
          <w:rFonts w:ascii="MS PGothic" w:cs="MS PGothic" w:eastAsia="MS PGothic" w:hAnsi="MS PGothic"/>
          <w:sz w:val="16"/>
          <w:szCs w:val="16"/>
          <w:color w:val="auto"/>
        </w:rPr>
      </w:pPr>
    </w:p>
    <w:p>
      <w:pPr>
        <w:ind w:left="380" w:hanging="372"/>
        <w:spacing w:after="0"/>
        <w:tabs>
          <w:tab w:leader="none" w:pos="3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207" w:lineRule="exact"/>
        <w:rPr>
          <w:rFonts w:ascii="MS PGothic" w:cs="MS PGothic" w:eastAsia="MS PGothic" w:hAnsi="MS PGothic"/>
          <w:sz w:val="16"/>
          <w:szCs w:val="16"/>
          <w:color w:val="auto"/>
        </w:rPr>
      </w:pPr>
    </w:p>
    <w:p>
      <w:pPr>
        <w:ind w:left="380" w:hanging="372"/>
        <w:spacing w:after="0"/>
        <w:tabs>
          <w:tab w:leader="none" w:pos="3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94" w:lineRule="exact"/>
        <w:rPr>
          <w:rFonts w:ascii="MS PGothic" w:cs="MS PGothic" w:eastAsia="MS PGothic" w:hAnsi="MS PGothic"/>
          <w:sz w:val="16"/>
          <w:szCs w:val="16"/>
          <w:color w:val="auto"/>
        </w:rPr>
      </w:pPr>
    </w:p>
    <w:p>
      <w:pPr>
        <w:ind w:left="380" w:hanging="372"/>
        <w:spacing w:after="0"/>
        <w:tabs>
          <w:tab w:leader="none" w:pos="3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62"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31" w:lineRule="exact"/>
        <w:rPr>
          <w:sz w:val="24"/>
          <w:szCs w:val="24"/>
          <w:color w:val="auto"/>
        </w:rPr>
      </w:pPr>
    </w:p>
    <w:tbl>
      <w:tblPr>
        <w:tblLayout w:type="fixed"/>
        <w:tblInd w:w="10" w:type="dxa"/>
        <w:tblCellMar>
          <w:top w:w="0" w:type="dxa"/>
          <w:left w:w="0" w:type="dxa"/>
          <w:bottom w:w="0" w:type="dxa"/>
          <w:right w:w="0" w:type="dxa"/>
        </w:tblCellMar>
      </w:tblPr>
      <w:tr>
        <w:trPr>
          <w:trHeight w:val="224"/>
        </w:trPr>
        <w:tc>
          <w:tcPr>
            <w:tcW w:w="47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Title of each class</w:t>
            </w:r>
          </w:p>
        </w:tc>
        <w:tc>
          <w:tcPr>
            <w:tcW w:w="17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Trading Symbol(s)</w:t>
            </w:r>
          </w:p>
        </w:tc>
        <w:tc>
          <w:tcPr>
            <w:tcW w:w="47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Name of each exchange on which registered</w:t>
            </w:r>
          </w:p>
        </w:tc>
      </w:tr>
      <w:tr>
        <w:trPr>
          <w:trHeight w:val="209"/>
        </w:trPr>
        <w:tc>
          <w:tcPr>
            <w:tcW w:w="47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Common Stock, $0.50 par value per share</w:t>
            </w: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WGO</w:t>
            </w:r>
          </w:p>
        </w:tc>
        <w:tc>
          <w:tcPr>
            <w:tcW w:w="4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New York Stock Exchange</w:t>
            </w:r>
          </w:p>
        </w:tc>
      </w:tr>
    </w:tbl>
    <w:p>
      <w:pPr>
        <w:spacing w:after="0" w:line="323" w:lineRule="exact"/>
        <w:rPr>
          <w:sz w:val="24"/>
          <w:szCs w:val="24"/>
          <w:color w:val="auto"/>
        </w:rPr>
      </w:pPr>
    </w:p>
    <w:p>
      <w:pPr>
        <w:jc w:val="both"/>
        <w:ind w:right="20"/>
        <w:spacing w:after="0" w:line="263"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36" w:lineRule="exact"/>
        <w:rPr>
          <w:sz w:val="24"/>
          <w:szCs w:val="24"/>
          <w:color w:val="auto"/>
        </w:rPr>
      </w:pPr>
    </w:p>
    <w:p>
      <w:pPr>
        <w:ind w:right="160"/>
        <w:spacing w:after="0" w:line="213"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532130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002" w:right="319" w:bottom="1440" w:gutter="0" w:footer="0" w:header="0"/>
        </w:sectPr>
      </w:pPr>
    </w:p>
    <w:bookmarkStart w:id="1" w:name="page2"/>
    <w:bookmarkEnd w:id="1"/>
    <w:p>
      <w:pPr>
        <w:spacing w:after="0"/>
        <w:rPr>
          <w:sz w:val="20"/>
          <w:szCs w:val="20"/>
          <w:color w:val="auto"/>
        </w:rPr>
      </w:pPr>
      <w:r>
        <w:rPr>
          <w:rFonts w:ascii="Arial" w:cs="Arial" w:eastAsia="Arial" w:hAnsi="Arial"/>
          <w:sz w:val="16"/>
          <w:szCs w:val="16"/>
          <w:b w:val="1"/>
          <w:bCs w:val="1"/>
          <w:color w:val="auto"/>
        </w:rPr>
        <w:t>Item 2.02 Results of Operations and Financial Condition.</w:t>
      </w:r>
    </w:p>
    <w:p>
      <w:pPr>
        <w:spacing w:after="0" w:line="154" w:lineRule="exact"/>
        <w:rPr>
          <w:sz w:val="20"/>
          <w:szCs w:val="20"/>
          <w:color w:val="auto"/>
        </w:rPr>
      </w:pPr>
    </w:p>
    <w:p>
      <w:pPr>
        <w:ind w:right="260"/>
        <w:spacing w:after="0" w:line="286" w:lineRule="auto"/>
        <w:rPr>
          <w:sz w:val="20"/>
          <w:szCs w:val="20"/>
          <w:color w:val="auto"/>
        </w:rPr>
      </w:pPr>
      <w:r>
        <w:rPr>
          <w:rFonts w:ascii="Arial" w:cs="Arial" w:eastAsia="Arial" w:hAnsi="Arial"/>
          <w:sz w:val="16"/>
          <w:szCs w:val="16"/>
          <w:color w:val="auto"/>
        </w:rPr>
        <w:t>On June 25, 2025, Winnebago Industries, Inc. (the "Company") issued a press release to report financial results for the third quarter of Fiscal 2025 ended May 31, 2025. A copy of the press release is attached as Exhibit 99.1 and is incorporated by reference herein.</w:t>
      </w:r>
    </w:p>
    <w:p>
      <w:pPr>
        <w:spacing w:after="0" w:line="196" w:lineRule="exact"/>
        <w:rPr>
          <w:sz w:val="20"/>
          <w:szCs w:val="20"/>
          <w:color w:val="auto"/>
        </w:rPr>
      </w:pPr>
    </w:p>
    <w:p>
      <w:pPr>
        <w:ind w:right="140"/>
        <w:spacing w:after="0" w:line="260" w:lineRule="auto"/>
        <w:rPr>
          <w:sz w:val="20"/>
          <w:szCs w:val="20"/>
          <w:color w:val="auto"/>
        </w:rPr>
      </w:pPr>
      <w:r>
        <w:rPr>
          <w:rFonts w:ascii="Arial" w:cs="Arial" w:eastAsia="Arial" w:hAnsi="Arial"/>
          <w:sz w:val="16"/>
          <w:szCs w:val="16"/>
          <w:color w:val="auto"/>
        </w:rPr>
        <w:t>Exhibit 99.1 includes non-GAAP financial measures related to our operations. Certain of these non-GAAP measures may be discussed in our earnings conference call for the third quarter of Fiscal 2025. In addition, Exhibit 99.1 includes reconciliations of these GAAP to non-GAAP measures as well as an explanation of why these non-GAAP measures provide useful information to investors and how management uses these non-GAAP measures. These non-GAAP measures should not be considered a substitute for, or superior to, financial measures calculated in accordance with GAAP, and the financial results calculated in accordance with GAAP and reconciliations from our results should be carefully evaluated.</w:t>
      </w:r>
    </w:p>
    <w:p>
      <w:pPr>
        <w:spacing w:after="0" w:line="218" w:lineRule="exact"/>
        <w:rPr>
          <w:sz w:val="20"/>
          <w:szCs w:val="20"/>
          <w:color w:val="auto"/>
        </w:rPr>
      </w:pPr>
    </w:p>
    <w:p>
      <w:pPr>
        <w:ind w:right="380"/>
        <w:spacing w:after="0" w:line="265" w:lineRule="auto"/>
        <w:rPr>
          <w:sz w:val="20"/>
          <w:szCs w:val="20"/>
          <w:color w:val="auto"/>
        </w:rPr>
      </w:pPr>
      <w:r>
        <w:rPr>
          <w:rFonts w:ascii="Arial" w:cs="Arial" w:eastAsia="Arial" w:hAnsi="Arial"/>
          <w:sz w:val="16"/>
          <w:szCs w:val="16"/>
          <w:color w:val="auto"/>
        </w:rPr>
        <w:t>The information set forth in this Item 2.02, including Exhibit 99.1, of this Form 8-K shall be deemed "furnished" pursuant to Item 2.02 and not "filed" for purposes of Section 18 of the Securities and Exchange Act of 1934, or otherwise subject to the liabilities of that section, and shall not be deemed incorporated by reference in any filing under the Securities Act of 1933 or the Securities Exchange Act of 1934, except as shall be expressly set forth by specific reference in such filing.</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9.01 Financial Statements and Exhibits.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760" w:type="dxa"/>
            <w:vAlign w:val="bottom"/>
            <w:gridSpan w:val="4"/>
          </w:tcPr>
          <w:p>
            <w:pPr>
              <w:spacing w:after="0"/>
              <w:rPr>
                <w:sz w:val="20"/>
                <w:szCs w:val="20"/>
                <w:color w:val="auto"/>
              </w:rPr>
            </w:pPr>
            <w:r>
              <w:rPr>
                <w:rFonts w:ascii="Arial" w:cs="Arial" w:eastAsia="Arial" w:hAnsi="Arial"/>
                <w:sz w:val="16"/>
                <w:szCs w:val="16"/>
                <w:color w:val="auto"/>
              </w:rPr>
              <w:t>(d) Exhibits</w:t>
            </w:r>
          </w:p>
        </w:tc>
        <w:tc>
          <w:tcPr>
            <w:tcW w:w="472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34"/>
        </w:trPr>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gridSpan w:val="2"/>
          </w:tcPr>
          <w:p>
            <w:pPr>
              <w:spacing w:after="0"/>
              <w:rPr>
                <w:sz w:val="20"/>
                <w:szCs w:val="20"/>
                <w:color w:val="auto"/>
              </w:rPr>
            </w:pPr>
            <w:r>
              <w:rPr>
                <w:rFonts w:ascii="Arial" w:cs="Arial" w:eastAsia="Arial" w:hAnsi="Arial"/>
                <w:sz w:val="16"/>
                <w:szCs w:val="16"/>
                <w:b w:val="1"/>
                <w:bCs w:val="1"/>
                <w:color w:val="auto"/>
              </w:rPr>
              <w:t>Exhibit Number</w:t>
            </w:r>
          </w:p>
        </w:tc>
        <w:tc>
          <w:tcPr>
            <w:tcW w:w="9480" w:type="dxa"/>
            <w:vAlign w:val="bottom"/>
            <w:gridSpan w:val="3"/>
          </w:tcPr>
          <w:p>
            <w:pPr>
              <w:spacing w:after="0"/>
              <w:rPr>
                <w:sz w:val="20"/>
                <w:szCs w:val="20"/>
                <w:color w:val="auto"/>
              </w:rPr>
            </w:pPr>
            <w:r>
              <w:rPr>
                <w:rFonts w:ascii="Arial" w:cs="Arial" w:eastAsia="Arial" w:hAnsi="Arial"/>
                <w:sz w:val="16"/>
                <w:szCs w:val="16"/>
                <w:b w:val="1"/>
                <w:bCs w:val="1"/>
                <w:color w:val="auto"/>
              </w:rPr>
              <w:t>Description</w:t>
            </w:r>
          </w:p>
        </w:tc>
      </w:tr>
      <w:tr>
        <w:trPr>
          <w:trHeight w:val="169"/>
        </w:trPr>
        <w:tc>
          <w:tcPr>
            <w:tcW w:w="400" w:type="dxa"/>
            <w:vAlign w:val="bottom"/>
          </w:tcPr>
          <w:p>
            <w:pPr>
              <w:spacing w:after="0"/>
              <w:rPr>
                <w:sz w:val="14"/>
                <w:szCs w:val="14"/>
                <w:color w:val="auto"/>
              </w:rPr>
            </w:pPr>
          </w:p>
        </w:tc>
        <w:tc>
          <w:tcPr>
            <w:tcW w:w="1360" w:type="dxa"/>
            <w:vAlign w:val="bottom"/>
            <w:tcBorders>
              <w:top w:val="single" w:sz="8" w:color="auto"/>
            </w:tcBorders>
            <w:gridSpan w:val="3"/>
          </w:tcPr>
          <w:p>
            <w:pPr>
              <w:ind w:left="20"/>
              <w:spacing w:after="0" w:line="169" w:lineRule="exact"/>
              <w:rPr>
                <w:sz w:val="20"/>
                <w:szCs w:val="20"/>
                <w:color w:val="auto"/>
              </w:rPr>
            </w:pPr>
            <w:r>
              <w:rPr>
                <w:rFonts w:ascii="Arial" w:cs="Arial" w:eastAsia="Arial" w:hAnsi="Arial"/>
                <w:sz w:val="16"/>
                <w:szCs w:val="16"/>
                <w:color w:val="0000FF"/>
              </w:rPr>
              <w:t>99.</w:t>
            </w:r>
            <w:r>
              <w:rPr>
                <w:rFonts w:ascii="Arial" w:cs="Arial" w:eastAsia="Arial" w:hAnsi="Arial"/>
                <w:sz w:val="16"/>
                <w:szCs w:val="16"/>
                <w:u w:val="single" w:color="auto"/>
                <w:color w:val="0000FF"/>
              </w:rPr>
              <w:t>1</w:t>
            </w:r>
          </w:p>
        </w:tc>
        <w:tc>
          <w:tcPr>
            <w:tcW w:w="9380" w:type="dxa"/>
            <w:vAlign w:val="bottom"/>
            <w:tcBorders>
              <w:top w:val="single" w:sz="8" w:color="auto"/>
            </w:tcBorders>
            <w:gridSpan w:val="2"/>
          </w:tcPr>
          <w:p>
            <w:pPr>
              <w:spacing w:after="0" w:line="169" w:lineRule="exact"/>
              <w:rPr>
                <w:sz w:val="20"/>
                <w:szCs w:val="20"/>
                <w:color w:val="auto"/>
              </w:rPr>
            </w:pPr>
            <w:r>
              <w:rPr>
                <w:rFonts w:ascii="Arial" w:cs="Arial" w:eastAsia="Arial" w:hAnsi="Arial"/>
                <w:sz w:val="16"/>
                <w:szCs w:val="16"/>
                <w:color w:val="0000FF"/>
              </w:rPr>
              <w:t>Press Release of Winnebago Industries, Inc. dated June 25, 2025</w:t>
            </w:r>
          </w:p>
        </w:tc>
        <w:tc>
          <w:tcPr>
            <w:tcW w:w="100" w:type="dxa"/>
            <w:vAlign w:val="bottom"/>
          </w:tcPr>
          <w:p>
            <w:pPr>
              <w:spacing w:after="0"/>
              <w:rPr>
                <w:sz w:val="14"/>
                <w:szCs w:val="14"/>
                <w:color w:val="auto"/>
              </w:rPr>
            </w:pPr>
          </w:p>
        </w:tc>
      </w:tr>
      <w:tr>
        <w:trPr>
          <w:trHeight w:val="20"/>
        </w:trPr>
        <w:tc>
          <w:tcPr>
            <w:tcW w:w="420" w:type="dxa"/>
            <w:vAlign w:val="bottom"/>
            <w:gridSpan w:val="2"/>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720" w:type="dxa"/>
            <w:vAlign w:val="bottom"/>
            <w:shd w:val="clear" w:color="auto" w:fill="0000FF"/>
          </w:tcPr>
          <w:p>
            <w:pPr>
              <w:spacing w:after="0" w:line="20" w:lineRule="exact"/>
              <w:rPr>
                <w:sz w:val="1"/>
                <w:szCs w:val="1"/>
                <w:color w:val="auto"/>
              </w:rPr>
            </w:pPr>
          </w:p>
        </w:tc>
        <w:tc>
          <w:tcPr>
            <w:tcW w:w="4760" w:type="dxa"/>
            <w:vAlign w:val="bottom"/>
            <w:gridSpan w:val="2"/>
          </w:tcPr>
          <w:p>
            <w:pPr>
              <w:spacing w:after="0" w:line="20" w:lineRule="exact"/>
              <w:rPr>
                <w:sz w:val="1"/>
                <w:szCs w:val="1"/>
                <w:color w:val="auto"/>
              </w:rPr>
            </w:pPr>
          </w:p>
        </w:tc>
      </w:tr>
      <w:tr>
        <w:trPr>
          <w:trHeight w:val="234"/>
        </w:trPr>
        <w:tc>
          <w:tcPr>
            <w:tcW w:w="740" w:type="dxa"/>
            <w:vAlign w:val="bottom"/>
            <w:gridSpan w:val="3"/>
          </w:tcPr>
          <w:p>
            <w:pPr>
              <w:ind w:left="420"/>
              <w:spacing w:after="0"/>
              <w:rPr>
                <w:sz w:val="20"/>
                <w:szCs w:val="20"/>
                <w:color w:val="auto"/>
              </w:rPr>
            </w:pPr>
            <w:r>
              <w:rPr>
                <w:rFonts w:ascii="Arial" w:cs="Arial" w:eastAsia="Arial" w:hAnsi="Arial"/>
                <w:sz w:val="16"/>
                <w:szCs w:val="16"/>
                <w:color w:val="auto"/>
              </w:rPr>
              <w:t>104</w:t>
            </w:r>
          </w:p>
        </w:tc>
        <w:tc>
          <w:tcPr>
            <w:tcW w:w="1020" w:type="dxa"/>
            <w:vAlign w:val="bottom"/>
          </w:tcPr>
          <w:p>
            <w:pPr>
              <w:spacing w:after="0"/>
              <w:rPr>
                <w:sz w:val="20"/>
                <w:szCs w:val="20"/>
                <w:color w:val="auto"/>
              </w:rPr>
            </w:pPr>
          </w:p>
        </w:tc>
        <w:tc>
          <w:tcPr>
            <w:tcW w:w="9480" w:type="dxa"/>
            <w:vAlign w:val="bottom"/>
            <w:gridSpan w:val="3"/>
          </w:tcPr>
          <w:p>
            <w:pPr>
              <w:spacing w:after="0"/>
              <w:rPr>
                <w:sz w:val="20"/>
                <w:szCs w:val="20"/>
                <w:color w:val="auto"/>
              </w:rPr>
            </w:pPr>
            <w:r>
              <w:rPr>
                <w:rFonts w:ascii="Arial" w:cs="Arial" w:eastAsia="Arial" w:hAnsi="Arial"/>
                <w:sz w:val="16"/>
                <w:szCs w:val="16"/>
                <w:color w:val="auto"/>
              </w:rPr>
              <w:t>Cover Page Interactive Data File (formatted as Inline XBRL)</w:t>
            </w:r>
          </w:p>
        </w:tc>
      </w:tr>
      <w:tr>
        <w:trPr>
          <w:trHeight w:val="1211"/>
        </w:trPr>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4720" w:type="dxa"/>
            <w:vAlign w:val="bottom"/>
            <w:tcBorders>
              <w:bottom w:val="single" w:sz="8" w:color="9A9A9A"/>
            </w:tcBorders>
          </w:tcPr>
          <w:p>
            <w:pPr>
              <w:spacing w:after="0"/>
              <w:rPr>
                <w:sz w:val="24"/>
                <w:szCs w:val="24"/>
                <w:color w:val="auto"/>
              </w:rPr>
            </w:pPr>
          </w:p>
        </w:tc>
        <w:tc>
          <w:tcPr>
            <w:tcW w:w="46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20"/>
          <w:szCs w:val="20"/>
          <w:b w:val="1"/>
          <w:bCs w:val="1"/>
          <w:color w:val="auto"/>
        </w:rPr>
        <w:t>SIGNATURES</w:t>
      </w:r>
    </w:p>
    <w:p>
      <w:pPr>
        <w:spacing w:after="0" w:line="171"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20" w:type="dxa"/>
        <w:tblCellMar>
          <w:top w:w="0" w:type="dxa"/>
          <w:left w:w="0" w:type="dxa"/>
          <w:bottom w:w="0" w:type="dxa"/>
          <w:right w:w="0" w:type="dxa"/>
        </w:tblCellMar>
      </w:tblPr>
      <w:tr>
        <w:trPr>
          <w:trHeight w:val="283"/>
        </w:trPr>
        <w:tc>
          <w:tcPr>
            <w:tcW w:w="56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7480" w:type="dxa"/>
            <w:vAlign w:val="bottom"/>
            <w:gridSpan w:val="2"/>
          </w:tcPr>
          <w:p>
            <w:pPr>
              <w:ind w:left="2000"/>
              <w:spacing w:after="0"/>
              <w:rPr>
                <w:sz w:val="20"/>
                <w:szCs w:val="20"/>
                <w:color w:val="auto"/>
              </w:rPr>
            </w:pPr>
            <w:r>
              <w:rPr>
                <w:rFonts w:ascii="Arial" w:cs="Arial" w:eastAsia="Arial" w:hAnsi="Arial"/>
                <w:sz w:val="22"/>
                <w:szCs w:val="22"/>
                <w:color w:val="auto"/>
              </w:rPr>
              <w:t>W</w:t>
            </w:r>
            <w:r>
              <w:rPr>
                <w:rFonts w:ascii="Arial" w:cs="Arial" w:eastAsia="Arial" w:hAnsi="Arial"/>
                <w:sz w:val="16"/>
                <w:szCs w:val="16"/>
                <w:color w:val="auto"/>
              </w:rPr>
              <w:t>INNEBAGO</w:t>
            </w:r>
            <w:r>
              <w:rPr>
                <w:rFonts w:ascii="Arial" w:cs="Arial" w:eastAsia="Arial" w:hAnsi="Arial"/>
                <w:sz w:val="22"/>
                <w:szCs w:val="22"/>
                <w:color w:val="auto"/>
              </w:rPr>
              <w:t xml:space="preserve"> I</w:t>
            </w:r>
            <w:r>
              <w:rPr>
                <w:rFonts w:ascii="Arial" w:cs="Arial" w:eastAsia="Arial" w:hAnsi="Arial"/>
                <w:sz w:val="16"/>
                <w:szCs w:val="16"/>
                <w:color w:val="auto"/>
              </w:rPr>
              <w:t>NDUSTRIES,</w:t>
            </w:r>
            <w:r>
              <w:rPr>
                <w:rFonts w:ascii="Arial" w:cs="Arial" w:eastAsia="Arial" w:hAnsi="Arial"/>
                <w:sz w:val="22"/>
                <w:szCs w:val="22"/>
                <w:color w:val="auto"/>
              </w:rPr>
              <w:t xml:space="preserve"> I</w:t>
            </w:r>
            <w:r>
              <w:rPr>
                <w:rFonts w:ascii="Arial" w:cs="Arial" w:eastAsia="Arial" w:hAnsi="Arial"/>
                <w:sz w:val="16"/>
                <w:szCs w:val="16"/>
                <w:color w:val="auto"/>
              </w:rPr>
              <w:t>NC.</w:t>
            </w:r>
          </w:p>
        </w:tc>
        <w:tc>
          <w:tcPr>
            <w:tcW w:w="0" w:type="dxa"/>
            <w:vAlign w:val="bottom"/>
          </w:tcPr>
          <w:p>
            <w:pPr>
              <w:spacing w:after="0"/>
              <w:rPr>
                <w:sz w:val="1"/>
                <w:szCs w:val="1"/>
                <w:color w:val="auto"/>
              </w:rPr>
            </w:pPr>
          </w:p>
        </w:tc>
      </w:tr>
      <w:tr>
        <w:trPr>
          <w:trHeight w:val="429"/>
        </w:trPr>
        <w:tc>
          <w:tcPr>
            <w:tcW w:w="560" w:type="dxa"/>
            <w:vAlign w:val="bottom"/>
          </w:tcPr>
          <w:p>
            <w:pPr>
              <w:spacing w:after="0"/>
              <w:rPr>
                <w:sz w:val="20"/>
                <w:szCs w:val="20"/>
                <w:color w:val="auto"/>
              </w:rPr>
            </w:pPr>
            <w:r>
              <w:rPr>
                <w:rFonts w:ascii="Arial" w:cs="Arial" w:eastAsia="Arial" w:hAnsi="Arial"/>
                <w:sz w:val="16"/>
                <w:szCs w:val="16"/>
                <w:color w:val="auto"/>
              </w:rPr>
              <w:t>Date:</w:t>
            </w:r>
          </w:p>
        </w:tc>
        <w:tc>
          <w:tcPr>
            <w:tcW w:w="3180" w:type="dxa"/>
            <w:vAlign w:val="bottom"/>
          </w:tcPr>
          <w:p>
            <w:pPr>
              <w:ind w:left="160"/>
              <w:spacing w:after="0"/>
              <w:rPr>
                <w:sz w:val="20"/>
                <w:szCs w:val="20"/>
                <w:color w:val="auto"/>
              </w:rPr>
            </w:pPr>
            <w:r>
              <w:rPr>
                <w:rFonts w:ascii="Arial" w:cs="Arial" w:eastAsia="Arial" w:hAnsi="Arial"/>
                <w:sz w:val="16"/>
                <w:szCs w:val="16"/>
                <w:color w:val="auto"/>
              </w:rPr>
              <w:t>June 25, 2025</w:t>
            </w:r>
          </w:p>
        </w:tc>
        <w:tc>
          <w:tcPr>
            <w:tcW w:w="2820" w:type="dxa"/>
            <w:vAlign w:val="bottom"/>
          </w:tcPr>
          <w:p>
            <w:pPr>
              <w:ind w:left="2000"/>
              <w:spacing w:after="0"/>
              <w:rPr>
                <w:sz w:val="20"/>
                <w:szCs w:val="20"/>
                <w:color w:val="auto"/>
              </w:rPr>
            </w:pPr>
            <w:r>
              <w:rPr>
                <w:rFonts w:ascii="Arial" w:cs="Arial" w:eastAsia="Arial" w:hAnsi="Arial"/>
                <w:sz w:val="16"/>
                <w:szCs w:val="16"/>
                <w:color w:val="auto"/>
              </w:rPr>
              <w:t>By:</w:t>
            </w:r>
          </w:p>
        </w:tc>
        <w:tc>
          <w:tcPr>
            <w:tcW w:w="466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/s/ Bryan L. Hughes</w:t>
            </w:r>
          </w:p>
        </w:tc>
        <w:tc>
          <w:tcPr>
            <w:tcW w:w="0" w:type="dxa"/>
            <w:vAlign w:val="bottom"/>
          </w:tcPr>
          <w:p>
            <w:pPr>
              <w:spacing w:after="0"/>
              <w:rPr>
                <w:sz w:val="1"/>
                <w:szCs w:val="1"/>
                <w:color w:val="auto"/>
              </w:rPr>
            </w:pPr>
          </w:p>
        </w:tc>
      </w:tr>
      <w:tr>
        <w:trPr>
          <w:trHeight w:val="210"/>
        </w:trPr>
        <w:tc>
          <w:tcPr>
            <w:tcW w:w="56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820" w:type="dxa"/>
            <w:vAlign w:val="bottom"/>
          </w:tcPr>
          <w:p>
            <w:pPr>
              <w:ind w:left="2000"/>
              <w:spacing w:after="0"/>
              <w:rPr>
                <w:sz w:val="20"/>
                <w:szCs w:val="20"/>
                <w:color w:val="auto"/>
              </w:rPr>
            </w:pPr>
            <w:r>
              <w:rPr>
                <w:rFonts w:ascii="Arial" w:cs="Arial" w:eastAsia="Arial" w:hAnsi="Arial"/>
                <w:sz w:val="16"/>
                <w:szCs w:val="16"/>
                <w:color w:val="auto"/>
              </w:rPr>
              <w:t>Name:</w:t>
            </w:r>
          </w:p>
        </w:tc>
        <w:tc>
          <w:tcPr>
            <w:tcW w:w="4660" w:type="dxa"/>
            <w:vAlign w:val="bottom"/>
          </w:tcPr>
          <w:p>
            <w:pPr>
              <w:ind w:left="20"/>
              <w:spacing w:after="0"/>
              <w:rPr>
                <w:sz w:val="20"/>
                <w:szCs w:val="20"/>
                <w:color w:val="auto"/>
              </w:rPr>
            </w:pPr>
            <w:r>
              <w:rPr>
                <w:rFonts w:ascii="Arial" w:cs="Arial" w:eastAsia="Arial" w:hAnsi="Arial"/>
                <w:sz w:val="16"/>
                <w:szCs w:val="16"/>
                <w:color w:val="auto"/>
              </w:rPr>
              <w:t>Bryan L. Hughes</w:t>
            </w:r>
          </w:p>
        </w:tc>
        <w:tc>
          <w:tcPr>
            <w:tcW w:w="0" w:type="dxa"/>
            <w:vAlign w:val="bottom"/>
          </w:tcPr>
          <w:p>
            <w:pPr>
              <w:spacing w:after="0"/>
              <w:rPr>
                <w:sz w:val="1"/>
                <w:szCs w:val="1"/>
                <w:color w:val="auto"/>
              </w:rPr>
            </w:pPr>
          </w:p>
        </w:tc>
      </w:tr>
      <w:tr>
        <w:trPr>
          <w:trHeight w:val="163"/>
        </w:trPr>
        <w:tc>
          <w:tcPr>
            <w:tcW w:w="56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2820" w:type="dxa"/>
            <w:vAlign w:val="bottom"/>
            <w:vMerge w:val="restart"/>
          </w:tcPr>
          <w:p>
            <w:pPr>
              <w:ind w:left="2000"/>
              <w:spacing w:after="0"/>
              <w:rPr>
                <w:sz w:val="20"/>
                <w:szCs w:val="20"/>
                <w:color w:val="auto"/>
              </w:rPr>
            </w:pPr>
            <w:r>
              <w:rPr>
                <w:rFonts w:ascii="Arial" w:cs="Arial" w:eastAsia="Arial" w:hAnsi="Arial"/>
                <w:sz w:val="16"/>
                <w:szCs w:val="16"/>
                <w:color w:val="auto"/>
              </w:rPr>
              <w:t>Title:</w:t>
            </w:r>
          </w:p>
        </w:tc>
        <w:tc>
          <w:tcPr>
            <w:tcW w:w="4660" w:type="dxa"/>
            <w:vAlign w:val="bottom"/>
          </w:tcPr>
          <w:p>
            <w:pPr>
              <w:ind w:left="20"/>
              <w:spacing w:after="0" w:line="164" w:lineRule="exact"/>
              <w:rPr>
                <w:sz w:val="20"/>
                <w:szCs w:val="20"/>
                <w:color w:val="auto"/>
              </w:rPr>
            </w:pPr>
            <w:r>
              <w:rPr>
                <w:rFonts w:ascii="Arial" w:cs="Arial" w:eastAsia="Arial" w:hAnsi="Arial"/>
                <w:sz w:val="16"/>
                <w:szCs w:val="16"/>
                <w:color w:val="auto"/>
              </w:rPr>
              <w:t>Chief Financial Officer and Senior Vice President</w:t>
            </w:r>
          </w:p>
        </w:tc>
        <w:tc>
          <w:tcPr>
            <w:tcW w:w="0" w:type="dxa"/>
            <w:vAlign w:val="bottom"/>
          </w:tcPr>
          <w:p>
            <w:pPr>
              <w:spacing w:after="0"/>
              <w:rPr>
                <w:sz w:val="1"/>
                <w:szCs w:val="1"/>
                <w:color w:val="auto"/>
              </w:rPr>
            </w:pPr>
          </w:p>
        </w:tc>
      </w:tr>
      <w:tr>
        <w:trPr>
          <w:trHeight w:val="215"/>
        </w:trPr>
        <w:tc>
          <w:tcPr>
            <w:tcW w:w="56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820" w:type="dxa"/>
            <w:vAlign w:val="bottom"/>
            <w:vMerge w:val="continue"/>
          </w:tcPr>
          <w:p>
            <w:pPr>
              <w:spacing w:after="0"/>
              <w:rPr>
                <w:sz w:val="18"/>
                <w:szCs w:val="18"/>
                <w:color w:val="auto"/>
              </w:rPr>
            </w:pPr>
          </w:p>
        </w:tc>
        <w:tc>
          <w:tcPr>
            <w:tcW w:w="4660" w:type="dxa"/>
            <w:vAlign w:val="bottom"/>
          </w:tcPr>
          <w:p>
            <w:pPr>
              <w:ind w:left="20"/>
              <w:spacing w:after="0"/>
              <w:rPr>
                <w:sz w:val="20"/>
                <w:szCs w:val="20"/>
                <w:color w:val="auto"/>
              </w:rPr>
            </w:pPr>
            <w:r>
              <w:rPr>
                <w:rFonts w:ascii="Arial" w:cs="Arial" w:eastAsia="Arial" w:hAnsi="Arial"/>
                <w:sz w:val="16"/>
                <w:szCs w:val="16"/>
                <w:color w:val="auto"/>
              </w:rPr>
              <w:t>(Principal Financial and Accounting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885"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29210</wp:posOffset>
            </wp:positionV>
            <wp:extent cx="2957195" cy="8147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957195" cy="814705"/>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ind w:left="7040"/>
        <w:spacing w:after="0"/>
        <w:rPr>
          <w:sz w:val="20"/>
          <w:szCs w:val="20"/>
          <w:color w:val="auto"/>
        </w:rPr>
      </w:pPr>
      <w:r>
        <w:rPr>
          <w:rFonts w:ascii="Arial" w:cs="Arial" w:eastAsia="Arial" w:hAnsi="Arial"/>
          <w:sz w:val="43"/>
          <w:szCs w:val="43"/>
          <w:b w:val="1"/>
          <w:bCs w:val="1"/>
          <w:color w:val="auto"/>
        </w:rPr>
        <w:t>News Release</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WINNEBAGO INDUSTRIES REPORTS THIRD QUARTER FISCAL 2025 RESULTS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 Net Revenues and EPS in Line with Preliminary Results Forecast --</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 Towable RV Segment Achieves Unit Volume Growth as New Products Target Affordability --</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 Continued Retail Share Gains Drive Marine Segment’s Strong Profitability Growth --</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 Company Updates Fiscal 2025 Full-Year Outlook --</w:t>
      </w:r>
    </w:p>
    <w:p>
      <w:pPr>
        <w:spacing w:after="0" w:line="200" w:lineRule="exact"/>
        <w:rPr>
          <w:sz w:val="20"/>
          <w:szCs w:val="20"/>
          <w:color w:val="auto"/>
        </w:rPr>
      </w:pPr>
    </w:p>
    <w:p>
      <w:pPr>
        <w:spacing w:after="0" w:line="399" w:lineRule="exact"/>
        <w:rPr>
          <w:sz w:val="20"/>
          <w:szCs w:val="20"/>
          <w:color w:val="auto"/>
        </w:rPr>
      </w:pPr>
    </w:p>
    <w:p>
      <w:pPr>
        <w:ind w:right="580"/>
        <w:spacing w:after="0" w:line="409" w:lineRule="auto"/>
        <w:rPr>
          <w:sz w:val="20"/>
          <w:szCs w:val="20"/>
          <w:color w:val="auto"/>
        </w:rPr>
      </w:pPr>
      <w:r>
        <w:rPr>
          <w:rFonts w:ascii="Arial" w:cs="Arial" w:eastAsia="Arial" w:hAnsi="Arial"/>
          <w:sz w:val="16"/>
          <w:szCs w:val="16"/>
          <w:b w:val="1"/>
          <w:bCs w:val="1"/>
          <w:color w:val="auto"/>
        </w:rPr>
        <w:t xml:space="preserve">EDEN PRAIRIE, MINN, June 25, 2025 </w:t>
      </w:r>
      <w:r>
        <w:rPr>
          <w:rFonts w:ascii="Arial" w:cs="Arial" w:eastAsia="Arial" w:hAnsi="Arial"/>
          <w:sz w:val="16"/>
          <w:szCs w:val="16"/>
          <w:color w:val="auto"/>
        </w:rPr>
        <w:t>-- Winnebago Industries, Inc. (NYSE: WGO), a leading outdoor lifestyle product manufacturer, today reported</w:t>
      </w:r>
      <w:r>
        <w:rPr>
          <w:rFonts w:ascii="Arial" w:cs="Arial" w:eastAsia="Arial" w:hAnsi="Arial"/>
          <w:sz w:val="16"/>
          <w:szCs w:val="16"/>
          <w:b w:val="1"/>
          <w:bCs w:val="1"/>
          <w:color w:val="auto"/>
        </w:rPr>
        <w:t xml:space="preserve"> </w:t>
      </w:r>
      <w:r>
        <w:rPr>
          <w:rFonts w:ascii="Arial" w:cs="Arial" w:eastAsia="Arial" w:hAnsi="Arial"/>
          <w:sz w:val="16"/>
          <w:szCs w:val="16"/>
          <w:color w:val="auto"/>
        </w:rPr>
        <w:t>financial results for the fiscal 2025 third quarter ended May 31, 2025.</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Third Quarter Fiscal 2025 Financial Summary</w:t>
      </w:r>
    </w:p>
    <w:p>
      <w:pPr>
        <w:spacing w:after="0" w:line="100" w:lineRule="exact"/>
        <w:rPr>
          <w:sz w:val="20"/>
          <w:szCs w:val="20"/>
          <w:color w:val="auto"/>
        </w:rPr>
      </w:pPr>
    </w:p>
    <w:p>
      <w:pPr>
        <w:ind w:left="640" w:hanging="308"/>
        <w:spacing w:after="0"/>
        <w:tabs>
          <w:tab w:leader="none" w:pos="640" w:val="left"/>
        </w:tabs>
        <w:numPr>
          <w:ilvl w:val="0"/>
          <w:numId w:val="2"/>
        </w:numPr>
        <w:rPr>
          <w:rFonts w:ascii="Arial" w:cs="Arial" w:eastAsia="Arial" w:hAnsi="Arial"/>
          <w:sz w:val="16"/>
          <w:szCs w:val="16"/>
          <w:color w:val="auto"/>
        </w:rPr>
      </w:pPr>
      <w:r>
        <w:rPr>
          <w:rFonts w:ascii="Arial" w:cs="Arial" w:eastAsia="Arial" w:hAnsi="Arial"/>
          <w:sz w:val="16"/>
          <w:szCs w:val="16"/>
          <w:color w:val="auto"/>
        </w:rPr>
        <w:t>Net revenues of $775.1 million</w:t>
      </w:r>
    </w:p>
    <w:p>
      <w:pPr>
        <w:spacing w:after="0" w:line="99" w:lineRule="exact"/>
        <w:rPr>
          <w:rFonts w:ascii="Arial" w:cs="Arial" w:eastAsia="Arial" w:hAnsi="Arial"/>
          <w:sz w:val="16"/>
          <w:szCs w:val="16"/>
          <w:color w:val="auto"/>
        </w:rPr>
      </w:pPr>
    </w:p>
    <w:p>
      <w:pPr>
        <w:ind w:left="640" w:hanging="308"/>
        <w:spacing w:after="0"/>
        <w:tabs>
          <w:tab w:leader="none" w:pos="640" w:val="left"/>
        </w:tabs>
        <w:numPr>
          <w:ilvl w:val="0"/>
          <w:numId w:val="2"/>
        </w:numPr>
        <w:rPr>
          <w:rFonts w:ascii="Arial" w:cs="Arial" w:eastAsia="Arial" w:hAnsi="Arial"/>
          <w:sz w:val="16"/>
          <w:szCs w:val="16"/>
          <w:color w:val="auto"/>
        </w:rPr>
      </w:pPr>
      <w:r>
        <w:rPr>
          <w:rFonts w:ascii="Arial" w:cs="Arial" w:eastAsia="Arial" w:hAnsi="Arial"/>
          <w:sz w:val="16"/>
          <w:szCs w:val="16"/>
          <w:color w:val="auto"/>
        </w:rPr>
        <w:t>Gross profit of $106.0 million, representing 13.7% gross margin</w:t>
      </w:r>
    </w:p>
    <w:p>
      <w:pPr>
        <w:spacing w:after="0" w:line="99" w:lineRule="exact"/>
        <w:rPr>
          <w:rFonts w:ascii="Arial" w:cs="Arial" w:eastAsia="Arial" w:hAnsi="Arial"/>
          <w:sz w:val="16"/>
          <w:szCs w:val="16"/>
          <w:color w:val="auto"/>
        </w:rPr>
      </w:pPr>
    </w:p>
    <w:p>
      <w:pPr>
        <w:ind w:left="640" w:hanging="308"/>
        <w:spacing w:after="0"/>
        <w:tabs>
          <w:tab w:leader="none" w:pos="640" w:val="left"/>
        </w:tabs>
        <w:numPr>
          <w:ilvl w:val="0"/>
          <w:numId w:val="2"/>
        </w:numPr>
        <w:rPr>
          <w:rFonts w:ascii="Arial" w:cs="Arial" w:eastAsia="Arial" w:hAnsi="Arial"/>
          <w:sz w:val="16"/>
          <w:szCs w:val="16"/>
          <w:color w:val="auto"/>
        </w:rPr>
      </w:pPr>
      <w:r>
        <w:rPr>
          <w:rFonts w:ascii="Arial" w:cs="Arial" w:eastAsia="Arial" w:hAnsi="Arial"/>
          <w:sz w:val="16"/>
          <w:szCs w:val="16"/>
          <w:color w:val="auto"/>
        </w:rPr>
        <w:t>Net income of $17.6 million, or $0.62 per diluted share; adjusted earnings per diluted share of $0.81</w:t>
      </w:r>
    </w:p>
    <w:p>
      <w:pPr>
        <w:spacing w:after="0" w:line="99" w:lineRule="exact"/>
        <w:rPr>
          <w:rFonts w:ascii="Arial" w:cs="Arial" w:eastAsia="Arial" w:hAnsi="Arial"/>
          <w:sz w:val="16"/>
          <w:szCs w:val="16"/>
          <w:color w:val="auto"/>
        </w:rPr>
      </w:pPr>
    </w:p>
    <w:p>
      <w:pPr>
        <w:ind w:left="640" w:hanging="308"/>
        <w:spacing w:after="0"/>
        <w:tabs>
          <w:tab w:leader="none" w:pos="640" w:val="left"/>
        </w:tabs>
        <w:numPr>
          <w:ilvl w:val="0"/>
          <w:numId w:val="2"/>
        </w:numPr>
        <w:rPr>
          <w:rFonts w:ascii="Arial" w:cs="Arial" w:eastAsia="Arial" w:hAnsi="Arial"/>
          <w:sz w:val="16"/>
          <w:szCs w:val="16"/>
          <w:color w:val="auto"/>
        </w:rPr>
      </w:pPr>
      <w:r>
        <w:rPr>
          <w:rFonts w:ascii="Arial" w:cs="Arial" w:eastAsia="Arial" w:hAnsi="Arial"/>
          <w:sz w:val="16"/>
          <w:szCs w:val="16"/>
          <w:color w:val="auto"/>
        </w:rPr>
        <w:t>Adjusted EBITDA of $46.5 million, representing 6.0% adjusted EBITDA margin</w:t>
      </w:r>
    </w:p>
    <w:p>
      <w:pPr>
        <w:spacing w:after="0" w:line="34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CEO Commentary</w:t>
      </w:r>
    </w:p>
    <w:p>
      <w:pPr>
        <w:spacing w:after="0" w:line="100" w:lineRule="exact"/>
        <w:rPr>
          <w:sz w:val="20"/>
          <w:szCs w:val="20"/>
          <w:color w:val="auto"/>
        </w:rPr>
      </w:pPr>
    </w:p>
    <w:p>
      <w:pPr>
        <w:ind w:right="240"/>
        <w:spacing w:after="0" w:line="374" w:lineRule="auto"/>
        <w:rPr>
          <w:sz w:val="20"/>
          <w:szCs w:val="20"/>
          <w:color w:val="auto"/>
        </w:rPr>
      </w:pPr>
      <w:r>
        <w:rPr>
          <w:rFonts w:ascii="Arial" w:cs="Arial" w:eastAsia="Arial" w:hAnsi="Arial"/>
          <w:sz w:val="16"/>
          <w:szCs w:val="16"/>
          <w:color w:val="auto"/>
        </w:rPr>
        <w:t>“Our fiscal third-quarter results reflect both the diverse dynamics of our business segments and the challenges posed by an uncertain economic environment,” said Michael Happe, President and Chief Executive Officer of Winnebago Industries. "While retail demand across the outdoor recreation sector remains soft, our dealer partners are navigating the market with prudence and agility. At Winnebago Industries, we continue to pursue discipline in every aspect of our operations. We are focused on protecting long-term profitability and sustaining strong customer relationships while aligning production closely with healthy field inventory turn targets. Most importantly, I want to thank our entire team for their dedication. Their commitment and resilience continue to power our progress and position us for future growth.”</w:t>
      </w:r>
    </w:p>
    <w:p>
      <w:pPr>
        <w:spacing w:after="0" w:line="116" w:lineRule="exact"/>
        <w:rPr>
          <w:sz w:val="20"/>
          <w:szCs w:val="20"/>
          <w:color w:val="auto"/>
        </w:rPr>
      </w:pPr>
    </w:p>
    <w:p>
      <w:pPr>
        <w:ind w:right="60"/>
        <w:spacing w:after="0" w:line="373" w:lineRule="auto"/>
        <w:rPr>
          <w:sz w:val="20"/>
          <w:szCs w:val="20"/>
          <w:color w:val="auto"/>
        </w:rPr>
      </w:pPr>
      <w:r>
        <w:rPr>
          <w:rFonts w:ascii="Arial" w:cs="Arial" w:eastAsia="Arial" w:hAnsi="Arial"/>
          <w:sz w:val="16"/>
          <w:szCs w:val="16"/>
          <w:color w:val="auto"/>
        </w:rPr>
        <w:t>“Winnebago Industries' 67-year history of innovation is reflected in the exciting new products and model year updates launching across our portfolio,” Happe continued. “In our Towable RV segment, we are leaning into the growing consumer emphasis on affordability by introducing a range of competitively priced products that are meeting the needs of today’s buyers. New travel trailer offerings such as the Grand Design Transcend Series and the Winnebago Thrive are designed to deliver exceptional value and quality, ensuring that more families can experience the RV lifestyle without compromising on comfort or reliability. In our Motorhome RV segment, Grand Design RV’s entrance into the motorized market with the expanding Lineage Series and new product entries from Newmar are gaining share momentum. In our Marine segment, our Chris-Craft and Barletta brands also continue to grow market share, helping to drive a double-digit increase in profitability."</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240"/>
          </w:cols>
          <w:pgMar w:left="320" w:top="895" w:right="339" w:bottom="1440" w:gutter="0" w:footer="0" w:header="0"/>
        </w:sectPr>
      </w:pPr>
    </w:p>
    <w:bookmarkStart w:id="4" w:name="page5"/>
    <w:bookmarkEnd w:id="4"/>
    <w:p>
      <w:pPr>
        <w:spacing w:after="0"/>
        <w:rPr>
          <w:sz w:val="20"/>
          <w:szCs w:val="20"/>
          <w:color w:val="auto"/>
        </w:rPr>
      </w:pPr>
      <w:r>
        <w:rPr>
          <w:rFonts w:ascii="Arial" w:cs="Arial" w:eastAsia="Arial" w:hAnsi="Arial"/>
          <w:sz w:val="16"/>
          <w:szCs w:val="16"/>
          <w:b w:val="1"/>
          <w:bCs w:val="1"/>
          <w:color w:val="auto"/>
        </w:rPr>
        <w:t>Third Quarter Fiscal 2025 Results</w:t>
      </w:r>
    </w:p>
    <w:p>
      <w:pPr>
        <w:spacing w:after="0" w:line="235" w:lineRule="exact"/>
        <w:rPr>
          <w:sz w:val="20"/>
          <w:szCs w:val="20"/>
          <w:color w:val="auto"/>
        </w:rPr>
      </w:pPr>
    </w:p>
    <w:p>
      <w:pPr>
        <w:ind w:right="120"/>
        <w:spacing w:after="0" w:line="389" w:lineRule="auto"/>
        <w:rPr>
          <w:sz w:val="20"/>
          <w:szCs w:val="20"/>
          <w:color w:val="auto"/>
        </w:rPr>
      </w:pPr>
      <w:r>
        <w:rPr>
          <w:rFonts w:ascii="Arial" w:cs="Arial" w:eastAsia="Arial" w:hAnsi="Arial"/>
          <w:sz w:val="16"/>
          <w:szCs w:val="16"/>
          <w:color w:val="auto"/>
        </w:rPr>
        <w:t>Net revenues were $775.1 million, a decrease of 1.4% compared to $786.0 million in the third quarter of last year, driven by a reduction in average selling price per unit related to product mix, partially offset by targeted price increases. Volume growth in the Towable RV and Marine segments was partially offset by volume reductions in the Motorhome RV segment, as dealers continue their efforts to right-size field inventories in this segment.</w:t>
      </w:r>
    </w:p>
    <w:p>
      <w:pPr>
        <w:spacing w:after="0" w:line="91" w:lineRule="exact"/>
        <w:rPr>
          <w:sz w:val="20"/>
          <w:szCs w:val="20"/>
          <w:color w:val="auto"/>
        </w:rPr>
      </w:pPr>
    </w:p>
    <w:p>
      <w:pPr>
        <w:jc w:val="both"/>
        <w:ind w:right="260"/>
        <w:spacing w:after="0" w:line="389" w:lineRule="auto"/>
        <w:rPr>
          <w:sz w:val="20"/>
          <w:szCs w:val="20"/>
          <w:color w:val="auto"/>
        </w:rPr>
      </w:pPr>
      <w:r>
        <w:rPr>
          <w:rFonts w:ascii="Arial" w:cs="Arial" w:eastAsia="Arial" w:hAnsi="Arial"/>
          <w:sz w:val="16"/>
          <w:szCs w:val="16"/>
          <w:color w:val="auto"/>
        </w:rPr>
        <w:t>Gross profit was $106.0 million, a decrease of 10.3% compared to $118.2 million in the third quarter of last year. Gross profit margin decreased 130 basis points in the quarter to 13.7%, primarily as a result of higher warranty experience and product mix, partially offset by operational efficiencies compared to prior year.</w:t>
      </w:r>
    </w:p>
    <w:p>
      <w:pPr>
        <w:spacing w:after="0" w:line="104" w:lineRule="exact"/>
        <w:rPr>
          <w:sz w:val="20"/>
          <w:szCs w:val="20"/>
          <w:color w:val="auto"/>
        </w:rPr>
      </w:pPr>
    </w:p>
    <w:p>
      <w:pPr>
        <w:ind w:right="40"/>
        <w:spacing w:after="0" w:line="409" w:lineRule="auto"/>
        <w:rPr>
          <w:sz w:val="20"/>
          <w:szCs w:val="20"/>
          <w:color w:val="auto"/>
        </w:rPr>
      </w:pPr>
      <w:r>
        <w:rPr>
          <w:rFonts w:ascii="Arial" w:cs="Arial" w:eastAsia="Arial" w:hAnsi="Arial"/>
          <w:sz w:val="16"/>
          <w:szCs w:val="16"/>
          <w:color w:val="auto"/>
        </w:rPr>
        <w:t>Selling, general and administrative expenses were $70.3 million, an increase of 1.9% compared to $69.1 million in the third quarter of last year, primarily due to investment to support the growth of the new Grand Design motorhome business.</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color w:val="auto"/>
        </w:rPr>
        <w:t>Operating income was $30.2 million, a decrease of 30.7% compared to $43.5 million in the third quarter of last year.</w:t>
      </w:r>
    </w:p>
    <w:p>
      <w:pPr>
        <w:spacing w:after="0" w:line="248" w:lineRule="exact"/>
        <w:rPr>
          <w:sz w:val="20"/>
          <w:szCs w:val="20"/>
          <w:color w:val="auto"/>
        </w:rPr>
      </w:pPr>
    </w:p>
    <w:p>
      <w:pPr>
        <w:jc w:val="both"/>
        <w:ind w:right="460"/>
        <w:spacing w:after="0" w:line="380" w:lineRule="auto"/>
        <w:rPr>
          <w:sz w:val="20"/>
          <w:szCs w:val="20"/>
          <w:color w:val="auto"/>
        </w:rPr>
      </w:pPr>
      <w:r>
        <w:rPr>
          <w:rFonts w:ascii="Arial" w:cs="Arial" w:eastAsia="Arial" w:hAnsi="Arial"/>
          <w:sz w:val="16"/>
          <w:szCs w:val="16"/>
          <w:color w:val="auto"/>
        </w:rPr>
        <w:t>Net income was $17.6 million, compared to net income of $29.0 million in the third quarter of last year. Reported earnings per diluted share was $0.62, compared to reported earnings per diluted share of $0.96 in the third quarter of last year. Adjusted earnings per diluted share was $0.81, a decrease of 26.4% compared to adjusted earnings per diluted share of $1.10 in the third quarter of last year.</w:t>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color w:val="auto"/>
        </w:rPr>
        <w:t>Consolidated Adjusted EBITDA was $46.5 million, a decrease of 19.8%, compared to $58.0 million in the third quarter of last year.</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600" w:type="dxa"/>
            <w:vAlign w:val="bottom"/>
            <w:gridSpan w:val="2"/>
          </w:tcPr>
          <w:p>
            <w:pPr>
              <w:spacing w:after="0"/>
              <w:rPr>
                <w:sz w:val="20"/>
                <w:szCs w:val="20"/>
                <w:color w:val="auto"/>
              </w:rPr>
            </w:pPr>
            <w:r>
              <w:rPr>
                <w:rFonts w:ascii="Arial" w:cs="Arial" w:eastAsia="Arial" w:hAnsi="Arial"/>
                <w:sz w:val="16"/>
                <w:szCs w:val="16"/>
                <w:b w:val="1"/>
                <w:bCs w:val="1"/>
                <w:color w:val="auto"/>
              </w:rPr>
              <w:t>Third Quarter Fiscal 2025 Segments Summary</w:t>
            </w:r>
          </w:p>
        </w:tc>
        <w:tc>
          <w:tcPr>
            <w:tcW w:w="3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345"/>
        </w:trPr>
        <w:tc>
          <w:tcPr>
            <w:tcW w:w="4600" w:type="dxa"/>
            <w:vAlign w:val="bottom"/>
            <w:gridSpan w:val="2"/>
          </w:tcPr>
          <w:p>
            <w:pPr>
              <w:spacing w:after="0"/>
              <w:rPr>
                <w:sz w:val="20"/>
                <w:szCs w:val="20"/>
                <w:color w:val="auto"/>
              </w:rPr>
            </w:pPr>
            <w:r>
              <w:rPr>
                <w:rFonts w:ascii="Arial" w:cs="Arial" w:eastAsia="Arial" w:hAnsi="Arial"/>
                <w:sz w:val="16"/>
                <w:szCs w:val="16"/>
                <w:color w:val="auto"/>
              </w:rPr>
              <w:t>Towable RV</w:t>
            </w:r>
          </w:p>
        </w:tc>
        <w:tc>
          <w:tcPr>
            <w:tcW w:w="3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304"/>
        </w:trPr>
        <w:tc>
          <w:tcPr>
            <w:tcW w:w="860" w:type="dxa"/>
            <w:vAlign w:val="bottom"/>
            <w:tcBorders>
              <w:top w:val="single" w:sz="8" w:color="auto"/>
            </w:tcBorders>
          </w:tcPr>
          <w:p>
            <w:pPr>
              <w:spacing w:after="0"/>
              <w:rPr>
                <w:sz w:val="24"/>
                <w:szCs w:val="24"/>
                <w:color w:val="auto"/>
              </w:rPr>
            </w:pPr>
          </w:p>
        </w:tc>
        <w:tc>
          <w:tcPr>
            <w:tcW w:w="37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2"/>
          </w:tcPr>
          <w:p>
            <w:pPr>
              <w:ind w:left="120"/>
              <w:spacing w:after="0"/>
              <w:rPr>
                <w:sz w:val="20"/>
                <w:szCs w:val="20"/>
                <w:color w:val="auto"/>
              </w:rPr>
            </w:pPr>
            <w:r>
              <w:rPr>
                <w:rFonts w:ascii="Arial" w:cs="Arial" w:eastAsia="Arial" w:hAnsi="Arial"/>
                <w:sz w:val="16"/>
                <w:szCs w:val="16"/>
                <w:b w:val="1"/>
                <w:bCs w:val="1"/>
                <w:color w:val="auto"/>
              </w:rPr>
              <w:t>Three Months Ended</w:t>
            </w:r>
          </w:p>
        </w:tc>
        <w:tc>
          <w:tcPr>
            <w:tcW w:w="20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r>
      <w:tr>
        <w:trPr>
          <w:trHeight w:val="209"/>
        </w:trPr>
        <w:tc>
          <w:tcPr>
            <w:tcW w:w="4600" w:type="dxa"/>
            <w:vAlign w:val="bottom"/>
            <w:gridSpan w:val="2"/>
          </w:tcPr>
          <w:p>
            <w:pPr>
              <w:ind w:left="20"/>
              <w:spacing w:after="0"/>
              <w:rPr>
                <w:sz w:val="20"/>
                <w:szCs w:val="20"/>
                <w:color w:val="auto"/>
              </w:rPr>
            </w:pPr>
            <w:r>
              <w:rPr>
                <w:rFonts w:ascii="Arial" w:cs="Arial" w:eastAsia="Arial" w:hAnsi="Arial"/>
                <w:sz w:val="14"/>
                <w:szCs w:val="14"/>
                <w:color w:val="auto"/>
              </w:rPr>
              <w:t>($, in millions)</w:t>
            </w:r>
          </w:p>
        </w:tc>
        <w:tc>
          <w:tcPr>
            <w:tcW w:w="320" w:type="dxa"/>
            <w:vAlign w:val="bottom"/>
          </w:tcPr>
          <w:p>
            <w:pPr>
              <w:spacing w:after="0"/>
              <w:rPr>
                <w:sz w:val="18"/>
                <w:szCs w:val="18"/>
                <w:color w:val="auto"/>
              </w:rPr>
            </w:pPr>
          </w:p>
        </w:tc>
        <w:tc>
          <w:tcPr>
            <w:tcW w:w="1860" w:type="dxa"/>
            <w:vAlign w:val="bottom"/>
            <w:gridSpan w:val="2"/>
          </w:tcPr>
          <w:p>
            <w:pPr>
              <w:ind w:left="220"/>
              <w:spacing w:after="0"/>
              <w:rPr>
                <w:sz w:val="20"/>
                <w:szCs w:val="20"/>
                <w:color w:val="auto"/>
              </w:rPr>
            </w:pPr>
            <w:r>
              <w:rPr>
                <w:rFonts w:ascii="Arial" w:cs="Arial" w:eastAsia="Arial" w:hAnsi="Arial"/>
                <w:sz w:val="16"/>
                <w:szCs w:val="16"/>
                <w:b w:val="1"/>
                <w:bCs w:val="1"/>
                <w:color w:val="auto"/>
              </w:rPr>
              <w:t>May 31, 2025</w:t>
            </w:r>
          </w:p>
        </w:tc>
        <w:tc>
          <w:tcPr>
            <w:tcW w:w="220" w:type="dxa"/>
            <w:vAlign w:val="bottom"/>
          </w:tcPr>
          <w:p>
            <w:pPr>
              <w:spacing w:after="0"/>
              <w:rPr>
                <w:sz w:val="18"/>
                <w:szCs w:val="18"/>
                <w:color w:val="auto"/>
              </w:rPr>
            </w:pPr>
          </w:p>
        </w:tc>
        <w:tc>
          <w:tcPr>
            <w:tcW w:w="1980" w:type="dxa"/>
            <w:vAlign w:val="bottom"/>
            <w:gridSpan w:val="2"/>
          </w:tcPr>
          <w:p>
            <w:pPr>
              <w:ind w:left="340"/>
              <w:spacing w:after="0"/>
              <w:rPr>
                <w:sz w:val="20"/>
                <w:szCs w:val="20"/>
                <w:color w:val="auto"/>
              </w:rPr>
            </w:pPr>
            <w:r>
              <w:rPr>
                <w:rFonts w:ascii="Arial" w:cs="Arial" w:eastAsia="Arial" w:hAnsi="Arial"/>
                <w:sz w:val="16"/>
                <w:szCs w:val="16"/>
                <w:b w:val="1"/>
                <w:bCs w:val="1"/>
                <w:color w:val="auto"/>
              </w:rPr>
              <w:t>May 25, 2024</w:t>
            </w:r>
          </w:p>
        </w:tc>
        <w:tc>
          <w:tcPr>
            <w:tcW w:w="2020" w:type="dxa"/>
            <w:vAlign w:val="bottom"/>
          </w:tcPr>
          <w:p>
            <w:pPr>
              <w:jc w:val="right"/>
              <w:ind w:right="439"/>
              <w:spacing w:after="0" w:line="210" w:lineRule="exact"/>
              <w:rPr>
                <w:sz w:val="20"/>
                <w:szCs w:val="20"/>
                <w:color w:val="auto"/>
              </w:rPr>
            </w:pPr>
            <w:r>
              <w:rPr>
                <w:rFonts w:ascii="Arial" w:cs="Arial" w:eastAsia="Arial" w:hAnsi="Arial"/>
                <w:sz w:val="16"/>
                <w:szCs w:val="16"/>
                <w:b w:val="1"/>
                <w:bCs w:val="1"/>
                <w:color w:val="auto"/>
              </w:rPr>
              <w:t>Change</w:t>
            </w:r>
            <w:r>
              <w:rPr>
                <w:rFonts w:ascii="Arial" w:cs="Arial" w:eastAsia="Arial" w:hAnsi="Arial"/>
                <w:sz w:val="21"/>
                <w:szCs w:val="21"/>
                <w:b w:val="1"/>
                <w:bCs w:val="1"/>
                <w:color w:val="auto"/>
                <w:vertAlign w:val="superscript"/>
              </w:rPr>
              <w:t>(1)</w:t>
            </w:r>
          </w:p>
        </w:tc>
        <w:tc>
          <w:tcPr>
            <w:tcW w:w="240" w:type="dxa"/>
            <w:vAlign w:val="bottom"/>
          </w:tcPr>
          <w:p>
            <w:pPr>
              <w:spacing w:after="0"/>
              <w:rPr>
                <w:sz w:val="18"/>
                <w:szCs w:val="18"/>
                <w:color w:val="auto"/>
              </w:rPr>
            </w:pPr>
          </w:p>
        </w:tc>
      </w:tr>
      <w:tr>
        <w:trPr>
          <w:trHeight w:val="210"/>
        </w:trPr>
        <w:tc>
          <w:tcPr>
            <w:tcW w:w="460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76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371.7</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88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386.3</w:t>
            </w:r>
          </w:p>
        </w:tc>
        <w:tc>
          <w:tcPr>
            <w:tcW w:w="100" w:type="dxa"/>
            <w:vAlign w:val="bottom"/>
            <w:tcBorders>
              <w:top w:val="single" w:sz="8" w:color="CCEEFF"/>
            </w:tcBorders>
            <w:shd w:val="clear" w:color="auto" w:fill="CCEEFF"/>
          </w:tcPr>
          <w:p>
            <w:pPr>
              <w:spacing w:after="0"/>
              <w:rPr>
                <w:sz w:val="18"/>
                <w:szCs w:val="18"/>
                <w:color w:val="auto"/>
              </w:rPr>
            </w:pPr>
          </w:p>
        </w:tc>
        <w:tc>
          <w:tcPr>
            <w:tcW w:w="20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(3.8)</w:t>
            </w: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4600" w:type="dxa"/>
            <w:vAlign w:val="bottom"/>
            <w:gridSpan w:val="2"/>
          </w:tcPr>
          <w:p>
            <w:pPr>
              <w:ind w:left="20"/>
              <w:spacing w:after="0"/>
              <w:rPr>
                <w:sz w:val="20"/>
                <w:szCs w:val="20"/>
                <w:color w:val="auto"/>
              </w:rPr>
            </w:pPr>
            <w:r>
              <w:rPr>
                <w:rFonts w:ascii="Arial" w:cs="Arial" w:eastAsia="Arial" w:hAnsi="Arial"/>
                <w:sz w:val="16"/>
                <w:szCs w:val="16"/>
                <w:color w:val="auto"/>
              </w:rPr>
              <w:t>Adjusted EBITDA</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760" w:type="dxa"/>
            <w:vAlign w:val="bottom"/>
          </w:tcPr>
          <w:p>
            <w:pPr>
              <w:jc w:val="right"/>
              <w:ind w:right="119"/>
              <w:spacing w:after="0"/>
              <w:rPr>
                <w:sz w:val="20"/>
                <w:szCs w:val="20"/>
                <w:color w:val="auto"/>
              </w:rPr>
            </w:pPr>
            <w:r>
              <w:rPr>
                <w:rFonts w:ascii="Arial" w:cs="Arial" w:eastAsia="Arial" w:hAnsi="Arial"/>
                <w:sz w:val="16"/>
                <w:szCs w:val="16"/>
                <w:color w:val="auto"/>
              </w:rPr>
              <w:t>35.4</w:t>
            </w:r>
          </w:p>
        </w:tc>
        <w:tc>
          <w:tcPr>
            <w:tcW w:w="100" w:type="dxa"/>
            <w:vAlign w:val="bottom"/>
          </w:tcPr>
          <w:p>
            <w:pPr>
              <w:spacing w:after="0"/>
              <w:rPr>
                <w:sz w:val="18"/>
                <w:szCs w:val="18"/>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880" w:type="dxa"/>
            <w:vAlign w:val="bottom"/>
          </w:tcPr>
          <w:p>
            <w:pPr>
              <w:jc w:val="right"/>
              <w:ind w:right="119"/>
              <w:spacing w:after="0"/>
              <w:rPr>
                <w:sz w:val="20"/>
                <w:szCs w:val="20"/>
                <w:color w:val="auto"/>
              </w:rPr>
            </w:pPr>
            <w:r>
              <w:rPr>
                <w:rFonts w:ascii="Arial" w:cs="Arial" w:eastAsia="Arial" w:hAnsi="Arial"/>
                <w:sz w:val="16"/>
                <w:szCs w:val="16"/>
                <w:color w:val="auto"/>
              </w:rPr>
              <w:t>41.9</w:t>
            </w:r>
          </w:p>
        </w:tc>
        <w:tc>
          <w:tcPr>
            <w:tcW w:w="100" w:type="dxa"/>
            <w:vAlign w:val="bottom"/>
          </w:tcPr>
          <w:p>
            <w:pPr>
              <w:spacing w:after="0"/>
              <w:rPr>
                <w:sz w:val="18"/>
                <w:szCs w:val="18"/>
                <w:color w:val="auto"/>
              </w:rPr>
            </w:pPr>
          </w:p>
        </w:tc>
        <w:tc>
          <w:tcPr>
            <w:tcW w:w="2020" w:type="dxa"/>
            <w:vAlign w:val="bottom"/>
          </w:tcPr>
          <w:p>
            <w:pPr>
              <w:jc w:val="right"/>
              <w:ind w:right="19"/>
              <w:spacing w:after="0"/>
              <w:rPr>
                <w:sz w:val="20"/>
                <w:szCs w:val="20"/>
                <w:color w:val="auto"/>
              </w:rPr>
            </w:pPr>
            <w:r>
              <w:rPr>
                <w:rFonts w:ascii="Arial" w:cs="Arial" w:eastAsia="Arial" w:hAnsi="Arial"/>
                <w:sz w:val="16"/>
                <w:szCs w:val="16"/>
                <w:color w:val="auto"/>
              </w:rPr>
              <w:t>(15.7)</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46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Adjusted EBITDA Margin</w:t>
            </w:r>
          </w:p>
        </w:tc>
        <w:tc>
          <w:tcPr>
            <w:tcW w:w="32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9.5 %</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10.9 %</w:t>
            </w:r>
          </w:p>
        </w:tc>
        <w:tc>
          <w:tcPr>
            <w:tcW w:w="10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(140) bps</w:t>
            </w:r>
          </w:p>
        </w:tc>
      </w:tr>
    </w:tbl>
    <w:p>
      <w:pPr>
        <w:spacing w:after="0" w:line="21" w:lineRule="exact"/>
        <w:rPr>
          <w:sz w:val="20"/>
          <w:szCs w:val="20"/>
          <w:color w:val="auto"/>
        </w:rPr>
      </w:pPr>
    </w:p>
    <w:p>
      <w:pPr>
        <w:ind w:left="280" w:hanging="272"/>
        <w:spacing w:after="0"/>
        <w:tabs>
          <w:tab w:leader="none" w:pos="280" w:val="left"/>
        </w:tabs>
        <w:numPr>
          <w:ilvl w:val="0"/>
          <w:numId w:val="3"/>
        </w:numPr>
        <w:rPr>
          <w:rFonts w:ascii="Arial" w:cs="Arial" w:eastAsia="Arial" w:hAnsi="Arial"/>
          <w:sz w:val="21"/>
          <w:szCs w:val="21"/>
          <w:color w:val="auto"/>
          <w:vertAlign w:val="superscript"/>
        </w:rPr>
      </w:pPr>
      <w:r>
        <w:rPr>
          <w:rFonts w:ascii="Arial" w:cs="Arial" w:eastAsia="Arial" w:hAnsi="Arial"/>
          <w:sz w:val="14"/>
          <w:szCs w:val="14"/>
          <w:color w:val="auto"/>
        </w:rPr>
        <w:t>Amounts are calculated based on unrounded numbers and therefore may not recalculate using the rounded numbers provided.</w:t>
      </w:r>
    </w:p>
    <w:p>
      <w:pPr>
        <w:spacing w:after="0" w:line="263" w:lineRule="exact"/>
        <w:rPr>
          <w:rFonts w:ascii="Arial" w:cs="Arial" w:eastAsia="Arial" w:hAnsi="Arial"/>
          <w:sz w:val="21"/>
          <w:szCs w:val="21"/>
          <w:color w:val="auto"/>
          <w:vertAlign w:val="superscript"/>
        </w:rPr>
      </w:pPr>
    </w:p>
    <w:p>
      <w:pPr>
        <w:ind w:left="660" w:right="280" w:hanging="328"/>
        <w:spacing w:after="0" w:line="369" w:lineRule="auto"/>
        <w:tabs>
          <w:tab w:leader="none" w:pos="649" w:val="left"/>
        </w:tabs>
        <w:numPr>
          <w:ilvl w:val="1"/>
          <w:numId w:val="3"/>
        </w:numPr>
        <w:rPr>
          <w:rFonts w:ascii="Arial" w:cs="Arial" w:eastAsia="Arial" w:hAnsi="Arial"/>
          <w:sz w:val="16"/>
          <w:szCs w:val="16"/>
          <w:color w:val="auto"/>
        </w:rPr>
      </w:pPr>
      <w:r>
        <w:rPr>
          <w:rFonts w:ascii="Arial" w:cs="Arial" w:eastAsia="Arial" w:hAnsi="Arial"/>
          <w:sz w:val="16"/>
          <w:szCs w:val="16"/>
          <w:color w:val="auto"/>
        </w:rPr>
        <w:t>Net revenues for the Towable RV segment decreased from the prior year, primarily due to a shift in product mix toward lower price-point models, partially offset by higher unit volume.</w:t>
      </w:r>
    </w:p>
    <w:p>
      <w:pPr>
        <w:spacing w:after="0" w:line="1" w:lineRule="exact"/>
        <w:rPr>
          <w:rFonts w:ascii="Arial" w:cs="Arial" w:eastAsia="Arial" w:hAnsi="Arial"/>
          <w:sz w:val="16"/>
          <w:szCs w:val="16"/>
          <w:color w:val="auto"/>
        </w:rPr>
      </w:pPr>
    </w:p>
    <w:p>
      <w:pPr>
        <w:ind w:left="660" w:right="540" w:hanging="328"/>
        <w:spacing w:after="0" w:line="409" w:lineRule="auto"/>
        <w:tabs>
          <w:tab w:leader="none" w:pos="656" w:val="left"/>
        </w:tabs>
        <w:numPr>
          <w:ilvl w:val="1"/>
          <w:numId w:val="3"/>
        </w:numPr>
        <w:rPr>
          <w:rFonts w:ascii="Arial" w:cs="Arial" w:eastAsia="Arial" w:hAnsi="Arial"/>
          <w:sz w:val="14"/>
          <w:szCs w:val="14"/>
          <w:color w:val="auto"/>
        </w:rPr>
      </w:pPr>
      <w:r>
        <w:rPr>
          <w:rFonts w:ascii="Arial" w:cs="Arial" w:eastAsia="Arial" w:hAnsi="Arial"/>
          <w:sz w:val="16"/>
          <w:szCs w:val="16"/>
          <w:color w:val="auto"/>
        </w:rPr>
        <w:t>Segment Adjusted EBITDA margin decreased from the prior year, primarily due to higher warranty experience and deleverage, including that associated with product mix, partially offset by operational efficiencies.</w:t>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240"/>
          </w:cols>
          <w:pgMar w:left="320" w:top="1084"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84"/>
        </w:trPr>
        <w:tc>
          <w:tcPr>
            <w:tcW w:w="4600" w:type="dxa"/>
            <w:vAlign w:val="bottom"/>
            <w:gridSpan w:val="2"/>
          </w:tcPr>
          <w:p>
            <w:pPr>
              <w:spacing w:after="0"/>
              <w:rPr>
                <w:sz w:val="20"/>
                <w:szCs w:val="20"/>
                <w:color w:val="auto"/>
              </w:rPr>
            </w:pPr>
            <w:r>
              <w:rPr>
                <w:rFonts w:ascii="Arial" w:cs="Arial" w:eastAsia="Arial" w:hAnsi="Arial"/>
                <w:sz w:val="16"/>
                <w:szCs w:val="16"/>
                <w:color w:val="auto"/>
              </w:rPr>
              <w:t>Motorhome RV</w:t>
            </w:r>
          </w:p>
        </w:tc>
        <w:tc>
          <w:tcPr>
            <w:tcW w:w="32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240" w:type="dxa"/>
            <w:vAlign w:val="bottom"/>
          </w:tcPr>
          <w:p>
            <w:pPr>
              <w:spacing w:after="0"/>
              <w:rPr>
                <w:sz w:val="16"/>
                <w:szCs w:val="16"/>
                <w:color w:val="auto"/>
              </w:rPr>
            </w:pPr>
          </w:p>
        </w:tc>
      </w:tr>
      <w:tr>
        <w:trPr>
          <w:trHeight w:val="304"/>
        </w:trPr>
        <w:tc>
          <w:tcPr>
            <w:tcW w:w="1100" w:type="dxa"/>
            <w:vAlign w:val="bottom"/>
            <w:tcBorders>
              <w:top w:val="single" w:sz="8" w:color="auto"/>
            </w:tcBorders>
          </w:tcPr>
          <w:p>
            <w:pPr>
              <w:spacing w:after="0"/>
              <w:rPr>
                <w:sz w:val="24"/>
                <w:szCs w:val="24"/>
                <w:color w:val="auto"/>
              </w:rPr>
            </w:pPr>
          </w:p>
        </w:tc>
        <w:tc>
          <w:tcPr>
            <w:tcW w:w="35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2"/>
          </w:tcPr>
          <w:p>
            <w:pPr>
              <w:ind w:left="120"/>
              <w:spacing w:after="0"/>
              <w:rPr>
                <w:sz w:val="20"/>
                <w:szCs w:val="20"/>
                <w:color w:val="auto"/>
              </w:rPr>
            </w:pPr>
            <w:r>
              <w:rPr>
                <w:rFonts w:ascii="Arial" w:cs="Arial" w:eastAsia="Arial" w:hAnsi="Arial"/>
                <w:sz w:val="16"/>
                <w:szCs w:val="16"/>
                <w:b w:val="1"/>
                <w:bCs w:val="1"/>
                <w:color w:val="auto"/>
              </w:rPr>
              <w:t>Three Months Ended</w:t>
            </w:r>
          </w:p>
        </w:tc>
        <w:tc>
          <w:tcPr>
            <w:tcW w:w="20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r>
      <w:tr>
        <w:trPr>
          <w:trHeight w:val="209"/>
        </w:trPr>
        <w:tc>
          <w:tcPr>
            <w:tcW w:w="4600" w:type="dxa"/>
            <w:vAlign w:val="bottom"/>
            <w:gridSpan w:val="2"/>
          </w:tcPr>
          <w:p>
            <w:pPr>
              <w:ind w:left="20"/>
              <w:spacing w:after="0"/>
              <w:rPr>
                <w:sz w:val="20"/>
                <w:szCs w:val="20"/>
                <w:color w:val="auto"/>
              </w:rPr>
            </w:pPr>
            <w:r>
              <w:rPr>
                <w:rFonts w:ascii="Arial" w:cs="Arial" w:eastAsia="Arial" w:hAnsi="Arial"/>
                <w:sz w:val="14"/>
                <w:szCs w:val="14"/>
                <w:color w:val="auto"/>
              </w:rPr>
              <w:t>($, in millions)</w:t>
            </w:r>
          </w:p>
        </w:tc>
        <w:tc>
          <w:tcPr>
            <w:tcW w:w="320" w:type="dxa"/>
            <w:vAlign w:val="bottom"/>
          </w:tcPr>
          <w:p>
            <w:pPr>
              <w:spacing w:after="0"/>
              <w:rPr>
                <w:sz w:val="18"/>
                <w:szCs w:val="18"/>
                <w:color w:val="auto"/>
              </w:rPr>
            </w:pPr>
          </w:p>
        </w:tc>
        <w:tc>
          <w:tcPr>
            <w:tcW w:w="1860" w:type="dxa"/>
            <w:vAlign w:val="bottom"/>
            <w:gridSpan w:val="2"/>
          </w:tcPr>
          <w:p>
            <w:pPr>
              <w:ind w:left="220"/>
              <w:spacing w:after="0"/>
              <w:rPr>
                <w:sz w:val="20"/>
                <w:szCs w:val="20"/>
                <w:color w:val="auto"/>
              </w:rPr>
            </w:pPr>
            <w:r>
              <w:rPr>
                <w:rFonts w:ascii="Arial" w:cs="Arial" w:eastAsia="Arial" w:hAnsi="Arial"/>
                <w:sz w:val="16"/>
                <w:szCs w:val="16"/>
                <w:b w:val="1"/>
                <w:bCs w:val="1"/>
                <w:color w:val="auto"/>
              </w:rPr>
              <w:t>May 31, 2025</w:t>
            </w:r>
          </w:p>
        </w:tc>
        <w:tc>
          <w:tcPr>
            <w:tcW w:w="220" w:type="dxa"/>
            <w:vAlign w:val="bottom"/>
          </w:tcPr>
          <w:p>
            <w:pPr>
              <w:spacing w:after="0"/>
              <w:rPr>
                <w:sz w:val="18"/>
                <w:szCs w:val="18"/>
                <w:color w:val="auto"/>
              </w:rPr>
            </w:pPr>
          </w:p>
        </w:tc>
        <w:tc>
          <w:tcPr>
            <w:tcW w:w="1980" w:type="dxa"/>
            <w:vAlign w:val="bottom"/>
            <w:gridSpan w:val="2"/>
          </w:tcPr>
          <w:p>
            <w:pPr>
              <w:ind w:left="340"/>
              <w:spacing w:after="0"/>
              <w:rPr>
                <w:sz w:val="20"/>
                <w:szCs w:val="20"/>
                <w:color w:val="auto"/>
              </w:rPr>
            </w:pPr>
            <w:r>
              <w:rPr>
                <w:rFonts w:ascii="Arial" w:cs="Arial" w:eastAsia="Arial" w:hAnsi="Arial"/>
                <w:sz w:val="16"/>
                <w:szCs w:val="16"/>
                <w:b w:val="1"/>
                <w:bCs w:val="1"/>
                <w:color w:val="auto"/>
              </w:rPr>
              <w:t>May 25, 2024</w:t>
            </w:r>
          </w:p>
        </w:tc>
        <w:tc>
          <w:tcPr>
            <w:tcW w:w="2020" w:type="dxa"/>
            <w:vAlign w:val="bottom"/>
          </w:tcPr>
          <w:p>
            <w:pPr>
              <w:jc w:val="right"/>
              <w:ind w:right="439"/>
              <w:spacing w:after="0" w:line="210" w:lineRule="exact"/>
              <w:rPr>
                <w:sz w:val="20"/>
                <w:szCs w:val="20"/>
                <w:color w:val="auto"/>
              </w:rPr>
            </w:pPr>
            <w:r>
              <w:rPr>
                <w:rFonts w:ascii="Arial" w:cs="Arial" w:eastAsia="Arial" w:hAnsi="Arial"/>
                <w:sz w:val="16"/>
                <w:szCs w:val="16"/>
                <w:b w:val="1"/>
                <w:bCs w:val="1"/>
                <w:color w:val="auto"/>
              </w:rPr>
              <w:t>Change</w:t>
            </w:r>
            <w:r>
              <w:rPr>
                <w:rFonts w:ascii="Arial" w:cs="Arial" w:eastAsia="Arial" w:hAnsi="Arial"/>
                <w:sz w:val="21"/>
                <w:szCs w:val="21"/>
                <w:b w:val="1"/>
                <w:bCs w:val="1"/>
                <w:color w:val="auto"/>
                <w:vertAlign w:val="superscript"/>
              </w:rPr>
              <w:t>(1)</w:t>
            </w:r>
          </w:p>
        </w:tc>
        <w:tc>
          <w:tcPr>
            <w:tcW w:w="240" w:type="dxa"/>
            <w:vAlign w:val="bottom"/>
          </w:tcPr>
          <w:p>
            <w:pPr>
              <w:spacing w:after="0"/>
              <w:rPr>
                <w:sz w:val="18"/>
                <w:szCs w:val="18"/>
                <w:color w:val="auto"/>
              </w:rPr>
            </w:pPr>
          </w:p>
        </w:tc>
      </w:tr>
      <w:tr>
        <w:trPr>
          <w:trHeight w:val="210"/>
        </w:trPr>
        <w:tc>
          <w:tcPr>
            <w:tcW w:w="460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76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291.2</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88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299.0</w:t>
            </w:r>
          </w:p>
        </w:tc>
        <w:tc>
          <w:tcPr>
            <w:tcW w:w="100" w:type="dxa"/>
            <w:vAlign w:val="bottom"/>
            <w:tcBorders>
              <w:top w:val="single" w:sz="8" w:color="CCEEFF"/>
            </w:tcBorders>
            <w:shd w:val="clear" w:color="auto" w:fill="CCEEFF"/>
          </w:tcPr>
          <w:p>
            <w:pPr>
              <w:spacing w:after="0"/>
              <w:rPr>
                <w:sz w:val="18"/>
                <w:szCs w:val="18"/>
                <w:color w:val="auto"/>
              </w:rPr>
            </w:pPr>
          </w:p>
        </w:tc>
        <w:tc>
          <w:tcPr>
            <w:tcW w:w="20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(2.6)</w:t>
            </w: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4600" w:type="dxa"/>
            <w:vAlign w:val="bottom"/>
            <w:gridSpan w:val="2"/>
          </w:tcPr>
          <w:p>
            <w:pPr>
              <w:ind w:left="20"/>
              <w:spacing w:after="0"/>
              <w:rPr>
                <w:sz w:val="20"/>
                <w:szCs w:val="20"/>
                <w:color w:val="auto"/>
              </w:rPr>
            </w:pPr>
            <w:r>
              <w:rPr>
                <w:rFonts w:ascii="Arial" w:cs="Arial" w:eastAsia="Arial" w:hAnsi="Arial"/>
                <w:sz w:val="16"/>
                <w:szCs w:val="16"/>
                <w:color w:val="auto"/>
              </w:rPr>
              <w:t>Adjusted EBITDA</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760" w:type="dxa"/>
            <w:vAlign w:val="bottom"/>
          </w:tcPr>
          <w:p>
            <w:pPr>
              <w:jc w:val="right"/>
              <w:ind w:right="119"/>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18"/>
                <w:szCs w:val="18"/>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880" w:type="dxa"/>
            <w:vAlign w:val="bottom"/>
          </w:tcPr>
          <w:p>
            <w:pPr>
              <w:jc w:val="right"/>
              <w:ind w:right="119"/>
              <w:spacing w:after="0"/>
              <w:rPr>
                <w:sz w:val="20"/>
                <w:szCs w:val="20"/>
                <w:color w:val="auto"/>
              </w:rPr>
            </w:pPr>
            <w:r>
              <w:rPr>
                <w:rFonts w:ascii="Arial" w:cs="Arial" w:eastAsia="Arial" w:hAnsi="Arial"/>
                <w:sz w:val="16"/>
                <w:szCs w:val="16"/>
                <w:color w:val="auto"/>
              </w:rPr>
              <w:t>13.4</w:t>
            </w:r>
          </w:p>
        </w:tc>
        <w:tc>
          <w:tcPr>
            <w:tcW w:w="100" w:type="dxa"/>
            <w:vAlign w:val="bottom"/>
          </w:tcPr>
          <w:p>
            <w:pPr>
              <w:spacing w:after="0"/>
              <w:rPr>
                <w:sz w:val="18"/>
                <w:szCs w:val="18"/>
                <w:color w:val="auto"/>
              </w:rPr>
            </w:pPr>
          </w:p>
        </w:tc>
        <w:tc>
          <w:tcPr>
            <w:tcW w:w="2020" w:type="dxa"/>
            <w:vAlign w:val="bottom"/>
          </w:tcPr>
          <w:p>
            <w:pPr>
              <w:jc w:val="right"/>
              <w:ind w:right="19"/>
              <w:spacing w:after="0"/>
              <w:rPr>
                <w:sz w:val="20"/>
                <w:szCs w:val="20"/>
                <w:color w:val="auto"/>
              </w:rPr>
            </w:pPr>
            <w:r>
              <w:rPr>
                <w:rFonts w:ascii="Arial" w:cs="Arial" w:eastAsia="Arial" w:hAnsi="Arial"/>
                <w:sz w:val="16"/>
                <w:szCs w:val="16"/>
                <w:color w:val="auto"/>
              </w:rPr>
              <w:t>(77.7)</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46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Adjusted EBITDA Margin</w:t>
            </w:r>
          </w:p>
        </w:tc>
        <w:tc>
          <w:tcPr>
            <w:tcW w:w="32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1.0 %</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4.5 %</w:t>
            </w:r>
          </w:p>
        </w:tc>
        <w:tc>
          <w:tcPr>
            <w:tcW w:w="10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(340) bps</w:t>
            </w:r>
          </w:p>
        </w:tc>
      </w:tr>
    </w:tbl>
    <w:p>
      <w:pPr>
        <w:spacing w:after="0" w:line="75" w:lineRule="exact"/>
        <w:rPr>
          <w:sz w:val="20"/>
          <w:szCs w:val="20"/>
          <w:color w:val="auto"/>
        </w:rPr>
      </w:pPr>
    </w:p>
    <w:p>
      <w:pPr>
        <w:ind w:left="280" w:hanging="272"/>
        <w:spacing w:after="0"/>
        <w:tabs>
          <w:tab w:leader="none" w:pos="280" w:val="left"/>
        </w:tabs>
        <w:numPr>
          <w:ilvl w:val="0"/>
          <w:numId w:val="4"/>
        </w:numPr>
        <w:rPr>
          <w:rFonts w:ascii="Arial" w:cs="Arial" w:eastAsia="Arial" w:hAnsi="Arial"/>
          <w:sz w:val="21"/>
          <w:szCs w:val="21"/>
          <w:color w:val="auto"/>
          <w:vertAlign w:val="superscript"/>
        </w:rPr>
      </w:pPr>
      <w:r>
        <w:rPr>
          <w:rFonts w:ascii="Arial" w:cs="Arial" w:eastAsia="Arial" w:hAnsi="Arial"/>
          <w:sz w:val="14"/>
          <w:szCs w:val="14"/>
          <w:color w:val="auto"/>
        </w:rPr>
        <w:t>Amounts are calculated based on unrounded numbers and therefore may not recalculate using the rounded numbers provided.</w:t>
      </w:r>
    </w:p>
    <w:p>
      <w:pPr>
        <w:spacing w:after="0" w:line="290" w:lineRule="exact"/>
        <w:rPr>
          <w:rFonts w:ascii="Arial" w:cs="Arial" w:eastAsia="Arial" w:hAnsi="Arial"/>
          <w:sz w:val="21"/>
          <w:szCs w:val="21"/>
          <w:color w:val="auto"/>
          <w:vertAlign w:val="superscript"/>
        </w:rPr>
      </w:pPr>
    </w:p>
    <w:p>
      <w:pPr>
        <w:ind w:left="660" w:right="40" w:hanging="328"/>
        <w:spacing w:after="0" w:line="369" w:lineRule="auto"/>
        <w:tabs>
          <w:tab w:leader="none" w:pos="649" w:val="left"/>
        </w:tabs>
        <w:numPr>
          <w:ilvl w:val="1"/>
          <w:numId w:val="4"/>
        </w:numPr>
        <w:rPr>
          <w:rFonts w:ascii="Arial" w:cs="Arial" w:eastAsia="Arial" w:hAnsi="Arial"/>
          <w:sz w:val="16"/>
          <w:szCs w:val="16"/>
          <w:color w:val="auto"/>
        </w:rPr>
      </w:pPr>
      <w:r>
        <w:rPr>
          <w:rFonts w:ascii="Arial" w:cs="Arial" w:eastAsia="Arial" w:hAnsi="Arial"/>
          <w:sz w:val="16"/>
          <w:szCs w:val="16"/>
          <w:color w:val="auto"/>
        </w:rPr>
        <w:t>Net revenues for the Motorhome RV segment decreased from the prior year, primarily due to lower unit volume related to current market conditions, partially offset by product mix.</w:t>
      </w:r>
    </w:p>
    <w:p>
      <w:pPr>
        <w:spacing w:after="0" w:line="1" w:lineRule="exact"/>
        <w:rPr>
          <w:rFonts w:ascii="Arial" w:cs="Arial" w:eastAsia="Arial" w:hAnsi="Arial"/>
          <w:sz w:val="16"/>
          <w:szCs w:val="16"/>
          <w:color w:val="auto"/>
        </w:rPr>
      </w:pPr>
    </w:p>
    <w:p>
      <w:pPr>
        <w:ind w:left="660" w:right="380" w:hanging="328"/>
        <w:spacing w:after="0" w:line="369" w:lineRule="auto"/>
        <w:tabs>
          <w:tab w:leader="none" w:pos="649" w:val="left"/>
        </w:tabs>
        <w:numPr>
          <w:ilvl w:val="1"/>
          <w:numId w:val="4"/>
        </w:numPr>
        <w:rPr>
          <w:rFonts w:ascii="Arial" w:cs="Arial" w:eastAsia="Arial" w:hAnsi="Arial"/>
          <w:sz w:val="16"/>
          <w:szCs w:val="16"/>
          <w:color w:val="auto"/>
        </w:rPr>
      </w:pPr>
      <w:r>
        <w:rPr>
          <w:rFonts w:ascii="Arial" w:cs="Arial" w:eastAsia="Arial" w:hAnsi="Arial"/>
          <w:sz w:val="16"/>
          <w:szCs w:val="16"/>
          <w:color w:val="auto"/>
        </w:rPr>
        <w:t>Segment Adjusted EBITDA margin decreased from the prior year, primarily reflecting higher discounts and allowances, volume deleverage and operational inefficiencies associated with the Winnebago motorhome business.</w:t>
      </w:r>
    </w:p>
    <w:tbl>
      <w:tblPr>
        <w:tblLayout w:type="fixed"/>
        <w:tblInd w:w="0" w:type="dxa"/>
        <w:tblCellMar>
          <w:top w:w="0" w:type="dxa"/>
          <w:left w:w="0" w:type="dxa"/>
          <w:bottom w:w="0" w:type="dxa"/>
          <w:right w:w="0" w:type="dxa"/>
        </w:tblCellMar>
      </w:tblPr>
      <w:tr>
        <w:trPr>
          <w:trHeight w:val="177"/>
        </w:trPr>
        <w:tc>
          <w:tcPr>
            <w:tcW w:w="4600" w:type="dxa"/>
            <w:vAlign w:val="bottom"/>
            <w:gridSpan w:val="2"/>
          </w:tcPr>
          <w:p>
            <w:pPr>
              <w:spacing w:after="0" w:line="178" w:lineRule="exact"/>
              <w:rPr>
                <w:sz w:val="20"/>
                <w:szCs w:val="20"/>
                <w:color w:val="auto"/>
              </w:rPr>
            </w:pPr>
            <w:r>
              <w:rPr>
                <w:rFonts w:ascii="Arial" w:cs="Arial" w:eastAsia="Arial" w:hAnsi="Arial"/>
                <w:sz w:val="16"/>
                <w:szCs w:val="16"/>
                <w:color w:val="auto"/>
              </w:rPr>
              <w:t>Marine</w:t>
            </w:r>
          </w:p>
        </w:tc>
        <w:tc>
          <w:tcPr>
            <w:tcW w:w="32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340" w:type="dxa"/>
            <w:vAlign w:val="bottom"/>
          </w:tcPr>
          <w:p>
            <w:pPr>
              <w:spacing w:after="0"/>
              <w:rPr>
                <w:sz w:val="15"/>
                <w:szCs w:val="15"/>
                <w:color w:val="auto"/>
              </w:rPr>
            </w:pPr>
          </w:p>
        </w:tc>
      </w:tr>
      <w:tr>
        <w:trPr>
          <w:trHeight w:val="291"/>
        </w:trPr>
        <w:tc>
          <w:tcPr>
            <w:tcW w:w="500" w:type="dxa"/>
            <w:vAlign w:val="bottom"/>
            <w:tcBorders>
              <w:top w:val="single" w:sz="8" w:color="auto"/>
            </w:tcBorders>
          </w:tcPr>
          <w:p>
            <w:pPr>
              <w:spacing w:after="0"/>
              <w:rPr>
                <w:sz w:val="24"/>
                <w:szCs w:val="24"/>
                <w:color w:val="auto"/>
              </w:rPr>
            </w:pPr>
          </w:p>
        </w:tc>
        <w:tc>
          <w:tcPr>
            <w:tcW w:w="4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2"/>
          </w:tcPr>
          <w:p>
            <w:pPr>
              <w:ind w:left="120"/>
              <w:spacing w:after="0"/>
              <w:rPr>
                <w:sz w:val="20"/>
                <w:szCs w:val="20"/>
                <w:color w:val="auto"/>
              </w:rPr>
            </w:pPr>
            <w:r>
              <w:rPr>
                <w:rFonts w:ascii="Arial" w:cs="Arial" w:eastAsia="Arial" w:hAnsi="Arial"/>
                <w:sz w:val="16"/>
                <w:szCs w:val="16"/>
                <w:b w:val="1"/>
                <w:bCs w:val="1"/>
                <w:color w:val="auto"/>
              </w:rPr>
              <w:t>Three Months Ended</w:t>
            </w:r>
          </w:p>
        </w:tc>
        <w:tc>
          <w:tcPr>
            <w:tcW w:w="19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r>
      <w:tr>
        <w:trPr>
          <w:trHeight w:val="209"/>
        </w:trPr>
        <w:tc>
          <w:tcPr>
            <w:tcW w:w="4600" w:type="dxa"/>
            <w:vAlign w:val="bottom"/>
            <w:gridSpan w:val="2"/>
          </w:tcPr>
          <w:p>
            <w:pPr>
              <w:ind w:left="20"/>
              <w:spacing w:after="0"/>
              <w:rPr>
                <w:sz w:val="20"/>
                <w:szCs w:val="20"/>
                <w:color w:val="auto"/>
              </w:rPr>
            </w:pPr>
            <w:r>
              <w:rPr>
                <w:rFonts w:ascii="Arial" w:cs="Arial" w:eastAsia="Arial" w:hAnsi="Arial"/>
                <w:sz w:val="14"/>
                <w:szCs w:val="14"/>
                <w:color w:val="auto"/>
              </w:rPr>
              <w:t>($, in millions)</w:t>
            </w:r>
          </w:p>
        </w:tc>
        <w:tc>
          <w:tcPr>
            <w:tcW w:w="320" w:type="dxa"/>
            <w:vAlign w:val="bottom"/>
          </w:tcPr>
          <w:p>
            <w:pPr>
              <w:spacing w:after="0"/>
              <w:rPr>
                <w:sz w:val="18"/>
                <w:szCs w:val="18"/>
                <w:color w:val="auto"/>
              </w:rPr>
            </w:pPr>
          </w:p>
        </w:tc>
        <w:tc>
          <w:tcPr>
            <w:tcW w:w="1860" w:type="dxa"/>
            <w:vAlign w:val="bottom"/>
            <w:gridSpan w:val="2"/>
          </w:tcPr>
          <w:p>
            <w:pPr>
              <w:ind w:left="220"/>
              <w:spacing w:after="0"/>
              <w:rPr>
                <w:sz w:val="20"/>
                <w:szCs w:val="20"/>
                <w:color w:val="auto"/>
              </w:rPr>
            </w:pPr>
            <w:r>
              <w:rPr>
                <w:rFonts w:ascii="Arial" w:cs="Arial" w:eastAsia="Arial" w:hAnsi="Arial"/>
                <w:sz w:val="16"/>
                <w:szCs w:val="16"/>
                <w:b w:val="1"/>
                <w:bCs w:val="1"/>
                <w:color w:val="auto"/>
              </w:rPr>
              <w:t>May 31, 2025</w:t>
            </w:r>
          </w:p>
        </w:tc>
        <w:tc>
          <w:tcPr>
            <w:tcW w:w="220" w:type="dxa"/>
            <w:vAlign w:val="bottom"/>
          </w:tcPr>
          <w:p>
            <w:pPr>
              <w:spacing w:after="0"/>
              <w:rPr>
                <w:sz w:val="18"/>
                <w:szCs w:val="18"/>
                <w:color w:val="auto"/>
              </w:rPr>
            </w:pPr>
          </w:p>
        </w:tc>
        <w:tc>
          <w:tcPr>
            <w:tcW w:w="1980" w:type="dxa"/>
            <w:vAlign w:val="bottom"/>
            <w:gridSpan w:val="2"/>
          </w:tcPr>
          <w:p>
            <w:pPr>
              <w:ind w:left="320"/>
              <w:spacing w:after="0"/>
              <w:rPr>
                <w:sz w:val="20"/>
                <w:szCs w:val="20"/>
                <w:color w:val="auto"/>
              </w:rPr>
            </w:pPr>
            <w:r>
              <w:rPr>
                <w:rFonts w:ascii="Arial" w:cs="Arial" w:eastAsia="Arial" w:hAnsi="Arial"/>
                <w:sz w:val="16"/>
                <w:szCs w:val="16"/>
                <w:b w:val="1"/>
                <w:bCs w:val="1"/>
                <w:color w:val="auto"/>
              </w:rPr>
              <w:t>May 25, 2024</w:t>
            </w:r>
          </w:p>
        </w:tc>
        <w:tc>
          <w:tcPr>
            <w:tcW w:w="1920" w:type="dxa"/>
            <w:vAlign w:val="bottom"/>
          </w:tcPr>
          <w:p>
            <w:pPr>
              <w:jc w:val="right"/>
              <w:ind w:right="359"/>
              <w:spacing w:after="0" w:line="210" w:lineRule="exact"/>
              <w:rPr>
                <w:sz w:val="20"/>
                <w:szCs w:val="20"/>
                <w:color w:val="auto"/>
              </w:rPr>
            </w:pPr>
            <w:r>
              <w:rPr>
                <w:rFonts w:ascii="Arial" w:cs="Arial" w:eastAsia="Arial" w:hAnsi="Arial"/>
                <w:sz w:val="16"/>
                <w:szCs w:val="16"/>
                <w:b w:val="1"/>
                <w:bCs w:val="1"/>
                <w:color w:val="auto"/>
              </w:rPr>
              <w:t>Change</w:t>
            </w:r>
            <w:r>
              <w:rPr>
                <w:rFonts w:ascii="Arial" w:cs="Arial" w:eastAsia="Arial" w:hAnsi="Arial"/>
                <w:sz w:val="21"/>
                <w:szCs w:val="21"/>
                <w:b w:val="1"/>
                <w:bCs w:val="1"/>
                <w:color w:val="auto"/>
                <w:vertAlign w:val="superscript"/>
              </w:rPr>
              <w:t>(1)</w:t>
            </w:r>
          </w:p>
        </w:tc>
        <w:tc>
          <w:tcPr>
            <w:tcW w:w="340" w:type="dxa"/>
            <w:vAlign w:val="bottom"/>
          </w:tcPr>
          <w:p>
            <w:pPr>
              <w:spacing w:after="0"/>
              <w:rPr>
                <w:sz w:val="18"/>
                <w:szCs w:val="18"/>
                <w:color w:val="auto"/>
              </w:rPr>
            </w:pPr>
          </w:p>
        </w:tc>
      </w:tr>
      <w:tr>
        <w:trPr>
          <w:trHeight w:val="210"/>
        </w:trPr>
        <w:tc>
          <w:tcPr>
            <w:tcW w:w="460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76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100.7</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86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87.9</w:t>
            </w:r>
          </w:p>
        </w:tc>
        <w:tc>
          <w:tcPr>
            <w:tcW w:w="120" w:type="dxa"/>
            <w:vAlign w:val="bottom"/>
            <w:tcBorders>
              <w:top w:val="single" w:sz="8" w:color="CCEEFF"/>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14.6</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4600" w:type="dxa"/>
            <w:vAlign w:val="bottom"/>
            <w:gridSpan w:val="2"/>
          </w:tcPr>
          <w:p>
            <w:pPr>
              <w:ind w:left="20"/>
              <w:spacing w:after="0"/>
              <w:rPr>
                <w:sz w:val="20"/>
                <w:szCs w:val="20"/>
                <w:color w:val="auto"/>
              </w:rPr>
            </w:pPr>
            <w:r>
              <w:rPr>
                <w:rFonts w:ascii="Arial" w:cs="Arial" w:eastAsia="Arial" w:hAnsi="Arial"/>
                <w:sz w:val="16"/>
                <w:szCs w:val="16"/>
                <w:color w:val="auto"/>
              </w:rPr>
              <w:t>Adjusted EBITDA</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760" w:type="dxa"/>
            <w:vAlign w:val="bottom"/>
          </w:tcPr>
          <w:p>
            <w:pPr>
              <w:jc w:val="right"/>
              <w:ind w:right="119"/>
              <w:spacing w:after="0"/>
              <w:rPr>
                <w:sz w:val="20"/>
                <w:szCs w:val="20"/>
                <w:color w:val="auto"/>
              </w:rPr>
            </w:pPr>
            <w:r>
              <w:rPr>
                <w:rFonts w:ascii="Arial" w:cs="Arial" w:eastAsia="Arial" w:hAnsi="Arial"/>
                <w:sz w:val="16"/>
                <w:szCs w:val="16"/>
                <w:color w:val="auto"/>
              </w:rPr>
              <w:t>11.6</w:t>
            </w:r>
          </w:p>
        </w:tc>
        <w:tc>
          <w:tcPr>
            <w:tcW w:w="100" w:type="dxa"/>
            <w:vAlign w:val="bottom"/>
          </w:tcPr>
          <w:p>
            <w:pPr>
              <w:spacing w:after="0"/>
              <w:rPr>
                <w:sz w:val="18"/>
                <w:szCs w:val="18"/>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860" w:type="dxa"/>
            <w:vAlign w:val="bottom"/>
          </w:tcPr>
          <w:p>
            <w:pPr>
              <w:jc w:val="right"/>
              <w:ind w:right="119"/>
              <w:spacing w:after="0"/>
              <w:rPr>
                <w:sz w:val="20"/>
                <w:szCs w:val="20"/>
                <w:color w:val="auto"/>
              </w:rPr>
            </w:pPr>
            <w:r>
              <w:rPr>
                <w:rFonts w:ascii="Arial" w:cs="Arial" w:eastAsia="Arial" w:hAnsi="Arial"/>
                <w:sz w:val="16"/>
                <w:szCs w:val="16"/>
                <w:color w:val="auto"/>
              </w:rPr>
              <w:t>8.5</w:t>
            </w:r>
          </w:p>
        </w:tc>
        <w:tc>
          <w:tcPr>
            <w:tcW w:w="12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37.0</w:t>
            </w: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46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Adjusted EBITDA Margin</w:t>
            </w:r>
          </w:p>
        </w:tc>
        <w:tc>
          <w:tcPr>
            <w:tcW w:w="32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11.6 %</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9.7 %</w:t>
            </w:r>
          </w:p>
        </w:tc>
        <w:tc>
          <w:tcPr>
            <w:tcW w:w="120" w:type="dxa"/>
            <w:vAlign w:val="bottom"/>
            <w:shd w:val="clear" w:color="auto" w:fill="CCEEFF"/>
          </w:tcPr>
          <w:p>
            <w:pPr>
              <w:spacing w:after="0"/>
              <w:rPr>
                <w:sz w:val="18"/>
                <w:szCs w:val="18"/>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bps</w:t>
            </w:r>
          </w:p>
        </w:tc>
      </w:tr>
    </w:tbl>
    <w:p>
      <w:pPr>
        <w:spacing w:after="0" w:line="75" w:lineRule="exact"/>
        <w:rPr>
          <w:sz w:val="20"/>
          <w:szCs w:val="20"/>
          <w:color w:val="auto"/>
        </w:rPr>
      </w:pPr>
    </w:p>
    <w:p>
      <w:pPr>
        <w:ind w:left="280" w:hanging="272"/>
        <w:spacing w:after="0"/>
        <w:tabs>
          <w:tab w:leader="none" w:pos="280" w:val="left"/>
        </w:tabs>
        <w:numPr>
          <w:ilvl w:val="0"/>
          <w:numId w:val="5"/>
        </w:numPr>
        <w:rPr>
          <w:rFonts w:ascii="Arial" w:cs="Arial" w:eastAsia="Arial" w:hAnsi="Arial"/>
          <w:sz w:val="21"/>
          <w:szCs w:val="21"/>
          <w:color w:val="auto"/>
          <w:vertAlign w:val="superscript"/>
        </w:rPr>
      </w:pPr>
      <w:r>
        <w:rPr>
          <w:rFonts w:ascii="Arial" w:cs="Arial" w:eastAsia="Arial" w:hAnsi="Arial"/>
          <w:sz w:val="14"/>
          <w:szCs w:val="14"/>
          <w:color w:val="auto"/>
        </w:rPr>
        <w:t>Amounts are calculated based on unrounded numbers and therefore may not recalculate using the rounded numbers provided.</w:t>
      </w:r>
    </w:p>
    <w:p>
      <w:pPr>
        <w:spacing w:after="0" w:line="304" w:lineRule="exact"/>
        <w:rPr>
          <w:rFonts w:ascii="Arial" w:cs="Arial" w:eastAsia="Arial" w:hAnsi="Arial"/>
          <w:sz w:val="21"/>
          <w:szCs w:val="21"/>
          <w:color w:val="auto"/>
          <w:vertAlign w:val="superscript"/>
        </w:rPr>
      </w:pPr>
    </w:p>
    <w:p>
      <w:pPr>
        <w:ind w:left="660" w:right="140" w:hanging="328"/>
        <w:spacing w:after="0" w:line="361" w:lineRule="auto"/>
        <w:tabs>
          <w:tab w:leader="none" w:pos="649" w:val="left"/>
        </w:tabs>
        <w:numPr>
          <w:ilvl w:val="1"/>
          <w:numId w:val="5"/>
        </w:numPr>
        <w:rPr>
          <w:rFonts w:ascii="Arial" w:cs="Arial" w:eastAsia="Arial" w:hAnsi="Arial"/>
          <w:sz w:val="16"/>
          <w:szCs w:val="16"/>
          <w:color w:val="auto"/>
        </w:rPr>
      </w:pPr>
      <w:r>
        <w:rPr>
          <w:rFonts w:ascii="Arial" w:cs="Arial" w:eastAsia="Arial" w:hAnsi="Arial"/>
          <w:sz w:val="16"/>
          <w:szCs w:val="16"/>
          <w:color w:val="auto"/>
        </w:rPr>
        <w:t>Net revenues for the Marine segment increased from the prior year, primarily driven by unit volume and targeted price increases, partially offset by product mix.</w:t>
      </w:r>
    </w:p>
    <w:p>
      <w:pPr>
        <w:ind w:left="660" w:right="180" w:hanging="328"/>
        <w:spacing w:after="0" w:line="409" w:lineRule="auto"/>
        <w:tabs>
          <w:tab w:leader="none" w:pos="649" w:val="left"/>
        </w:tabs>
        <w:numPr>
          <w:ilvl w:val="1"/>
          <w:numId w:val="5"/>
        </w:numPr>
        <w:rPr>
          <w:rFonts w:ascii="Arial" w:cs="Arial" w:eastAsia="Arial" w:hAnsi="Arial"/>
          <w:sz w:val="16"/>
          <w:szCs w:val="16"/>
          <w:color w:val="auto"/>
        </w:rPr>
      </w:pPr>
      <w:r>
        <w:rPr>
          <w:rFonts w:ascii="Arial" w:cs="Arial" w:eastAsia="Arial" w:hAnsi="Arial"/>
          <w:sz w:val="16"/>
          <w:szCs w:val="16"/>
          <w:color w:val="auto"/>
        </w:rPr>
        <w:t>Segment Adjusted EBITDA increased from the prior year, primarily driven by targeted price increases and leverage, partially offset by product mix and higher warranty expense.</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Balance Sheet and Cash Flow</w:t>
      </w:r>
    </w:p>
    <w:p>
      <w:pPr>
        <w:spacing w:after="0" w:line="100" w:lineRule="exact"/>
        <w:rPr>
          <w:sz w:val="20"/>
          <w:szCs w:val="20"/>
          <w:color w:val="auto"/>
        </w:rPr>
      </w:pPr>
    </w:p>
    <w:p>
      <w:pPr>
        <w:jc w:val="both"/>
        <w:ind w:right="120"/>
        <w:spacing w:after="0" w:line="409" w:lineRule="auto"/>
        <w:rPr>
          <w:sz w:val="20"/>
          <w:szCs w:val="20"/>
          <w:color w:val="auto"/>
        </w:rPr>
      </w:pPr>
      <w:r>
        <w:rPr>
          <w:rFonts w:ascii="Arial" w:cs="Arial" w:eastAsia="Arial" w:hAnsi="Arial"/>
          <w:sz w:val="16"/>
          <w:szCs w:val="16"/>
          <w:color w:val="auto"/>
        </w:rPr>
        <w:t>As of May 31, 2025, cash and cash equivalents totaled $10.5 million. The Company had total outstanding debt of $539.9 million ($550.0 million of debt, net of debt issuance costs of $10.1 million) and working capital of $444.2 million. Cash flow used in operations was $25.3 million in the fiscal 2025 third quarter.</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Quarterly Cash Dividend</w:t>
      </w:r>
    </w:p>
    <w:p>
      <w:pPr>
        <w:spacing w:after="0" w:line="100" w:lineRule="exact"/>
        <w:rPr>
          <w:sz w:val="20"/>
          <w:szCs w:val="20"/>
          <w:color w:val="auto"/>
        </w:rPr>
      </w:pPr>
    </w:p>
    <w:p>
      <w:pPr>
        <w:ind w:right="740"/>
        <w:spacing w:after="0" w:line="409" w:lineRule="auto"/>
        <w:rPr>
          <w:sz w:val="20"/>
          <w:szCs w:val="20"/>
          <w:color w:val="auto"/>
        </w:rPr>
      </w:pPr>
      <w:r>
        <w:rPr>
          <w:rFonts w:ascii="Arial" w:cs="Arial" w:eastAsia="Arial" w:hAnsi="Arial"/>
          <w:sz w:val="16"/>
          <w:szCs w:val="16"/>
          <w:color w:val="auto"/>
        </w:rPr>
        <w:t>On May 16, 2025, the Company’s Board of Directors approved a quarterly cash dividend of $0.34 per share payable on June 25, 2025, to common stockholders of record at the close of business on June 11, 2025.</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Outlook</w:t>
      </w:r>
    </w:p>
    <w:p>
      <w:pPr>
        <w:spacing w:after="0" w:line="100" w:lineRule="exact"/>
        <w:rPr>
          <w:sz w:val="20"/>
          <w:szCs w:val="20"/>
          <w:color w:val="auto"/>
        </w:rPr>
      </w:pPr>
    </w:p>
    <w:p>
      <w:pPr>
        <w:ind w:right="160"/>
        <w:spacing w:after="0" w:line="409" w:lineRule="auto"/>
        <w:rPr>
          <w:sz w:val="20"/>
          <w:szCs w:val="20"/>
          <w:color w:val="auto"/>
        </w:rPr>
      </w:pPr>
      <w:r>
        <w:rPr>
          <w:rFonts w:ascii="Arial" w:cs="Arial" w:eastAsia="Arial" w:hAnsi="Arial"/>
          <w:sz w:val="16"/>
          <w:szCs w:val="16"/>
          <w:color w:val="auto"/>
        </w:rPr>
        <w:t>Based on its results through the first three quarters of fiscal 2025, current business conditions and its outlook for the remainder of the year, the Company is updating its fiscal 2025 guidance as follows:</w:t>
      </w:r>
    </w:p>
    <w:p>
      <w:pPr>
        <w:spacing w:after="0" w:line="183" w:lineRule="exact"/>
        <w:rPr>
          <w:sz w:val="20"/>
          <w:szCs w:val="20"/>
          <w:color w:val="auto"/>
        </w:rPr>
      </w:pPr>
    </w:p>
    <w:p>
      <w:pPr>
        <w:ind w:left="240" w:hanging="232"/>
        <w:spacing w:after="0"/>
        <w:tabs>
          <w:tab w:leader="none" w:pos="240" w:val="left"/>
        </w:tabs>
        <w:numPr>
          <w:ilvl w:val="0"/>
          <w:numId w:val="6"/>
        </w:numPr>
        <w:rPr>
          <w:rFonts w:ascii="Arial" w:cs="Arial" w:eastAsia="Arial" w:hAnsi="Arial"/>
          <w:sz w:val="16"/>
          <w:szCs w:val="16"/>
          <w:color w:val="auto"/>
        </w:rPr>
      </w:pPr>
      <w:r>
        <w:rPr>
          <w:rFonts w:ascii="Arial" w:cs="Arial" w:eastAsia="Arial" w:hAnsi="Arial"/>
          <w:sz w:val="16"/>
          <w:szCs w:val="16"/>
          <w:color w:val="auto"/>
        </w:rPr>
        <w:t>Net revenues in the range of $2.7 billion to $2.8 billion</w:t>
      </w:r>
    </w:p>
    <w:p>
      <w:pPr>
        <w:spacing w:after="0" w:line="99" w:lineRule="exact"/>
        <w:rPr>
          <w:rFonts w:ascii="Arial" w:cs="Arial" w:eastAsia="Arial" w:hAnsi="Arial"/>
          <w:sz w:val="16"/>
          <w:szCs w:val="16"/>
          <w:color w:val="auto"/>
        </w:rPr>
      </w:pPr>
    </w:p>
    <w:p>
      <w:pPr>
        <w:ind w:left="240" w:hanging="232"/>
        <w:spacing w:after="0"/>
        <w:tabs>
          <w:tab w:leader="none" w:pos="240" w:val="left"/>
        </w:tabs>
        <w:numPr>
          <w:ilvl w:val="0"/>
          <w:numId w:val="6"/>
        </w:numPr>
        <w:rPr>
          <w:rFonts w:ascii="Arial" w:cs="Arial" w:eastAsia="Arial" w:hAnsi="Arial"/>
          <w:sz w:val="16"/>
          <w:szCs w:val="16"/>
          <w:color w:val="auto"/>
        </w:rPr>
      </w:pPr>
      <w:r>
        <w:rPr>
          <w:rFonts w:ascii="Arial" w:cs="Arial" w:eastAsia="Arial" w:hAnsi="Arial"/>
          <w:sz w:val="16"/>
          <w:szCs w:val="16"/>
          <w:color w:val="auto"/>
        </w:rPr>
        <w:t>Reported earnings per diluted share of $0.50 to $1.00</w:t>
      </w:r>
    </w:p>
    <w:p>
      <w:pPr>
        <w:spacing w:after="0" w:line="99" w:lineRule="exact"/>
        <w:rPr>
          <w:rFonts w:ascii="Arial" w:cs="Arial" w:eastAsia="Arial" w:hAnsi="Arial"/>
          <w:sz w:val="16"/>
          <w:szCs w:val="16"/>
          <w:color w:val="auto"/>
        </w:rPr>
      </w:pPr>
    </w:p>
    <w:p>
      <w:pPr>
        <w:ind w:left="240" w:hanging="232"/>
        <w:spacing w:after="0"/>
        <w:tabs>
          <w:tab w:leader="none" w:pos="240" w:val="left"/>
        </w:tabs>
        <w:numPr>
          <w:ilvl w:val="0"/>
          <w:numId w:val="6"/>
        </w:numPr>
        <w:rPr>
          <w:rFonts w:ascii="Arial" w:cs="Arial" w:eastAsia="Arial" w:hAnsi="Arial"/>
          <w:sz w:val="16"/>
          <w:szCs w:val="16"/>
          <w:color w:val="auto"/>
        </w:rPr>
      </w:pPr>
      <w:r>
        <w:rPr>
          <w:rFonts w:ascii="Arial" w:cs="Arial" w:eastAsia="Arial" w:hAnsi="Arial"/>
          <w:sz w:val="16"/>
          <w:szCs w:val="16"/>
          <w:color w:val="auto"/>
        </w:rPr>
        <w:t>Adjusted earnings per diluted share of $1.20 to $1.70</w:t>
      </w:r>
      <w:r>
        <w:rPr>
          <w:rFonts w:ascii="Arial" w:cs="Arial" w:eastAsia="Arial" w:hAnsi="Arial"/>
          <w:sz w:val="21"/>
          <w:szCs w:val="21"/>
          <w:color w:val="auto"/>
          <w:vertAlign w:val="superscript"/>
        </w:rPr>
        <w:t>(1)</w:t>
      </w:r>
    </w:p>
    <w:p>
      <w:pPr>
        <w:spacing w:after="0" w:line="285" w:lineRule="exact"/>
        <w:rPr>
          <w:sz w:val="20"/>
          <w:szCs w:val="20"/>
          <w:color w:val="auto"/>
        </w:rPr>
      </w:pPr>
    </w:p>
    <w:p>
      <w:pPr>
        <w:ind w:right="20"/>
        <w:spacing w:after="0" w:line="380" w:lineRule="auto"/>
        <w:rPr>
          <w:sz w:val="20"/>
          <w:szCs w:val="20"/>
          <w:color w:val="auto"/>
        </w:rPr>
      </w:pPr>
      <w:r>
        <w:rPr>
          <w:rFonts w:ascii="Arial" w:cs="Arial" w:eastAsia="Arial" w:hAnsi="Arial"/>
          <w:sz w:val="16"/>
          <w:szCs w:val="16"/>
          <w:color w:val="auto"/>
        </w:rPr>
        <w:t>“Although the macroeconomic backdrop presents near-term challenges, we remain confident in the resilience of our brands and the long-term potential of our end markets,” Happe said. “With a new leadership team in place, Winnebago motorhomes is launching a comprehensive margin recapture plan centered on refreshing the product line, boosting operational efficiency and</w:t>
      </w:r>
    </w:p>
    <w:p>
      <w:pPr>
        <w:sectPr>
          <w:pgSz w:w="11900" w:h="16838" w:orient="portrait"/>
          <w:cols w:equalWidth="0" w:num="1">
            <w:col w:w="11240"/>
          </w:cols>
          <w:pgMar w:left="320" w:top="1171" w:right="339" w:bottom="1440" w:gutter="0" w:footer="0" w:header="0"/>
        </w:sect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240"/>
          </w:cols>
          <w:pgMar w:left="320" w:top="1171" w:right="339" w:bottom="1440" w:gutter="0" w:footer="0" w:header="0"/>
          <w:type w:val="continuous"/>
        </w:sectPr>
      </w:pPr>
    </w:p>
    <w:bookmarkStart w:id="6" w:name="page7"/>
    <w:bookmarkEnd w:id="6"/>
    <w:p>
      <w:pPr>
        <w:ind w:right="480"/>
        <w:spacing w:after="0" w:line="389" w:lineRule="auto"/>
        <w:rPr>
          <w:sz w:val="20"/>
          <w:szCs w:val="20"/>
          <w:color w:val="auto"/>
        </w:rPr>
      </w:pPr>
      <w:r>
        <w:rPr>
          <w:rFonts w:ascii="Arial" w:cs="Arial" w:eastAsia="Arial" w:hAnsi="Arial"/>
          <w:sz w:val="16"/>
          <w:szCs w:val="16"/>
          <w:color w:val="auto"/>
        </w:rPr>
        <w:t>rebuilding sustained profitability beginning in fiscal 2026. The growing appeal of the outdoor lifestyle—especially among younger and more diverse consumers—continues to drive strong interest in RVing and boating. This trend supports our view for meaningful growth across our portfolio as market conditions normalize.”</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Q3 FY 2025 Conference Call</w:t>
      </w:r>
    </w:p>
    <w:p>
      <w:pPr>
        <w:spacing w:after="0" w:line="100" w:lineRule="exact"/>
        <w:rPr>
          <w:sz w:val="20"/>
          <w:szCs w:val="20"/>
          <w:color w:val="auto"/>
        </w:rPr>
      </w:pPr>
    </w:p>
    <w:p>
      <w:pPr>
        <w:ind w:right="240"/>
        <w:spacing w:after="0" w:line="377" w:lineRule="auto"/>
        <w:rPr>
          <w:sz w:val="20"/>
          <w:szCs w:val="20"/>
          <w:color w:val="auto"/>
        </w:rPr>
      </w:pPr>
      <w:r>
        <w:rPr>
          <w:rFonts w:ascii="Arial" w:cs="Arial" w:eastAsia="Arial" w:hAnsi="Arial"/>
          <w:sz w:val="16"/>
          <w:szCs w:val="16"/>
          <w:color w:val="auto"/>
        </w:rPr>
        <w:t>Winnebago Industries, Inc. will discuss third quarter fiscal 2025 earnings results during a conference call scheduled for 9:00 a.m. Central Time today. Members of the news media, investors and the general public are invited to access a live broadcast of the conference call and view the accompanying presentation slides via the Investor Relations page of the Company's website at http://investor.wgo.net. The event will be archived and available for replay for the next 90 days.</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About Winnebago Industries</w:t>
      </w:r>
    </w:p>
    <w:p>
      <w:pPr>
        <w:spacing w:after="0" w:line="100" w:lineRule="exact"/>
        <w:rPr>
          <w:sz w:val="20"/>
          <w:szCs w:val="20"/>
          <w:color w:val="auto"/>
        </w:rPr>
      </w:pPr>
    </w:p>
    <w:p>
      <w:pPr>
        <w:spacing w:after="0" w:line="374" w:lineRule="auto"/>
        <w:rPr>
          <w:sz w:val="20"/>
          <w:szCs w:val="20"/>
          <w:color w:val="auto"/>
        </w:rPr>
      </w:pPr>
      <w:r>
        <w:rPr>
          <w:rFonts w:ascii="Arial" w:cs="Arial" w:eastAsia="Arial" w:hAnsi="Arial"/>
          <w:sz w:val="16"/>
          <w:szCs w:val="16"/>
          <w:color w:val="auto"/>
        </w:rPr>
        <w:t>Winnebago Industries, Inc. is a leading North American manufacturer of outdoor lifestyle products under the Winnebago, Grand Design, Chris-Craft, Newmar and Barletta brands, which are used primarily in leisure travel and outdoor recreation activities. The Company builds high-quality motorhomes, travel trailers, fifth-wheel products, outboard and sterndrive powerboats, pontoons, and commercial community outreach vehicles. Committed to advancing sustainable innovation and leveraging vertical integration in key component areas, Winnebago Industries has multiple facilities in Iowa, Indiana, Minnesota and Florida. The Company’s common stock is listed on the New York Stock Exchange and traded under the symbol WGO. For access to Winnebago Industries' investor relations material or to add your name to an automatic email list for Company news releases, visit http://investor.wgo.net.</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Forward-Looking Statements</w:t>
      </w:r>
    </w:p>
    <w:p>
      <w:pPr>
        <w:spacing w:after="0" w:line="100" w:lineRule="exact"/>
        <w:rPr>
          <w:sz w:val="20"/>
          <w:szCs w:val="20"/>
          <w:color w:val="auto"/>
        </w:rPr>
      </w:pPr>
    </w:p>
    <w:p>
      <w:pPr>
        <w:ind w:right="20"/>
        <w:spacing w:after="0" w:line="370" w:lineRule="auto"/>
        <w:rPr>
          <w:sz w:val="20"/>
          <w:szCs w:val="20"/>
          <w:color w:val="auto"/>
        </w:rPr>
      </w:pPr>
      <w:r>
        <w:rPr>
          <w:rFonts w:ascii="Arial" w:cs="Arial" w:eastAsia="Arial" w:hAnsi="Arial"/>
          <w:sz w:val="16"/>
          <w:szCs w:val="16"/>
          <w:color w:val="auto"/>
        </w:rPr>
        <w:t>This press release contains forward-looking statements within the meaning of the Private Securities Litigation Reform Act of 1995, including the business outlook and financial guidance for Fiscal 2025. Investors are cautioned that forward-looking statements are inherently uncertain and involve potential risks and uncertainties. A number of factors could cause actual results to differ materially from these statements, including, but not limited to general economic uncertainty in key markets and a worsening of domestic and global economic conditions or low levels of economic growth; availability of financing for RV and marine dealers and retail purchasers; competition and new product introductions by competitors; ability to innovate and commercialize new products; ability to manage our inventory to meet demand; risk related to cyclicality and seasonality of our business; risk related to independent dealers; risk related to dealer consolidation or the loss of a significant dealer; significant increase in repurchase obligations; ability to retain relationships with our suppliers and obtain components; business or production disruptions; inadequate management of dealer inventory levels; increased material and component costs, including availability and price of fuel and other raw materials; ability to integrate mergers and acquisitions; ability to attract and retain qualified personnel and changes in market compensation rates; exposure to warranty claims and product recalls; ability to protect our information technology systems from data security, cyberattacks, and network disruption risks and the ability to successfully upgrade and evolve our information technology systems; ability to retain brand reputation and related exposure to product liability claims; governmental regulation, including for climate change; increased attention to environmental, social, and governance ("ESG") matters, and our ability to meet our commitments; impairment of goodwill and trade names; risks related to our 2030 Convertible Notes and Senior Secured Notes, including our ability to satisfy our obligations under these notes; and changes in recommendations or a withdrawal of coverage by third party security analysts. Additional information concerning certain risks and uncertainties that could cause actual results to differ materially from that projected or suggested is contained in the Company's filings with the Securities and Exchange Commission ("SEC") over the last 12 months, copies of which are available from the SEC or from the Company upon request. We caution that the foregoing list of important factors is not complete. The Company disclaims any obligation or undertaking to disseminate any updates or revisions to any forward-looking</w:t>
      </w: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240"/>
          </w:cols>
          <w:pgMar w:left="320" w:top="935" w:right="339" w:bottom="1440" w:gutter="0" w:footer="0" w:header="0"/>
        </w:sectPr>
      </w:pPr>
    </w:p>
    <w:bookmarkStart w:id="7" w:name="page8"/>
    <w:bookmarkEnd w:id="7"/>
    <w:p>
      <w:pPr>
        <w:spacing w:after="0" w:line="409" w:lineRule="auto"/>
        <w:rPr>
          <w:sz w:val="20"/>
          <w:szCs w:val="20"/>
          <w:color w:val="auto"/>
        </w:rPr>
      </w:pPr>
      <w:r>
        <w:rPr>
          <w:rFonts w:ascii="Arial" w:cs="Arial" w:eastAsia="Arial" w:hAnsi="Arial"/>
          <w:sz w:val="16"/>
          <w:szCs w:val="16"/>
          <w:color w:val="auto"/>
        </w:rPr>
        <w:t>statements contained in this release or to reflect any changes in the Company's expectations after the date of this release or any change in events, conditions or circumstances on which any statement is based, except as required by law.</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Contacts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Investors: Ray Posadas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u w:val="single" w:color="auto"/>
          <w:color w:val="3051F2"/>
        </w:rPr>
        <w:t>ir@winnebagoind.com</w:t>
      </w: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color w:val="auto"/>
        </w:rPr>
        <w:t>Media: Dan Sullivan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u w:val="single" w:color="auto"/>
          <w:color w:val="3051F2"/>
        </w:rPr>
        <w:t>media@winnebagoind.com</w:t>
      </w:r>
    </w:p>
    <w:p>
      <w:pPr>
        <w:spacing w:after="0" w:line="200" w:lineRule="exact"/>
        <w:rPr>
          <w:sz w:val="20"/>
          <w:szCs w:val="20"/>
          <w:color w:val="auto"/>
        </w:rPr>
      </w:pPr>
    </w:p>
    <w:p>
      <w:pPr>
        <w:spacing w:after="0" w:line="386"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0520"/>
          </w:cols>
          <w:pgMar w:left="320" w:top="935" w:right="1059" w:bottom="1440" w:gutter="0" w:footer="0" w:header="0"/>
        </w:sectPr>
      </w:pPr>
    </w:p>
    <w:bookmarkStart w:id="8" w:name="page9"/>
    <w:bookmarkEnd w:id="8"/>
    <w:p>
      <w:pPr>
        <w:ind w:left="4600"/>
        <w:spacing w:after="0"/>
        <w:rPr>
          <w:sz w:val="20"/>
          <w:szCs w:val="20"/>
          <w:color w:val="auto"/>
        </w:rPr>
      </w:pPr>
      <w:r>
        <w:rPr>
          <w:rFonts w:ascii="Arial" w:cs="Arial" w:eastAsia="Arial" w:hAnsi="Arial"/>
          <w:sz w:val="16"/>
          <w:szCs w:val="16"/>
          <w:b w:val="1"/>
          <w:bCs w:val="1"/>
          <w:color w:val="auto"/>
        </w:rPr>
        <w:t>Winnebago Industries, Inc.</w:t>
      </w:r>
    </w:p>
    <w:p>
      <w:pPr>
        <w:spacing w:after="0" w:line="21" w:lineRule="exact"/>
        <w:rPr>
          <w:sz w:val="20"/>
          <w:szCs w:val="20"/>
          <w:color w:val="auto"/>
        </w:rPr>
      </w:pPr>
    </w:p>
    <w:p>
      <w:pPr>
        <w:ind w:left="4580"/>
        <w:spacing w:after="0"/>
        <w:rPr>
          <w:sz w:val="20"/>
          <w:szCs w:val="20"/>
          <w:color w:val="auto"/>
        </w:rPr>
      </w:pPr>
      <w:r>
        <w:rPr>
          <w:rFonts w:ascii="Arial" w:cs="Arial" w:eastAsia="Arial" w:hAnsi="Arial"/>
          <w:sz w:val="16"/>
          <w:szCs w:val="16"/>
          <w:b w:val="1"/>
          <w:bCs w:val="1"/>
          <w:color w:val="auto"/>
        </w:rPr>
        <w:t>Footnotes to News Release</w:t>
      </w: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color w:val="auto"/>
        </w:rPr>
        <w:t>Footnotes:</w:t>
      </w:r>
    </w:p>
    <w:p>
      <w:pPr>
        <w:spacing w:after="0" w:line="343" w:lineRule="exact"/>
        <w:rPr>
          <w:sz w:val="20"/>
          <w:szCs w:val="20"/>
          <w:color w:val="auto"/>
        </w:rPr>
      </w:pPr>
    </w:p>
    <w:p>
      <w:pPr>
        <w:ind w:left="260" w:hanging="252"/>
        <w:spacing w:after="0" w:line="409" w:lineRule="auto"/>
        <w:tabs>
          <w:tab w:leader="none" w:pos="261" w:val="left"/>
        </w:tabs>
        <w:numPr>
          <w:ilvl w:val="0"/>
          <w:numId w:val="7"/>
        </w:numPr>
        <w:rPr>
          <w:rFonts w:ascii="Arial" w:cs="Arial" w:eastAsia="Arial" w:hAnsi="Arial"/>
          <w:sz w:val="9"/>
          <w:szCs w:val="9"/>
          <w:color w:val="auto"/>
        </w:rPr>
      </w:pPr>
      <w:r>
        <w:rPr>
          <w:rFonts w:ascii="Arial" w:cs="Arial" w:eastAsia="Arial" w:hAnsi="Arial"/>
          <w:sz w:val="16"/>
          <w:szCs w:val="16"/>
          <w:color w:val="auto"/>
        </w:rPr>
        <w:t>Fiscal 2025 adjusted EPS guidance excludes the pretax impact of intangible amortization of approximately $22 million and an asset impairment of approximately $1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0680"/>
          </w:cols>
          <w:pgMar w:left="320" w:top="895" w:right="89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89"/>
        </w:trPr>
        <w:tc>
          <w:tcPr>
            <w:tcW w:w="36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300" w:type="dxa"/>
            <w:vAlign w:val="bottom"/>
            <w:gridSpan w:val="4"/>
          </w:tcPr>
          <w:p>
            <w:pPr>
              <w:ind w:left="20"/>
              <w:spacing w:after="0"/>
              <w:rPr>
                <w:sz w:val="20"/>
                <w:szCs w:val="20"/>
                <w:color w:val="auto"/>
              </w:rPr>
            </w:pPr>
            <w:r>
              <w:rPr>
                <w:rFonts w:ascii="Arial" w:cs="Arial" w:eastAsia="Arial" w:hAnsi="Arial"/>
                <w:sz w:val="16"/>
                <w:szCs w:val="16"/>
                <w:b w:val="1"/>
                <w:bCs w:val="1"/>
                <w:color w:val="auto"/>
              </w:rPr>
              <w:t>Winnebago Industries, Inc.</w:t>
            </w: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03"/>
        </w:trPr>
        <w:tc>
          <w:tcPr>
            <w:tcW w:w="3620" w:type="dxa"/>
            <w:vAlign w:val="bottom"/>
          </w:tcPr>
          <w:p>
            <w:pPr>
              <w:spacing w:after="0"/>
              <w:rPr>
                <w:sz w:val="17"/>
                <w:szCs w:val="17"/>
                <w:color w:val="auto"/>
              </w:rPr>
            </w:pPr>
          </w:p>
        </w:tc>
        <w:tc>
          <w:tcPr>
            <w:tcW w:w="4320" w:type="dxa"/>
            <w:vAlign w:val="bottom"/>
            <w:gridSpan w:val="7"/>
          </w:tcPr>
          <w:p>
            <w:pPr>
              <w:jc w:val="center"/>
              <w:ind w:right="320"/>
              <w:spacing w:after="0"/>
              <w:rPr>
                <w:sz w:val="20"/>
                <w:szCs w:val="20"/>
                <w:color w:val="auto"/>
              </w:rPr>
            </w:pPr>
            <w:r>
              <w:rPr>
                <w:rFonts w:ascii="Arial" w:cs="Arial" w:eastAsia="Arial" w:hAnsi="Arial"/>
                <w:sz w:val="16"/>
                <w:szCs w:val="16"/>
                <w:b w:val="1"/>
                <w:bCs w:val="1"/>
                <w:color w:val="auto"/>
              </w:rPr>
              <w:t>Condensed Consolidated Statements of Income</w:t>
            </w:r>
          </w:p>
        </w:tc>
        <w:tc>
          <w:tcPr>
            <w:tcW w:w="8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23"/>
        </w:trPr>
        <w:tc>
          <w:tcPr>
            <w:tcW w:w="3620" w:type="dxa"/>
            <w:vAlign w:val="bottom"/>
          </w:tcPr>
          <w:p>
            <w:pPr>
              <w:spacing w:after="0"/>
              <w:rPr>
                <w:sz w:val="19"/>
                <w:szCs w:val="19"/>
                <w:color w:val="auto"/>
              </w:rPr>
            </w:pPr>
          </w:p>
        </w:tc>
        <w:tc>
          <w:tcPr>
            <w:tcW w:w="4320" w:type="dxa"/>
            <w:vAlign w:val="bottom"/>
            <w:gridSpan w:val="7"/>
          </w:tcPr>
          <w:p>
            <w:pPr>
              <w:jc w:val="center"/>
              <w:ind w:right="300"/>
              <w:spacing w:after="0"/>
              <w:rPr>
                <w:sz w:val="20"/>
                <w:szCs w:val="20"/>
                <w:color w:val="auto"/>
              </w:rPr>
            </w:pPr>
            <w:r>
              <w:rPr>
                <w:rFonts w:ascii="Arial" w:cs="Arial" w:eastAsia="Arial" w:hAnsi="Arial"/>
                <w:sz w:val="16"/>
                <w:szCs w:val="16"/>
                <w:b w:val="1"/>
                <w:bCs w:val="1"/>
                <w:color w:val="auto"/>
              </w:rPr>
              <w:t>(Unaudited and subject to reclassification)</w:t>
            </w:r>
          </w:p>
        </w:tc>
        <w:tc>
          <w:tcPr>
            <w:tcW w:w="8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3"/>
        </w:trPr>
        <w:tc>
          <w:tcPr>
            <w:tcW w:w="36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Three Months Ended</w:t>
            </w:r>
          </w:p>
        </w:tc>
        <w:tc>
          <w:tcPr>
            <w:tcW w:w="6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r>
      <w:tr>
        <w:trPr>
          <w:trHeight w:val="209"/>
        </w:trPr>
        <w:tc>
          <w:tcPr>
            <w:tcW w:w="36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 millions, except percent and per share data)</w:t>
            </w:r>
          </w:p>
        </w:tc>
        <w:tc>
          <w:tcPr>
            <w:tcW w:w="9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3"/>
          </w:tcPr>
          <w:p>
            <w:pPr>
              <w:ind w:left="620"/>
              <w:spacing w:after="0"/>
              <w:rPr>
                <w:sz w:val="20"/>
                <w:szCs w:val="20"/>
                <w:color w:val="auto"/>
              </w:rPr>
            </w:pPr>
            <w:r>
              <w:rPr>
                <w:rFonts w:ascii="Arial" w:cs="Arial" w:eastAsia="Arial" w:hAnsi="Arial"/>
                <w:sz w:val="16"/>
                <w:szCs w:val="16"/>
                <w:b w:val="1"/>
                <w:bCs w:val="1"/>
                <w:color w:val="auto"/>
              </w:rPr>
              <w:t>May 31, 2025</w:t>
            </w:r>
          </w:p>
        </w:tc>
        <w:tc>
          <w:tcPr>
            <w:tcW w:w="9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3"/>
          </w:tcPr>
          <w:p>
            <w:pPr>
              <w:ind w:left="300"/>
              <w:spacing w:after="0"/>
              <w:rPr>
                <w:sz w:val="20"/>
                <w:szCs w:val="20"/>
                <w:color w:val="auto"/>
              </w:rPr>
            </w:pPr>
            <w:r>
              <w:rPr>
                <w:rFonts w:ascii="Arial" w:cs="Arial" w:eastAsia="Arial" w:hAnsi="Arial"/>
                <w:sz w:val="16"/>
                <w:szCs w:val="16"/>
                <w:b w:val="1"/>
                <w:bCs w:val="1"/>
                <w:color w:val="auto"/>
              </w:rPr>
              <w:t>May 25, 2024</w:t>
            </w:r>
          </w:p>
        </w:tc>
        <w:tc>
          <w:tcPr>
            <w:tcW w:w="880" w:type="dxa"/>
            <w:vAlign w:val="bottom"/>
            <w:tcBorders>
              <w:bottom w:val="single" w:sz="8" w:color="auto"/>
            </w:tcBorders>
          </w:tcPr>
          <w:p>
            <w:pPr>
              <w:spacing w:after="0"/>
              <w:rPr>
                <w:sz w:val="18"/>
                <w:szCs w:val="18"/>
                <w:color w:val="auto"/>
              </w:rPr>
            </w:pPr>
          </w:p>
        </w:tc>
      </w:tr>
      <w:tr>
        <w:trPr>
          <w:trHeight w:val="210"/>
        </w:trPr>
        <w:tc>
          <w:tcPr>
            <w:tcW w:w="3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1460" w:type="dxa"/>
            <w:vAlign w:val="bottom"/>
            <w:gridSpan w:val="2"/>
            <w:shd w:val="clear" w:color="auto" w:fill="CCEEFF"/>
          </w:tcPr>
          <w:p>
            <w:pPr>
              <w:ind w:left="98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775.1</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639"/>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786.0</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100.0 %</w:t>
            </w:r>
          </w:p>
        </w:tc>
      </w:tr>
      <w:tr>
        <w:trPr>
          <w:trHeight w:val="215"/>
        </w:trPr>
        <w:tc>
          <w:tcPr>
            <w:tcW w:w="36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goods sold</w:t>
            </w:r>
          </w:p>
        </w:tc>
        <w:tc>
          <w:tcPr>
            <w:tcW w:w="96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669.1</w:t>
            </w:r>
          </w:p>
        </w:tc>
        <w:tc>
          <w:tcPr>
            <w:tcW w:w="10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86.3 %</w:t>
            </w:r>
          </w:p>
        </w:tc>
        <w:tc>
          <w:tcPr>
            <w:tcW w:w="12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667.8</w:t>
            </w:r>
          </w:p>
        </w:tc>
        <w:tc>
          <w:tcPr>
            <w:tcW w:w="12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85.0 %</w:t>
            </w:r>
          </w:p>
        </w:tc>
      </w:tr>
      <w:tr>
        <w:trPr>
          <w:trHeight w:val="210"/>
        </w:trPr>
        <w:tc>
          <w:tcPr>
            <w:tcW w:w="3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96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106.0</w:t>
            </w:r>
          </w:p>
        </w:tc>
        <w:tc>
          <w:tcPr>
            <w:tcW w:w="10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13.7 %</w:t>
            </w:r>
          </w:p>
        </w:tc>
        <w:tc>
          <w:tcPr>
            <w:tcW w:w="12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118.2</w:t>
            </w:r>
          </w:p>
        </w:tc>
        <w:tc>
          <w:tcPr>
            <w:tcW w:w="12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15.0 %</w:t>
            </w:r>
          </w:p>
        </w:tc>
      </w:tr>
      <w:tr>
        <w:trPr>
          <w:trHeight w:val="209"/>
        </w:trPr>
        <w:tc>
          <w:tcPr>
            <w:tcW w:w="3620" w:type="dxa"/>
            <w:vAlign w:val="bottom"/>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70.3</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9.1 %</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69.1</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8.8 %</w:t>
            </w:r>
          </w:p>
        </w:tc>
      </w:tr>
      <w:tr>
        <w:trPr>
          <w:trHeight w:val="217"/>
        </w:trPr>
        <w:tc>
          <w:tcPr>
            <w:tcW w:w="3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w:t>
            </w:r>
          </w:p>
        </w:tc>
        <w:tc>
          <w:tcPr>
            <w:tcW w:w="96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10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0.7 %</w:t>
            </w:r>
          </w:p>
        </w:tc>
        <w:tc>
          <w:tcPr>
            <w:tcW w:w="12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12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0.7 %</w:t>
            </w:r>
          </w:p>
        </w:tc>
      </w:tr>
      <w:tr>
        <w:trPr>
          <w:trHeight w:val="209"/>
        </w:trPr>
        <w:tc>
          <w:tcPr>
            <w:tcW w:w="36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operating expenses</w:t>
            </w:r>
          </w:p>
        </w:tc>
        <w:tc>
          <w:tcPr>
            <w:tcW w:w="96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75.8</w:t>
            </w:r>
          </w:p>
        </w:tc>
        <w:tc>
          <w:tcPr>
            <w:tcW w:w="10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9.8 %</w:t>
            </w:r>
          </w:p>
        </w:tc>
        <w:tc>
          <w:tcPr>
            <w:tcW w:w="12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74.7</w:t>
            </w:r>
          </w:p>
        </w:tc>
        <w:tc>
          <w:tcPr>
            <w:tcW w:w="12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9.5 %</w:t>
            </w:r>
          </w:p>
        </w:tc>
      </w:tr>
      <w:tr>
        <w:trPr>
          <w:trHeight w:val="210"/>
        </w:trPr>
        <w:tc>
          <w:tcPr>
            <w:tcW w:w="3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income</w:t>
            </w:r>
          </w:p>
        </w:tc>
        <w:tc>
          <w:tcPr>
            <w:tcW w:w="9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30.2</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3.9 %</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43.5</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5.5 %</w:t>
            </w:r>
          </w:p>
        </w:tc>
      </w:tr>
      <w:tr>
        <w:trPr>
          <w:trHeight w:val="215"/>
        </w:trPr>
        <w:tc>
          <w:tcPr>
            <w:tcW w:w="3620" w:type="dxa"/>
            <w:vAlign w:val="bottom"/>
          </w:tcPr>
          <w:p>
            <w:pPr>
              <w:ind w:left="20"/>
              <w:spacing w:after="0"/>
              <w:rPr>
                <w:sz w:val="20"/>
                <w:szCs w:val="20"/>
                <w:color w:val="auto"/>
              </w:rPr>
            </w:pPr>
            <w:r>
              <w:rPr>
                <w:rFonts w:ascii="Arial" w:cs="Arial" w:eastAsia="Arial" w:hAnsi="Arial"/>
                <w:sz w:val="16"/>
                <w:szCs w:val="16"/>
                <w:color w:val="auto"/>
              </w:rPr>
              <w:t>Interest expense, net</w:t>
            </w:r>
          </w:p>
        </w:tc>
        <w:tc>
          <w:tcPr>
            <w:tcW w:w="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6.7</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0.9 %</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5.8</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0.7 %</w:t>
            </w:r>
          </w:p>
        </w:tc>
      </w:tr>
      <w:tr>
        <w:trPr>
          <w:trHeight w:val="217"/>
        </w:trPr>
        <w:tc>
          <w:tcPr>
            <w:tcW w:w="3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Non-operating (income) loss</w:t>
            </w:r>
          </w:p>
        </w:tc>
        <w:tc>
          <w:tcPr>
            <w:tcW w:w="96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0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2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2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0.3 %</w:t>
            </w:r>
          </w:p>
        </w:tc>
      </w:tr>
      <w:tr>
        <w:trPr>
          <w:trHeight w:val="209"/>
        </w:trPr>
        <w:tc>
          <w:tcPr>
            <w:tcW w:w="3620" w:type="dxa"/>
            <w:vAlign w:val="bottom"/>
          </w:tcPr>
          <w:p>
            <w:pPr>
              <w:ind w:left="20"/>
              <w:spacing w:after="0"/>
              <w:rPr>
                <w:sz w:val="20"/>
                <w:szCs w:val="20"/>
                <w:color w:val="auto"/>
              </w:rPr>
            </w:pPr>
            <w:r>
              <w:rPr>
                <w:rFonts w:ascii="Arial" w:cs="Arial" w:eastAsia="Arial" w:hAnsi="Arial"/>
                <w:sz w:val="16"/>
                <w:szCs w:val="16"/>
                <w:color w:val="auto"/>
              </w:rPr>
              <w:t>Income before income taxes</w:t>
            </w:r>
          </w:p>
        </w:tc>
        <w:tc>
          <w:tcPr>
            <w:tcW w:w="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23.9</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3.1 %</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35.5</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4.5 %</w:t>
            </w:r>
          </w:p>
        </w:tc>
      </w:tr>
      <w:tr>
        <w:trPr>
          <w:trHeight w:val="217"/>
        </w:trPr>
        <w:tc>
          <w:tcPr>
            <w:tcW w:w="3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provision</w:t>
            </w:r>
          </w:p>
        </w:tc>
        <w:tc>
          <w:tcPr>
            <w:tcW w:w="96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10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0.8 %</w:t>
            </w:r>
          </w:p>
        </w:tc>
        <w:tc>
          <w:tcPr>
            <w:tcW w:w="12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12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0.8 %</w:t>
            </w:r>
          </w:p>
        </w:tc>
      </w:tr>
      <w:tr>
        <w:trPr>
          <w:trHeight w:val="209"/>
        </w:trPr>
        <w:tc>
          <w:tcPr>
            <w:tcW w:w="362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960" w:type="dxa"/>
            <w:vAlign w:val="bottom"/>
          </w:tcPr>
          <w:p>
            <w:pPr>
              <w:spacing w:after="0"/>
              <w:rPr>
                <w:sz w:val="18"/>
                <w:szCs w:val="18"/>
                <w:color w:val="auto"/>
              </w:rPr>
            </w:pPr>
          </w:p>
        </w:tc>
        <w:tc>
          <w:tcPr>
            <w:tcW w:w="5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17.6</w:t>
            </w:r>
          </w:p>
        </w:tc>
        <w:tc>
          <w:tcPr>
            <w:tcW w:w="10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2.3 %</w:t>
            </w:r>
          </w:p>
        </w:tc>
        <w:tc>
          <w:tcPr>
            <w:tcW w:w="120" w:type="dxa"/>
            <w:vAlign w:val="bottom"/>
          </w:tcPr>
          <w:p>
            <w:pPr>
              <w:spacing w:after="0"/>
              <w:rPr>
                <w:sz w:val="18"/>
                <w:szCs w:val="18"/>
                <w:color w:val="auto"/>
              </w:rPr>
            </w:pPr>
          </w:p>
        </w:tc>
        <w:tc>
          <w:tcPr>
            <w:tcW w:w="82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29.0</w:t>
            </w:r>
          </w:p>
        </w:tc>
        <w:tc>
          <w:tcPr>
            <w:tcW w:w="12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3.7 %</w:t>
            </w:r>
          </w:p>
        </w:tc>
      </w:tr>
      <w:tr>
        <w:trPr>
          <w:trHeight w:val="20"/>
        </w:trPr>
        <w:tc>
          <w:tcPr>
            <w:tcW w:w="36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83"/>
        </w:trPr>
        <w:tc>
          <w:tcPr>
            <w:tcW w:w="36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r>
      <w:tr>
        <w:trPr>
          <w:trHeight w:val="215"/>
        </w:trPr>
        <w:tc>
          <w:tcPr>
            <w:tcW w:w="3620" w:type="dxa"/>
            <w:vAlign w:val="bottom"/>
          </w:tcPr>
          <w:p>
            <w:pPr>
              <w:ind w:left="20"/>
              <w:spacing w:after="0"/>
              <w:rPr>
                <w:sz w:val="20"/>
                <w:szCs w:val="20"/>
                <w:color w:val="auto"/>
              </w:rPr>
            </w:pPr>
            <w:r>
              <w:rPr>
                <w:rFonts w:ascii="Arial" w:cs="Arial" w:eastAsia="Arial" w:hAnsi="Arial"/>
                <w:sz w:val="16"/>
                <w:szCs w:val="16"/>
                <w:color w:val="auto"/>
              </w:rPr>
              <w:t>Earnings per common share:</w:t>
            </w:r>
          </w:p>
        </w:tc>
        <w:tc>
          <w:tcPr>
            <w:tcW w:w="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7"/>
        </w:trPr>
        <w:tc>
          <w:tcPr>
            <w:tcW w:w="36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Basic</w:t>
            </w:r>
          </w:p>
        </w:tc>
        <w:tc>
          <w:tcPr>
            <w:tcW w:w="1460" w:type="dxa"/>
            <w:vAlign w:val="bottom"/>
            <w:gridSpan w:val="2"/>
            <w:shd w:val="clear" w:color="auto" w:fill="CCEEFF"/>
          </w:tcPr>
          <w:p>
            <w:pPr>
              <w:ind w:left="98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0.63</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639"/>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0.99</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5"/>
        </w:trPr>
        <w:tc>
          <w:tcPr>
            <w:tcW w:w="3620" w:type="dxa"/>
            <w:vAlign w:val="bottom"/>
          </w:tcPr>
          <w:p>
            <w:pPr>
              <w:ind w:left="180"/>
              <w:spacing w:after="0"/>
              <w:rPr>
                <w:sz w:val="20"/>
                <w:szCs w:val="20"/>
                <w:color w:val="auto"/>
              </w:rPr>
            </w:pPr>
            <w:r>
              <w:rPr>
                <w:rFonts w:ascii="Arial" w:cs="Arial" w:eastAsia="Arial" w:hAnsi="Arial"/>
                <w:sz w:val="16"/>
                <w:szCs w:val="16"/>
                <w:color w:val="auto"/>
              </w:rPr>
              <w:t>Diluted</w:t>
            </w:r>
          </w:p>
        </w:tc>
        <w:tc>
          <w:tcPr>
            <w:tcW w:w="1460" w:type="dxa"/>
            <w:vAlign w:val="bottom"/>
            <w:gridSpan w:val="2"/>
          </w:tcPr>
          <w:p>
            <w:pPr>
              <w:ind w:left="98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0.62</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ind w:right="639"/>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0.96</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7"/>
        </w:trPr>
        <w:tc>
          <w:tcPr>
            <w:tcW w:w="3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common shares outstanding:</w:t>
            </w:r>
          </w:p>
        </w:tc>
        <w:tc>
          <w:tcPr>
            <w:tcW w:w="9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5"/>
        </w:trPr>
        <w:tc>
          <w:tcPr>
            <w:tcW w:w="3620" w:type="dxa"/>
            <w:vAlign w:val="bottom"/>
          </w:tcPr>
          <w:p>
            <w:pPr>
              <w:ind w:left="180"/>
              <w:spacing w:after="0"/>
              <w:rPr>
                <w:sz w:val="20"/>
                <w:szCs w:val="20"/>
                <w:color w:val="auto"/>
              </w:rPr>
            </w:pPr>
            <w:r>
              <w:rPr>
                <w:rFonts w:ascii="Arial" w:cs="Arial" w:eastAsia="Arial" w:hAnsi="Arial"/>
                <w:sz w:val="16"/>
                <w:szCs w:val="16"/>
                <w:color w:val="auto"/>
              </w:rPr>
              <w:t>Basic</w:t>
            </w:r>
          </w:p>
        </w:tc>
        <w:tc>
          <w:tcPr>
            <w:tcW w:w="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28.0</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29.2</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7"/>
        </w:trPr>
        <w:tc>
          <w:tcPr>
            <w:tcW w:w="36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Diluted</w:t>
            </w:r>
          </w:p>
        </w:tc>
        <w:tc>
          <w:tcPr>
            <w:tcW w:w="9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28.4</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378"/>
        </w:trPr>
        <w:tc>
          <w:tcPr>
            <w:tcW w:w="36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6"/>
                <w:szCs w:val="16"/>
                <w:b w:val="1"/>
                <w:bCs w:val="1"/>
                <w:color w:val="auto"/>
              </w:rPr>
              <w:t>Nine Months Ended</w:t>
            </w:r>
          </w:p>
        </w:tc>
        <w:tc>
          <w:tcPr>
            <w:tcW w:w="6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r>
      <w:tr>
        <w:trPr>
          <w:trHeight w:val="210"/>
        </w:trPr>
        <w:tc>
          <w:tcPr>
            <w:tcW w:w="36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 millions, except percent and per share data)</w:t>
            </w:r>
          </w:p>
        </w:tc>
        <w:tc>
          <w:tcPr>
            <w:tcW w:w="9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3"/>
          </w:tcPr>
          <w:p>
            <w:pPr>
              <w:ind w:left="620"/>
              <w:spacing w:after="0"/>
              <w:rPr>
                <w:sz w:val="20"/>
                <w:szCs w:val="20"/>
                <w:color w:val="auto"/>
              </w:rPr>
            </w:pPr>
            <w:r>
              <w:rPr>
                <w:rFonts w:ascii="Arial" w:cs="Arial" w:eastAsia="Arial" w:hAnsi="Arial"/>
                <w:sz w:val="16"/>
                <w:szCs w:val="16"/>
                <w:b w:val="1"/>
                <w:bCs w:val="1"/>
                <w:color w:val="auto"/>
              </w:rPr>
              <w:t>May 31, 2025</w:t>
            </w:r>
          </w:p>
        </w:tc>
        <w:tc>
          <w:tcPr>
            <w:tcW w:w="9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3"/>
          </w:tcPr>
          <w:p>
            <w:pPr>
              <w:ind w:left="300"/>
              <w:spacing w:after="0"/>
              <w:rPr>
                <w:sz w:val="20"/>
                <w:szCs w:val="20"/>
                <w:color w:val="auto"/>
              </w:rPr>
            </w:pPr>
            <w:r>
              <w:rPr>
                <w:rFonts w:ascii="Arial" w:cs="Arial" w:eastAsia="Arial" w:hAnsi="Arial"/>
                <w:sz w:val="16"/>
                <w:szCs w:val="16"/>
                <w:b w:val="1"/>
                <w:bCs w:val="1"/>
                <w:color w:val="auto"/>
              </w:rPr>
              <w:t>May 25, 2024</w:t>
            </w:r>
          </w:p>
        </w:tc>
        <w:tc>
          <w:tcPr>
            <w:tcW w:w="880" w:type="dxa"/>
            <w:vAlign w:val="bottom"/>
            <w:tcBorders>
              <w:bottom w:val="single" w:sz="8" w:color="auto"/>
            </w:tcBorders>
          </w:tcPr>
          <w:p>
            <w:pPr>
              <w:spacing w:after="0"/>
              <w:rPr>
                <w:sz w:val="18"/>
                <w:szCs w:val="18"/>
                <w:color w:val="auto"/>
              </w:rPr>
            </w:pPr>
          </w:p>
        </w:tc>
      </w:tr>
      <w:tr>
        <w:trPr>
          <w:trHeight w:val="210"/>
        </w:trPr>
        <w:tc>
          <w:tcPr>
            <w:tcW w:w="3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1460" w:type="dxa"/>
            <w:vAlign w:val="bottom"/>
            <w:gridSpan w:val="2"/>
            <w:shd w:val="clear" w:color="auto" w:fill="CCEEFF"/>
          </w:tcPr>
          <w:p>
            <w:pPr>
              <w:ind w:left="98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2,020.9</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639"/>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2,252.6</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100.0 %</w:t>
            </w:r>
          </w:p>
        </w:tc>
      </w:tr>
      <w:tr>
        <w:trPr>
          <w:trHeight w:val="215"/>
        </w:trPr>
        <w:tc>
          <w:tcPr>
            <w:tcW w:w="36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goods sold</w:t>
            </w:r>
          </w:p>
        </w:tc>
        <w:tc>
          <w:tcPr>
            <w:tcW w:w="96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1,755.0</w:t>
            </w:r>
          </w:p>
        </w:tc>
        <w:tc>
          <w:tcPr>
            <w:tcW w:w="10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86.8 %</w:t>
            </w:r>
          </w:p>
        </w:tc>
        <w:tc>
          <w:tcPr>
            <w:tcW w:w="12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1,913.3</w:t>
            </w:r>
          </w:p>
        </w:tc>
        <w:tc>
          <w:tcPr>
            <w:tcW w:w="12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84.9 %</w:t>
            </w:r>
          </w:p>
        </w:tc>
      </w:tr>
      <w:tr>
        <w:trPr>
          <w:trHeight w:val="210"/>
        </w:trPr>
        <w:tc>
          <w:tcPr>
            <w:tcW w:w="3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9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265.9</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13.2 %</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339.3</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15.1 %</w:t>
            </w:r>
          </w:p>
        </w:tc>
      </w:tr>
      <w:tr>
        <w:trPr>
          <w:trHeight w:val="215"/>
        </w:trPr>
        <w:tc>
          <w:tcPr>
            <w:tcW w:w="3620" w:type="dxa"/>
            <w:vAlign w:val="bottom"/>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212.1</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10.5 %</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204.4</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9.1 %</w:t>
            </w:r>
          </w:p>
        </w:tc>
      </w:tr>
      <w:tr>
        <w:trPr>
          <w:trHeight w:val="217"/>
        </w:trPr>
        <w:tc>
          <w:tcPr>
            <w:tcW w:w="3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w:t>
            </w:r>
          </w:p>
        </w:tc>
        <w:tc>
          <w:tcPr>
            <w:tcW w:w="96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16.7</w:t>
            </w:r>
          </w:p>
        </w:tc>
        <w:tc>
          <w:tcPr>
            <w:tcW w:w="10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0.8 %</w:t>
            </w:r>
          </w:p>
        </w:tc>
        <w:tc>
          <w:tcPr>
            <w:tcW w:w="12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16.9</w:t>
            </w:r>
          </w:p>
        </w:tc>
        <w:tc>
          <w:tcPr>
            <w:tcW w:w="12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0.7 %</w:t>
            </w:r>
          </w:p>
        </w:tc>
      </w:tr>
      <w:tr>
        <w:trPr>
          <w:trHeight w:val="209"/>
        </w:trPr>
        <w:tc>
          <w:tcPr>
            <w:tcW w:w="36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operating expenses</w:t>
            </w:r>
          </w:p>
        </w:tc>
        <w:tc>
          <w:tcPr>
            <w:tcW w:w="96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228.8</w:t>
            </w:r>
          </w:p>
        </w:tc>
        <w:tc>
          <w:tcPr>
            <w:tcW w:w="10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11.3 %</w:t>
            </w:r>
          </w:p>
        </w:tc>
        <w:tc>
          <w:tcPr>
            <w:tcW w:w="12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221.3</w:t>
            </w:r>
          </w:p>
        </w:tc>
        <w:tc>
          <w:tcPr>
            <w:tcW w:w="12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9.8 %</w:t>
            </w:r>
          </w:p>
        </w:tc>
      </w:tr>
      <w:tr>
        <w:trPr>
          <w:trHeight w:val="210"/>
        </w:trPr>
        <w:tc>
          <w:tcPr>
            <w:tcW w:w="3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income</w:t>
            </w:r>
          </w:p>
        </w:tc>
        <w:tc>
          <w:tcPr>
            <w:tcW w:w="9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37.1</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1.8 %</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118.0</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5.2 %</w:t>
            </w:r>
          </w:p>
        </w:tc>
      </w:tr>
      <w:tr>
        <w:trPr>
          <w:trHeight w:val="215"/>
        </w:trPr>
        <w:tc>
          <w:tcPr>
            <w:tcW w:w="3620" w:type="dxa"/>
            <w:vAlign w:val="bottom"/>
          </w:tcPr>
          <w:p>
            <w:pPr>
              <w:ind w:left="20"/>
              <w:spacing w:after="0"/>
              <w:rPr>
                <w:sz w:val="20"/>
                <w:szCs w:val="20"/>
                <w:color w:val="auto"/>
              </w:rPr>
            </w:pPr>
            <w:r>
              <w:rPr>
                <w:rFonts w:ascii="Arial" w:cs="Arial" w:eastAsia="Arial" w:hAnsi="Arial"/>
                <w:sz w:val="16"/>
                <w:szCs w:val="16"/>
                <w:color w:val="auto"/>
              </w:rPr>
              <w:t>Interest expense, net</w:t>
            </w:r>
          </w:p>
        </w:tc>
        <w:tc>
          <w:tcPr>
            <w:tcW w:w="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19.3</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1.0 %</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15.2</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0.7 %</w:t>
            </w:r>
          </w:p>
        </w:tc>
      </w:tr>
      <w:tr>
        <w:trPr>
          <w:trHeight w:val="217"/>
        </w:trPr>
        <w:tc>
          <w:tcPr>
            <w:tcW w:w="3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on note repurchase</w:t>
            </w:r>
          </w:p>
        </w:tc>
        <w:tc>
          <w:tcPr>
            <w:tcW w:w="9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0.1 %</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32.7</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1.5 %</w:t>
            </w:r>
          </w:p>
        </w:tc>
      </w:tr>
      <w:tr>
        <w:trPr>
          <w:trHeight w:val="215"/>
        </w:trPr>
        <w:tc>
          <w:tcPr>
            <w:tcW w:w="36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Non-operating (income) loss</w:t>
            </w:r>
          </w:p>
        </w:tc>
        <w:tc>
          <w:tcPr>
            <w:tcW w:w="96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w:t>
            </w:r>
          </w:p>
        </w:tc>
        <w:tc>
          <w:tcPr>
            <w:tcW w:w="12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0.3 %</w:t>
            </w:r>
          </w:p>
        </w:tc>
      </w:tr>
      <w:tr>
        <w:trPr>
          <w:trHeight w:val="210"/>
        </w:trPr>
        <w:tc>
          <w:tcPr>
            <w:tcW w:w="3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before income taxes</w:t>
            </w:r>
          </w:p>
        </w:tc>
        <w:tc>
          <w:tcPr>
            <w:tcW w:w="9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0.8 %</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64.3</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2.9 %</w:t>
            </w:r>
          </w:p>
        </w:tc>
      </w:tr>
      <w:tr>
        <w:trPr>
          <w:trHeight w:val="215"/>
        </w:trPr>
        <w:tc>
          <w:tcPr>
            <w:tcW w:w="36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Income tax provision</w:t>
            </w:r>
          </w:p>
        </w:tc>
        <w:tc>
          <w:tcPr>
            <w:tcW w:w="96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w:t>
            </w:r>
          </w:p>
        </w:tc>
        <w:tc>
          <w:tcPr>
            <w:tcW w:w="10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0.2 %</w:t>
            </w:r>
          </w:p>
        </w:tc>
        <w:tc>
          <w:tcPr>
            <w:tcW w:w="12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22.2</w:t>
            </w:r>
          </w:p>
        </w:tc>
        <w:tc>
          <w:tcPr>
            <w:tcW w:w="12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1.0 %</w:t>
            </w:r>
          </w:p>
        </w:tc>
      </w:tr>
      <w:tr>
        <w:trPr>
          <w:trHeight w:val="235"/>
        </w:trPr>
        <w:tc>
          <w:tcPr>
            <w:tcW w:w="3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96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w:t>
            </w: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0.6 %</w:t>
            </w: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ind w:right="63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42.1</w:t>
            </w:r>
          </w:p>
        </w:tc>
        <w:tc>
          <w:tcPr>
            <w:tcW w:w="1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1.9 %</w:t>
            </w: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36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16"/>
        </w:trPr>
        <w:tc>
          <w:tcPr>
            <w:tcW w:w="3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Earnings per common share:</w:t>
            </w:r>
          </w:p>
        </w:tc>
        <w:tc>
          <w:tcPr>
            <w:tcW w:w="9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5"/>
        </w:trPr>
        <w:tc>
          <w:tcPr>
            <w:tcW w:w="3620" w:type="dxa"/>
            <w:vAlign w:val="bottom"/>
          </w:tcPr>
          <w:p>
            <w:pPr>
              <w:ind w:left="180"/>
              <w:spacing w:after="0"/>
              <w:rPr>
                <w:sz w:val="20"/>
                <w:szCs w:val="20"/>
                <w:color w:val="auto"/>
              </w:rPr>
            </w:pPr>
            <w:r>
              <w:rPr>
                <w:rFonts w:ascii="Arial" w:cs="Arial" w:eastAsia="Arial" w:hAnsi="Arial"/>
                <w:sz w:val="16"/>
                <w:szCs w:val="16"/>
                <w:color w:val="auto"/>
              </w:rPr>
              <w:t>Basic</w:t>
            </w:r>
          </w:p>
        </w:tc>
        <w:tc>
          <w:tcPr>
            <w:tcW w:w="1460" w:type="dxa"/>
            <w:vAlign w:val="bottom"/>
            <w:gridSpan w:val="2"/>
          </w:tcPr>
          <w:p>
            <w:pPr>
              <w:ind w:left="98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0.43</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ind w:right="639"/>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1.43</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7"/>
        </w:trPr>
        <w:tc>
          <w:tcPr>
            <w:tcW w:w="36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Diluted</w:t>
            </w:r>
          </w:p>
        </w:tc>
        <w:tc>
          <w:tcPr>
            <w:tcW w:w="1460" w:type="dxa"/>
            <w:vAlign w:val="bottom"/>
            <w:gridSpan w:val="2"/>
            <w:shd w:val="clear" w:color="auto" w:fill="CCEEFF"/>
          </w:tcPr>
          <w:p>
            <w:pPr>
              <w:ind w:left="98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0.42</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639"/>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5"/>
        </w:trPr>
        <w:tc>
          <w:tcPr>
            <w:tcW w:w="3620" w:type="dxa"/>
            <w:vAlign w:val="bottom"/>
          </w:tcPr>
          <w:p>
            <w:pPr>
              <w:ind w:left="20"/>
              <w:spacing w:after="0"/>
              <w:rPr>
                <w:sz w:val="20"/>
                <w:szCs w:val="20"/>
                <w:color w:val="auto"/>
              </w:rPr>
            </w:pPr>
            <w:r>
              <w:rPr>
                <w:rFonts w:ascii="Arial" w:cs="Arial" w:eastAsia="Arial" w:hAnsi="Arial"/>
                <w:sz w:val="16"/>
                <w:szCs w:val="16"/>
                <w:color w:val="auto"/>
              </w:rPr>
              <w:t>Weighted average common shares outstanding:</w:t>
            </w:r>
          </w:p>
        </w:tc>
        <w:tc>
          <w:tcPr>
            <w:tcW w:w="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7"/>
        </w:trPr>
        <w:tc>
          <w:tcPr>
            <w:tcW w:w="36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Basic</w:t>
            </w:r>
          </w:p>
        </w:tc>
        <w:tc>
          <w:tcPr>
            <w:tcW w:w="9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28.3</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29.3</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5"/>
        </w:trPr>
        <w:tc>
          <w:tcPr>
            <w:tcW w:w="3620" w:type="dxa"/>
            <w:vAlign w:val="bottom"/>
          </w:tcPr>
          <w:p>
            <w:pPr>
              <w:ind w:left="180"/>
              <w:spacing w:after="0"/>
              <w:rPr>
                <w:sz w:val="20"/>
                <w:szCs w:val="20"/>
                <w:color w:val="auto"/>
              </w:rPr>
            </w:pPr>
            <w:r>
              <w:rPr>
                <w:rFonts w:ascii="Arial" w:cs="Arial" w:eastAsia="Arial" w:hAnsi="Arial"/>
                <w:sz w:val="16"/>
                <w:szCs w:val="16"/>
                <w:color w:val="auto"/>
              </w:rPr>
              <w:t>Diluted</w:t>
            </w:r>
          </w:p>
        </w:tc>
        <w:tc>
          <w:tcPr>
            <w:tcW w:w="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28.4</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30.6</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80" w:type="dxa"/>
            <w:vAlign w:val="bottom"/>
          </w:tcPr>
          <w:p>
            <w:pPr>
              <w:spacing w:after="0"/>
              <w:rPr>
                <w:sz w:val="18"/>
                <w:szCs w:val="18"/>
                <w:color w:val="auto"/>
              </w:rPr>
            </w:pPr>
          </w:p>
        </w:tc>
      </w:tr>
    </w:tbl>
    <w:p>
      <w:pPr>
        <w:spacing w:after="0" w:line="87" w:lineRule="exact"/>
        <w:rPr>
          <w:sz w:val="20"/>
          <w:szCs w:val="20"/>
          <w:color w:val="auto"/>
        </w:rPr>
      </w:pPr>
    </w:p>
    <w:p>
      <w:pPr>
        <w:spacing w:after="0"/>
        <w:rPr>
          <w:sz w:val="20"/>
          <w:szCs w:val="20"/>
          <w:color w:val="auto"/>
        </w:rPr>
      </w:pPr>
      <w:r>
        <w:rPr>
          <w:rFonts w:ascii="Arial" w:cs="Arial" w:eastAsia="Arial" w:hAnsi="Arial"/>
          <w:sz w:val="14"/>
          <w:szCs w:val="14"/>
          <w:color w:val="auto"/>
        </w:rPr>
        <w:t>Amounts in tables are calculated based on unrounded numbers and therefore may not recalculate using the rounded numbers provided.</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auto"/>
        </w:rPr>
        <w:t>In addition, percentages may not add in total due to rounding.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180"/>
          </w:cols>
          <w:pgMar w:left="320" w:top="895" w:right="39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89"/>
        </w:trPr>
        <w:tc>
          <w:tcPr>
            <w:tcW w:w="3660" w:type="dxa"/>
            <w:vAlign w:val="bottom"/>
          </w:tcPr>
          <w:p>
            <w:pPr>
              <w:spacing w:after="0"/>
              <w:rPr>
                <w:sz w:val="16"/>
                <w:szCs w:val="16"/>
                <w:color w:val="auto"/>
              </w:rPr>
            </w:pPr>
          </w:p>
        </w:tc>
        <w:tc>
          <w:tcPr>
            <w:tcW w:w="3960" w:type="dxa"/>
            <w:vAlign w:val="bottom"/>
            <w:gridSpan w:val="2"/>
          </w:tcPr>
          <w:p>
            <w:pPr>
              <w:jc w:val="center"/>
              <w:spacing w:after="0"/>
              <w:rPr>
                <w:sz w:val="20"/>
                <w:szCs w:val="20"/>
                <w:color w:val="auto"/>
              </w:rPr>
            </w:pPr>
            <w:r>
              <w:rPr>
                <w:rFonts w:ascii="Arial" w:cs="Arial" w:eastAsia="Arial" w:hAnsi="Arial"/>
                <w:sz w:val="16"/>
                <w:szCs w:val="16"/>
                <w:b w:val="1"/>
                <w:bCs w:val="1"/>
                <w:color w:val="auto"/>
              </w:rPr>
              <w:t>Winnebago Industries, Inc.</w:t>
            </w:r>
          </w:p>
        </w:tc>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60" w:type="dxa"/>
            <w:vAlign w:val="bottom"/>
          </w:tcPr>
          <w:p>
            <w:pPr>
              <w:spacing w:after="0"/>
              <w:rPr>
                <w:sz w:val="16"/>
                <w:szCs w:val="16"/>
                <w:color w:val="auto"/>
              </w:rPr>
            </w:pPr>
          </w:p>
        </w:tc>
      </w:tr>
      <w:tr>
        <w:trPr>
          <w:trHeight w:val="203"/>
        </w:trPr>
        <w:tc>
          <w:tcPr>
            <w:tcW w:w="3660" w:type="dxa"/>
            <w:vAlign w:val="bottom"/>
          </w:tcPr>
          <w:p>
            <w:pPr>
              <w:spacing w:after="0"/>
              <w:rPr>
                <w:sz w:val="17"/>
                <w:szCs w:val="17"/>
                <w:color w:val="auto"/>
              </w:rPr>
            </w:pPr>
          </w:p>
        </w:tc>
        <w:tc>
          <w:tcPr>
            <w:tcW w:w="3960" w:type="dxa"/>
            <w:vAlign w:val="bottom"/>
            <w:gridSpan w:val="2"/>
          </w:tcPr>
          <w:p>
            <w:pPr>
              <w:jc w:val="center"/>
              <w:spacing w:after="0"/>
              <w:rPr>
                <w:sz w:val="20"/>
                <w:szCs w:val="20"/>
                <w:color w:val="auto"/>
              </w:rPr>
            </w:pPr>
            <w:r>
              <w:rPr>
                <w:rFonts w:ascii="Arial" w:cs="Arial" w:eastAsia="Arial" w:hAnsi="Arial"/>
                <w:sz w:val="16"/>
                <w:szCs w:val="16"/>
                <w:b w:val="1"/>
                <w:bCs w:val="1"/>
                <w:color w:val="auto"/>
              </w:rPr>
              <w:t>Condensed Consolidated Balance Sheets</w:t>
            </w: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223"/>
        </w:trPr>
        <w:tc>
          <w:tcPr>
            <w:tcW w:w="3660" w:type="dxa"/>
            <w:vAlign w:val="bottom"/>
          </w:tcPr>
          <w:p>
            <w:pPr>
              <w:spacing w:after="0"/>
              <w:rPr>
                <w:sz w:val="19"/>
                <w:szCs w:val="19"/>
                <w:color w:val="auto"/>
              </w:rPr>
            </w:pPr>
          </w:p>
        </w:tc>
        <w:tc>
          <w:tcPr>
            <w:tcW w:w="3960" w:type="dxa"/>
            <w:vAlign w:val="bottom"/>
            <w:gridSpan w:val="2"/>
          </w:tcPr>
          <w:p>
            <w:pPr>
              <w:jc w:val="center"/>
              <w:spacing w:after="0"/>
              <w:rPr>
                <w:sz w:val="20"/>
                <w:szCs w:val="20"/>
                <w:color w:val="auto"/>
              </w:rPr>
            </w:pPr>
            <w:r>
              <w:rPr>
                <w:rFonts w:ascii="Arial" w:cs="Arial" w:eastAsia="Arial" w:hAnsi="Arial"/>
                <w:sz w:val="16"/>
                <w:szCs w:val="16"/>
                <w:b w:val="1"/>
                <w:bCs w:val="1"/>
                <w:color w:val="auto"/>
              </w:rPr>
              <w:t>(Unaudited and subject to reclassification)</w:t>
            </w: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23"/>
        </w:trPr>
        <w:tc>
          <w:tcPr>
            <w:tcW w:w="3660" w:type="dxa"/>
            <w:vAlign w:val="bottom"/>
          </w:tcPr>
          <w:p>
            <w:pPr>
              <w:ind w:left="20"/>
              <w:spacing w:after="0"/>
              <w:rPr>
                <w:sz w:val="20"/>
                <w:szCs w:val="20"/>
                <w:color w:val="auto"/>
              </w:rPr>
            </w:pPr>
            <w:r>
              <w:rPr>
                <w:rFonts w:ascii="Arial" w:cs="Arial" w:eastAsia="Arial" w:hAnsi="Arial"/>
                <w:sz w:val="16"/>
                <w:szCs w:val="16"/>
                <w:color w:val="auto"/>
              </w:rPr>
              <w:t>(in millions)</w:t>
            </w:r>
          </w:p>
        </w:tc>
        <w:tc>
          <w:tcPr>
            <w:tcW w:w="3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40" w:type="dxa"/>
            <w:vAlign w:val="bottom"/>
            <w:gridSpan w:val="2"/>
          </w:tcPr>
          <w:p>
            <w:pPr>
              <w:ind w:left="180"/>
              <w:spacing w:after="0"/>
              <w:rPr>
                <w:sz w:val="20"/>
                <w:szCs w:val="20"/>
                <w:color w:val="auto"/>
              </w:rPr>
            </w:pPr>
            <w:r>
              <w:rPr>
                <w:rFonts w:ascii="Arial" w:cs="Arial" w:eastAsia="Arial" w:hAnsi="Arial"/>
                <w:sz w:val="16"/>
                <w:szCs w:val="16"/>
                <w:b w:val="1"/>
                <w:bCs w:val="1"/>
                <w:color w:val="auto"/>
              </w:rPr>
              <w:t>May 31, 2025</w:t>
            </w:r>
          </w:p>
        </w:tc>
        <w:tc>
          <w:tcPr>
            <w:tcW w:w="220" w:type="dxa"/>
            <w:vAlign w:val="bottom"/>
          </w:tcPr>
          <w:p>
            <w:pPr>
              <w:spacing w:after="0"/>
              <w:rPr>
                <w:sz w:val="19"/>
                <w:szCs w:val="19"/>
                <w:color w:val="auto"/>
              </w:rPr>
            </w:pPr>
          </w:p>
        </w:tc>
        <w:tc>
          <w:tcPr>
            <w:tcW w:w="1660" w:type="dxa"/>
            <w:vAlign w:val="bottom"/>
          </w:tcPr>
          <w:p>
            <w:pPr>
              <w:jc w:val="right"/>
              <w:ind w:right="239"/>
              <w:spacing w:after="0"/>
              <w:rPr>
                <w:sz w:val="20"/>
                <w:szCs w:val="20"/>
                <w:color w:val="auto"/>
              </w:rPr>
            </w:pPr>
            <w:r>
              <w:rPr>
                <w:rFonts w:ascii="Arial" w:cs="Arial" w:eastAsia="Arial" w:hAnsi="Arial"/>
                <w:sz w:val="16"/>
                <w:szCs w:val="16"/>
                <w:b w:val="1"/>
                <w:bCs w:val="1"/>
                <w:color w:val="auto"/>
              </w:rPr>
              <w:t>August 31, 2024</w:t>
            </w:r>
          </w:p>
        </w:tc>
      </w:tr>
      <w:tr>
        <w:trPr>
          <w:trHeight w:val="209"/>
        </w:trPr>
        <w:tc>
          <w:tcPr>
            <w:tcW w:w="36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36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spacing w:after="0"/>
              <w:rPr>
                <w:sz w:val="18"/>
                <w:szCs w:val="18"/>
                <w:color w:val="auto"/>
              </w:rPr>
            </w:pPr>
          </w:p>
        </w:tc>
      </w:tr>
      <w:tr>
        <w:trPr>
          <w:trHeight w:val="215"/>
        </w:trPr>
        <w:tc>
          <w:tcPr>
            <w:tcW w:w="3660" w:type="dxa"/>
            <w:vAlign w:val="bottom"/>
          </w:tcPr>
          <w:p>
            <w:pPr>
              <w:ind w:left="140"/>
              <w:spacing w:after="0"/>
              <w:rPr>
                <w:sz w:val="20"/>
                <w:szCs w:val="20"/>
                <w:color w:val="auto"/>
              </w:rPr>
            </w:pPr>
            <w:r>
              <w:rPr>
                <w:rFonts w:ascii="Arial" w:cs="Arial" w:eastAsia="Arial" w:hAnsi="Arial"/>
                <w:sz w:val="16"/>
                <w:szCs w:val="16"/>
                <w:color w:val="auto"/>
              </w:rPr>
              <w:t>Current assets</w:t>
            </w:r>
          </w:p>
        </w:tc>
        <w:tc>
          <w:tcPr>
            <w:tcW w:w="3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17"/>
        </w:trPr>
        <w:tc>
          <w:tcPr>
            <w:tcW w:w="36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Cash and cash equivalents</w:t>
            </w:r>
          </w:p>
        </w:tc>
        <w:tc>
          <w:tcPr>
            <w:tcW w:w="3960" w:type="dxa"/>
            <w:vAlign w:val="bottom"/>
            <w:gridSpan w:val="2"/>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330.9</w:t>
            </w:r>
          </w:p>
        </w:tc>
      </w:tr>
      <w:tr>
        <w:trPr>
          <w:trHeight w:val="215"/>
        </w:trPr>
        <w:tc>
          <w:tcPr>
            <w:tcW w:w="3660" w:type="dxa"/>
            <w:vAlign w:val="bottom"/>
          </w:tcPr>
          <w:p>
            <w:pPr>
              <w:ind w:left="260"/>
              <w:spacing w:after="0"/>
              <w:rPr>
                <w:sz w:val="20"/>
                <w:szCs w:val="20"/>
                <w:color w:val="auto"/>
              </w:rPr>
            </w:pPr>
            <w:r>
              <w:rPr>
                <w:rFonts w:ascii="Arial" w:cs="Arial" w:eastAsia="Arial" w:hAnsi="Arial"/>
                <w:sz w:val="16"/>
                <w:szCs w:val="16"/>
                <w:color w:val="auto"/>
              </w:rPr>
              <w:t>Receivables, net</w:t>
            </w:r>
          </w:p>
        </w:tc>
        <w:tc>
          <w:tcPr>
            <w:tcW w:w="3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242.9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183.5</w:t>
            </w:r>
          </w:p>
        </w:tc>
      </w:tr>
      <w:tr>
        <w:trPr>
          <w:trHeight w:val="217"/>
        </w:trPr>
        <w:tc>
          <w:tcPr>
            <w:tcW w:w="36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Inventories, net</w:t>
            </w:r>
          </w:p>
        </w:tc>
        <w:tc>
          <w:tcPr>
            <w:tcW w:w="3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477.8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438.7</w:t>
            </w:r>
          </w:p>
        </w:tc>
      </w:tr>
      <w:tr>
        <w:trPr>
          <w:trHeight w:val="215"/>
        </w:trPr>
        <w:tc>
          <w:tcPr>
            <w:tcW w:w="3660" w:type="dxa"/>
            <w:vAlign w:val="bottom"/>
            <w:tcBorders>
              <w:bottom w:val="single" w:sz="8" w:color="CCEEFF"/>
            </w:tcBorders>
          </w:tcPr>
          <w:p>
            <w:pPr>
              <w:ind w:left="260"/>
              <w:spacing w:after="0"/>
              <w:rPr>
                <w:sz w:val="20"/>
                <w:szCs w:val="20"/>
                <w:color w:val="auto"/>
              </w:rPr>
            </w:pPr>
            <w:r>
              <w:rPr>
                <w:rFonts w:ascii="Arial" w:cs="Arial" w:eastAsia="Arial" w:hAnsi="Arial"/>
                <w:sz w:val="16"/>
                <w:szCs w:val="16"/>
                <w:color w:val="auto"/>
              </w:rPr>
              <w:t>Prepaid expenses and other current assets</w:t>
            </w:r>
          </w:p>
        </w:tc>
        <w:tc>
          <w:tcPr>
            <w:tcW w:w="36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28.1</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35.6</w:t>
            </w:r>
          </w:p>
        </w:tc>
      </w:tr>
      <w:tr>
        <w:trPr>
          <w:trHeight w:val="210"/>
        </w:trPr>
        <w:tc>
          <w:tcPr>
            <w:tcW w:w="36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Total current assets</w:t>
            </w:r>
          </w:p>
        </w:tc>
        <w:tc>
          <w:tcPr>
            <w:tcW w:w="36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759.3</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988.7</w:t>
            </w:r>
          </w:p>
        </w:tc>
      </w:tr>
      <w:tr>
        <w:trPr>
          <w:trHeight w:val="209"/>
        </w:trPr>
        <w:tc>
          <w:tcPr>
            <w:tcW w:w="3660" w:type="dxa"/>
            <w:vAlign w:val="bottom"/>
          </w:tcPr>
          <w:p>
            <w:pPr>
              <w:ind w:left="140"/>
              <w:spacing w:after="0"/>
              <w:rPr>
                <w:sz w:val="20"/>
                <w:szCs w:val="20"/>
                <w:color w:val="auto"/>
              </w:rPr>
            </w:pPr>
            <w:r>
              <w:rPr>
                <w:rFonts w:ascii="Arial" w:cs="Arial" w:eastAsia="Arial" w:hAnsi="Arial"/>
                <w:sz w:val="16"/>
                <w:szCs w:val="16"/>
                <w:color w:val="auto"/>
              </w:rPr>
              <w:t>Property, plant, and equipment, net</w:t>
            </w:r>
          </w:p>
        </w:tc>
        <w:tc>
          <w:tcPr>
            <w:tcW w:w="3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336.2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338.9</w:t>
            </w:r>
          </w:p>
        </w:tc>
      </w:tr>
      <w:tr>
        <w:trPr>
          <w:trHeight w:val="217"/>
        </w:trPr>
        <w:tc>
          <w:tcPr>
            <w:tcW w:w="36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Goodwill</w:t>
            </w:r>
          </w:p>
        </w:tc>
        <w:tc>
          <w:tcPr>
            <w:tcW w:w="3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484.2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484.2</w:t>
            </w:r>
          </w:p>
        </w:tc>
      </w:tr>
      <w:tr>
        <w:trPr>
          <w:trHeight w:val="215"/>
        </w:trPr>
        <w:tc>
          <w:tcPr>
            <w:tcW w:w="3660" w:type="dxa"/>
            <w:vAlign w:val="bottom"/>
          </w:tcPr>
          <w:p>
            <w:pPr>
              <w:ind w:left="140"/>
              <w:spacing w:after="0"/>
              <w:rPr>
                <w:sz w:val="20"/>
                <w:szCs w:val="20"/>
                <w:color w:val="auto"/>
              </w:rPr>
            </w:pPr>
            <w:r>
              <w:rPr>
                <w:rFonts w:ascii="Arial" w:cs="Arial" w:eastAsia="Arial" w:hAnsi="Arial"/>
                <w:sz w:val="16"/>
                <w:szCs w:val="16"/>
                <w:color w:val="auto"/>
              </w:rPr>
              <w:t>Other intangible assets, net</w:t>
            </w:r>
          </w:p>
        </w:tc>
        <w:tc>
          <w:tcPr>
            <w:tcW w:w="3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462.4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479.0</w:t>
            </w:r>
          </w:p>
        </w:tc>
      </w:tr>
      <w:tr>
        <w:trPr>
          <w:trHeight w:val="217"/>
        </w:trPr>
        <w:tc>
          <w:tcPr>
            <w:tcW w:w="36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Investment in life insurance</w:t>
            </w:r>
          </w:p>
        </w:tc>
        <w:tc>
          <w:tcPr>
            <w:tcW w:w="3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29.6</w:t>
            </w:r>
          </w:p>
        </w:tc>
      </w:tr>
      <w:tr>
        <w:trPr>
          <w:trHeight w:val="215"/>
        </w:trPr>
        <w:tc>
          <w:tcPr>
            <w:tcW w:w="3660" w:type="dxa"/>
            <w:vAlign w:val="bottom"/>
          </w:tcPr>
          <w:p>
            <w:pPr>
              <w:ind w:left="140"/>
              <w:spacing w:after="0"/>
              <w:rPr>
                <w:sz w:val="20"/>
                <w:szCs w:val="20"/>
                <w:color w:val="auto"/>
              </w:rPr>
            </w:pPr>
            <w:r>
              <w:rPr>
                <w:rFonts w:ascii="Arial" w:cs="Arial" w:eastAsia="Arial" w:hAnsi="Arial"/>
                <w:sz w:val="16"/>
                <w:szCs w:val="16"/>
                <w:color w:val="auto"/>
              </w:rPr>
              <w:t>Operating lease assets</w:t>
            </w:r>
          </w:p>
        </w:tc>
        <w:tc>
          <w:tcPr>
            <w:tcW w:w="3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43.1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46.6</w:t>
            </w:r>
          </w:p>
        </w:tc>
      </w:tr>
      <w:tr>
        <w:trPr>
          <w:trHeight w:val="217"/>
        </w:trPr>
        <w:tc>
          <w:tcPr>
            <w:tcW w:w="36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long-term assets</w:t>
            </w:r>
          </w:p>
        </w:tc>
        <w:tc>
          <w:tcPr>
            <w:tcW w:w="36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18.9</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17.2</w:t>
            </w:r>
          </w:p>
        </w:tc>
      </w:tr>
      <w:tr>
        <w:trPr>
          <w:trHeight w:val="209"/>
        </w:trPr>
        <w:tc>
          <w:tcPr>
            <w:tcW w:w="3660" w:type="dxa"/>
            <w:vAlign w:val="bottom"/>
          </w:tcPr>
          <w:p>
            <w:pPr>
              <w:ind w:left="140"/>
              <w:spacing w:after="0"/>
              <w:rPr>
                <w:sz w:val="20"/>
                <w:szCs w:val="20"/>
                <w:color w:val="auto"/>
              </w:rPr>
            </w:pPr>
            <w:r>
              <w:rPr>
                <w:rFonts w:ascii="Arial" w:cs="Arial" w:eastAsia="Arial" w:hAnsi="Arial"/>
                <w:sz w:val="16"/>
                <w:szCs w:val="16"/>
                <w:color w:val="auto"/>
              </w:rPr>
              <w:t>Total assets</w:t>
            </w:r>
          </w:p>
        </w:tc>
        <w:tc>
          <w:tcPr>
            <w:tcW w:w="368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2,132.7</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2,384.2</w:t>
            </w:r>
          </w:p>
        </w:tc>
      </w:tr>
      <w:tr>
        <w:trPr>
          <w:trHeight w:val="20"/>
        </w:trPr>
        <w:tc>
          <w:tcPr>
            <w:tcW w:w="3660" w:type="dxa"/>
            <w:vAlign w:val="bottom"/>
            <w:tcBorders>
              <w:bottom w:val="single" w:sz="8" w:color="CCEEFF"/>
            </w:tcBorders>
          </w:tcPr>
          <w:p>
            <w:pPr>
              <w:spacing w:after="0" w:line="20" w:lineRule="exact"/>
              <w:rPr>
                <w:sz w:val="1"/>
                <w:szCs w:val="1"/>
                <w:color w:val="auto"/>
              </w:rPr>
            </w:pPr>
          </w:p>
        </w:tc>
        <w:tc>
          <w:tcPr>
            <w:tcW w:w="36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r>
        <w:trPr>
          <w:trHeight w:val="223"/>
        </w:trPr>
        <w:tc>
          <w:tcPr>
            <w:tcW w:w="3660" w:type="dxa"/>
            <w:vAlign w:val="bottom"/>
            <w:shd w:val="clear" w:color="auto" w:fill="CCEEFF"/>
          </w:tcPr>
          <w:p>
            <w:pPr>
              <w:spacing w:after="0"/>
              <w:rPr>
                <w:sz w:val="19"/>
                <w:szCs w:val="19"/>
                <w:color w:val="auto"/>
              </w:rPr>
            </w:pPr>
          </w:p>
        </w:tc>
        <w:tc>
          <w:tcPr>
            <w:tcW w:w="36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r>
      <w:tr>
        <w:trPr>
          <w:trHeight w:val="216"/>
        </w:trPr>
        <w:tc>
          <w:tcPr>
            <w:tcW w:w="3660" w:type="dxa"/>
            <w:vAlign w:val="bottom"/>
          </w:tcPr>
          <w:p>
            <w:pPr>
              <w:ind w:left="20"/>
              <w:spacing w:after="0"/>
              <w:rPr>
                <w:sz w:val="20"/>
                <w:szCs w:val="20"/>
                <w:color w:val="auto"/>
              </w:rPr>
            </w:pPr>
            <w:r>
              <w:rPr>
                <w:rFonts w:ascii="Arial" w:cs="Arial" w:eastAsia="Arial" w:hAnsi="Arial"/>
                <w:sz w:val="16"/>
                <w:szCs w:val="16"/>
                <w:b w:val="1"/>
                <w:bCs w:val="1"/>
                <w:color w:val="auto"/>
              </w:rPr>
              <w:t>Liabilities and Shareholders' Equity</w:t>
            </w:r>
          </w:p>
        </w:tc>
        <w:tc>
          <w:tcPr>
            <w:tcW w:w="3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16"/>
        </w:trPr>
        <w:tc>
          <w:tcPr>
            <w:tcW w:w="36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Current liabilities</w:t>
            </w:r>
          </w:p>
        </w:tc>
        <w:tc>
          <w:tcPr>
            <w:tcW w:w="3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r>
      <w:tr>
        <w:trPr>
          <w:trHeight w:val="215"/>
        </w:trPr>
        <w:tc>
          <w:tcPr>
            <w:tcW w:w="3660" w:type="dxa"/>
            <w:vAlign w:val="bottom"/>
          </w:tcPr>
          <w:p>
            <w:pPr>
              <w:ind w:left="260"/>
              <w:spacing w:after="0"/>
              <w:rPr>
                <w:sz w:val="20"/>
                <w:szCs w:val="20"/>
                <w:color w:val="auto"/>
              </w:rPr>
            </w:pPr>
            <w:r>
              <w:rPr>
                <w:rFonts w:ascii="Arial" w:cs="Arial" w:eastAsia="Arial" w:hAnsi="Arial"/>
                <w:sz w:val="16"/>
                <w:szCs w:val="16"/>
                <w:color w:val="auto"/>
              </w:rPr>
              <w:t>Accounts payable</w:t>
            </w:r>
          </w:p>
        </w:tc>
        <w:tc>
          <w:tcPr>
            <w:tcW w:w="3960" w:type="dxa"/>
            <w:vAlign w:val="bottom"/>
            <w:gridSpan w:val="2"/>
          </w:tcPr>
          <w:p>
            <w:pPr>
              <w:jc w:val="right"/>
              <w:ind w:right="99"/>
              <w:spacing w:after="0"/>
              <w:rPr>
                <w:sz w:val="20"/>
                <w:szCs w:val="20"/>
                <w:color w:val="auto"/>
              </w:rPr>
            </w:pPr>
            <w:r>
              <w:rPr>
                <w:rFonts w:ascii="Arial" w:cs="Arial" w:eastAsia="Arial" w:hAnsi="Arial"/>
                <w:sz w:val="16"/>
                <w:szCs w:val="16"/>
                <w:color w:val="auto"/>
              </w:rPr>
              <w:t>$</w:t>
            </w:r>
          </w:p>
        </w:tc>
        <w:tc>
          <w:tcPr>
            <w:tcW w:w="1640" w:type="dxa"/>
            <w:vAlign w:val="bottom"/>
          </w:tcPr>
          <w:p>
            <w:pPr>
              <w:jc w:val="right"/>
              <w:spacing w:after="0"/>
              <w:rPr>
                <w:sz w:val="20"/>
                <w:szCs w:val="20"/>
                <w:color w:val="auto"/>
              </w:rPr>
            </w:pPr>
            <w:r>
              <w:rPr>
                <w:rFonts w:ascii="Arial" w:cs="Arial" w:eastAsia="Arial" w:hAnsi="Arial"/>
                <w:sz w:val="16"/>
                <w:szCs w:val="16"/>
                <w:color w:val="auto"/>
              </w:rPr>
              <w:t>128.6</w:t>
            </w:r>
          </w:p>
        </w:tc>
        <w:tc>
          <w:tcPr>
            <w:tcW w:w="100" w:type="dxa"/>
            <w:vAlign w:val="bottom"/>
          </w:tcPr>
          <w:p>
            <w:pPr>
              <w:spacing w:after="0"/>
              <w:rPr>
                <w:sz w:val="18"/>
                <w:szCs w:val="18"/>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660" w:type="dxa"/>
            <w:vAlign w:val="bottom"/>
          </w:tcPr>
          <w:p>
            <w:pPr>
              <w:jc w:val="right"/>
              <w:spacing w:after="0"/>
              <w:rPr>
                <w:sz w:val="20"/>
                <w:szCs w:val="20"/>
                <w:color w:val="auto"/>
              </w:rPr>
            </w:pPr>
            <w:r>
              <w:rPr>
                <w:rFonts w:ascii="Arial" w:cs="Arial" w:eastAsia="Arial" w:hAnsi="Arial"/>
                <w:sz w:val="16"/>
                <w:szCs w:val="16"/>
                <w:color w:val="auto"/>
              </w:rPr>
              <w:t>144.7</w:t>
            </w:r>
          </w:p>
        </w:tc>
      </w:tr>
      <w:tr>
        <w:trPr>
          <w:trHeight w:val="217"/>
        </w:trPr>
        <w:tc>
          <w:tcPr>
            <w:tcW w:w="36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Current maturities of long-term debt, net</w:t>
            </w:r>
          </w:p>
        </w:tc>
        <w:tc>
          <w:tcPr>
            <w:tcW w:w="3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59.1</w:t>
            </w:r>
          </w:p>
        </w:tc>
      </w:tr>
      <w:tr>
        <w:trPr>
          <w:trHeight w:val="215"/>
        </w:trPr>
        <w:tc>
          <w:tcPr>
            <w:tcW w:w="3660" w:type="dxa"/>
            <w:vAlign w:val="bottom"/>
            <w:tcBorders>
              <w:bottom w:val="single" w:sz="8" w:color="CCEEFF"/>
            </w:tcBorders>
          </w:tcPr>
          <w:p>
            <w:pPr>
              <w:ind w:left="260"/>
              <w:spacing w:after="0"/>
              <w:rPr>
                <w:sz w:val="20"/>
                <w:szCs w:val="20"/>
                <w:color w:val="auto"/>
              </w:rPr>
            </w:pPr>
            <w:r>
              <w:rPr>
                <w:rFonts w:ascii="Arial" w:cs="Arial" w:eastAsia="Arial" w:hAnsi="Arial"/>
                <w:sz w:val="16"/>
                <w:szCs w:val="16"/>
                <w:color w:val="auto"/>
              </w:rPr>
              <w:t>Accrued expenses</w:t>
            </w:r>
          </w:p>
        </w:tc>
        <w:tc>
          <w:tcPr>
            <w:tcW w:w="36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186.5</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200.9</w:t>
            </w:r>
          </w:p>
        </w:tc>
      </w:tr>
      <w:tr>
        <w:trPr>
          <w:trHeight w:val="210"/>
        </w:trPr>
        <w:tc>
          <w:tcPr>
            <w:tcW w:w="36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Total current liabilities</w:t>
            </w:r>
          </w:p>
        </w:tc>
        <w:tc>
          <w:tcPr>
            <w:tcW w:w="36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315.1</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404.7</w:t>
            </w:r>
          </w:p>
        </w:tc>
      </w:tr>
      <w:tr>
        <w:trPr>
          <w:trHeight w:val="209"/>
        </w:trPr>
        <w:tc>
          <w:tcPr>
            <w:tcW w:w="3660" w:type="dxa"/>
            <w:vAlign w:val="bottom"/>
          </w:tcPr>
          <w:p>
            <w:pPr>
              <w:ind w:left="140"/>
              <w:spacing w:after="0"/>
              <w:rPr>
                <w:sz w:val="20"/>
                <w:szCs w:val="20"/>
                <w:color w:val="auto"/>
              </w:rPr>
            </w:pPr>
            <w:r>
              <w:rPr>
                <w:rFonts w:ascii="Arial" w:cs="Arial" w:eastAsia="Arial" w:hAnsi="Arial"/>
                <w:sz w:val="16"/>
                <w:szCs w:val="16"/>
                <w:color w:val="auto"/>
              </w:rPr>
              <w:t>Long-term debt, net</w:t>
            </w:r>
          </w:p>
        </w:tc>
        <w:tc>
          <w:tcPr>
            <w:tcW w:w="3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539.9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637.1</w:t>
            </w:r>
          </w:p>
        </w:tc>
      </w:tr>
      <w:tr>
        <w:trPr>
          <w:trHeight w:val="217"/>
        </w:trPr>
        <w:tc>
          <w:tcPr>
            <w:tcW w:w="36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Deferred income tax liabilities, net</w:t>
            </w:r>
          </w:p>
        </w:tc>
        <w:tc>
          <w:tcPr>
            <w:tcW w:w="3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r>
      <w:tr>
        <w:trPr>
          <w:trHeight w:val="215"/>
        </w:trPr>
        <w:tc>
          <w:tcPr>
            <w:tcW w:w="3660" w:type="dxa"/>
            <w:vAlign w:val="bottom"/>
          </w:tcPr>
          <w:p>
            <w:pPr>
              <w:ind w:left="140"/>
              <w:spacing w:after="0"/>
              <w:rPr>
                <w:sz w:val="20"/>
                <w:szCs w:val="20"/>
                <w:color w:val="auto"/>
              </w:rPr>
            </w:pPr>
            <w:r>
              <w:rPr>
                <w:rFonts w:ascii="Arial" w:cs="Arial" w:eastAsia="Arial" w:hAnsi="Arial"/>
                <w:sz w:val="16"/>
                <w:szCs w:val="16"/>
                <w:color w:val="auto"/>
              </w:rPr>
              <w:t>Unrecognized tax benefits</w:t>
            </w:r>
          </w:p>
        </w:tc>
        <w:tc>
          <w:tcPr>
            <w:tcW w:w="3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5.9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5.4</w:t>
            </w:r>
          </w:p>
        </w:tc>
      </w:tr>
      <w:tr>
        <w:trPr>
          <w:trHeight w:val="217"/>
        </w:trPr>
        <w:tc>
          <w:tcPr>
            <w:tcW w:w="36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Long-term operating lease liabilities</w:t>
            </w:r>
          </w:p>
        </w:tc>
        <w:tc>
          <w:tcPr>
            <w:tcW w:w="3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45.6</w:t>
            </w:r>
          </w:p>
        </w:tc>
      </w:tr>
      <w:tr>
        <w:trPr>
          <w:trHeight w:val="215"/>
        </w:trPr>
        <w:tc>
          <w:tcPr>
            <w:tcW w:w="36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long-term liabilities</w:t>
            </w:r>
          </w:p>
        </w:tc>
        <w:tc>
          <w:tcPr>
            <w:tcW w:w="36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w:t>
            </w:r>
          </w:p>
        </w:tc>
      </w:tr>
      <w:tr>
        <w:trPr>
          <w:trHeight w:val="210"/>
        </w:trPr>
        <w:tc>
          <w:tcPr>
            <w:tcW w:w="36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Total liabilities</w:t>
            </w:r>
          </w:p>
        </w:tc>
        <w:tc>
          <w:tcPr>
            <w:tcW w:w="3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916.8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1,110.9</w:t>
            </w:r>
          </w:p>
        </w:tc>
      </w:tr>
      <w:tr>
        <w:trPr>
          <w:trHeight w:val="215"/>
        </w:trPr>
        <w:tc>
          <w:tcPr>
            <w:tcW w:w="36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Shareholders' equity</w:t>
            </w:r>
          </w:p>
        </w:tc>
        <w:tc>
          <w:tcPr>
            <w:tcW w:w="36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1,215.9</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1,273.3</w:t>
            </w:r>
          </w:p>
        </w:tc>
      </w:tr>
      <w:tr>
        <w:trPr>
          <w:trHeight w:val="235"/>
        </w:trPr>
        <w:tc>
          <w:tcPr>
            <w:tcW w:w="36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 liabilities and shareholders' equity</w:t>
            </w:r>
          </w:p>
        </w:tc>
        <w:tc>
          <w:tcPr>
            <w:tcW w:w="36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2,132.7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2,384.2</w:t>
            </w: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36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240"/>
          </w:cols>
          <w:pgMar w:left="320" w:top="895"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89"/>
        </w:trPr>
        <w:tc>
          <w:tcPr>
            <w:tcW w:w="7280" w:type="dxa"/>
            <w:vAlign w:val="bottom"/>
          </w:tcPr>
          <w:p>
            <w:pPr>
              <w:jc w:val="center"/>
              <w:ind w:left="3827"/>
              <w:spacing w:after="0"/>
              <w:rPr>
                <w:sz w:val="20"/>
                <w:szCs w:val="20"/>
                <w:color w:val="auto"/>
              </w:rPr>
            </w:pPr>
            <w:r>
              <w:rPr>
                <w:rFonts w:ascii="Arial" w:cs="Arial" w:eastAsia="Arial" w:hAnsi="Arial"/>
                <w:sz w:val="16"/>
                <w:szCs w:val="16"/>
                <w:b w:val="1"/>
                <w:bCs w:val="1"/>
                <w:color w:val="auto"/>
              </w:rPr>
              <w:t>Winnebago Industries, Inc.</w:t>
            </w:r>
          </w:p>
        </w:tc>
        <w:tc>
          <w:tcPr>
            <w:tcW w:w="3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20" w:type="dxa"/>
            <w:vAlign w:val="bottom"/>
          </w:tcPr>
          <w:p>
            <w:pPr>
              <w:spacing w:after="0"/>
              <w:rPr>
                <w:sz w:val="16"/>
                <w:szCs w:val="16"/>
                <w:color w:val="auto"/>
              </w:rPr>
            </w:pPr>
          </w:p>
        </w:tc>
      </w:tr>
      <w:tr>
        <w:trPr>
          <w:trHeight w:val="203"/>
        </w:trPr>
        <w:tc>
          <w:tcPr>
            <w:tcW w:w="7660" w:type="dxa"/>
            <w:vAlign w:val="bottom"/>
            <w:gridSpan w:val="2"/>
          </w:tcPr>
          <w:p>
            <w:pPr>
              <w:jc w:val="center"/>
              <w:ind w:left="3447"/>
              <w:spacing w:after="0"/>
              <w:rPr>
                <w:sz w:val="20"/>
                <w:szCs w:val="20"/>
                <w:color w:val="auto"/>
              </w:rPr>
            </w:pPr>
            <w:r>
              <w:rPr>
                <w:rFonts w:ascii="Arial" w:cs="Arial" w:eastAsia="Arial" w:hAnsi="Arial"/>
                <w:sz w:val="16"/>
                <w:szCs w:val="16"/>
                <w:b w:val="1"/>
                <w:bCs w:val="1"/>
                <w:color w:val="auto"/>
              </w:rPr>
              <w:t>Condensed Consolidated Statements of Cash Flows</w:t>
            </w: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23"/>
        </w:trPr>
        <w:tc>
          <w:tcPr>
            <w:tcW w:w="7280" w:type="dxa"/>
            <w:vAlign w:val="bottom"/>
          </w:tcPr>
          <w:p>
            <w:pPr>
              <w:jc w:val="center"/>
              <w:ind w:left="3827"/>
              <w:spacing w:after="0"/>
              <w:rPr>
                <w:sz w:val="20"/>
                <w:szCs w:val="20"/>
                <w:color w:val="auto"/>
              </w:rPr>
            </w:pPr>
            <w:r>
              <w:rPr>
                <w:rFonts w:ascii="Arial" w:cs="Arial" w:eastAsia="Arial" w:hAnsi="Arial"/>
                <w:sz w:val="16"/>
                <w:szCs w:val="16"/>
                <w:b w:val="1"/>
                <w:bCs w:val="1"/>
                <w:color w:val="auto"/>
              </w:rPr>
              <w:t>(Unaudited and subject to reclassification)</w:t>
            </w:r>
          </w:p>
        </w:tc>
        <w:tc>
          <w:tcPr>
            <w:tcW w:w="3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20" w:type="dxa"/>
            <w:vAlign w:val="bottom"/>
          </w:tcPr>
          <w:p>
            <w:pPr>
              <w:spacing w:after="0"/>
              <w:rPr>
                <w:sz w:val="19"/>
                <w:szCs w:val="19"/>
                <w:color w:val="auto"/>
              </w:rPr>
            </w:pPr>
          </w:p>
        </w:tc>
      </w:tr>
      <w:tr>
        <w:trPr>
          <w:trHeight w:val="223"/>
        </w:trPr>
        <w:tc>
          <w:tcPr>
            <w:tcW w:w="72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3520" w:type="dxa"/>
            <w:vAlign w:val="bottom"/>
            <w:tcBorders>
              <w:bottom w:val="single" w:sz="8" w:color="auto"/>
            </w:tcBorders>
            <w:gridSpan w:val="4"/>
          </w:tcPr>
          <w:p>
            <w:pPr>
              <w:jc w:val="right"/>
              <w:ind w:right="1128"/>
              <w:spacing w:after="0"/>
              <w:rPr>
                <w:sz w:val="20"/>
                <w:szCs w:val="20"/>
                <w:color w:val="auto"/>
              </w:rPr>
            </w:pPr>
            <w:r>
              <w:rPr>
                <w:rFonts w:ascii="Arial" w:cs="Arial" w:eastAsia="Arial" w:hAnsi="Arial"/>
                <w:sz w:val="16"/>
                <w:szCs w:val="16"/>
                <w:b w:val="1"/>
                <w:bCs w:val="1"/>
                <w:color w:val="auto"/>
              </w:rPr>
              <w:t>Nine Months Ended</w:t>
            </w:r>
          </w:p>
        </w:tc>
      </w:tr>
      <w:tr>
        <w:trPr>
          <w:trHeight w:val="210"/>
        </w:trPr>
        <w:tc>
          <w:tcPr>
            <w:tcW w:w="7280" w:type="dxa"/>
            <w:vAlign w:val="bottom"/>
          </w:tcPr>
          <w:p>
            <w:pPr>
              <w:spacing w:after="0"/>
              <w:rPr>
                <w:sz w:val="20"/>
                <w:szCs w:val="20"/>
                <w:color w:val="auto"/>
              </w:rPr>
            </w:pPr>
            <w:r>
              <w:rPr>
                <w:rFonts w:ascii="Arial" w:cs="Arial" w:eastAsia="Arial" w:hAnsi="Arial"/>
                <w:sz w:val="16"/>
                <w:szCs w:val="16"/>
                <w:color w:val="auto"/>
              </w:rPr>
              <w:t>(in millions)</w:t>
            </w:r>
          </w:p>
        </w:tc>
        <w:tc>
          <w:tcPr>
            <w:tcW w:w="380" w:type="dxa"/>
            <w:vAlign w:val="bottom"/>
          </w:tcPr>
          <w:p>
            <w:pPr>
              <w:spacing w:after="0"/>
              <w:rPr>
                <w:sz w:val="18"/>
                <w:szCs w:val="18"/>
                <w:color w:val="auto"/>
              </w:rPr>
            </w:pPr>
          </w:p>
        </w:tc>
        <w:tc>
          <w:tcPr>
            <w:tcW w:w="1620" w:type="dxa"/>
            <w:vAlign w:val="bottom"/>
            <w:gridSpan w:val="2"/>
          </w:tcPr>
          <w:p>
            <w:pPr>
              <w:ind w:left="60"/>
              <w:spacing w:after="0"/>
              <w:rPr>
                <w:sz w:val="20"/>
                <w:szCs w:val="20"/>
                <w:color w:val="auto"/>
              </w:rPr>
            </w:pPr>
            <w:r>
              <w:rPr>
                <w:rFonts w:ascii="Arial" w:cs="Arial" w:eastAsia="Arial" w:hAnsi="Arial"/>
                <w:sz w:val="16"/>
                <w:szCs w:val="16"/>
                <w:b w:val="1"/>
                <w:bCs w:val="1"/>
                <w:color w:val="auto"/>
              </w:rPr>
              <w:t>May 31, 2025</w:t>
            </w:r>
          </w:p>
        </w:tc>
        <w:tc>
          <w:tcPr>
            <w:tcW w:w="280" w:type="dxa"/>
            <w:vAlign w:val="bottom"/>
          </w:tcPr>
          <w:p>
            <w:pPr>
              <w:spacing w:after="0"/>
              <w:rPr>
                <w:sz w:val="18"/>
                <w:szCs w:val="18"/>
                <w:color w:val="auto"/>
              </w:rPr>
            </w:pPr>
          </w:p>
        </w:tc>
        <w:tc>
          <w:tcPr>
            <w:tcW w:w="1620" w:type="dxa"/>
            <w:vAlign w:val="bottom"/>
          </w:tcPr>
          <w:p>
            <w:pPr>
              <w:jc w:val="right"/>
              <w:ind w:right="388"/>
              <w:spacing w:after="0"/>
              <w:rPr>
                <w:sz w:val="20"/>
                <w:szCs w:val="20"/>
                <w:color w:val="auto"/>
              </w:rPr>
            </w:pPr>
            <w:r>
              <w:rPr>
                <w:rFonts w:ascii="Arial" w:cs="Arial" w:eastAsia="Arial" w:hAnsi="Arial"/>
                <w:sz w:val="16"/>
                <w:szCs w:val="16"/>
                <w:b w:val="1"/>
                <w:bCs w:val="1"/>
                <w:color w:val="auto"/>
              </w:rPr>
              <w:t>May 25, 2024</w:t>
            </w:r>
          </w:p>
        </w:tc>
      </w:tr>
      <w:tr>
        <w:trPr>
          <w:trHeight w:val="196"/>
        </w:trPr>
        <w:tc>
          <w:tcPr>
            <w:tcW w:w="7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Operating activities</w:t>
            </w:r>
          </w:p>
        </w:tc>
        <w:tc>
          <w:tcPr>
            <w:tcW w:w="380" w:type="dxa"/>
            <w:vAlign w:val="bottom"/>
            <w:tcBorders>
              <w:top w:val="single" w:sz="8" w:color="auto"/>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620" w:type="dxa"/>
            <w:vAlign w:val="bottom"/>
            <w:tcBorders>
              <w:top w:val="single" w:sz="8" w:color="auto"/>
            </w:tcBorders>
            <w:shd w:val="clear" w:color="auto" w:fill="CCEEFF"/>
          </w:tcPr>
          <w:p>
            <w:pPr>
              <w:spacing w:after="0"/>
              <w:rPr>
                <w:sz w:val="17"/>
                <w:szCs w:val="17"/>
                <w:color w:val="auto"/>
              </w:rPr>
            </w:pPr>
          </w:p>
        </w:tc>
      </w:tr>
      <w:tr>
        <w:trPr>
          <w:trHeight w:val="198"/>
        </w:trPr>
        <w:tc>
          <w:tcPr>
            <w:tcW w:w="7280" w:type="dxa"/>
            <w:vAlign w:val="bottom"/>
          </w:tcPr>
          <w:p>
            <w:pPr>
              <w:ind w:left="120"/>
              <w:spacing w:after="0"/>
              <w:rPr>
                <w:sz w:val="20"/>
                <w:szCs w:val="20"/>
                <w:color w:val="auto"/>
              </w:rPr>
            </w:pPr>
            <w:r>
              <w:rPr>
                <w:rFonts w:ascii="Arial" w:cs="Arial" w:eastAsia="Arial" w:hAnsi="Arial"/>
                <w:sz w:val="14"/>
                <w:szCs w:val="14"/>
                <w:color w:val="auto"/>
              </w:rPr>
              <w:t>Net income</w:t>
            </w:r>
          </w:p>
        </w:tc>
        <w:tc>
          <w:tcPr>
            <w:tcW w:w="380" w:type="dxa"/>
            <w:vAlign w:val="bottom"/>
          </w:tcPr>
          <w:p>
            <w:pPr>
              <w:jc w:val="right"/>
              <w:ind w:right="228"/>
              <w:spacing w:after="0"/>
              <w:rPr>
                <w:sz w:val="20"/>
                <w:szCs w:val="20"/>
                <w:color w:val="auto"/>
              </w:rPr>
            </w:pPr>
            <w:r>
              <w:rPr>
                <w:rFonts w:ascii="Arial" w:cs="Arial" w:eastAsia="Arial" w:hAnsi="Arial"/>
                <w:sz w:val="14"/>
                <w:szCs w:val="14"/>
                <w:color w:val="auto"/>
                <w:w w:val="76"/>
              </w:rPr>
              <w:t>$</w:t>
            </w: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12.0</w:t>
            </w:r>
          </w:p>
        </w:tc>
        <w:tc>
          <w:tcPr>
            <w:tcW w:w="100" w:type="dxa"/>
            <w:vAlign w:val="bottom"/>
          </w:tcPr>
          <w:p>
            <w:pPr>
              <w:spacing w:after="0"/>
              <w:rPr>
                <w:sz w:val="17"/>
                <w:szCs w:val="17"/>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620" w:type="dxa"/>
            <w:vAlign w:val="bottom"/>
          </w:tcPr>
          <w:p>
            <w:pPr>
              <w:jc w:val="right"/>
              <w:spacing w:after="0"/>
              <w:rPr>
                <w:sz w:val="20"/>
                <w:szCs w:val="20"/>
                <w:color w:val="auto"/>
              </w:rPr>
            </w:pPr>
            <w:r>
              <w:rPr>
                <w:rFonts w:ascii="Arial" w:cs="Arial" w:eastAsia="Arial" w:hAnsi="Arial"/>
                <w:sz w:val="14"/>
                <w:szCs w:val="14"/>
                <w:color w:val="auto"/>
              </w:rPr>
              <w:t>42.1</w:t>
            </w:r>
          </w:p>
        </w:tc>
      </w:tr>
      <w:tr>
        <w:trPr>
          <w:trHeight w:val="207"/>
        </w:trPr>
        <w:tc>
          <w:tcPr>
            <w:tcW w:w="72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Adjustments to reconcile net income to net cash used in operating activities</w:t>
            </w:r>
          </w:p>
        </w:tc>
        <w:tc>
          <w:tcPr>
            <w:tcW w:w="38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r>
      <w:tr>
        <w:trPr>
          <w:trHeight w:val="198"/>
        </w:trPr>
        <w:tc>
          <w:tcPr>
            <w:tcW w:w="7280" w:type="dxa"/>
            <w:vAlign w:val="bottom"/>
          </w:tcPr>
          <w:p>
            <w:pPr>
              <w:ind w:left="240"/>
              <w:spacing w:after="0"/>
              <w:rPr>
                <w:sz w:val="20"/>
                <w:szCs w:val="20"/>
                <w:color w:val="auto"/>
              </w:rPr>
            </w:pPr>
            <w:r>
              <w:rPr>
                <w:rFonts w:ascii="Arial" w:cs="Arial" w:eastAsia="Arial" w:hAnsi="Arial"/>
                <w:sz w:val="14"/>
                <w:szCs w:val="14"/>
                <w:color w:val="auto"/>
              </w:rPr>
              <w:t>Depreciation</w:t>
            </w:r>
          </w:p>
        </w:tc>
        <w:tc>
          <w:tcPr>
            <w:tcW w:w="380" w:type="dxa"/>
            <w:vAlign w:val="bottom"/>
          </w:tcPr>
          <w:p>
            <w:pPr>
              <w:spacing w:after="0"/>
              <w:rPr>
                <w:sz w:val="17"/>
                <w:szCs w:val="17"/>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28.7</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25.5</w:t>
            </w:r>
          </w:p>
        </w:tc>
      </w:tr>
      <w:tr>
        <w:trPr>
          <w:trHeight w:val="207"/>
        </w:trPr>
        <w:tc>
          <w:tcPr>
            <w:tcW w:w="72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Amortization</w:t>
            </w:r>
          </w:p>
        </w:tc>
        <w:tc>
          <w:tcPr>
            <w:tcW w:w="380" w:type="dxa"/>
            <w:vAlign w:val="bottom"/>
            <w:shd w:val="clear" w:color="auto" w:fill="CCEEFF"/>
          </w:tcPr>
          <w:p>
            <w:pPr>
              <w:spacing w:after="0"/>
              <w:rPr>
                <w:sz w:val="17"/>
                <w:szCs w:val="17"/>
                <w:color w:val="auto"/>
              </w:rPr>
            </w:pPr>
          </w:p>
        </w:tc>
        <w:tc>
          <w:tcPr>
            <w:tcW w:w="15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16.7</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16.9</w:t>
            </w:r>
          </w:p>
        </w:tc>
      </w:tr>
      <w:tr>
        <w:trPr>
          <w:trHeight w:val="198"/>
        </w:trPr>
        <w:tc>
          <w:tcPr>
            <w:tcW w:w="7280" w:type="dxa"/>
            <w:vAlign w:val="bottom"/>
          </w:tcPr>
          <w:p>
            <w:pPr>
              <w:ind w:left="240"/>
              <w:spacing w:after="0"/>
              <w:rPr>
                <w:sz w:val="20"/>
                <w:szCs w:val="20"/>
                <w:color w:val="auto"/>
              </w:rPr>
            </w:pPr>
            <w:r>
              <w:rPr>
                <w:rFonts w:ascii="Arial" w:cs="Arial" w:eastAsia="Arial" w:hAnsi="Arial"/>
                <w:sz w:val="14"/>
                <w:szCs w:val="14"/>
                <w:color w:val="auto"/>
              </w:rPr>
              <w:t>Amortization of debt issuance costs</w:t>
            </w:r>
          </w:p>
        </w:tc>
        <w:tc>
          <w:tcPr>
            <w:tcW w:w="380" w:type="dxa"/>
            <w:vAlign w:val="bottom"/>
          </w:tcPr>
          <w:p>
            <w:pPr>
              <w:spacing w:after="0"/>
              <w:rPr>
                <w:sz w:val="17"/>
                <w:szCs w:val="17"/>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2.4</w:t>
            </w:r>
          </w:p>
        </w:tc>
      </w:tr>
      <w:tr>
        <w:trPr>
          <w:trHeight w:val="207"/>
        </w:trPr>
        <w:tc>
          <w:tcPr>
            <w:tcW w:w="72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Last in, first-out expense</w:t>
            </w:r>
          </w:p>
        </w:tc>
        <w:tc>
          <w:tcPr>
            <w:tcW w:w="38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r>
      <w:tr>
        <w:trPr>
          <w:trHeight w:val="198"/>
        </w:trPr>
        <w:tc>
          <w:tcPr>
            <w:tcW w:w="7280" w:type="dxa"/>
            <w:vAlign w:val="bottom"/>
          </w:tcPr>
          <w:p>
            <w:pPr>
              <w:ind w:left="240"/>
              <w:spacing w:after="0"/>
              <w:rPr>
                <w:sz w:val="20"/>
                <w:szCs w:val="20"/>
                <w:color w:val="auto"/>
              </w:rPr>
            </w:pPr>
            <w:r>
              <w:rPr>
                <w:rFonts w:ascii="Arial" w:cs="Arial" w:eastAsia="Arial" w:hAnsi="Arial"/>
                <w:sz w:val="14"/>
                <w:szCs w:val="14"/>
                <w:color w:val="auto"/>
              </w:rPr>
              <w:t>Stock-based compensation</w:t>
            </w:r>
          </w:p>
        </w:tc>
        <w:tc>
          <w:tcPr>
            <w:tcW w:w="380" w:type="dxa"/>
            <w:vAlign w:val="bottom"/>
          </w:tcPr>
          <w:p>
            <w:pPr>
              <w:spacing w:after="0"/>
              <w:rPr>
                <w:sz w:val="17"/>
                <w:szCs w:val="17"/>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12.2</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11.5</w:t>
            </w:r>
          </w:p>
        </w:tc>
      </w:tr>
      <w:tr>
        <w:trPr>
          <w:trHeight w:val="207"/>
        </w:trPr>
        <w:tc>
          <w:tcPr>
            <w:tcW w:w="72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Deferred income taxes</w:t>
            </w:r>
          </w:p>
        </w:tc>
        <w:tc>
          <w:tcPr>
            <w:tcW w:w="38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w:t>
            </w:r>
          </w:p>
        </w:tc>
      </w:tr>
      <w:tr>
        <w:trPr>
          <w:trHeight w:val="198"/>
        </w:trPr>
        <w:tc>
          <w:tcPr>
            <w:tcW w:w="7280" w:type="dxa"/>
            <w:vAlign w:val="bottom"/>
          </w:tcPr>
          <w:p>
            <w:pPr>
              <w:ind w:left="240"/>
              <w:spacing w:after="0"/>
              <w:rPr>
                <w:sz w:val="20"/>
                <w:szCs w:val="20"/>
                <w:color w:val="auto"/>
              </w:rPr>
            </w:pPr>
            <w:r>
              <w:rPr>
                <w:rFonts w:ascii="Arial" w:cs="Arial" w:eastAsia="Arial" w:hAnsi="Arial"/>
                <w:sz w:val="14"/>
                <w:szCs w:val="14"/>
                <w:color w:val="auto"/>
              </w:rPr>
              <w:t>Loss on note repurchase</w:t>
            </w:r>
          </w:p>
        </w:tc>
        <w:tc>
          <w:tcPr>
            <w:tcW w:w="380" w:type="dxa"/>
            <w:vAlign w:val="bottom"/>
          </w:tcPr>
          <w:p>
            <w:pPr>
              <w:spacing w:after="0"/>
              <w:rPr>
                <w:sz w:val="17"/>
                <w:szCs w:val="17"/>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32.7</w:t>
            </w:r>
          </w:p>
        </w:tc>
      </w:tr>
      <w:tr>
        <w:trPr>
          <w:trHeight w:val="207"/>
        </w:trPr>
        <w:tc>
          <w:tcPr>
            <w:tcW w:w="72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Asset impairment</w:t>
            </w:r>
          </w:p>
        </w:tc>
        <w:tc>
          <w:tcPr>
            <w:tcW w:w="380" w:type="dxa"/>
            <w:vAlign w:val="bottom"/>
            <w:shd w:val="clear" w:color="auto" w:fill="CCEEFF"/>
          </w:tcPr>
          <w:p>
            <w:pPr>
              <w:spacing w:after="0"/>
              <w:rPr>
                <w:sz w:val="17"/>
                <w:szCs w:val="17"/>
                <w:color w:val="auto"/>
              </w:rPr>
            </w:pPr>
          </w:p>
        </w:tc>
        <w:tc>
          <w:tcPr>
            <w:tcW w:w="15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8"/>
        </w:trPr>
        <w:tc>
          <w:tcPr>
            <w:tcW w:w="7280" w:type="dxa"/>
            <w:vAlign w:val="bottom"/>
          </w:tcPr>
          <w:p>
            <w:pPr>
              <w:ind w:left="240"/>
              <w:spacing w:after="0"/>
              <w:rPr>
                <w:sz w:val="20"/>
                <w:szCs w:val="20"/>
                <w:color w:val="auto"/>
              </w:rPr>
            </w:pPr>
            <w:r>
              <w:rPr>
                <w:rFonts w:ascii="Arial" w:cs="Arial" w:eastAsia="Arial" w:hAnsi="Arial"/>
                <w:sz w:val="14"/>
                <w:szCs w:val="14"/>
                <w:color w:val="auto"/>
              </w:rPr>
              <w:t>Contingent consideration fair value adjustment</w:t>
            </w:r>
          </w:p>
        </w:tc>
        <w:tc>
          <w:tcPr>
            <w:tcW w:w="380" w:type="dxa"/>
            <w:vAlign w:val="bottom"/>
          </w:tcPr>
          <w:p>
            <w:pPr>
              <w:spacing w:after="0"/>
              <w:rPr>
                <w:sz w:val="17"/>
                <w:szCs w:val="17"/>
                <w:color w:val="auto"/>
              </w:rPr>
            </w:pPr>
          </w:p>
        </w:tc>
        <w:tc>
          <w:tcPr>
            <w:tcW w:w="16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1.1</w:t>
            </w:r>
          </w:p>
        </w:tc>
      </w:tr>
      <w:tr>
        <w:trPr>
          <w:trHeight w:val="207"/>
        </w:trPr>
        <w:tc>
          <w:tcPr>
            <w:tcW w:w="72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Payments of earnout liability above acquisition-date fair value</w:t>
            </w:r>
          </w:p>
        </w:tc>
        <w:tc>
          <w:tcPr>
            <w:tcW w:w="38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7"/>
                <w:szCs w:val="17"/>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w:t>
            </w:r>
          </w:p>
        </w:tc>
      </w:tr>
      <w:tr>
        <w:trPr>
          <w:trHeight w:val="198"/>
        </w:trPr>
        <w:tc>
          <w:tcPr>
            <w:tcW w:w="7280" w:type="dxa"/>
            <w:vAlign w:val="bottom"/>
          </w:tcPr>
          <w:p>
            <w:pPr>
              <w:ind w:left="240"/>
              <w:spacing w:after="0"/>
              <w:rPr>
                <w:sz w:val="20"/>
                <w:szCs w:val="20"/>
                <w:color w:val="auto"/>
              </w:rPr>
            </w:pPr>
            <w:r>
              <w:rPr>
                <w:rFonts w:ascii="Arial" w:cs="Arial" w:eastAsia="Arial" w:hAnsi="Arial"/>
                <w:sz w:val="14"/>
                <w:szCs w:val="14"/>
                <w:color w:val="auto"/>
              </w:rPr>
              <w:t>Other, net</w:t>
            </w:r>
          </w:p>
        </w:tc>
        <w:tc>
          <w:tcPr>
            <w:tcW w:w="38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3.1</w:t>
            </w:r>
          </w:p>
        </w:tc>
      </w:tr>
      <w:tr>
        <w:trPr>
          <w:trHeight w:val="207"/>
        </w:trPr>
        <w:tc>
          <w:tcPr>
            <w:tcW w:w="7280" w:type="dxa"/>
            <w:vAlign w:val="bottom"/>
            <w:shd w:val="clear" w:color="auto" w:fill="CCEEFF"/>
          </w:tcPr>
          <w:p>
            <w:pPr>
              <w:spacing w:after="0"/>
              <w:rPr>
                <w:sz w:val="20"/>
                <w:szCs w:val="20"/>
                <w:color w:val="auto"/>
              </w:rPr>
            </w:pPr>
            <w:r>
              <w:rPr>
                <w:rFonts w:ascii="Arial" w:cs="Arial" w:eastAsia="Arial" w:hAnsi="Arial"/>
                <w:sz w:val="14"/>
                <w:szCs w:val="14"/>
                <w:color w:val="auto"/>
              </w:rPr>
              <w:t>Change in operating assets and liabilities, net of assets and liabilities acquired</w:t>
            </w:r>
          </w:p>
        </w:tc>
        <w:tc>
          <w:tcPr>
            <w:tcW w:w="38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r>
      <w:tr>
        <w:trPr>
          <w:trHeight w:val="198"/>
        </w:trPr>
        <w:tc>
          <w:tcPr>
            <w:tcW w:w="7280" w:type="dxa"/>
            <w:vAlign w:val="bottom"/>
          </w:tcPr>
          <w:p>
            <w:pPr>
              <w:ind w:left="240"/>
              <w:spacing w:after="0"/>
              <w:rPr>
                <w:sz w:val="20"/>
                <w:szCs w:val="20"/>
                <w:color w:val="auto"/>
              </w:rPr>
            </w:pPr>
            <w:r>
              <w:rPr>
                <w:rFonts w:ascii="Arial" w:cs="Arial" w:eastAsia="Arial" w:hAnsi="Arial"/>
                <w:sz w:val="14"/>
                <w:szCs w:val="14"/>
                <w:color w:val="auto"/>
              </w:rPr>
              <w:t>Receivables, net</w:t>
            </w:r>
          </w:p>
        </w:tc>
        <w:tc>
          <w:tcPr>
            <w:tcW w:w="38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(59.0)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(20.8)</w:t>
            </w:r>
          </w:p>
        </w:tc>
      </w:tr>
      <w:tr>
        <w:trPr>
          <w:trHeight w:val="207"/>
        </w:trPr>
        <w:tc>
          <w:tcPr>
            <w:tcW w:w="72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Inventories, net</w:t>
            </w:r>
          </w:p>
        </w:tc>
        <w:tc>
          <w:tcPr>
            <w:tcW w:w="38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(38.5)</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28.7</w:t>
            </w:r>
          </w:p>
        </w:tc>
      </w:tr>
      <w:tr>
        <w:trPr>
          <w:trHeight w:val="198"/>
        </w:trPr>
        <w:tc>
          <w:tcPr>
            <w:tcW w:w="7280" w:type="dxa"/>
            <w:vAlign w:val="bottom"/>
          </w:tcPr>
          <w:p>
            <w:pPr>
              <w:ind w:left="240"/>
              <w:spacing w:after="0"/>
              <w:rPr>
                <w:sz w:val="20"/>
                <w:szCs w:val="20"/>
                <w:color w:val="auto"/>
              </w:rPr>
            </w:pPr>
            <w:r>
              <w:rPr>
                <w:rFonts w:ascii="Arial" w:cs="Arial" w:eastAsia="Arial" w:hAnsi="Arial"/>
                <w:sz w:val="14"/>
                <w:szCs w:val="14"/>
                <w:color w:val="auto"/>
              </w:rPr>
              <w:t>Prepaid expenses and other assets</w:t>
            </w:r>
          </w:p>
        </w:tc>
        <w:tc>
          <w:tcPr>
            <w:tcW w:w="380" w:type="dxa"/>
            <w:vAlign w:val="bottom"/>
          </w:tcPr>
          <w:p>
            <w:pPr>
              <w:spacing w:after="0"/>
              <w:rPr>
                <w:sz w:val="17"/>
                <w:szCs w:val="17"/>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7.2</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6.8</w:t>
            </w:r>
          </w:p>
        </w:tc>
      </w:tr>
      <w:tr>
        <w:trPr>
          <w:trHeight w:val="206"/>
        </w:trPr>
        <w:tc>
          <w:tcPr>
            <w:tcW w:w="72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Accounts payable</w:t>
            </w:r>
          </w:p>
        </w:tc>
        <w:tc>
          <w:tcPr>
            <w:tcW w:w="38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w:t>
            </w:r>
          </w:p>
        </w:tc>
      </w:tr>
      <w:tr>
        <w:trPr>
          <w:trHeight w:val="199"/>
        </w:trPr>
        <w:tc>
          <w:tcPr>
            <w:tcW w:w="7280" w:type="dxa"/>
            <w:vAlign w:val="bottom"/>
          </w:tcPr>
          <w:p>
            <w:pPr>
              <w:ind w:left="240"/>
              <w:spacing w:after="0"/>
              <w:rPr>
                <w:sz w:val="20"/>
                <w:szCs w:val="20"/>
                <w:color w:val="auto"/>
              </w:rPr>
            </w:pPr>
            <w:r>
              <w:rPr>
                <w:rFonts w:ascii="Arial" w:cs="Arial" w:eastAsia="Arial" w:hAnsi="Arial"/>
                <w:sz w:val="14"/>
                <w:szCs w:val="14"/>
                <w:color w:val="auto"/>
              </w:rPr>
              <w:t>Income taxes and unrecognized tax benefits</w:t>
            </w:r>
          </w:p>
        </w:tc>
        <w:tc>
          <w:tcPr>
            <w:tcW w:w="380" w:type="dxa"/>
            <w:vAlign w:val="bottom"/>
          </w:tcPr>
          <w:p>
            <w:pPr>
              <w:spacing w:after="0"/>
              <w:rPr>
                <w:sz w:val="17"/>
                <w:szCs w:val="17"/>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4.3</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14.3</w:t>
            </w:r>
          </w:p>
        </w:tc>
      </w:tr>
      <w:tr>
        <w:trPr>
          <w:trHeight w:val="206"/>
        </w:trPr>
        <w:tc>
          <w:tcPr>
            <w:tcW w:w="72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Accrued expenses and other liabilities</w:t>
            </w:r>
          </w:p>
        </w:tc>
        <w:tc>
          <w:tcPr>
            <w:tcW w:w="380" w:type="dxa"/>
            <w:vAlign w:val="bottom"/>
            <w:tcBorders>
              <w:bottom w:val="single" w:sz="8" w:color="auto"/>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(23.3)</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(30.4)</w:t>
            </w:r>
          </w:p>
        </w:tc>
      </w:tr>
      <w:tr>
        <w:trPr>
          <w:trHeight w:val="195"/>
        </w:trPr>
        <w:tc>
          <w:tcPr>
            <w:tcW w:w="728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Net cash (used in) provided by operating activities</w:t>
            </w:r>
          </w:p>
        </w:tc>
        <w:tc>
          <w:tcPr>
            <w:tcW w:w="3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(52.5)</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103.2</w:t>
            </w:r>
          </w:p>
        </w:tc>
      </w:tr>
      <w:tr>
        <w:trPr>
          <w:trHeight w:val="197"/>
        </w:trPr>
        <w:tc>
          <w:tcPr>
            <w:tcW w:w="72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r>
      <w:tr>
        <w:trPr>
          <w:trHeight w:val="202"/>
        </w:trPr>
        <w:tc>
          <w:tcPr>
            <w:tcW w:w="7280" w:type="dxa"/>
            <w:vAlign w:val="bottom"/>
          </w:tcPr>
          <w:p>
            <w:pPr>
              <w:spacing w:after="0"/>
              <w:rPr>
                <w:sz w:val="20"/>
                <w:szCs w:val="20"/>
                <w:color w:val="auto"/>
              </w:rPr>
            </w:pPr>
            <w:r>
              <w:rPr>
                <w:rFonts w:ascii="Arial" w:cs="Arial" w:eastAsia="Arial" w:hAnsi="Arial"/>
                <w:sz w:val="14"/>
                <w:szCs w:val="14"/>
                <w:b w:val="1"/>
                <w:bCs w:val="1"/>
                <w:color w:val="auto"/>
              </w:rPr>
              <w:t>Investing activities</w:t>
            </w:r>
          </w:p>
        </w:tc>
        <w:tc>
          <w:tcPr>
            <w:tcW w:w="3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03"/>
        </w:trPr>
        <w:tc>
          <w:tcPr>
            <w:tcW w:w="72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Purchases of property, plant, and equipment</w:t>
            </w:r>
          </w:p>
        </w:tc>
        <w:tc>
          <w:tcPr>
            <w:tcW w:w="38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(29.2)</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(33.8)</w:t>
            </w:r>
          </w:p>
        </w:tc>
      </w:tr>
      <w:tr>
        <w:trPr>
          <w:trHeight w:val="198"/>
        </w:trPr>
        <w:tc>
          <w:tcPr>
            <w:tcW w:w="7280" w:type="dxa"/>
            <w:vAlign w:val="bottom"/>
          </w:tcPr>
          <w:p>
            <w:pPr>
              <w:ind w:left="120"/>
              <w:spacing w:after="0"/>
              <w:rPr>
                <w:sz w:val="20"/>
                <w:szCs w:val="20"/>
                <w:color w:val="auto"/>
              </w:rPr>
            </w:pPr>
            <w:r>
              <w:rPr>
                <w:rFonts w:ascii="Arial" w:cs="Arial" w:eastAsia="Arial" w:hAnsi="Arial"/>
                <w:sz w:val="14"/>
                <w:szCs w:val="14"/>
                <w:color w:val="auto"/>
              </w:rPr>
              <w:t>Proceeds from the sale of property, plant, and equipment</w:t>
            </w:r>
          </w:p>
        </w:tc>
        <w:tc>
          <w:tcPr>
            <w:tcW w:w="380" w:type="dxa"/>
            <w:vAlign w:val="bottom"/>
          </w:tcPr>
          <w:p>
            <w:pPr>
              <w:spacing w:after="0"/>
              <w:rPr>
                <w:sz w:val="17"/>
                <w:szCs w:val="17"/>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0.3</w:t>
            </w:r>
          </w:p>
        </w:tc>
      </w:tr>
      <w:tr>
        <w:trPr>
          <w:trHeight w:val="206"/>
        </w:trPr>
        <w:tc>
          <w:tcPr>
            <w:tcW w:w="72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Other, net</w:t>
            </w:r>
          </w:p>
        </w:tc>
        <w:tc>
          <w:tcPr>
            <w:tcW w:w="380" w:type="dxa"/>
            <w:vAlign w:val="bottom"/>
            <w:tcBorders>
              <w:bottom w:val="single" w:sz="8" w:color="auto"/>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w:t>
            </w:r>
          </w:p>
        </w:tc>
      </w:tr>
      <w:tr>
        <w:trPr>
          <w:trHeight w:val="195"/>
        </w:trPr>
        <w:tc>
          <w:tcPr>
            <w:tcW w:w="728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Net cash used in investing activities</w:t>
            </w:r>
          </w:p>
        </w:tc>
        <w:tc>
          <w:tcPr>
            <w:tcW w:w="3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(25.5)</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(36.4)</w:t>
            </w:r>
          </w:p>
        </w:tc>
      </w:tr>
      <w:tr>
        <w:trPr>
          <w:trHeight w:val="197"/>
        </w:trPr>
        <w:tc>
          <w:tcPr>
            <w:tcW w:w="72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r>
      <w:tr>
        <w:trPr>
          <w:trHeight w:val="202"/>
        </w:trPr>
        <w:tc>
          <w:tcPr>
            <w:tcW w:w="7280" w:type="dxa"/>
            <w:vAlign w:val="bottom"/>
          </w:tcPr>
          <w:p>
            <w:pPr>
              <w:spacing w:after="0"/>
              <w:rPr>
                <w:sz w:val="20"/>
                <w:szCs w:val="20"/>
                <w:color w:val="auto"/>
              </w:rPr>
            </w:pPr>
            <w:r>
              <w:rPr>
                <w:rFonts w:ascii="Arial" w:cs="Arial" w:eastAsia="Arial" w:hAnsi="Arial"/>
                <w:sz w:val="14"/>
                <w:szCs w:val="14"/>
                <w:b w:val="1"/>
                <w:bCs w:val="1"/>
                <w:color w:val="auto"/>
              </w:rPr>
              <w:t>Financing activities</w:t>
            </w:r>
          </w:p>
        </w:tc>
        <w:tc>
          <w:tcPr>
            <w:tcW w:w="3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03"/>
        </w:trPr>
        <w:tc>
          <w:tcPr>
            <w:tcW w:w="72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Borrowings on long-term debt</w:t>
            </w:r>
          </w:p>
        </w:tc>
        <w:tc>
          <w:tcPr>
            <w:tcW w:w="380" w:type="dxa"/>
            <w:vAlign w:val="bottom"/>
            <w:shd w:val="clear" w:color="auto" w:fill="CCEEFF"/>
          </w:tcPr>
          <w:p>
            <w:pPr>
              <w:spacing w:after="0"/>
              <w:rPr>
                <w:sz w:val="17"/>
                <w:szCs w:val="17"/>
                <w:color w:val="auto"/>
              </w:rPr>
            </w:pPr>
          </w:p>
        </w:tc>
        <w:tc>
          <w:tcPr>
            <w:tcW w:w="15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15.3</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2,652.2</w:t>
            </w:r>
          </w:p>
        </w:tc>
      </w:tr>
      <w:tr>
        <w:trPr>
          <w:trHeight w:val="198"/>
        </w:trPr>
        <w:tc>
          <w:tcPr>
            <w:tcW w:w="7280" w:type="dxa"/>
            <w:vAlign w:val="bottom"/>
          </w:tcPr>
          <w:p>
            <w:pPr>
              <w:ind w:left="120"/>
              <w:spacing w:after="0"/>
              <w:rPr>
                <w:sz w:val="20"/>
                <w:szCs w:val="20"/>
                <w:color w:val="auto"/>
              </w:rPr>
            </w:pPr>
            <w:r>
              <w:rPr>
                <w:rFonts w:ascii="Arial" w:cs="Arial" w:eastAsia="Arial" w:hAnsi="Arial"/>
                <w:sz w:val="14"/>
                <w:szCs w:val="14"/>
                <w:color w:val="auto"/>
              </w:rPr>
              <w:t>Repayments on long-term debt</w:t>
            </w:r>
          </w:p>
        </w:tc>
        <w:tc>
          <w:tcPr>
            <w:tcW w:w="38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(175.2)</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(2,596.0)</w:t>
            </w:r>
          </w:p>
        </w:tc>
      </w:tr>
      <w:tr>
        <w:trPr>
          <w:trHeight w:val="207"/>
        </w:trPr>
        <w:tc>
          <w:tcPr>
            <w:tcW w:w="72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Payments for convertible note bond hedge</w:t>
            </w:r>
          </w:p>
        </w:tc>
        <w:tc>
          <w:tcPr>
            <w:tcW w:w="38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7"/>
                <w:szCs w:val="17"/>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(68.7)</w:t>
            </w:r>
          </w:p>
        </w:tc>
      </w:tr>
      <w:tr>
        <w:trPr>
          <w:trHeight w:val="198"/>
        </w:trPr>
        <w:tc>
          <w:tcPr>
            <w:tcW w:w="7280" w:type="dxa"/>
            <w:vAlign w:val="bottom"/>
          </w:tcPr>
          <w:p>
            <w:pPr>
              <w:ind w:left="120"/>
              <w:spacing w:after="0"/>
              <w:rPr>
                <w:sz w:val="20"/>
                <w:szCs w:val="20"/>
                <w:color w:val="auto"/>
              </w:rPr>
            </w:pPr>
            <w:r>
              <w:rPr>
                <w:rFonts w:ascii="Arial" w:cs="Arial" w:eastAsia="Arial" w:hAnsi="Arial"/>
                <w:sz w:val="14"/>
                <w:szCs w:val="14"/>
                <w:color w:val="auto"/>
              </w:rPr>
              <w:t>Proceeds from issuance of convertible note warrant</w:t>
            </w:r>
          </w:p>
        </w:tc>
        <w:tc>
          <w:tcPr>
            <w:tcW w:w="380" w:type="dxa"/>
            <w:vAlign w:val="bottom"/>
          </w:tcPr>
          <w:p>
            <w:pPr>
              <w:spacing w:after="0"/>
              <w:rPr>
                <w:sz w:val="17"/>
                <w:szCs w:val="17"/>
                <w:color w:val="auto"/>
              </w:rPr>
            </w:pPr>
          </w:p>
        </w:tc>
        <w:tc>
          <w:tcPr>
            <w:tcW w:w="16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31.3</w:t>
            </w:r>
          </w:p>
        </w:tc>
      </w:tr>
      <w:tr>
        <w:trPr>
          <w:trHeight w:val="207"/>
        </w:trPr>
        <w:tc>
          <w:tcPr>
            <w:tcW w:w="72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Proceeds from partial unwind of convertible note bond hedge</w:t>
            </w:r>
          </w:p>
        </w:tc>
        <w:tc>
          <w:tcPr>
            <w:tcW w:w="38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7"/>
                <w:szCs w:val="17"/>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55.8</w:t>
            </w:r>
          </w:p>
        </w:tc>
      </w:tr>
      <w:tr>
        <w:trPr>
          <w:trHeight w:val="198"/>
        </w:trPr>
        <w:tc>
          <w:tcPr>
            <w:tcW w:w="7280" w:type="dxa"/>
            <w:vAlign w:val="bottom"/>
          </w:tcPr>
          <w:p>
            <w:pPr>
              <w:ind w:left="120"/>
              <w:spacing w:after="0"/>
              <w:rPr>
                <w:sz w:val="20"/>
                <w:szCs w:val="20"/>
                <w:color w:val="auto"/>
              </w:rPr>
            </w:pPr>
            <w:r>
              <w:rPr>
                <w:rFonts w:ascii="Arial" w:cs="Arial" w:eastAsia="Arial" w:hAnsi="Arial"/>
                <w:sz w:val="14"/>
                <w:szCs w:val="14"/>
                <w:color w:val="auto"/>
              </w:rPr>
              <w:t>Payments for partial unwind of convertible note warrant</w:t>
            </w:r>
          </w:p>
        </w:tc>
        <w:tc>
          <w:tcPr>
            <w:tcW w:w="380" w:type="dxa"/>
            <w:vAlign w:val="bottom"/>
          </w:tcPr>
          <w:p>
            <w:pPr>
              <w:spacing w:after="0"/>
              <w:rPr>
                <w:sz w:val="17"/>
                <w:szCs w:val="17"/>
                <w:color w:val="auto"/>
              </w:rPr>
            </w:pPr>
          </w:p>
        </w:tc>
        <w:tc>
          <w:tcPr>
            <w:tcW w:w="16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(25.3)</w:t>
            </w:r>
          </w:p>
        </w:tc>
      </w:tr>
      <w:tr>
        <w:trPr>
          <w:trHeight w:val="207"/>
        </w:trPr>
        <w:tc>
          <w:tcPr>
            <w:tcW w:w="72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Payments of cash dividends</w:t>
            </w:r>
          </w:p>
        </w:tc>
        <w:tc>
          <w:tcPr>
            <w:tcW w:w="38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(29.3)</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(27.8)</w:t>
            </w:r>
          </w:p>
        </w:tc>
      </w:tr>
      <w:tr>
        <w:trPr>
          <w:trHeight w:val="198"/>
        </w:trPr>
        <w:tc>
          <w:tcPr>
            <w:tcW w:w="7280" w:type="dxa"/>
            <w:vAlign w:val="bottom"/>
          </w:tcPr>
          <w:p>
            <w:pPr>
              <w:ind w:left="120"/>
              <w:spacing w:after="0"/>
              <w:rPr>
                <w:sz w:val="20"/>
                <w:szCs w:val="20"/>
                <w:color w:val="auto"/>
              </w:rPr>
            </w:pPr>
            <w:r>
              <w:rPr>
                <w:rFonts w:ascii="Arial" w:cs="Arial" w:eastAsia="Arial" w:hAnsi="Arial"/>
                <w:sz w:val="14"/>
                <w:szCs w:val="14"/>
                <w:color w:val="auto"/>
              </w:rPr>
              <w:t>Payments for repurchases of common stock</w:t>
            </w:r>
          </w:p>
        </w:tc>
        <w:tc>
          <w:tcPr>
            <w:tcW w:w="38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(53.6)</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(64.3)</w:t>
            </w:r>
          </w:p>
        </w:tc>
      </w:tr>
      <w:tr>
        <w:trPr>
          <w:trHeight w:val="207"/>
        </w:trPr>
        <w:tc>
          <w:tcPr>
            <w:tcW w:w="72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Payments of debt issuance costs</w:t>
            </w:r>
          </w:p>
        </w:tc>
        <w:tc>
          <w:tcPr>
            <w:tcW w:w="38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7"/>
                <w:szCs w:val="17"/>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w:t>
            </w:r>
          </w:p>
        </w:tc>
      </w:tr>
      <w:tr>
        <w:trPr>
          <w:trHeight w:val="198"/>
        </w:trPr>
        <w:tc>
          <w:tcPr>
            <w:tcW w:w="7280" w:type="dxa"/>
            <w:vAlign w:val="bottom"/>
          </w:tcPr>
          <w:p>
            <w:pPr>
              <w:ind w:left="120"/>
              <w:spacing w:after="0"/>
              <w:rPr>
                <w:sz w:val="20"/>
                <w:szCs w:val="20"/>
                <w:color w:val="auto"/>
              </w:rPr>
            </w:pPr>
            <w:r>
              <w:rPr>
                <w:rFonts w:ascii="Arial" w:cs="Arial" w:eastAsia="Arial" w:hAnsi="Arial"/>
                <w:sz w:val="14"/>
                <w:szCs w:val="14"/>
                <w:color w:val="auto"/>
              </w:rPr>
              <w:t>Payments of earnout liability up to acquisition-date fair value</w:t>
            </w:r>
          </w:p>
        </w:tc>
        <w:tc>
          <w:tcPr>
            <w:tcW w:w="380" w:type="dxa"/>
            <w:vAlign w:val="bottom"/>
          </w:tcPr>
          <w:p>
            <w:pPr>
              <w:spacing w:after="0"/>
              <w:rPr>
                <w:sz w:val="17"/>
                <w:szCs w:val="17"/>
                <w:color w:val="auto"/>
              </w:rPr>
            </w:pPr>
          </w:p>
        </w:tc>
        <w:tc>
          <w:tcPr>
            <w:tcW w:w="16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(5.8)</w:t>
            </w:r>
          </w:p>
        </w:tc>
      </w:tr>
      <w:tr>
        <w:trPr>
          <w:trHeight w:val="207"/>
        </w:trPr>
        <w:tc>
          <w:tcPr>
            <w:tcW w:w="72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Other, net</w:t>
            </w:r>
          </w:p>
        </w:tc>
        <w:tc>
          <w:tcPr>
            <w:tcW w:w="380" w:type="dxa"/>
            <w:vAlign w:val="bottom"/>
            <w:tcBorders>
              <w:bottom w:val="single" w:sz="8" w:color="auto"/>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0.4</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0.4</w:t>
            </w:r>
          </w:p>
        </w:tc>
      </w:tr>
      <w:tr>
        <w:trPr>
          <w:trHeight w:val="195"/>
        </w:trPr>
        <w:tc>
          <w:tcPr>
            <w:tcW w:w="728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Net cash used in financing activities</w:t>
            </w:r>
          </w:p>
        </w:tc>
        <w:tc>
          <w:tcPr>
            <w:tcW w:w="3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(242.4)</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(58.6)</w:t>
            </w:r>
          </w:p>
        </w:tc>
      </w:tr>
      <w:tr>
        <w:trPr>
          <w:trHeight w:val="197"/>
        </w:trPr>
        <w:tc>
          <w:tcPr>
            <w:tcW w:w="72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r>
      <w:tr>
        <w:trPr>
          <w:trHeight w:val="198"/>
        </w:trPr>
        <w:tc>
          <w:tcPr>
            <w:tcW w:w="7280" w:type="dxa"/>
            <w:vAlign w:val="bottom"/>
          </w:tcPr>
          <w:p>
            <w:pPr>
              <w:spacing w:after="0"/>
              <w:rPr>
                <w:sz w:val="20"/>
                <w:szCs w:val="20"/>
                <w:color w:val="auto"/>
              </w:rPr>
            </w:pPr>
            <w:r>
              <w:rPr>
                <w:rFonts w:ascii="Arial" w:cs="Arial" w:eastAsia="Arial" w:hAnsi="Arial"/>
                <w:sz w:val="14"/>
                <w:szCs w:val="14"/>
                <w:color w:val="auto"/>
              </w:rPr>
              <w:t>Net (decrease) increase in cash and cash equivalents</w:t>
            </w:r>
          </w:p>
        </w:tc>
        <w:tc>
          <w:tcPr>
            <w:tcW w:w="38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(320.4)</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8.2</w:t>
            </w:r>
          </w:p>
        </w:tc>
      </w:tr>
      <w:tr>
        <w:trPr>
          <w:trHeight w:val="207"/>
        </w:trPr>
        <w:tc>
          <w:tcPr>
            <w:tcW w:w="7280" w:type="dxa"/>
            <w:vAlign w:val="bottom"/>
            <w:shd w:val="clear" w:color="auto" w:fill="CCEEFF"/>
          </w:tcPr>
          <w:p>
            <w:pPr>
              <w:spacing w:after="0"/>
              <w:rPr>
                <w:sz w:val="20"/>
                <w:szCs w:val="20"/>
                <w:color w:val="auto"/>
              </w:rPr>
            </w:pPr>
            <w:r>
              <w:rPr>
                <w:rFonts w:ascii="Arial" w:cs="Arial" w:eastAsia="Arial" w:hAnsi="Arial"/>
                <w:sz w:val="14"/>
                <w:szCs w:val="14"/>
                <w:color w:val="auto"/>
              </w:rPr>
              <w:t>Cash and cash equivalents at beginning of period</w:t>
            </w:r>
          </w:p>
        </w:tc>
        <w:tc>
          <w:tcPr>
            <w:tcW w:w="380" w:type="dxa"/>
            <w:vAlign w:val="bottom"/>
            <w:tcBorders>
              <w:bottom w:val="single" w:sz="8" w:color="auto"/>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330.9</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309.9</w:t>
            </w:r>
          </w:p>
        </w:tc>
      </w:tr>
      <w:tr>
        <w:trPr>
          <w:trHeight w:val="188"/>
        </w:trPr>
        <w:tc>
          <w:tcPr>
            <w:tcW w:w="7280" w:type="dxa"/>
            <w:vAlign w:val="bottom"/>
          </w:tcPr>
          <w:p>
            <w:pPr>
              <w:spacing w:after="0"/>
              <w:rPr>
                <w:sz w:val="20"/>
                <w:szCs w:val="20"/>
                <w:color w:val="auto"/>
              </w:rPr>
            </w:pPr>
            <w:r>
              <w:rPr>
                <w:rFonts w:ascii="Arial" w:cs="Arial" w:eastAsia="Arial" w:hAnsi="Arial"/>
                <w:sz w:val="14"/>
                <w:szCs w:val="14"/>
                <w:color w:val="auto"/>
              </w:rPr>
              <w:t>Cash and cash equivalents at end of period</w:t>
            </w:r>
          </w:p>
        </w:tc>
        <w:tc>
          <w:tcPr>
            <w:tcW w:w="380" w:type="dxa"/>
            <w:vAlign w:val="bottom"/>
          </w:tcPr>
          <w:p>
            <w:pPr>
              <w:jc w:val="right"/>
              <w:ind w:right="228"/>
              <w:spacing w:after="0"/>
              <w:rPr>
                <w:sz w:val="20"/>
                <w:szCs w:val="20"/>
                <w:color w:val="auto"/>
              </w:rPr>
            </w:pPr>
            <w:r>
              <w:rPr>
                <w:rFonts w:ascii="Arial" w:cs="Arial" w:eastAsia="Arial" w:hAnsi="Arial"/>
                <w:sz w:val="14"/>
                <w:szCs w:val="14"/>
                <w:color w:val="auto"/>
                <w:w w:val="76"/>
              </w:rPr>
              <w:t>$</w:t>
            </w: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10.5</w:t>
            </w:r>
          </w:p>
        </w:tc>
        <w:tc>
          <w:tcPr>
            <w:tcW w:w="10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620" w:type="dxa"/>
            <w:vAlign w:val="bottom"/>
          </w:tcPr>
          <w:p>
            <w:pPr>
              <w:jc w:val="right"/>
              <w:spacing w:after="0"/>
              <w:rPr>
                <w:sz w:val="20"/>
                <w:szCs w:val="20"/>
                <w:color w:val="auto"/>
              </w:rPr>
            </w:pPr>
            <w:r>
              <w:rPr>
                <w:rFonts w:ascii="Arial" w:cs="Arial" w:eastAsia="Arial" w:hAnsi="Arial"/>
                <w:sz w:val="14"/>
                <w:szCs w:val="14"/>
                <w:color w:val="auto"/>
              </w:rPr>
              <w:t>318.1</w:t>
            </w:r>
          </w:p>
        </w:tc>
      </w:tr>
      <w:tr>
        <w:trPr>
          <w:trHeight w:val="830"/>
        </w:trPr>
        <w:tc>
          <w:tcPr>
            <w:tcW w:w="7280" w:type="dxa"/>
            <w:vAlign w:val="bottom"/>
          </w:tcPr>
          <w:p>
            <w:pPr>
              <w:jc w:val="center"/>
              <w:ind w:left="3807"/>
              <w:spacing w:after="0"/>
              <w:rPr>
                <w:sz w:val="20"/>
                <w:szCs w:val="20"/>
                <w:color w:val="auto"/>
              </w:rPr>
            </w:pPr>
            <w:r>
              <w:rPr>
                <w:rFonts w:ascii="Arial" w:cs="Arial" w:eastAsia="Arial" w:hAnsi="Arial"/>
                <w:sz w:val="16"/>
                <w:szCs w:val="16"/>
                <w:color w:val="auto"/>
                <w:w w:val="89"/>
              </w:rPr>
              <w:t>9</w:t>
            </w:r>
          </w:p>
        </w:tc>
        <w:tc>
          <w:tcPr>
            <w:tcW w:w="3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20" w:type="dxa"/>
            <w:vAlign w:val="bottom"/>
          </w:tcPr>
          <w:p>
            <w:pPr>
              <w:spacing w:after="0"/>
              <w:rPr>
                <w:sz w:val="24"/>
                <w:szCs w:val="24"/>
                <w:color w:val="auto"/>
              </w:rPr>
            </w:pPr>
          </w:p>
        </w:tc>
      </w:tr>
    </w:tbl>
    <w:p>
      <w:pPr>
        <w:sectPr>
          <w:pgSz w:w="11900" w:h="16838" w:orient="portrait"/>
          <w:cols w:equalWidth="0" w:num="1">
            <w:col w:w="11180"/>
          </w:cols>
          <w:pgMar w:left="360" w:top="854" w:right="359" w:bottom="144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7280" w:type="dxa"/>
            <w:vAlign w:val="bottom"/>
            <w:tcBorders>
              <w:bottom w:val="single" w:sz="8" w:color="CCEEFF"/>
            </w:tcBorders>
          </w:tcPr>
          <w:p>
            <w:pPr>
              <w:spacing w:after="0"/>
              <w:rPr>
                <w:sz w:val="3"/>
                <w:szCs w:val="3"/>
                <w:color w:val="auto"/>
              </w:rPr>
            </w:pPr>
          </w:p>
        </w:tc>
        <w:tc>
          <w:tcPr>
            <w:tcW w:w="820" w:type="dxa"/>
            <w:vAlign w:val="bottom"/>
            <w:tcBorders>
              <w:top w:val="single" w:sz="8" w:color="auto"/>
              <w:bottom w:val="single" w:sz="8" w:color="auto"/>
            </w:tcBorders>
          </w:tcPr>
          <w:p>
            <w:pPr>
              <w:spacing w:after="0"/>
              <w:rPr>
                <w:sz w:val="3"/>
                <w:szCs w:val="3"/>
                <w:color w:val="auto"/>
              </w:rPr>
            </w:pPr>
          </w:p>
        </w:tc>
        <w:tc>
          <w:tcPr>
            <w:tcW w:w="1080" w:type="dxa"/>
            <w:vAlign w:val="bottom"/>
            <w:tcBorders>
              <w:top w:val="single" w:sz="8" w:color="auto"/>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20" w:type="dxa"/>
            <w:vAlign w:val="bottom"/>
            <w:tcBorders>
              <w:top w:val="single" w:sz="8" w:color="auto"/>
              <w:bottom w:val="single" w:sz="8" w:color="auto"/>
            </w:tcBorders>
          </w:tcPr>
          <w:p>
            <w:pPr>
              <w:spacing w:after="0"/>
              <w:rPr>
                <w:sz w:val="3"/>
                <w:szCs w:val="3"/>
                <w:color w:val="auto"/>
              </w:rPr>
            </w:pPr>
          </w:p>
        </w:tc>
        <w:tc>
          <w:tcPr>
            <w:tcW w:w="1080" w:type="dxa"/>
            <w:vAlign w:val="bottom"/>
            <w:tcBorders>
              <w:top w:val="single" w:sz="8" w:color="auto"/>
              <w:bottom w:val="single" w:sz="8" w:color="auto"/>
            </w:tcBorders>
          </w:tcPr>
          <w:p>
            <w:pPr>
              <w:spacing w:after="0"/>
              <w:rPr>
                <w:sz w:val="3"/>
                <w:szCs w:val="3"/>
                <w:color w:val="auto"/>
              </w:rPr>
            </w:pPr>
          </w:p>
        </w:tc>
      </w:tr>
      <w:tr>
        <w:trPr>
          <w:trHeight w:val="169"/>
        </w:trPr>
        <w:tc>
          <w:tcPr>
            <w:tcW w:w="72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Supplemental Disclosures</w:t>
            </w:r>
          </w:p>
        </w:tc>
        <w:tc>
          <w:tcPr>
            <w:tcW w:w="8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r>
      <w:tr>
        <w:trPr>
          <w:trHeight w:val="198"/>
        </w:trPr>
        <w:tc>
          <w:tcPr>
            <w:tcW w:w="7280" w:type="dxa"/>
            <w:vAlign w:val="bottom"/>
          </w:tcPr>
          <w:p>
            <w:pPr>
              <w:ind w:left="120"/>
              <w:spacing w:after="0"/>
              <w:rPr>
                <w:sz w:val="20"/>
                <w:szCs w:val="20"/>
                <w:color w:val="auto"/>
              </w:rPr>
            </w:pPr>
            <w:r>
              <w:rPr>
                <w:rFonts w:ascii="Arial" w:cs="Arial" w:eastAsia="Arial" w:hAnsi="Arial"/>
                <w:sz w:val="14"/>
                <w:szCs w:val="14"/>
                <w:color w:val="auto"/>
              </w:rPr>
              <w:t>Income taxes paid, net</w:t>
            </w:r>
          </w:p>
        </w:tc>
        <w:tc>
          <w:tcPr>
            <w:tcW w:w="820" w:type="dxa"/>
            <w:vAlign w:val="bottom"/>
          </w:tcPr>
          <w:p>
            <w:pPr>
              <w:jc w:val="right"/>
              <w:ind w:right="668"/>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17"/>
                <w:szCs w:val="17"/>
                <w:color w:val="auto"/>
              </w:rPr>
            </w:pPr>
          </w:p>
        </w:tc>
        <w:tc>
          <w:tcPr>
            <w:tcW w:w="820" w:type="dxa"/>
            <w:vAlign w:val="bottom"/>
          </w:tcPr>
          <w:p>
            <w:pPr>
              <w:jc w:val="right"/>
              <w:ind w:right="648"/>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12.6</w:t>
            </w:r>
          </w:p>
        </w:tc>
      </w:tr>
      <w:tr>
        <w:trPr>
          <w:trHeight w:val="207"/>
        </w:trPr>
        <w:tc>
          <w:tcPr>
            <w:tcW w:w="72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Interest paid</w:t>
            </w:r>
          </w:p>
        </w:tc>
        <w:tc>
          <w:tcPr>
            <w:tcW w:w="82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17.3</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w:t>
            </w:r>
          </w:p>
        </w:tc>
      </w:tr>
      <w:tr>
        <w:trPr>
          <w:trHeight w:val="203"/>
        </w:trPr>
        <w:tc>
          <w:tcPr>
            <w:tcW w:w="7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3"/>
        </w:trPr>
        <w:tc>
          <w:tcPr>
            <w:tcW w:w="72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Non-cash investing and financing activities</w:t>
            </w:r>
          </w:p>
        </w:tc>
        <w:tc>
          <w:tcPr>
            <w:tcW w:w="8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198"/>
        </w:trPr>
        <w:tc>
          <w:tcPr>
            <w:tcW w:w="7280" w:type="dxa"/>
            <w:vAlign w:val="bottom"/>
          </w:tcPr>
          <w:p>
            <w:pPr>
              <w:ind w:left="120"/>
              <w:spacing w:after="0"/>
              <w:rPr>
                <w:sz w:val="20"/>
                <w:szCs w:val="20"/>
                <w:color w:val="auto"/>
              </w:rPr>
            </w:pPr>
            <w:r>
              <w:rPr>
                <w:rFonts w:ascii="Arial" w:cs="Arial" w:eastAsia="Arial" w:hAnsi="Arial"/>
                <w:sz w:val="14"/>
                <w:szCs w:val="14"/>
                <w:color w:val="auto"/>
              </w:rPr>
              <w:t>Capital expenditures in accounts payable</w:t>
            </w:r>
          </w:p>
        </w:tc>
        <w:tc>
          <w:tcPr>
            <w:tcW w:w="820" w:type="dxa"/>
            <w:vAlign w:val="bottom"/>
          </w:tcPr>
          <w:p>
            <w:pPr>
              <w:jc w:val="right"/>
              <w:ind w:right="668"/>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3.9</w:t>
            </w:r>
          </w:p>
        </w:tc>
        <w:tc>
          <w:tcPr>
            <w:tcW w:w="100" w:type="dxa"/>
            <w:vAlign w:val="bottom"/>
          </w:tcPr>
          <w:p>
            <w:pPr>
              <w:spacing w:after="0"/>
              <w:rPr>
                <w:sz w:val="17"/>
                <w:szCs w:val="17"/>
                <w:color w:val="auto"/>
              </w:rPr>
            </w:pPr>
          </w:p>
        </w:tc>
        <w:tc>
          <w:tcPr>
            <w:tcW w:w="820" w:type="dxa"/>
            <w:vAlign w:val="bottom"/>
          </w:tcPr>
          <w:p>
            <w:pPr>
              <w:jc w:val="right"/>
              <w:ind w:right="648"/>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2.2</w:t>
            </w:r>
          </w:p>
        </w:tc>
      </w:tr>
      <w:tr>
        <w:trPr>
          <w:trHeight w:val="207"/>
        </w:trPr>
        <w:tc>
          <w:tcPr>
            <w:tcW w:w="72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Accrued debt issuance costs</w:t>
            </w:r>
          </w:p>
        </w:tc>
        <w:tc>
          <w:tcPr>
            <w:tcW w:w="8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8"/>
        </w:trPr>
        <w:tc>
          <w:tcPr>
            <w:tcW w:w="7280" w:type="dxa"/>
            <w:vAlign w:val="bottom"/>
          </w:tcPr>
          <w:p>
            <w:pPr>
              <w:ind w:left="120"/>
              <w:spacing w:after="0"/>
              <w:rPr>
                <w:sz w:val="20"/>
                <w:szCs w:val="20"/>
                <w:color w:val="auto"/>
              </w:rPr>
            </w:pPr>
            <w:r>
              <w:rPr>
                <w:rFonts w:ascii="Arial" w:cs="Arial" w:eastAsia="Arial" w:hAnsi="Arial"/>
                <w:sz w:val="14"/>
                <w:szCs w:val="14"/>
                <w:color w:val="auto"/>
              </w:rPr>
              <w:t>Increase in lease assets in exchange for lease liabilities:</w:t>
            </w:r>
          </w:p>
        </w:tc>
        <w:tc>
          <w:tcPr>
            <w:tcW w:w="8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7"/>
        </w:trPr>
        <w:tc>
          <w:tcPr>
            <w:tcW w:w="72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Operating leases</w:t>
            </w:r>
          </w:p>
        </w:tc>
        <w:tc>
          <w:tcPr>
            <w:tcW w:w="82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2.3</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w:t>
            </w:r>
          </w:p>
        </w:tc>
      </w:tr>
      <w:tr>
        <w:trPr>
          <w:trHeight w:val="194"/>
        </w:trPr>
        <w:tc>
          <w:tcPr>
            <w:tcW w:w="7280" w:type="dxa"/>
            <w:vAlign w:val="bottom"/>
          </w:tcPr>
          <w:p>
            <w:pPr>
              <w:ind w:left="240"/>
              <w:spacing w:after="0"/>
              <w:rPr>
                <w:sz w:val="20"/>
                <w:szCs w:val="20"/>
                <w:color w:val="auto"/>
              </w:rPr>
            </w:pPr>
            <w:r>
              <w:rPr>
                <w:rFonts w:ascii="Arial" w:cs="Arial" w:eastAsia="Arial" w:hAnsi="Arial"/>
                <w:sz w:val="14"/>
                <w:szCs w:val="14"/>
                <w:color w:val="auto"/>
              </w:rPr>
              <w:t>Finance leases</w:t>
            </w:r>
          </w:p>
        </w:tc>
        <w:tc>
          <w:tcPr>
            <w:tcW w:w="82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0.2</w:t>
            </w: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1.2</w:t>
            </w:r>
          </w:p>
        </w:tc>
      </w:tr>
    </w:tbl>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180"/>
          </w:cols>
          <w:pgMar w:left="360" w:top="876" w:right="359" w:bottom="1440" w:gutter="0" w:footer="0" w:header="0"/>
        </w:sectPr>
      </w:pPr>
    </w:p>
    <w:bookmarkStart w:id="13" w:name="page14"/>
    <w:bookmarkEnd w:id="13"/>
    <w:p>
      <w:pPr>
        <w:jc w:val="center"/>
        <w:ind w:right="-151"/>
        <w:spacing w:after="0"/>
        <w:rPr>
          <w:sz w:val="20"/>
          <w:szCs w:val="20"/>
          <w:color w:val="auto"/>
        </w:rPr>
      </w:pPr>
      <w:r>
        <w:rPr>
          <w:rFonts w:ascii="Arial" w:cs="Arial" w:eastAsia="Arial" w:hAnsi="Arial"/>
          <w:sz w:val="16"/>
          <w:szCs w:val="16"/>
          <w:b w:val="1"/>
          <w:bCs w:val="1"/>
          <w:color w:val="auto"/>
        </w:rPr>
        <w:t>Winnebago Industries, Inc.</w:t>
      </w:r>
    </w:p>
    <w:p>
      <w:pPr>
        <w:spacing w:after="0" w:line="21" w:lineRule="exact"/>
        <w:rPr>
          <w:sz w:val="20"/>
          <w:szCs w:val="20"/>
          <w:color w:val="auto"/>
        </w:rPr>
      </w:pPr>
    </w:p>
    <w:p>
      <w:pPr>
        <w:jc w:val="center"/>
        <w:ind w:right="-151"/>
        <w:spacing w:after="0"/>
        <w:rPr>
          <w:sz w:val="20"/>
          <w:szCs w:val="20"/>
          <w:color w:val="auto"/>
        </w:rPr>
      </w:pPr>
      <w:r>
        <w:rPr>
          <w:rFonts w:ascii="Arial" w:cs="Arial" w:eastAsia="Arial" w:hAnsi="Arial"/>
          <w:sz w:val="16"/>
          <w:szCs w:val="16"/>
          <w:b w:val="1"/>
          <w:bCs w:val="1"/>
          <w:color w:val="auto"/>
        </w:rPr>
        <w:t>Supplemental Information by Reportable Segment - Towable RV</w:t>
      </w:r>
    </w:p>
    <w:p>
      <w:pPr>
        <w:spacing w:after="0" w:line="19" w:lineRule="exact"/>
        <w:rPr>
          <w:sz w:val="20"/>
          <w:szCs w:val="20"/>
          <w:color w:val="auto"/>
        </w:rPr>
      </w:pPr>
    </w:p>
    <w:p>
      <w:pPr>
        <w:jc w:val="center"/>
        <w:ind w:right="-151"/>
        <w:spacing w:after="0"/>
        <w:rPr>
          <w:sz w:val="20"/>
          <w:szCs w:val="20"/>
          <w:color w:val="auto"/>
        </w:rPr>
      </w:pPr>
      <w:r>
        <w:rPr>
          <w:rFonts w:ascii="Arial" w:cs="Arial" w:eastAsia="Arial" w:hAnsi="Arial"/>
          <w:sz w:val="16"/>
          <w:szCs w:val="16"/>
          <w:b w:val="1"/>
          <w:bCs w:val="1"/>
          <w:color w:val="auto"/>
        </w:rPr>
        <w:t>(in millions, except unit data)</w:t>
      </w:r>
    </w:p>
    <w:p>
      <w:pPr>
        <w:spacing w:after="0" w:line="5" w:lineRule="exact"/>
        <w:rPr>
          <w:sz w:val="20"/>
          <w:szCs w:val="20"/>
          <w:color w:val="auto"/>
        </w:rPr>
      </w:pPr>
    </w:p>
    <w:p>
      <w:pPr>
        <w:jc w:val="center"/>
        <w:ind w:right="-151"/>
        <w:spacing w:after="0"/>
        <w:rPr>
          <w:sz w:val="20"/>
          <w:szCs w:val="20"/>
          <w:color w:val="auto"/>
        </w:rPr>
      </w:pPr>
      <w:r>
        <w:rPr>
          <w:rFonts w:ascii="Arial" w:cs="Arial" w:eastAsia="Arial" w:hAnsi="Arial"/>
          <w:sz w:val="16"/>
          <w:szCs w:val="16"/>
          <w:b w:val="1"/>
          <w:bCs w:val="1"/>
          <w:color w:val="auto"/>
        </w:rPr>
        <w:t>(Unaudited and subject to reclassification)</w:t>
      </w:r>
    </w:p>
    <w:p>
      <w:pPr>
        <w:spacing w:after="0" w:line="43" w:lineRule="exact"/>
        <w:rPr>
          <w:sz w:val="20"/>
          <w:szCs w:val="20"/>
          <w:color w:val="auto"/>
        </w:rPr>
      </w:pPr>
    </w:p>
    <w:tbl>
      <w:tblPr>
        <w:tblLayout w:type="fixed"/>
        <w:tblInd w:w="152" w:type="dxa"/>
        <w:tblCellMar>
          <w:top w:w="0" w:type="dxa"/>
          <w:left w:w="0" w:type="dxa"/>
          <w:bottom w:w="0" w:type="dxa"/>
          <w:right w:w="0" w:type="dxa"/>
        </w:tblCellMar>
      </w:tblPr>
      <w:tr>
        <w:trPr>
          <w:trHeight w:val="217"/>
        </w:trPr>
        <w:tc>
          <w:tcPr>
            <w:tcW w:w="20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4"/>
          </w:tcPr>
          <w:p>
            <w:pPr>
              <w:jc w:val="center"/>
              <w:ind w:right="440"/>
              <w:spacing w:after="0"/>
              <w:rPr>
                <w:sz w:val="20"/>
                <w:szCs w:val="20"/>
                <w:color w:val="auto"/>
              </w:rPr>
            </w:pPr>
            <w:r>
              <w:rPr>
                <w:rFonts w:ascii="Arial" w:cs="Arial" w:eastAsia="Arial" w:hAnsi="Arial"/>
                <w:sz w:val="16"/>
                <w:szCs w:val="16"/>
                <w:b w:val="1"/>
                <w:bCs w:val="1"/>
                <w:color w:val="auto"/>
              </w:rPr>
              <w:t>Three Months Ended</w:t>
            </w: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ind w:right="119"/>
              <w:spacing w:after="0"/>
              <w:rPr>
                <w:sz w:val="20"/>
                <w:szCs w:val="20"/>
                <w:color w:val="auto"/>
              </w:rPr>
            </w:pPr>
            <w:r>
              <w:rPr>
                <w:rFonts w:ascii="Arial" w:cs="Arial" w:eastAsia="Arial" w:hAnsi="Arial"/>
                <w:sz w:val="16"/>
                <w:szCs w:val="16"/>
                <w:b w:val="1"/>
                <w:bCs w:val="1"/>
                <w:color w:val="auto"/>
              </w:rPr>
              <w:t>May 31, 2025</w:t>
            </w:r>
          </w:p>
        </w:tc>
        <w:tc>
          <w:tcPr>
            <w:tcW w:w="100" w:type="dxa"/>
            <w:vAlign w:val="bottom"/>
          </w:tcPr>
          <w:p>
            <w:pPr>
              <w:spacing w:after="0"/>
              <w:rPr>
                <w:sz w:val="18"/>
                <w:szCs w:val="18"/>
                <w:color w:val="auto"/>
              </w:rPr>
            </w:pPr>
          </w:p>
        </w:tc>
        <w:tc>
          <w:tcPr>
            <w:tcW w:w="1680" w:type="dxa"/>
            <w:vAlign w:val="bottom"/>
            <w:gridSpan w:val="3"/>
          </w:tcPr>
          <w:p>
            <w:pPr>
              <w:jc w:val="center"/>
              <w:ind w:right="179"/>
              <w:spacing w:after="0" w:line="210" w:lineRule="exact"/>
              <w:rPr>
                <w:sz w:val="20"/>
                <w:szCs w:val="20"/>
                <w:color w:val="auto"/>
              </w:rPr>
            </w:pPr>
            <w:r>
              <w:rPr>
                <w:rFonts w:ascii="Arial" w:cs="Arial" w:eastAsia="Arial" w:hAnsi="Arial"/>
                <w:sz w:val="16"/>
                <w:szCs w:val="16"/>
                <w:b w:val="1"/>
                <w:bCs w:val="1"/>
                <w:color w:val="auto"/>
                <w:w w:val="99"/>
              </w:rPr>
              <w:t>% of Revenues</w:t>
            </w:r>
            <w:r>
              <w:rPr>
                <w:rFonts w:ascii="Arial" w:cs="Arial" w:eastAsia="Arial" w:hAnsi="Arial"/>
                <w:sz w:val="21"/>
                <w:szCs w:val="21"/>
                <w:b w:val="1"/>
                <w:bCs w:val="1"/>
                <w:color w:val="auto"/>
                <w:w w:val="99"/>
                <w:vertAlign w:val="superscript"/>
              </w:rPr>
              <w:t>(1)</w:t>
            </w:r>
          </w:p>
        </w:tc>
        <w:tc>
          <w:tcPr>
            <w:tcW w:w="1280" w:type="dxa"/>
            <w:vAlign w:val="bottom"/>
          </w:tcPr>
          <w:p>
            <w:pPr>
              <w:jc w:val="right"/>
              <w:ind w:right="139"/>
              <w:spacing w:after="0"/>
              <w:rPr>
                <w:sz w:val="20"/>
                <w:szCs w:val="20"/>
                <w:color w:val="auto"/>
              </w:rPr>
            </w:pPr>
            <w:r>
              <w:rPr>
                <w:rFonts w:ascii="Arial" w:cs="Arial" w:eastAsia="Arial" w:hAnsi="Arial"/>
                <w:sz w:val="16"/>
                <w:szCs w:val="16"/>
                <w:b w:val="1"/>
                <w:bCs w:val="1"/>
                <w:color w:val="auto"/>
              </w:rPr>
              <w:t>May 25, 2024</w:t>
            </w:r>
          </w:p>
        </w:tc>
        <w:tc>
          <w:tcPr>
            <w:tcW w:w="100" w:type="dxa"/>
            <w:vAlign w:val="bottom"/>
          </w:tcPr>
          <w:p>
            <w:pPr>
              <w:spacing w:after="0"/>
              <w:rPr>
                <w:sz w:val="18"/>
                <w:szCs w:val="18"/>
                <w:color w:val="auto"/>
              </w:rPr>
            </w:pPr>
          </w:p>
        </w:tc>
        <w:tc>
          <w:tcPr>
            <w:tcW w:w="1500" w:type="dxa"/>
            <w:vAlign w:val="bottom"/>
            <w:gridSpan w:val="2"/>
          </w:tcPr>
          <w:p>
            <w:pPr>
              <w:jc w:val="center"/>
              <w:ind w:right="100"/>
              <w:spacing w:after="0" w:line="210" w:lineRule="exact"/>
              <w:rPr>
                <w:sz w:val="20"/>
                <w:szCs w:val="20"/>
                <w:color w:val="auto"/>
              </w:rPr>
            </w:pPr>
            <w:r>
              <w:rPr>
                <w:rFonts w:ascii="Arial" w:cs="Arial" w:eastAsia="Arial" w:hAnsi="Arial"/>
                <w:sz w:val="16"/>
                <w:szCs w:val="16"/>
                <w:b w:val="1"/>
                <w:bCs w:val="1"/>
                <w:color w:val="auto"/>
                <w:w w:val="97"/>
              </w:rPr>
              <w:t>% of Revenues</w:t>
            </w:r>
            <w:r>
              <w:rPr>
                <w:rFonts w:ascii="Arial" w:cs="Arial" w:eastAsia="Arial" w:hAnsi="Arial"/>
                <w:sz w:val="21"/>
                <w:szCs w:val="21"/>
                <w:b w:val="1"/>
                <w:bCs w:val="1"/>
                <w:color w:val="auto"/>
                <w:w w:val="97"/>
                <w:vertAlign w:val="superscript"/>
              </w:rPr>
              <w:t>(1)</w:t>
            </w:r>
          </w:p>
        </w:tc>
        <w:tc>
          <w:tcPr>
            <w:tcW w:w="140" w:type="dxa"/>
            <w:vAlign w:val="bottom"/>
          </w:tcPr>
          <w:p>
            <w:pPr>
              <w:spacing w:after="0"/>
              <w:rPr>
                <w:sz w:val="18"/>
                <w:szCs w:val="18"/>
                <w:color w:val="auto"/>
              </w:rPr>
            </w:pPr>
          </w:p>
        </w:tc>
        <w:tc>
          <w:tcPr>
            <w:tcW w:w="1240" w:type="dxa"/>
            <w:vAlign w:val="bottom"/>
            <w:gridSpan w:val="2"/>
          </w:tcPr>
          <w:p>
            <w:pPr>
              <w:jc w:val="center"/>
              <w:ind w:right="220"/>
              <w:spacing w:after="0" w:line="210" w:lineRule="exact"/>
              <w:rPr>
                <w:sz w:val="20"/>
                <w:szCs w:val="20"/>
                <w:color w:val="auto"/>
              </w:rPr>
            </w:pPr>
            <w:r>
              <w:rPr>
                <w:rFonts w:ascii="Arial" w:cs="Arial" w:eastAsia="Arial" w:hAnsi="Arial"/>
                <w:sz w:val="16"/>
                <w:szCs w:val="16"/>
                <w:b w:val="1"/>
                <w:bCs w:val="1"/>
                <w:color w:val="auto"/>
                <w:w w:val="96"/>
              </w:rPr>
              <w:t>$ Change</w:t>
            </w:r>
            <w:r>
              <w:rPr>
                <w:rFonts w:ascii="Arial" w:cs="Arial" w:eastAsia="Arial" w:hAnsi="Arial"/>
                <w:sz w:val="21"/>
                <w:szCs w:val="21"/>
                <w:b w:val="1"/>
                <w:bCs w:val="1"/>
                <w:color w:val="auto"/>
                <w:w w:val="96"/>
                <w:vertAlign w:val="superscript"/>
              </w:rPr>
              <w:t>(1)</w:t>
            </w:r>
          </w:p>
        </w:tc>
        <w:tc>
          <w:tcPr>
            <w:tcW w:w="1380" w:type="dxa"/>
            <w:vAlign w:val="bottom"/>
          </w:tcPr>
          <w:p>
            <w:pPr>
              <w:jc w:val="center"/>
              <w:spacing w:after="0" w:line="210" w:lineRule="exact"/>
              <w:rPr>
                <w:sz w:val="20"/>
                <w:szCs w:val="20"/>
                <w:color w:val="auto"/>
              </w:rPr>
            </w:pPr>
            <w:r>
              <w:rPr>
                <w:rFonts w:ascii="Arial" w:cs="Arial" w:eastAsia="Arial" w:hAnsi="Arial"/>
                <w:sz w:val="16"/>
                <w:szCs w:val="16"/>
                <w:b w:val="1"/>
                <w:bCs w:val="1"/>
                <w:color w:val="auto"/>
                <w:w w:val="95"/>
              </w:rPr>
              <w:t>% Change</w:t>
            </w:r>
            <w:r>
              <w:rPr>
                <w:rFonts w:ascii="Arial" w:cs="Arial" w:eastAsia="Arial" w:hAnsi="Arial"/>
                <w:sz w:val="21"/>
                <w:szCs w:val="21"/>
                <w:b w:val="1"/>
                <w:bCs w:val="1"/>
                <w:color w:val="auto"/>
                <w:w w:val="95"/>
                <w:vertAlign w:val="superscript"/>
              </w:rPr>
              <w:t>(1)</w:t>
            </w:r>
          </w:p>
        </w:tc>
        <w:tc>
          <w:tcPr>
            <w:tcW w:w="0" w:type="dxa"/>
            <w:vAlign w:val="bottom"/>
          </w:tcPr>
          <w:p>
            <w:pPr>
              <w:spacing w:after="0"/>
              <w:rPr>
                <w:sz w:val="1"/>
                <w:szCs w:val="1"/>
                <w:color w:val="auto"/>
              </w:rPr>
            </w:pPr>
          </w:p>
        </w:tc>
      </w:tr>
      <w:tr>
        <w:trPr>
          <w:trHeight w:val="209"/>
        </w:trPr>
        <w:tc>
          <w:tcPr>
            <w:tcW w:w="20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371.7</w:t>
            </w:r>
          </w:p>
        </w:tc>
        <w:tc>
          <w:tcPr>
            <w:tcW w:w="10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386.3</w:t>
            </w:r>
          </w:p>
        </w:tc>
        <w:tc>
          <w:tcPr>
            <w:tcW w:w="1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w:t>
            </w:r>
          </w:p>
        </w:tc>
        <w:tc>
          <w:tcPr>
            <w:tcW w:w="1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215"/>
        </w:trPr>
        <w:tc>
          <w:tcPr>
            <w:tcW w:w="2080" w:type="dxa"/>
            <w:vAlign w:val="bottom"/>
          </w:tcPr>
          <w:p>
            <w:pPr>
              <w:ind w:left="20"/>
              <w:spacing w:after="0"/>
              <w:rPr>
                <w:sz w:val="20"/>
                <w:szCs w:val="20"/>
                <w:color w:val="auto"/>
              </w:rPr>
            </w:pPr>
            <w:r>
              <w:rPr>
                <w:rFonts w:ascii="Arial" w:cs="Arial" w:eastAsia="Arial" w:hAnsi="Arial"/>
                <w:sz w:val="16"/>
                <w:szCs w:val="16"/>
                <w:color w:val="auto"/>
              </w:rPr>
              <w:t>Adjusted EBITDA</w:t>
            </w: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35.4</w:t>
            </w:r>
          </w:p>
        </w:tc>
        <w:tc>
          <w:tcPr>
            <w:tcW w:w="1520" w:type="dxa"/>
            <w:vAlign w:val="bottom"/>
            <w:gridSpan w:val="2"/>
          </w:tcPr>
          <w:p>
            <w:pPr>
              <w:jc w:val="right"/>
              <w:spacing w:after="0"/>
              <w:rPr>
                <w:sz w:val="20"/>
                <w:szCs w:val="20"/>
                <w:color w:val="auto"/>
              </w:rPr>
            </w:pPr>
            <w:r>
              <w:rPr>
                <w:rFonts w:ascii="Arial" w:cs="Arial" w:eastAsia="Arial" w:hAnsi="Arial"/>
                <w:sz w:val="16"/>
                <w:szCs w:val="16"/>
                <w:color w:val="auto"/>
              </w:rPr>
              <w:t>9.5 %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41.9</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10.9 %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(6.6)</w:t>
            </w: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(15.7)%</w:t>
            </w:r>
          </w:p>
        </w:tc>
        <w:tc>
          <w:tcPr>
            <w:tcW w:w="0" w:type="dxa"/>
            <w:vAlign w:val="bottom"/>
          </w:tcPr>
          <w:p>
            <w:pPr>
              <w:spacing w:after="0"/>
              <w:rPr>
                <w:sz w:val="1"/>
                <w:szCs w:val="1"/>
                <w:color w:val="auto"/>
              </w:rPr>
            </w:pPr>
          </w:p>
        </w:tc>
      </w:tr>
      <w:tr>
        <w:trPr>
          <w:trHeight w:val="474"/>
        </w:trPr>
        <w:tc>
          <w:tcPr>
            <w:tcW w:w="20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4"/>
          </w:tcPr>
          <w:p>
            <w:pPr>
              <w:jc w:val="center"/>
              <w:ind w:right="440"/>
              <w:spacing w:after="0"/>
              <w:rPr>
                <w:sz w:val="20"/>
                <w:szCs w:val="20"/>
                <w:color w:val="auto"/>
              </w:rPr>
            </w:pPr>
            <w:r>
              <w:rPr>
                <w:rFonts w:ascii="Arial" w:cs="Arial" w:eastAsia="Arial" w:hAnsi="Arial"/>
                <w:sz w:val="16"/>
                <w:szCs w:val="16"/>
                <w:b w:val="1"/>
                <w:bCs w:val="1"/>
                <w:color w:val="auto"/>
              </w:rPr>
              <w:t>Three Months Ended</w:t>
            </w:r>
          </w:p>
        </w:tc>
        <w:tc>
          <w:tcPr>
            <w:tcW w:w="1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80" w:type="dxa"/>
            <w:vAlign w:val="bottom"/>
          </w:tcPr>
          <w:p>
            <w:pPr>
              <w:ind w:left="20"/>
              <w:spacing w:after="0"/>
              <w:rPr>
                <w:sz w:val="20"/>
                <w:szCs w:val="20"/>
                <w:color w:val="auto"/>
              </w:rPr>
            </w:pPr>
            <w:r>
              <w:rPr>
                <w:rFonts w:ascii="Arial" w:cs="Arial" w:eastAsia="Arial" w:hAnsi="Arial"/>
                <w:sz w:val="16"/>
                <w:szCs w:val="16"/>
                <w:b w:val="1"/>
                <w:bCs w:val="1"/>
                <w:color w:val="auto"/>
              </w:rPr>
              <w:t>Unit deliveries</w:t>
            </w:r>
          </w:p>
        </w:tc>
        <w:tc>
          <w:tcPr>
            <w:tcW w:w="160" w:type="dxa"/>
            <w:vAlign w:val="bottom"/>
          </w:tcPr>
          <w:p>
            <w:pPr>
              <w:spacing w:after="0"/>
              <w:rPr>
                <w:sz w:val="21"/>
                <w:szCs w:val="21"/>
                <w:color w:val="auto"/>
              </w:rPr>
            </w:pPr>
          </w:p>
        </w:tc>
        <w:tc>
          <w:tcPr>
            <w:tcW w:w="1260" w:type="dxa"/>
            <w:vAlign w:val="bottom"/>
          </w:tcPr>
          <w:p>
            <w:pPr>
              <w:jc w:val="right"/>
              <w:ind w:right="119"/>
              <w:spacing w:after="0"/>
              <w:rPr>
                <w:sz w:val="20"/>
                <w:szCs w:val="20"/>
                <w:color w:val="auto"/>
              </w:rPr>
            </w:pPr>
            <w:r>
              <w:rPr>
                <w:rFonts w:ascii="Arial" w:cs="Arial" w:eastAsia="Arial" w:hAnsi="Arial"/>
                <w:sz w:val="16"/>
                <w:szCs w:val="16"/>
                <w:b w:val="1"/>
                <w:bCs w:val="1"/>
                <w:color w:val="auto"/>
              </w:rPr>
              <w:t>May 31, 2025</w:t>
            </w:r>
          </w:p>
        </w:tc>
        <w:tc>
          <w:tcPr>
            <w:tcW w:w="100" w:type="dxa"/>
            <w:vAlign w:val="bottom"/>
          </w:tcPr>
          <w:p>
            <w:pPr>
              <w:spacing w:after="0"/>
              <w:rPr>
                <w:sz w:val="21"/>
                <w:szCs w:val="21"/>
                <w:color w:val="auto"/>
              </w:rPr>
            </w:pPr>
          </w:p>
        </w:tc>
        <w:tc>
          <w:tcPr>
            <w:tcW w:w="1680" w:type="dxa"/>
            <w:vAlign w:val="bottom"/>
            <w:gridSpan w:val="3"/>
          </w:tcPr>
          <w:p>
            <w:pPr>
              <w:jc w:val="center"/>
              <w:ind w:right="179"/>
              <w:spacing w:after="0"/>
              <w:rPr>
                <w:sz w:val="20"/>
                <w:szCs w:val="20"/>
                <w:color w:val="auto"/>
              </w:rPr>
            </w:pPr>
            <w:r>
              <w:rPr>
                <w:rFonts w:ascii="Arial" w:cs="Arial" w:eastAsia="Arial" w:hAnsi="Arial"/>
                <w:sz w:val="16"/>
                <w:szCs w:val="16"/>
                <w:b w:val="1"/>
                <w:bCs w:val="1"/>
                <w:color w:val="auto"/>
                <w:w w:val="97"/>
              </w:rPr>
              <w:t>Product Mix</w:t>
            </w:r>
            <w:r>
              <w:rPr>
                <w:rFonts w:ascii="Arial" w:cs="Arial" w:eastAsia="Arial" w:hAnsi="Arial"/>
                <w:sz w:val="21"/>
                <w:szCs w:val="21"/>
                <w:b w:val="1"/>
                <w:bCs w:val="1"/>
                <w:color w:val="auto"/>
                <w:w w:val="97"/>
                <w:vertAlign w:val="superscript"/>
              </w:rPr>
              <w:t>(2)</w:t>
            </w:r>
          </w:p>
        </w:tc>
        <w:tc>
          <w:tcPr>
            <w:tcW w:w="1280" w:type="dxa"/>
            <w:vAlign w:val="bottom"/>
          </w:tcPr>
          <w:p>
            <w:pPr>
              <w:jc w:val="right"/>
              <w:ind w:right="139"/>
              <w:spacing w:after="0"/>
              <w:rPr>
                <w:sz w:val="20"/>
                <w:szCs w:val="20"/>
                <w:color w:val="auto"/>
              </w:rPr>
            </w:pPr>
            <w:r>
              <w:rPr>
                <w:rFonts w:ascii="Arial" w:cs="Arial" w:eastAsia="Arial" w:hAnsi="Arial"/>
                <w:sz w:val="16"/>
                <w:szCs w:val="16"/>
                <w:b w:val="1"/>
                <w:bCs w:val="1"/>
                <w:color w:val="auto"/>
              </w:rPr>
              <w:t>May 25, 2024</w:t>
            </w:r>
          </w:p>
        </w:tc>
        <w:tc>
          <w:tcPr>
            <w:tcW w:w="100" w:type="dxa"/>
            <w:vAlign w:val="bottom"/>
          </w:tcPr>
          <w:p>
            <w:pPr>
              <w:spacing w:after="0"/>
              <w:rPr>
                <w:sz w:val="21"/>
                <w:szCs w:val="21"/>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5"/>
              </w:rPr>
              <w:t>Product Mix</w:t>
            </w:r>
            <w:r>
              <w:rPr>
                <w:rFonts w:ascii="Arial" w:cs="Arial" w:eastAsia="Arial" w:hAnsi="Arial"/>
                <w:sz w:val="21"/>
                <w:szCs w:val="21"/>
                <w:b w:val="1"/>
                <w:bCs w:val="1"/>
                <w:color w:val="auto"/>
                <w:w w:val="95"/>
                <w:vertAlign w:val="superscript"/>
              </w:rPr>
              <w:t>(2)</w:t>
            </w:r>
          </w:p>
        </w:tc>
        <w:tc>
          <w:tcPr>
            <w:tcW w:w="140" w:type="dxa"/>
            <w:vAlign w:val="bottom"/>
          </w:tcPr>
          <w:p>
            <w:pPr>
              <w:spacing w:after="0"/>
              <w:rPr>
                <w:sz w:val="21"/>
                <w:szCs w:val="21"/>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Unit Change</w:t>
            </w:r>
          </w:p>
        </w:tc>
        <w:tc>
          <w:tcPr>
            <w:tcW w:w="1380" w:type="dxa"/>
            <w:vAlign w:val="bottom"/>
          </w:tcPr>
          <w:p>
            <w:pPr>
              <w:jc w:val="center"/>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10"/>
        </w:trPr>
        <w:tc>
          <w:tcPr>
            <w:tcW w:w="20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Travel trailer</w:t>
            </w:r>
          </w:p>
        </w:tc>
        <w:tc>
          <w:tcPr>
            <w:tcW w:w="16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6,569</w:t>
            </w:r>
          </w:p>
        </w:tc>
        <w:tc>
          <w:tcPr>
            <w:tcW w:w="10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69.2 %</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6,120</w:t>
            </w:r>
          </w:p>
        </w:tc>
        <w:tc>
          <w:tcPr>
            <w:tcW w:w="1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66.1 %</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449</w:t>
            </w:r>
          </w:p>
        </w:tc>
        <w:tc>
          <w:tcPr>
            <w:tcW w:w="1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7.3 %</w:t>
            </w:r>
          </w:p>
        </w:tc>
        <w:tc>
          <w:tcPr>
            <w:tcW w:w="0" w:type="dxa"/>
            <w:vAlign w:val="bottom"/>
          </w:tcPr>
          <w:p>
            <w:pPr>
              <w:spacing w:after="0"/>
              <w:rPr>
                <w:sz w:val="1"/>
                <w:szCs w:val="1"/>
                <w:color w:val="auto"/>
              </w:rPr>
            </w:pPr>
          </w:p>
        </w:tc>
      </w:tr>
      <w:tr>
        <w:trPr>
          <w:trHeight w:val="215"/>
        </w:trPr>
        <w:tc>
          <w:tcPr>
            <w:tcW w:w="2080" w:type="dxa"/>
            <w:vAlign w:val="bottom"/>
          </w:tcPr>
          <w:p>
            <w:pPr>
              <w:ind w:left="20"/>
              <w:spacing w:after="0"/>
              <w:rPr>
                <w:sz w:val="20"/>
                <w:szCs w:val="20"/>
                <w:color w:val="auto"/>
              </w:rPr>
            </w:pPr>
            <w:r>
              <w:rPr>
                <w:rFonts w:ascii="Arial" w:cs="Arial" w:eastAsia="Arial" w:hAnsi="Arial"/>
                <w:sz w:val="16"/>
                <w:szCs w:val="16"/>
                <w:color w:val="auto"/>
              </w:rPr>
              <w:t>Fifth wheel</w:t>
            </w: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2,926</w:t>
            </w:r>
          </w:p>
        </w:tc>
        <w:tc>
          <w:tcPr>
            <w:tcW w:w="1520" w:type="dxa"/>
            <w:vAlign w:val="bottom"/>
            <w:gridSpan w:val="2"/>
          </w:tcPr>
          <w:p>
            <w:pPr>
              <w:jc w:val="right"/>
              <w:spacing w:after="0"/>
              <w:rPr>
                <w:sz w:val="20"/>
                <w:szCs w:val="20"/>
                <w:color w:val="auto"/>
              </w:rPr>
            </w:pPr>
            <w:r>
              <w:rPr>
                <w:rFonts w:ascii="Arial" w:cs="Arial" w:eastAsia="Arial" w:hAnsi="Arial"/>
                <w:sz w:val="16"/>
                <w:szCs w:val="16"/>
                <w:color w:val="auto"/>
              </w:rPr>
              <w:t>30.8 %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3,143</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33.9 %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(217)</w:t>
            </w: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(6.9)%</w:t>
            </w:r>
          </w:p>
        </w:tc>
        <w:tc>
          <w:tcPr>
            <w:tcW w:w="0" w:type="dxa"/>
            <w:vAlign w:val="bottom"/>
          </w:tcPr>
          <w:p>
            <w:pPr>
              <w:spacing w:after="0"/>
              <w:rPr>
                <w:sz w:val="1"/>
                <w:szCs w:val="1"/>
                <w:color w:val="auto"/>
              </w:rPr>
            </w:pPr>
          </w:p>
        </w:tc>
      </w:tr>
      <w:tr>
        <w:trPr>
          <w:trHeight w:val="235"/>
        </w:trPr>
        <w:tc>
          <w:tcPr>
            <w:tcW w:w="208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 Towable RV</w:t>
            </w: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9,495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9,263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2.5 %</w:t>
            </w:r>
          </w:p>
        </w:tc>
        <w:tc>
          <w:tcPr>
            <w:tcW w:w="0" w:type="dxa"/>
            <w:vAlign w:val="bottom"/>
          </w:tcPr>
          <w:p>
            <w:pPr>
              <w:spacing w:after="0"/>
              <w:rPr>
                <w:sz w:val="1"/>
                <w:szCs w:val="1"/>
                <w:color w:val="auto"/>
              </w:rPr>
            </w:pPr>
          </w:p>
        </w:tc>
      </w:tr>
      <w:tr>
        <w:trPr>
          <w:trHeight w:val="20"/>
        </w:trPr>
        <w:tc>
          <w:tcPr>
            <w:tcW w:w="20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5"/>
        </w:trPr>
        <w:tc>
          <w:tcPr>
            <w:tcW w:w="20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4"/>
          </w:tcPr>
          <w:p>
            <w:pPr>
              <w:jc w:val="center"/>
              <w:ind w:right="440"/>
              <w:spacing w:after="0"/>
              <w:rPr>
                <w:sz w:val="20"/>
                <w:szCs w:val="20"/>
                <w:color w:val="auto"/>
              </w:rPr>
            </w:pPr>
            <w:r>
              <w:rPr>
                <w:rFonts w:ascii="Arial" w:cs="Arial" w:eastAsia="Arial" w:hAnsi="Arial"/>
                <w:sz w:val="16"/>
                <w:szCs w:val="16"/>
                <w:b w:val="1"/>
                <w:bCs w:val="1"/>
                <w:color w:val="auto"/>
              </w:rPr>
              <w:t>Nine Months Ended</w:t>
            </w:r>
          </w:p>
        </w:tc>
        <w:tc>
          <w:tcPr>
            <w:tcW w:w="1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ind w:right="119"/>
              <w:spacing w:after="0"/>
              <w:rPr>
                <w:sz w:val="20"/>
                <w:szCs w:val="20"/>
                <w:color w:val="auto"/>
              </w:rPr>
            </w:pPr>
            <w:r>
              <w:rPr>
                <w:rFonts w:ascii="Arial" w:cs="Arial" w:eastAsia="Arial" w:hAnsi="Arial"/>
                <w:sz w:val="16"/>
                <w:szCs w:val="16"/>
                <w:b w:val="1"/>
                <w:bCs w:val="1"/>
                <w:color w:val="auto"/>
              </w:rPr>
              <w:t>May 31, 2025</w:t>
            </w:r>
          </w:p>
        </w:tc>
        <w:tc>
          <w:tcPr>
            <w:tcW w:w="100" w:type="dxa"/>
            <w:vAlign w:val="bottom"/>
          </w:tcPr>
          <w:p>
            <w:pPr>
              <w:spacing w:after="0"/>
              <w:rPr>
                <w:sz w:val="18"/>
                <w:szCs w:val="18"/>
                <w:color w:val="auto"/>
              </w:rPr>
            </w:pPr>
          </w:p>
        </w:tc>
        <w:tc>
          <w:tcPr>
            <w:tcW w:w="1680" w:type="dxa"/>
            <w:vAlign w:val="bottom"/>
            <w:gridSpan w:val="3"/>
          </w:tcPr>
          <w:p>
            <w:pPr>
              <w:jc w:val="center"/>
              <w:ind w:right="179"/>
              <w:spacing w:after="0" w:line="210" w:lineRule="exact"/>
              <w:rPr>
                <w:sz w:val="20"/>
                <w:szCs w:val="20"/>
                <w:color w:val="auto"/>
              </w:rPr>
            </w:pPr>
            <w:r>
              <w:rPr>
                <w:rFonts w:ascii="Arial" w:cs="Arial" w:eastAsia="Arial" w:hAnsi="Arial"/>
                <w:sz w:val="16"/>
                <w:szCs w:val="16"/>
                <w:b w:val="1"/>
                <w:bCs w:val="1"/>
                <w:color w:val="auto"/>
                <w:w w:val="99"/>
              </w:rPr>
              <w:t>% of Revenues</w:t>
            </w:r>
            <w:r>
              <w:rPr>
                <w:rFonts w:ascii="Arial" w:cs="Arial" w:eastAsia="Arial" w:hAnsi="Arial"/>
                <w:sz w:val="21"/>
                <w:szCs w:val="21"/>
                <w:b w:val="1"/>
                <w:bCs w:val="1"/>
                <w:color w:val="auto"/>
                <w:w w:val="99"/>
                <w:vertAlign w:val="superscript"/>
              </w:rPr>
              <w:t>(1)</w:t>
            </w:r>
          </w:p>
        </w:tc>
        <w:tc>
          <w:tcPr>
            <w:tcW w:w="1280" w:type="dxa"/>
            <w:vAlign w:val="bottom"/>
          </w:tcPr>
          <w:p>
            <w:pPr>
              <w:jc w:val="right"/>
              <w:ind w:right="139"/>
              <w:spacing w:after="0"/>
              <w:rPr>
                <w:sz w:val="20"/>
                <w:szCs w:val="20"/>
                <w:color w:val="auto"/>
              </w:rPr>
            </w:pPr>
            <w:r>
              <w:rPr>
                <w:rFonts w:ascii="Arial" w:cs="Arial" w:eastAsia="Arial" w:hAnsi="Arial"/>
                <w:sz w:val="16"/>
                <w:szCs w:val="16"/>
                <w:b w:val="1"/>
                <w:bCs w:val="1"/>
                <w:color w:val="auto"/>
              </w:rPr>
              <w:t>May 25, 2024</w:t>
            </w:r>
          </w:p>
        </w:tc>
        <w:tc>
          <w:tcPr>
            <w:tcW w:w="100" w:type="dxa"/>
            <w:vAlign w:val="bottom"/>
          </w:tcPr>
          <w:p>
            <w:pPr>
              <w:spacing w:after="0"/>
              <w:rPr>
                <w:sz w:val="18"/>
                <w:szCs w:val="18"/>
                <w:color w:val="auto"/>
              </w:rPr>
            </w:pPr>
          </w:p>
        </w:tc>
        <w:tc>
          <w:tcPr>
            <w:tcW w:w="1500" w:type="dxa"/>
            <w:vAlign w:val="bottom"/>
            <w:gridSpan w:val="2"/>
          </w:tcPr>
          <w:p>
            <w:pPr>
              <w:jc w:val="center"/>
              <w:ind w:right="100"/>
              <w:spacing w:after="0" w:line="210" w:lineRule="exact"/>
              <w:rPr>
                <w:sz w:val="20"/>
                <w:szCs w:val="20"/>
                <w:color w:val="auto"/>
              </w:rPr>
            </w:pPr>
            <w:r>
              <w:rPr>
                <w:rFonts w:ascii="Arial" w:cs="Arial" w:eastAsia="Arial" w:hAnsi="Arial"/>
                <w:sz w:val="16"/>
                <w:szCs w:val="16"/>
                <w:b w:val="1"/>
                <w:bCs w:val="1"/>
                <w:color w:val="auto"/>
                <w:w w:val="97"/>
              </w:rPr>
              <w:t>% of Revenues</w:t>
            </w:r>
            <w:r>
              <w:rPr>
                <w:rFonts w:ascii="Arial" w:cs="Arial" w:eastAsia="Arial" w:hAnsi="Arial"/>
                <w:sz w:val="21"/>
                <w:szCs w:val="21"/>
                <w:b w:val="1"/>
                <w:bCs w:val="1"/>
                <w:color w:val="auto"/>
                <w:w w:val="97"/>
                <w:vertAlign w:val="superscript"/>
              </w:rPr>
              <w:t>(1)</w:t>
            </w:r>
          </w:p>
        </w:tc>
        <w:tc>
          <w:tcPr>
            <w:tcW w:w="140" w:type="dxa"/>
            <w:vAlign w:val="bottom"/>
          </w:tcPr>
          <w:p>
            <w:pPr>
              <w:spacing w:after="0"/>
              <w:rPr>
                <w:sz w:val="18"/>
                <w:szCs w:val="18"/>
                <w:color w:val="auto"/>
              </w:rPr>
            </w:pPr>
          </w:p>
        </w:tc>
        <w:tc>
          <w:tcPr>
            <w:tcW w:w="1240" w:type="dxa"/>
            <w:vAlign w:val="bottom"/>
            <w:gridSpan w:val="2"/>
          </w:tcPr>
          <w:p>
            <w:pPr>
              <w:jc w:val="center"/>
              <w:ind w:right="220"/>
              <w:spacing w:after="0" w:line="210" w:lineRule="exact"/>
              <w:rPr>
                <w:sz w:val="20"/>
                <w:szCs w:val="20"/>
                <w:color w:val="auto"/>
              </w:rPr>
            </w:pPr>
            <w:r>
              <w:rPr>
                <w:rFonts w:ascii="Arial" w:cs="Arial" w:eastAsia="Arial" w:hAnsi="Arial"/>
                <w:sz w:val="16"/>
                <w:szCs w:val="16"/>
                <w:b w:val="1"/>
                <w:bCs w:val="1"/>
                <w:color w:val="auto"/>
                <w:w w:val="96"/>
              </w:rPr>
              <w:t>$ Change</w:t>
            </w:r>
            <w:r>
              <w:rPr>
                <w:rFonts w:ascii="Arial" w:cs="Arial" w:eastAsia="Arial" w:hAnsi="Arial"/>
                <w:sz w:val="21"/>
                <w:szCs w:val="21"/>
                <w:b w:val="1"/>
                <w:bCs w:val="1"/>
                <w:color w:val="auto"/>
                <w:w w:val="96"/>
                <w:vertAlign w:val="superscript"/>
              </w:rPr>
              <w:t>(1)</w:t>
            </w:r>
          </w:p>
        </w:tc>
        <w:tc>
          <w:tcPr>
            <w:tcW w:w="1380" w:type="dxa"/>
            <w:vAlign w:val="bottom"/>
          </w:tcPr>
          <w:p>
            <w:pPr>
              <w:jc w:val="center"/>
              <w:spacing w:after="0" w:line="210" w:lineRule="exact"/>
              <w:rPr>
                <w:sz w:val="20"/>
                <w:szCs w:val="20"/>
                <w:color w:val="auto"/>
              </w:rPr>
            </w:pPr>
            <w:r>
              <w:rPr>
                <w:rFonts w:ascii="Arial" w:cs="Arial" w:eastAsia="Arial" w:hAnsi="Arial"/>
                <w:sz w:val="16"/>
                <w:szCs w:val="16"/>
                <w:b w:val="1"/>
                <w:bCs w:val="1"/>
                <w:color w:val="auto"/>
                <w:w w:val="95"/>
              </w:rPr>
              <w:t>% Change</w:t>
            </w:r>
            <w:r>
              <w:rPr>
                <w:rFonts w:ascii="Arial" w:cs="Arial" w:eastAsia="Arial" w:hAnsi="Arial"/>
                <w:sz w:val="21"/>
                <w:szCs w:val="21"/>
                <w:b w:val="1"/>
                <w:bCs w:val="1"/>
                <w:color w:val="auto"/>
                <w:w w:val="95"/>
                <w:vertAlign w:val="superscript"/>
              </w:rPr>
              <w:t>(1)</w:t>
            </w:r>
          </w:p>
        </w:tc>
        <w:tc>
          <w:tcPr>
            <w:tcW w:w="0" w:type="dxa"/>
            <w:vAlign w:val="bottom"/>
          </w:tcPr>
          <w:p>
            <w:pPr>
              <w:spacing w:after="0"/>
              <w:rPr>
                <w:sz w:val="1"/>
                <w:szCs w:val="1"/>
                <w:color w:val="auto"/>
              </w:rPr>
            </w:pPr>
          </w:p>
        </w:tc>
      </w:tr>
      <w:tr>
        <w:trPr>
          <w:trHeight w:val="210"/>
        </w:trPr>
        <w:tc>
          <w:tcPr>
            <w:tcW w:w="20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913.9</w:t>
            </w:r>
          </w:p>
        </w:tc>
        <w:tc>
          <w:tcPr>
            <w:tcW w:w="10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1,001.8</w:t>
            </w:r>
          </w:p>
        </w:tc>
        <w:tc>
          <w:tcPr>
            <w:tcW w:w="1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(87.9)</w:t>
            </w:r>
          </w:p>
        </w:tc>
        <w:tc>
          <w:tcPr>
            <w:tcW w:w="1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w:t>
            </w:r>
          </w:p>
        </w:tc>
        <w:tc>
          <w:tcPr>
            <w:tcW w:w="0" w:type="dxa"/>
            <w:vAlign w:val="bottom"/>
          </w:tcPr>
          <w:p>
            <w:pPr>
              <w:spacing w:after="0"/>
              <w:rPr>
                <w:sz w:val="1"/>
                <w:szCs w:val="1"/>
                <w:color w:val="auto"/>
              </w:rPr>
            </w:pPr>
          </w:p>
        </w:tc>
      </w:tr>
      <w:tr>
        <w:trPr>
          <w:trHeight w:val="215"/>
        </w:trPr>
        <w:tc>
          <w:tcPr>
            <w:tcW w:w="2080" w:type="dxa"/>
            <w:vAlign w:val="bottom"/>
          </w:tcPr>
          <w:p>
            <w:pPr>
              <w:ind w:left="20"/>
              <w:spacing w:after="0"/>
              <w:rPr>
                <w:sz w:val="20"/>
                <w:szCs w:val="20"/>
                <w:color w:val="auto"/>
              </w:rPr>
            </w:pPr>
            <w:r>
              <w:rPr>
                <w:rFonts w:ascii="Arial" w:cs="Arial" w:eastAsia="Arial" w:hAnsi="Arial"/>
                <w:sz w:val="16"/>
                <w:szCs w:val="16"/>
                <w:color w:val="auto"/>
              </w:rPr>
              <w:t>Adjusted EBITDA</w:t>
            </w: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66.0</w:t>
            </w:r>
          </w:p>
        </w:tc>
        <w:tc>
          <w:tcPr>
            <w:tcW w:w="1520" w:type="dxa"/>
            <w:vAlign w:val="bottom"/>
            <w:gridSpan w:val="2"/>
          </w:tcPr>
          <w:p>
            <w:pPr>
              <w:jc w:val="right"/>
              <w:spacing w:after="0"/>
              <w:rPr>
                <w:sz w:val="20"/>
                <w:szCs w:val="20"/>
                <w:color w:val="auto"/>
              </w:rPr>
            </w:pPr>
            <w:r>
              <w:rPr>
                <w:rFonts w:ascii="Arial" w:cs="Arial" w:eastAsia="Arial" w:hAnsi="Arial"/>
                <w:sz w:val="16"/>
                <w:szCs w:val="16"/>
                <w:color w:val="auto"/>
              </w:rPr>
              <w:t>7.2 %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101.8</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10.2 %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(35.9)</w:t>
            </w: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(35.2)%</w:t>
            </w:r>
          </w:p>
        </w:tc>
        <w:tc>
          <w:tcPr>
            <w:tcW w:w="0" w:type="dxa"/>
            <w:vAlign w:val="bottom"/>
          </w:tcPr>
          <w:p>
            <w:pPr>
              <w:spacing w:after="0"/>
              <w:rPr>
                <w:sz w:val="1"/>
                <w:szCs w:val="1"/>
                <w:color w:val="auto"/>
              </w:rPr>
            </w:pPr>
          </w:p>
        </w:tc>
      </w:tr>
      <w:tr>
        <w:trPr>
          <w:trHeight w:val="379"/>
        </w:trPr>
        <w:tc>
          <w:tcPr>
            <w:tcW w:w="20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4"/>
          </w:tcPr>
          <w:p>
            <w:pPr>
              <w:jc w:val="center"/>
              <w:ind w:right="440"/>
              <w:spacing w:after="0"/>
              <w:rPr>
                <w:sz w:val="20"/>
                <w:szCs w:val="20"/>
                <w:color w:val="auto"/>
              </w:rPr>
            </w:pPr>
            <w:r>
              <w:rPr>
                <w:rFonts w:ascii="Arial" w:cs="Arial" w:eastAsia="Arial" w:hAnsi="Arial"/>
                <w:sz w:val="16"/>
                <w:szCs w:val="16"/>
                <w:b w:val="1"/>
                <w:bCs w:val="1"/>
                <w:color w:val="auto"/>
              </w:rPr>
              <w:t>Nine Months Ended</w:t>
            </w:r>
          </w:p>
        </w:tc>
        <w:tc>
          <w:tcPr>
            <w:tcW w:w="1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80" w:type="dxa"/>
            <w:vAlign w:val="bottom"/>
          </w:tcPr>
          <w:p>
            <w:pPr>
              <w:ind w:left="20"/>
              <w:spacing w:after="0"/>
              <w:rPr>
                <w:sz w:val="20"/>
                <w:szCs w:val="20"/>
                <w:color w:val="auto"/>
              </w:rPr>
            </w:pPr>
            <w:r>
              <w:rPr>
                <w:rFonts w:ascii="Arial" w:cs="Arial" w:eastAsia="Arial" w:hAnsi="Arial"/>
                <w:sz w:val="16"/>
                <w:szCs w:val="16"/>
                <w:b w:val="1"/>
                <w:bCs w:val="1"/>
                <w:color w:val="auto"/>
              </w:rPr>
              <w:t>Unit deliveries</w:t>
            </w:r>
          </w:p>
        </w:tc>
        <w:tc>
          <w:tcPr>
            <w:tcW w:w="160" w:type="dxa"/>
            <w:vAlign w:val="bottom"/>
          </w:tcPr>
          <w:p>
            <w:pPr>
              <w:spacing w:after="0"/>
              <w:rPr>
                <w:sz w:val="21"/>
                <w:szCs w:val="21"/>
                <w:color w:val="auto"/>
              </w:rPr>
            </w:pPr>
          </w:p>
        </w:tc>
        <w:tc>
          <w:tcPr>
            <w:tcW w:w="1260" w:type="dxa"/>
            <w:vAlign w:val="bottom"/>
          </w:tcPr>
          <w:p>
            <w:pPr>
              <w:jc w:val="right"/>
              <w:ind w:right="119"/>
              <w:spacing w:after="0"/>
              <w:rPr>
                <w:sz w:val="20"/>
                <w:szCs w:val="20"/>
                <w:color w:val="auto"/>
              </w:rPr>
            </w:pPr>
            <w:r>
              <w:rPr>
                <w:rFonts w:ascii="Arial" w:cs="Arial" w:eastAsia="Arial" w:hAnsi="Arial"/>
                <w:sz w:val="16"/>
                <w:szCs w:val="16"/>
                <w:b w:val="1"/>
                <w:bCs w:val="1"/>
                <w:color w:val="auto"/>
              </w:rPr>
              <w:t>May 31, 2025</w:t>
            </w:r>
          </w:p>
        </w:tc>
        <w:tc>
          <w:tcPr>
            <w:tcW w:w="100" w:type="dxa"/>
            <w:vAlign w:val="bottom"/>
          </w:tcPr>
          <w:p>
            <w:pPr>
              <w:spacing w:after="0"/>
              <w:rPr>
                <w:sz w:val="21"/>
                <w:szCs w:val="21"/>
                <w:color w:val="auto"/>
              </w:rPr>
            </w:pPr>
          </w:p>
        </w:tc>
        <w:tc>
          <w:tcPr>
            <w:tcW w:w="1680" w:type="dxa"/>
            <w:vAlign w:val="bottom"/>
            <w:gridSpan w:val="3"/>
          </w:tcPr>
          <w:p>
            <w:pPr>
              <w:jc w:val="center"/>
              <w:ind w:right="179"/>
              <w:spacing w:after="0"/>
              <w:rPr>
                <w:sz w:val="20"/>
                <w:szCs w:val="20"/>
                <w:color w:val="auto"/>
              </w:rPr>
            </w:pPr>
            <w:r>
              <w:rPr>
                <w:rFonts w:ascii="Arial" w:cs="Arial" w:eastAsia="Arial" w:hAnsi="Arial"/>
                <w:sz w:val="16"/>
                <w:szCs w:val="16"/>
                <w:b w:val="1"/>
                <w:bCs w:val="1"/>
                <w:color w:val="auto"/>
                <w:w w:val="97"/>
              </w:rPr>
              <w:t>Product Mix</w:t>
            </w:r>
            <w:r>
              <w:rPr>
                <w:rFonts w:ascii="Arial" w:cs="Arial" w:eastAsia="Arial" w:hAnsi="Arial"/>
                <w:sz w:val="21"/>
                <w:szCs w:val="21"/>
                <w:b w:val="1"/>
                <w:bCs w:val="1"/>
                <w:color w:val="auto"/>
                <w:w w:val="97"/>
                <w:vertAlign w:val="superscript"/>
              </w:rPr>
              <w:t>(2)</w:t>
            </w:r>
          </w:p>
        </w:tc>
        <w:tc>
          <w:tcPr>
            <w:tcW w:w="1280" w:type="dxa"/>
            <w:vAlign w:val="bottom"/>
          </w:tcPr>
          <w:p>
            <w:pPr>
              <w:jc w:val="right"/>
              <w:ind w:right="139"/>
              <w:spacing w:after="0"/>
              <w:rPr>
                <w:sz w:val="20"/>
                <w:szCs w:val="20"/>
                <w:color w:val="auto"/>
              </w:rPr>
            </w:pPr>
            <w:r>
              <w:rPr>
                <w:rFonts w:ascii="Arial" w:cs="Arial" w:eastAsia="Arial" w:hAnsi="Arial"/>
                <w:sz w:val="16"/>
                <w:szCs w:val="16"/>
                <w:b w:val="1"/>
                <w:bCs w:val="1"/>
                <w:color w:val="auto"/>
              </w:rPr>
              <w:t>May 25, 2024</w:t>
            </w:r>
          </w:p>
        </w:tc>
        <w:tc>
          <w:tcPr>
            <w:tcW w:w="100" w:type="dxa"/>
            <w:vAlign w:val="bottom"/>
          </w:tcPr>
          <w:p>
            <w:pPr>
              <w:spacing w:after="0"/>
              <w:rPr>
                <w:sz w:val="21"/>
                <w:szCs w:val="21"/>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5"/>
              </w:rPr>
              <w:t>Product Mix</w:t>
            </w:r>
            <w:r>
              <w:rPr>
                <w:rFonts w:ascii="Arial" w:cs="Arial" w:eastAsia="Arial" w:hAnsi="Arial"/>
                <w:sz w:val="21"/>
                <w:szCs w:val="21"/>
                <w:b w:val="1"/>
                <w:bCs w:val="1"/>
                <w:color w:val="auto"/>
                <w:w w:val="95"/>
                <w:vertAlign w:val="superscript"/>
              </w:rPr>
              <w:t>(2)</w:t>
            </w:r>
          </w:p>
        </w:tc>
        <w:tc>
          <w:tcPr>
            <w:tcW w:w="140" w:type="dxa"/>
            <w:vAlign w:val="bottom"/>
          </w:tcPr>
          <w:p>
            <w:pPr>
              <w:spacing w:after="0"/>
              <w:rPr>
                <w:sz w:val="21"/>
                <w:szCs w:val="21"/>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Unit Change</w:t>
            </w:r>
          </w:p>
        </w:tc>
        <w:tc>
          <w:tcPr>
            <w:tcW w:w="1380" w:type="dxa"/>
            <w:vAlign w:val="bottom"/>
          </w:tcPr>
          <w:p>
            <w:pPr>
              <w:jc w:val="center"/>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09"/>
        </w:trPr>
        <w:tc>
          <w:tcPr>
            <w:tcW w:w="20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Travel trailer</w:t>
            </w:r>
          </w:p>
        </w:tc>
        <w:tc>
          <w:tcPr>
            <w:tcW w:w="16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16,034</w:t>
            </w:r>
          </w:p>
        </w:tc>
        <w:tc>
          <w:tcPr>
            <w:tcW w:w="10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68.7 %</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15,987</w:t>
            </w:r>
          </w:p>
        </w:tc>
        <w:tc>
          <w:tcPr>
            <w:tcW w:w="1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67.0 %</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1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0.3 %</w:t>
            </w:r>
          </w:p>
        </w:tc>
        <w:tc>
          <w:tcPr>
            <w:tcW w:w="0" w:type="dxa"/>
            <w:vAlign w:val="bottom"/>
          </w:tcPr>
          <w:p>
            <w:pPr>
              <w:spacing w:after="0"/>
              <w:rPr>
                <w:sz w:val="1"/>
                <w:szCs w:val="1"/>
                <w:color w:val="auto"/>
              </w:rPr>
            </w:pPr>
          </w:p>
        </w:tc>
      </w:tr>
      <w:tr>
        <w:trPr>
          <w:trHeight w:val="215"/>
        </w:trPr>
        <w:tc>
          <w:tcPr>
            <w:tcW w:w="2080" w:type="dxa"/>
            <w:vAlign w:val="bottom"/>
          </w:tcPr>
          <w:p>
            <w:pPr>
              <w:ind w:left="20"/>
              <w:spacing w:after="0"/>
              <w:rPr>
                <w:sz w:val="20"/>
                <w:szCs w:val="20"/>
                <w:color w:val="auto"/>
              </w:rPr>
            </w:pPr>
            <w:r>
              <w:rPr>
                <w:rFonts w:ascii="Arial" w:cs="Arial" w:eastAsia="Arial" w:hAnsi="Arial"/>
                <w:sz w:val="16"/>
                <w:szCs w:val="16"/>
                <w:color w:val="auto"/>
              </w:rPr>
              <w:t>Fifth wheel</w:t>
            </w: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7,302</w:t>
            </w:r>
          </w:p>
        </w:tc>
        <w:tc>
          <w:tcPr>
            <w:tcW w:w="1520" w:type="dxa"/>
            <w:vAlign w:val="bottom"/>
            <w:gridSpan w:val="2"/>
          </w:tcPr>
          <w:p>
            <w:pPr>
              <w:jc w:val="right"/>
              <w:spacing w:after="0"/>
              <w:rPr>
                <w:sz w:val="20"/>
                <w:szCs w:val="20"/>
                <w:color w:val="auto"/>
              </w:rPr>
            </w:pPr>
            <w:r>
              <w:rPr>
                <w:rFonts w:ascii="Arial" w:cs="Arial" w:eastAsia="Arial" w:hAnsi="Arial"/>
                <w:sz w:val="16"/>
                <w:szCs w:val="16"/>
                <w:color w:val="auto"/>
              </w:rPr>
              <w:t>31.3 %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7,869</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33.0 %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(567)</w:t>
            </w: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(7.2)%</w:t>
            </w:r>
          </w:p>
        </w:tc>
        <w:tc>
          <w:tcPr>
            <w:tcW w:w="0" w:type="dxa"/>
            <w:vAlign w:val="bottom"/>
          </w:tcPr>
          <w:p>
            <w:pPr>
              <w:spacing w:after="0"/>
              <w:rPr>
                <w:sz w:val="1"/>
                <w:szCs w:val="1"/>
                <w:color w:val="auto"/>
              </w:rPr>
            </w:pPr>
          </w:p>
        </w:tc>
      </w:tr>
      <w:tr>
        <w:trPr>
          <w:trHeight w:val="235"/>
        </w:trPr>
        <w:tc>
          <w:tcPr>
            <w:tcW w:w="208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 Towable RV</w:t>
            </w: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23,336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23,856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0"/>
        </w:trPr>
        <w:tc>
          <w:tcPr>
            <w:tcW w:w="20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Dealer Inventory</w:t>
            </w:r>
            <w:r>
              <w:rPr>
                <w:rFonts w:ascii="Arial" w:cs="Arial" w:eastAsia="Arial" w:hAnsi="Arial"/>
                <w:sz w:val="21"/>
                <w:szCs w:val="21"/>
                <w:b w:val="1"/>
                <w:bCs w:val="1"/>
                <w:color w:val="auto"/>
                <w:vertAlign w:val="superscript"/>
              </w:rPr>
              <w:t>(3)</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5"/>
        </w:trPr>
        <w:tc>
          <w:tcPr>
            <w:tcW w:w="20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jc w:val="right"/>
              <w:ind w:right="119"/>
              <w:spacing w:after="0"/>
              <w:rPr>
                <w:sz w:val="20"/>
                <w:szCs w:val="20"/>
                <w:color w:val="auto"/>
              </w:rPr>
            </w:pPr>
            <w:r>
              <w:rPr>
                <w:rFonts w:ascii="Arial" w:cs="Arial" w:eastAsia="Arial" w:hAnsi="Arial"/>
                <w:sz w:val="16"/>
                <w:szCs w:val="16"/>
                <w:b w:val="1"/>
                <w:bCs w:val="1"/>
                <w:color w:val="auto"/>
              </w:rPr>
              <w:t>May 31, 2025</w:t>
            </w: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jc w:val="right"/>
              <w:ind w:right="139"/>
              <w:spacing w:after="0"/>
              <w:rPr>
                <w:sz w:val="20"/>
                <w:szCs w:val="20"/>
                <w:color w:val="auto"/>
              </w:rPr>
            </w:pPr>
            <w:r>
              <w:rPr>
                <w:rFonts w:ascii="Arial" w:cs="Arial" w:eastAsia="Arial" w:hAnsi="Arial"/>
                <w:sz w:val="16"/>
                <w:szCs w:val="16"/>
                <w:b w:val="1"/>
                <w:bCs w:val="1"/>
                <w:color w:val="auto"/>
              </w:rPr>
              <w:t>May 25, 2024</w:t>
            </w: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Unit Change</w:t>
            </w:r>
          </w:p>
        </w:tc>
        <w:tc>
          <w:tcPr>
            <w:tcW w:w="1380" w:type="dxa"/>
            <w:vAlign w:val="bottom"/>
          </w:tcPr>
          <w:p>
            <w:pPr>
              <w:jc w:val="center"/>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10"/>
        </w:trPr>
        <w:tc>
          <w:tcPr>
            <w:tcW w:w="2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Units</w:t>
            </w:r>
          </w:p>
        </w:tc>
        <w:tc>
          <w:tcPr>
            <w:tcW w:w="16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17,747</w:t>
            </w:r>
          </w:p>
        </w:tc>
        <w:tc>
          <w:tcPr>
            <w:tcW w:w="10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18,110</w:t>
            </w:r>
          </w:p>
        </w:tc>
        <w:tc>
          <w:tcPr>
            <w:tcW w:w="1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(363)</w:t>
            </w:r>
          </w:p>
        </w:tc>
        <w:tc>
          <w:tcPr>
            <w:tcW w:w="1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bl>
    <w:p>
      <w:pPr>
        <w:spacing w:after="0" w:line="126" w:lineRule="exact"/>
        <w:rPr>
          <w:sz w:val="20"/>
          <w:szCs w:val="20"/>
          <w:color w:val="auto"/>
        </w:rPr>
      </w:pPr>
    </w:p>
    <w:p>
      <w:pPr>
        <w:ind w:left="272" w:hanging="272"/>
        <w:spacing w:after="0"/>
        <w:tabs>
          <w:tab w:leader="none" w:pos="272" w:val="left"/>
        </w:tabs>
        <w:numPr>
          <w:ilvl w:val="0"/>
          <w:numId w:val="8"/>
        </w:numPr>
        <w:rPr>
          <w:rFonts w:ascii="Arial" w:cs="Arial" w:eastAsia="Arial" w:hAnsi="Arial"/>
          <w:sz w:val="9"/>
          <w:szCs w:val="9"/>
          <w:color w:val="auto"/>
        </w:rPr>
      </w:pPr>
      <w:r>
        <w:rPr>
          <w:rFonts w:ascii="Arial" w:cs="Arial" w:eastAsia="Arial" w:hAnsi="Arial"/>
          <w:sz w:val="14"/>
          <w:szCs w:val="14"/>
          <w:color w:val="auto"/>
        </w:rPr>
        <w:t>Amounts are calculated based on unrounded numbers and therefore may not recalculate using the rounded numbers provided.</w:t>
      </w:r>
    </w:p>
    <w:p>
      <w:pPr>
        <w:spacing w:after="0" w:line="40" w:lineRule="exact"/>
        <w:rPr>
          <w:rFonts w:ascii="Arial" w:cs="Arial" w:eastAsia="Arial" w:hAnsi="Arial"/>
          <w:sz w:val="9"/>
          <w:szCs w:val="9"/>
          <w:color w:val="auto"/>
        </w:rPr>
      </w:pPr>
    </w:p>
    <w:p>
      <w:pPr>
        <w:ind w:left="272" w:hanging="272"/>
        <w:spacing w:after="0"/>
        <w:tabs>
          <w:tab w:leader="none" w:pos="272" w:val="left"/>
        </w:tabs>
        <w:numPr>
          <w:ilvl w:val="0"/>
          <w:numId w:val="8"/>
        </w:numPr>
        <w:rPr>
          <w:rFonts w:ascii="Arial" w:cs="Arial" w:eastAsia="Arial" w:hAnsi="Arial"/>
          <w:sz w:val="19"/>
          <w:szCs w:val="19"/>
          <w:color w:val="auto"/>
          <w:vertAlign w:val="superscript"/>
        </w:rPr>
      </w:pPr>
      <w:r>
        <w:rPr>
          <w:rFonts w:ascii="Arial" w:cs="Arial" w:eastAsia="Arial" w:hAnsi="Arial"/>
          <w:sz w:val="14"/>
          <w:szCs w:val="14"/>
          <w:color w:val="auto"/>
        </w:rPr>
        <w:t>Percentages may not add due to rounding differences.</w:t>
      </w:r>
    </w:p>
    <w:p>
      <w:pPr>
        <w:spacing w:after="0" w:line="53" w:lineRule="exact"/>
        <w:rPr>
          <w:rFonts w:ascii="Arial" w:cs="Arial" w:eastAsia="Arial" w:hAnsi="Arial"/>
          <w:sz w:val="19"/>
          <w:szCs w:val="19"/>
          <w:color w:val="auto"/>
          <w:vertAlign w:val="superscript"/>
        </w:rPr>
      </w:pPr>
    </w:p>
    <w:p>
      <w:pPr>
        <w:ind w:left="292" w:hanging="292"/>
        <w:spacing w:after="0" w:line="183" w:lineRule="auto"/>
        <w:tabs>
          <w:tab w:leader="none" w:pos="292" w:val="left"/>
        </w:tabs>
        <w:numPr>
          <w:ilvl w:val="0"/>
          <w:numId w:val="8"/>
        </w:numPr>
        <w:rPr>
          <w:rFonts w:ascii="Arial" w:cs="Arial" w:eastAsia="Arial" w:hAnsi="Arial"/>
          <w:sz w:val="20"/>
          <w:szCs w:val="20"/>
          <w:color w:val="auto"/>
          <w:vertAlign w:val="superscript"/>
        </w:rPr>
      </w:pPr>
      <w:r>
        <w:rPr>
          <w:rFonts w:ascii="Arial" w:cs="Arial" w:eastAsia="Arial" w:hAnsi="Arial"/>
          <w:sz w:val="14"/>
          <w:szCs w:val="14"/>
          <w:color w:val="auto"/>
        </w:rPr>
        <w:t>Data is based on the latest information available from our dealer partners and is subject to timing of reporting and other limitations.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51"/>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072"/>
          </w:cols>
          <w:pgMar w:left="328" w:top="854" w:right="499" w:bottom="1440" w:gutter="0" w:footer="0" w:header="0"/>
        </w:sectPr>
      </w:pPr>
    </w:p>
    <w:bookmarkStart w:id="14" w:name="page15"/>
    <w:bookmarkEnd w:id="14"/>
    <w:p>
      <w:pPr>
        <w:jc w:val="center"/>
        <w:ind w:right="-171"/>
        <w:spacing w:after="0"/>
        <w:rPr>
          <w:sz w:val="20"/>
          <w:szCs w:val="20"/>
          <w:color w:val="auto"/>
        </w:rPr>
      </w:pPr>
      <w:r>
        <w:rPr>
          <w:rFonts w:ascii="Arial" w:cs="Arial" w:eastAsia="Arial" w:hAnsi="Arial"/>
          <w:sz w:val="16"/>
          <w:szCs w:val="16"/>
          <w:b w:val="1"/>
          <w:bCs w:val="1"/>
          <w:color w:val="auto"/>
        </w:rPr>
        <w:t>Winnebago Industries, Inc.</w:t>
      </w:r>
    </w:p>
    <w:p>
      <w:pPr>
        <w:spacing w:after="0" w:line="21" w:lineRule="exact"/>
        <w:rPr>
          <w:sz w:val="20"/>
          <w:szCs w:val="20"/>
          <w:color w:val="auto"/>
        </w:rPr>
      </w:pPr>
    </w:p>
    <w:p>
      <w:pPr>
        <w:jc w:val="center"/>
        <w:ind w:right="-171"/>
        <w:spacing w:after="0"/>
        <w:rPr>
          <w:sz w:val="20"/>
          <w:szCs w:val="20"/>
          <w:color w:val="auto"/>
        </w:rPr>
      </w:pPr>
      <w:r>
        <w:rPr>
          <w:rFonts w:ascii="Arial" w:cs="Arial" w:eastAsia="Arial" w:hAnsi="Arial"/>
          <w:sz w:val="16"/>
          <w:szCs w:val="16"/>
          <w:b w:val="1"/>
          <w:bCs w:val="1"/>
          <w:color w:val="auto"/>
        </w:rPr>
        <w:t>Supplemental Information by Reportable Segment - Motorhome RV</w:t>
      </w:r>
    </w:p>
    <w:p>
      <w:pPr>
        <w:spacing w:after="0" w:line="19" w:lineRule="exact"/>
        <w:rPr>
          <w:sz w:val="20"/>
          <w:szCs w:val="20"/>
          <w:color w:val="auto"/>
        </w:rPr>
      </w:pPr>
    </w:p>
    <w:p>
      <w:pPr>
        <w:jc w:val="center"/>
        <w:ind w:right="-171"/>
        <w:spacing w:after="0"/>
        <w:rPr>
          <w:sz w:val="20"/>
          <w:szCs w:val="20"/>
          <w:color w:val="auto"/>
        </w:rPr>
      </w:pPr>
      <w:r>
        <w:rPr>
          <w:rFonts w:ascii="Arial" w:cs="Arial" w:eastAsia="Arial" w:hAnsi="Arial"/>
          <w:sz w:val="16"/>
          <w:szCs w:val="16"/>
          <w:b w:val="1"/>
          <w:bCs w:val="1"/>
          <w:color w:val="auto"/>
        </w:rPr>
        <w:t>(in millions, except unit data)</w:t>
      </w:r>
    </w:p>
    <w:p>
      <w:pPr>
        <w:spacing w:after="0" w:line="5" w:lineRule="exact"/>
        <w:rPr>
          <w:sz w:val="20"/>
          <w:szCs w:val="20"/>
          <w:color w:val="auto"/>
        </w:rPr>
      </w:pPr>
    </w:p>
    <w:p>
      <w:pPr>
        <w:jc w:val="center"/>
        <w:ind w:right="-171"/>
        <w:spacing w:after="0"/>
        <w:rPr>
          <w:sz w:val="20"/>
          <w:szCs w:val="20"/>
          <w:color w:val="auto"/>
        </w:rPr>
      </w:pPr>
      <w:r>
        <w:rPr>
          <w:rFonts w:ascii="Arial" w:cs="Arial" w:eastAsia="Arial" w:hAnsi="Arial"/>
          <w:sz w:val="16"/>
          <w:szCs w:val="16"/>
          <w:b w:val="1"/>
          <w:bCs w:val="1"/>
          <w:color w:val="auto"/>
        </w:rPr>
        <w:t>(Unaudited and subject to reclassification)</w:t>
      </w:r>
    </w:p>
    <w:p>
      <w:pPr>
        <w:spacing w:after="0" w:line="43" w:lineRule="exact"/>
        <w:rPr>
          <w:sz w:val="20"/>
          <w:szCs w:val="20"/>
          <w:color w:val="auto"/>
        </w:rPr>
      </w:pPr>
    </w:p>
    <w:tbl>
      <w:tblPr>
        <w:tblLayout w:type="fixed"/>
        <w:tblInd w:w="192" w:type="dxa"/>
        <w:tblCellMar>
          <w:top w:w="0" w:type="dxa"/>
          <w:left w:w="0" w:type="dxa"/>
          <w:bottom w:w="0" w:type="dxa"/>
          <w:right w:w="0" w:type="dxa"/>
        </w:tblCellMar>
      </w:tblPr>
      <w:tr>
        <w:trPr>
          <w:trHeight w:val="217"/>
        </w:trPr>
        <w:tc>
          <w:tcPr>
            <w:tcW w:w="20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4"/>
          </w:tcPr>
          <w:p>
            <w:pPr>
              <w:jc w:val="center"/>
              <w:ind w:right="440"/>
              <w:spacing w:after="0"/>
              <w:rPr>
                <w:sz w:val="20"/>
                <w:szCs w:val="20"/>
                <w:color w:val="auto"/>
              </w:rPr>
            </w:pPr>
            <w:r>
              <w:rPr>
                <w:rFonts w:ascii="Arial" w:cs="Arial" w:eastAsia="Arial" w:hAnsi="Arial"/>
                <w:sz w:val="16"/>
                <w:szCs w:val="16"/>
                <w:b w:val="1"/>
                <w:bCs w:val="1"/>
                <w:color w:val="auto"/>
              </w:rPr>
              <w:t>Three Months Ended</w:t>
            </w: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ind w:right="139"/>
              <w:spacing w:after="0"/>
              <w:rPr>
                <w:sz w:val="20"/>
                <w:szCs w:val="20"/>
                <w:color w:val="auto"/>
              </w:rPr>
            </w:pPr>
            <w:r>
              <w:rPr>
                <w:rFonts w:ascii="Arial" w:cs="Arial" w:eastAsia="Arial" w:hAnsi="Arial"/>
                <w:sz w:val="16"/>
                <w:szCs w:val="16"/>
                <w:b w:val="1"/>
                <w:bCs w:val="1"/>
                <w:color w:val="auto"/>
              </w:rPr>
              <w:t>May 31, 2025</w:t>
            </w:r>
          </w:p>
        </w:tc>
        <w:tc>
          <w:tcPr>
            <w:tcW w:w="80" w:type="dxa"/>
            <w:vAlign w:val="bottom"/>
          </w:tcPr>
          <w:p>
            <w:pPr>
              <w:spacing w:after="0"/>
              <w:rPr>
                <w:sz w:val="18"/>
                <w:szCs w:val="18"/>
                <w:color w:val="auto"/>
              </w:rPr>
            </w:pPr>
          </w:p>
        </w:tc>
        <w:tc>
          <w:tcPr>
            <w:tcW w:w="1680" w:type="dxa"/>
            <w:vAlign w:val="bottom"/>
            <w:gridSpan w:val="3"/>
          </w:tcPr>
          <w:p>
            <w:pPr>
              <w:jc w:val="center"/>
              <w:ind w:right="179"/>
              <w:spacing w:after="0" w:line="210" w:lineRule="exact"/>
              <w:rPr>
                <w:sz w:val="20"/>
                <w:szCs w:val="20"/>
                <w:color w:val="auto"/>
              </w:rPr>
            </w:pPr>
            <w:r>
              <w:rPr>
                <w:rFonts w:ascii="Arial" w:cs="Arial" w:eastAsia="Arial" w:hAnsi="Arial"/>
                <w:sz w:val="16"/>
                <w:szCs w:val="16"/>
                <w:b w:val="1"/>
                <w:bCs w:val="1"/>
                <w:color w:val="auto"/>
                <w:w w:val="99"/>
              </w:rPr>
              <w:t>% of Revenues</w:t>
            </w:r>
            <w:r>
              <w:rPr>
                <w:rFonts w:ascii="Arial" w:cs="Arial" w:eastAsia="Arial" w:hAnsi="Arial"/>
                <w:sz w:val="21"/>
                <w:szCs w:val="21"/>
                <w:b w:val="1"/>
                <w:bCs w:val="1"/>
                <w:color w:val="auto"/>
                <w:w w:val="99"/>
                <w:vertAlign w:val="superscript"/>
              </w:rPr>
              <w:t>(1)</w:t>
            </w:r>
          </w:p>
        </w:tc>
        <w:tc>
          <w:tcPr>
            <w:tcW w:w="1280" w:type="dxa"/>
            <w:vAlign w:val="bottom"/>
          </w:tcPr>
          <w:p>
            <w:pPr>
              <w:jc w:val="right"/>
              <w:ind w:right="159"/>
              <w:spacing w:after="0"/>
              <w:rPr>
                <w:sz w:val="20"/>
                <w:szCs w:val="20"/>
                <w:color w:val="auto"/>
              </w:rPr>
            </w:pPr>
            <w:r>
              <w:rPr>
                <w:rFonts w:ascii="Arial" w:cs="Arial" w:eastAsia="Arial" w:hAnsi="Arial"/>
                <w:sz w:val="16"/>
                <w:szCs w:val="16"/>
                <w:b w:val="1"/>
                <w:bCs w:val="1"/>
                <w:color w:val="auto"/>
              </w:rPr>
              <w:t>May 25, 2024</w:t>
            </w:r>
          </w:p>
        </w:tc>
        <w:tc>
          <w:tcPr>
            <w:tcW w:w="80" w:type="dxa"/>
            <w:vAlign w:val="bottom"/>
          </w:tcPr>
          <w:p>
            <w:pPr>
              <w:spacing w:after="0"/>
              <w:rPr>
                <w:sz w:val="18"/>
                <w:szCs w:val="18"/>
                <w:color w:val="auto"/>
              </w:rPr>
            </w:pPr>
          </w:p>
        </w:tc>
        <w:tc>
          <w:tcPr>
            <w:tcW w:w="1520" w:type="dxa"/>
            <w:vAlign w:val="bottom"/>
            <w:gridSpan w:val="2"/>
          </w:tcPr>
          <w:p>
            <w:pPr>
              <w:jc w:val="center"/>
              <w:ind w:right="120"/>
              <w:spacing w:after="0" w:line="210" w:lineRule="exact"/>
              <w:rPr>
                <w:sz w:val="20"/>
                <w:szCs w:val="20"/>
                <w:color w:val="auto"/>
              </w:rPr>
            </w:pPr>
            <w:r>
              <w:rPr>
                <w:rFonts w:ascii="Arial" w:cs="Arial" w:eastAsia="Arial" w:hAnsi="Arial"/>
                <w:sz w:val="16"/>
                <w:szCs w:val="16"/>
                <w:b w:val="1"/>
                <w:bCs w:val="1"/>
                <w:color w:val="auto"/>
                <w:w w:val="97"/>
              </w:rPr>
              <w:t>% of Revenues</w:t>
            </w:r>
            <w:r>
              <w:rPr>
                <w:rFonts w:ascii="Arial" w:cs="Arial" w:eastAsia="Arial" w:hAnsi="Arial"/>
                <w:sz w:val="21"/>
                <w:szCs w:val="21"/>
                <w:b w:val="1"/>
                <w:bCs w:val="1"/>
                <w:color w:val="auto"/>
                <w:w w:val="97"/>
                <w:vertAlign w:val="superscript"/>
              </w:rPr>
              <w:t>(1)</w:t>
            </w:r>
          </w:p>
        </w:tc>
        <w:tc>
          <w:tcPr>
            <w:tcW w:w="120" w:type="dxa"/>
            <w:vAlign w:val="bottom"/>
          </w:tcPr>
          <w:p>
            <w:pPr>
              <w:spacing w:after="0"/>
              <w:rPr>
                <w:sz w:val="18"/>
                <w:szCs w:val="18"/>
                <w:color w:val="auto"/>
              </w:rPr>
            </w:pPr>
          </w:p>
        </w:tc>
        <w:tc>
          <w:tcPr>
            <w:tcW w:w="1260" w:type="dxa"/>
            <w:vAlign w:val="bottom"/>
            <w:gridSpan w:val="2"/>
          </w:tcPr>
          <w:p>
            <w:pPr>
              <w:jc w:val="center"/>
              <w:ind w:right="240"/>
              <w:spacing w:after="0" w:line="210" w:lineRule="exact"/>
              <w:rPr>
                <w:sz w:val="20"/>
                <w:szCs w:val="20"/>
                <w:color w:val="auto"/>
              </w:rPr>
            </w:pPr>
            <w:r>
              <w:rPr>
                <w:rFonts w:ascii="Arial" w:cs="Arial" w:eastAsia="Arial" w:hAnsi="Arial"/>
                <w:sz w:val="16"/>
                <w:szCs w:val="16"/>
                <w:b w:val="1"/>
                <w:bCs w:val="1"/>
                <w:color w:val="auto"/>
                <w:w w:val="96"/>
              </w:rPr>
              <w:t>$ Change</w:t>
            </w:r>
            <w:r>
              <w:rPr>
                <w:rFonts w:ascii="Arial" w:cs="Arial" w:eastAsia="Arial" w:hAnsi="Arial"/>
                <w:sz w:val="21"/>
                <w:szCs w:val="21"/>
                <w:b w:val="1"/>
                <w:bCs w:val="1"/>
                <w:color w:val="auto"/>
                <w:w w:val="96"/>
                <w:vertAlign w:val="superscript"/>
              </w:rPr>
              <w:t>(1)</w:t>
            </w:r>
          </w:p>
        </w:tc>
        <w:tc>
          <w:tcPr>
            <w:tcW w:w="1380" w:type="dxa"/>
            <w:vAlign w:val="bottom"/>
          </w:tcPr>
          <w:p>
            <w:pPr>
              <w:jc w:val="center"/>
              <w:spacing w:after="0" w:line="210" w:lineRule="exact"/>
              <w:rPr>
                <w:sz w:val="20"/>
                <w:szCs w:val="20"/>
                <w:color w:val="auto"/>
              </w:rPr>
            </w:pPr>
            <w:r>
              <w:rPr>
                <w:rFonts w:ascii="Arial" w:cs="Arial" w:eastAsia="Arial" w:hAnsi="Arial"/>
                <w:sz w:val="16"/>
                <w:szCs w:val="16"/>
                <w:b w:val="1"/>
                <w:bCs w:val="1"/>
                <w:color w:val="auto"/>
                <w:w w:val="97"/>
              </w:rPr>
              <w:t>% Change</w:t>
            </w:r>
            <w:r>
              <w:rPr>
                <w:rFonts w:ascii="Arial" w:cs="Arial" w:eastAsia="Arial" w:hAnsi="Arial"/>
                <w:sz w:val="21"/>
                <w:szCs w:val="21"/>
                <w:b w:val="1"/>
                <w:bCs w:val="1"/>
                <w:color w:val="auto"/>
                <w:w w:val="97"/>
                <w:vertAlign w:val="superscript"/>
              </w:rPr>
              <w:t>(1)</w:t>
            </w:r>
          </w:p>
        </w:tc>
        <w:tc>
          <w:tcPr>
            <w:tcW w:w="0" w:type="dxa"/>
            <w:vAlign w:val="bottom"/>
          </w:tcPr>
          <w:p>
            <w:pPr>
              <w:spacing w:after="0"/>
              <w:rPr>
                <w:sz w:val="1"/>
                <w:szCs w:val="1"/>
                <w:color w:val="auto"/>
              </w:rPr>
            </w:pPr>
          </w:p>
        </w:tc>
      </w:tr>
      <w:tr>
        <w:trPr>
          <w:trHeight w:val="209"/>
        </w:trPr>
        <w:tc>
          <w:tcPr>
            <w:tcW w:w="20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Net revenues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291.2</w:t>
            </w:r>
          </w:p>
        </w:tc>
        <w:tc>
          <w:tcPr>
            <w:tcW w:w="8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299.0</w:t>
            </w:r>
          </w:p>
        </w:tc>
        <w:tc>
          <w:tcPr>
            <w:tcW w:w="8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1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15"/>
        </w:trPr>
        <w:tc>
          <w:tcPr>
            <w:tcW w:w="2040" w:type="dxa"/>
            <w:vAlign w:val="bottom"/>
          </w:tcPr>
          <w:p>
            <w:pPr>
              <w:spacing w:after="0"/>
              <w:rPr>
                <w:sz w:val="20"/>
                <w:szCs w:val="20"/>
                <w:color w:val="auto"/>
              </w:rPr>
            </w:pPr>
            <w:r>
              <w:rPr>
                <w:rFonts w:ascii="Arial" w:cs="Arial" w:eastAsia="Arial" w:hAnsi="Arial"/>
                <w:sz w:val="16"/>
                <w:szCs w:val="16"/>
                <w:color w:val="auto"/>
              </w:rPr>
              <w:t>Adjusted EBITDA</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3.0</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1.0 %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13.4</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4.5 %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(10.4)</w:t>
            </w: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(77.7)%</w:t>
            </w:r>
          </w:p>
        </w:tc>
        <w:tc>
          <w:tcPr>
            <w:tcW w:w="0" w:type="dxa"/>
            <w:vAlign w:val="bottom"/>
          </w:tcPr>
          <w:p>
            <w:pPr>
              <w:spacing w:after="0"/>
              <w:rPr>
                <w:sz w:val="1"/>
                <w:szCs w:val="1"/>
                <w:color w:val="auto"/>
              </w:rPr>
            </w:pPr>
          </w:p>
        </w:tc>
      </w:tr>
      <w:tr>
        <w:trPr>
          <w:trHeight w:val="474"/>
        </w:trPr>
        <w:tc>
          <w:tcPr>
            <w:tcW w:w="20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4"/>
          </w:tcPr>
          <w:p>
            <w:pPr>
              <w:jc w:val="center"/>
              <w:ind w:right="440"/>
              <w:spacing w:after="0"/>
              <w:rPr>
                <w:sz w:val="20"/>
                <w:szCs w:val="20"/>
                <w:color w:val="auto"/>
              </w:rPr>
            </w:pPr>
            <w:r>
              <w:rPr>
                <w:rFonts w:ascii="Arial" w:cs="Arial" w:eastAsia="Arial" w:hAnsi="Arial"/>
                <w:sz w:val="16"/>
                <w:szCs w:val="16"/>
                <w:b w:val="1"/>
                <w:bCs w:val="1"/>
                <w:color w:val="auto"/>
              </w:rPr>
              <w:t>Three Months Ended</w:t>
            </w:r>
          </w:p>
        </w:tc>
        <w:tc>
          <w:tcPr>
            <w:tcW w:w="1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40" w:type="dxa"/>
            <w:vAlign w:val="bottom"/>
          </w:tcPr>
          <w:p>
            <w:pPr>
              <w:spacing w:after="0"/>
              <w:rPr>
                <w:sz w:val="20"/>
                <w:szCs w:val="20"/>
                <w:color w:val="auto"/>
              </w:rPr>
            </w:pPr>
            <w:r>
              <w:rPr>
                <w:rFonts w:ascii="Arial" w:cs="Arial" w:eastAsia="Arial" w:hAnsi="Arial"/>
                <w:sz w:val="16"/>
                <w:szCs w:val="16"/>
                <w:b w:val="1"/>
                <w:bCs w:val="1"/>
                <w:color w:val="auto"/>
              </w:rPr>
              <w:t>Unit deliveries</w:t>
            </w:r>
          </w:p>
        </w:tc>
        <w:tc>
          <w:tcPr>
            <w:tcW w:w="140" w:type="dxa"/>
            <w:vAlign w:val="bottom"/>
          </w:tcPr>
          <w:p>
            <w:pPr>
              <w:spacing w:after="0"/>
              <w:rPr>
                <w:sz w:val="21"/>
                <w:szCs w:val="21"/>
                <w:color w:val="auto"/>
              </w:rPr>
            </w:pPr>
          </w:p>
        </w:tc>
        <w:tc>
          <w:tcPr>
            <w:tcW w:w="1280" w:type="dxa"/>
            <w:vAlign w:val="bottom"/>
          </w:tcPr>
          <w:p>
            <w:pPr>
              <w:jc w:val="right"/>
              <w:ind w:right="139"/>
              <w:spacing w:after="0"/>
              <w:rPr>
                <w:sz w:val="20"/>
                <w:szCs w:val="20"/>
                <w:color w:val="auto"/>
              </w:rPr>
            </w:pPr>
            <w:r>
              <w:rPr>
                <w:rFonts w:ascii="Arial" w:cs="Arial" w:eastAsia="Arial" w:hAnsi="Arial"/>
                <w:sz w:val="16"/>
                <w:szCs w:val="16"/>
                <w:b w:val="1"/>
                <w:bCs w:val="1"/>
                <w:color w:val="auto"/>
              </w:rPr>
              <w:t>May 31, 2025</w:t>
            </w:r>
          </w:p>
        </w:tc>
        <w:tc>
          <w:tcPr>
            <w:tcW w:w="80" w:type="dxa"/>
            <w:vAlign w:val="bottom"/>
          </w:tcPr>
          <w:p>
            <w:pPr>
              <w:spacing w:after="0"/>
              <w:rPr>
                <w:sz w:val="21"/>
                <w:szCs w:val="21"/>
                <w:color w:val="auto"/>
              </w:rPr>
            </w:pPr>
          </w:p>
        </w:tc>
        <w:tc>
          <w:tcPr>
            <w:tcW w:w="1680" w:type="dxa"/>
            <w:vAlign w:val="bottom"/>
            <w:gridSpan w:val="3"/>
          </w:tcPr>
          <w:p>
            <w:pPr>
              <w:jc w:val="center"/>
              <w:ind w:right="179"/>
              <w:spacing w:after="0"/>
              <w:rPr>
                <w:sz w:val="20"/>
                <w:szCs w:val="20"/>
                <w:color w:val="auto"/>
              </w:rPr>
            </w:pPr>
            <w:r>
              <w:rPr>
                <w:rFonts w:ascii="Arial" w:cs="Arial" w:eastAsia="Arial" w:hAnsi="Arial"/>
                <w:sz w:val="16"/>
                <w:szCs w:val="16"/>
                <w:b w:val="1"/>
                <w:bCs w:val="1"/>
                <w:color w:val="auto"/>
                <w:w w:val="97"/>
              </w:rPr>
              <w:t>Product Mix</w:t>
            </w:r>
            <w:r>
              <w:rPr>
                <w:rFonts w:ascii="Arial" w:cs="Arial" w:eastAsia="Arial" w:hAnsi="Arial"/>
                <w:sz w:val="21"/>
                <w:szCs w:val="21"/>
                <w:b w:val="1"/>
                <w:bCs w:val="1"/>
                <w:color w:val="auto"/>
                <w:w w:val="97"/>
                <w:vertAlign w:val="superscript"/>
              </w:rPr>
              <w:t>(2)</w:t>
            </w:r>
          </w:p>
        </w:tc>
        <w:tc>
          <w:tcPr>
            <w:tcW w:w="1280" w:type="dxa"/>
            <w:vAlign w:val="bottom"/>
          </w:tcPr>
          <w:p>
            <w:pPr>
              <w:jc w:val="right"/>
              <w:ind w:right="159"/>
              <w:spacing w:after="0"/>
              <w:rPr>
                <w:sz w:val="20"/>
                <w:szCs w:val="20"/>
                <w:color w:val="auto"/>
              </w:rPr>
            </w:pPr>
            <w:r>
              <w:rPr>
                <w:rFonts w:ascii="Arial" w:cs="Arial" w:eastAsia="Arial" w:hAnsi="Arial"/>
                <w:sz w:val="16"/>
                <w:szCs w:val="16"/>
                <w:b w:val="1"/>
                <w:bCs w:val="1"/>
                <w:color w:val="auto"/>
              </w:rPr>
              <w:t>May 25, 2024</w:t>
            </w:r>
          </w:p>
        </w:tc>
        <w:tc>
          <w:tcPr>
            <w:tcW w:w="80" w:type="dxa"/>
            <w:vAlign w:val="bottom"/>
          </w:tcPr>
          <w:p>
            <w:pPr>
              <w:spacing w:after="0"/>
              <w:rPr>
                <w:sz w:val="21"/>
                <w:szCs w:val="21"/>
                <w:color w:val="auto"/>
              </w:rPr>
            </w:pPr>
          </w:p>
        </w:tc>
        <w:tc>
          <w:tcPr>
            <w:tcW w:w="15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7"/>
              </w:rPr>
              <w:t>Product Mix</w:t>
            </w:r>
            <w:r>
              <w:rPr>
                <w:rFonts w:ascii="Arial" w:cs="Arial" w:eastAsia="Arial" w:hAnsi="Arial"/>
                <w:sz w:val="21"/>
                <w:szCs w:val="21"/>
                <w:b w:val="1"/>
                <w:bCs w:val="1"/>
                <w:color w:val="auto"/>
                <w:w w:val="97"/>
                <w:vertAlign w:val="superscript"/>
              </w:rPr>
              <w:t>(2)</w:t>
            </w:r>
          </w:p>
        </w:tc>
        <w:tc>
          <w:tcPr>
            <w:tcW w:w="120" w:type="dxa"/>
            <w:vAlign w:val="bottom"/>
          </w:tcPr>
          <w:p>
            <w:pPr>
              <w:spacing w:after="0"/>
              <w:rPr>
                <w:sz w:val="21"/>
                <w:szCs w:val="21"/>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9"/>
              </w:rPr>
              <w:t>Unit Change</w:t>
            </w:r>
          </w:p>
        </w:tc>
        <w:tc>
          <w:tcPr>
            <w:tcW w:w="1380" w:type="dxa"/>
            <w:vAlign w:val="bottom"/>
          </w:tcPr>
          <w:p>
            <w:pPr>
              <w:jc w:val="center"/>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09"/>
        </w:trPr>
        <w:tc>
          <w:tcPr>
            <w:tcW w:w="20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Class A</w:t>
            </w:r>
          </w:p>
        </w:tc>
        <w:tc>
          <w:tcPr>
            <w:tcW w:w="14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288</w:t>
            </w:r>
          </w:p>
        </w:tc>
        <w:tc>
          <w:tcPr>
            <w:tcW w:w="8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20.1 %</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417</w:t>
            </w:r>
          </w:p>
        </w:tc>
        <w:tc>
          <w:tcPr>
            <w:tcW w:w="8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24.8 %</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(129)</w:t>
            </w:r>
          </w:p>
        </w:tc>
        <w:tc>
          <w:tcPr>
            <w:tcW w:w="1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(30.9)%</w:t>
            </w:r>
          </w:p>
        </w:tc>
        <w:tc>
          <w:tcPr>
            <w:tcW w:w="0" w:type="dxa"/>
            <w:vAlign w:val="bottom"/>
          </w:tcPr>
          <w:p>
            <w:pPr>
              <w:spacing w:after="0"/>
              <w:rPr>
                <w:sz w:val="1"/>
                <w:szCs w:val="1"/>
                <w:color w:val="auto"/>
              </w:rPr>
            </w:pPr>
          </w:p>
        </w:tc>
      </w:tr>
      <w:tr>
        <w:trPr>
          <w:trHeight w:val="215"/>
        </w:trPr>
        <w:tc>
          <w:tcPr>
            <w:tcW w:w="2040" w:type="dxa"/>
            <w:vAlign w:val="bottom"/>
          </w:tcPr>
          <w:p>
            <w:pPr>
              <w:spacing w:after="0"/>
              <w:rPr>
                <w:sz w:val="20"/>
                <w:szCs w:val="20"/>
                <w:color w:val="auto"/>
              </w:rPr>
            </w:pPr>
            <w:r>
              <w:rPr>
                <w:rFonts w:ascii="Arial" w:cs="Arial" w:eastAsia="Arial" w:hAnsi="Arial"/>
                <w:sz w:val="16"/>
                <w:szCs w:val="16"/>
                <w:color w:val="auto"/>
              </w:rPr>
              <w:t>Class B</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406</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28.4 %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476</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28.3 %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(70)</w:t>
            </w: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(14.7)%</w:t>
            </w:r>
          </w:p>
        </w:tc>
        <w:tc>
          <w:tcPr>
            <w:tcW w:w="0" w:type="dxa"/>
            <w:vAlign w:val="bottom"/>
          </w:tcPr>
          <w:p>
            <w:pPr>
              <w:spacing w:after="0"/>
              <w:rPr>
                <w:sz w:val="1"/>
                <w:szCs w:val="1"/>
                <w:color w:val="auto"/>
              </w:rPr>
            </w:pPr>
          </w:p>
        </w:tc>
      </w:tr>
      <w:tr>
        <w:trPr>
          <w:trHeight w:val="217"/>
        </w:trPr>
        <w:tc>
          <w:tcPr>
            <w:tcW w:w="2040" w:type="dxa"/>
            <w:vAlign w:val="bottom"/>
            <w:shd w:val="clear" w:color="auto" w:fill="CCEEFF"/>
          </w:tcPr>
          <w:p>
            <w:pPr>
              <w:spacing w:after="0"/>
              <w:rPr>
                <w:sz w:val="20"/>
                <w:szCs w:val="20"/>
                <w:color w:val="auto"/>
              </w:rPr>
            </w:pPr>
            <w:r>
              <w:rPr>
                <w:rFonts w:ascii="Arial" w:cs="Arial" w:eastAsia="Arial" w:hAnsi="Arial"/>
                <w:sz w:val="16"/>
                <w:szCs w:val="16"/>
                <w:color w:val="auto"/>
              </w:rPr>
              <w:t>Class C</w:t>
            </w: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737</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51.5 %</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787</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46.8 %</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0" w:type="dxa"/>
            <w:vAlign w:val="bottom"/>
          </w:tcPr>
          <w:p>
            <w:pPr>
              <w:spacing w:after="0"/>
              <w:rPr>
                <w:sz w:val="1"/>
                <w:szCs w:val="1"/>
                <w:color w:val="auto"/>
              </w:rPr>
            </w:pPr>
          </w:p>
        </w:tc>
      </w:tr>
      <w:tr>
        <w:trPr>
          <w:trHeight w:val="210"/>
        </w:trPr>
        <w:tc>
          <w:tcPr>
            <w:tcW w:w="2040" w:type="dxa"/>
            <w:vAlign w:val="bottom"/>
          </w:tcPr>
          <w:p>
            <w:pPr>
              <w:ind w:left="120"/>
              <w:spacing w:after="0"/>
              <w:rPr>
                <w:sz w:val="20"/>
                <w:szCs w:val="20"/>
                <w:color w:val="auto"/>
              </w:rPr>
            </w:pPr>
            <w:r>
              <w:rPr>
                <w:rFonts w:ascii="Arial" w:cs="Arial" w:eastAsia="Arial" w:hAnsi="Arial"/>
                <w:sz w:val="16"/>
                <w:szCs w:val="16"/>
                <w:color w:val="auto"/>
              </w:rPr>
              <w:t>Total Motorhome RV</w:t>
            </w:r>
          </w:p>
        </w:tc>
        <w:tc>
          <w:tcPr>
            <w:tcW w:w="14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1,431</w:t>
            </w:r>
          </w:p>
        </w:tc>
        <w:tc>
          <w:tcPr>
            <w:tcW w:w="80" w:type="dxa"/>
            <w:vAlign w:val="bottom"/>
          </w:tcPr>
          <w:p>
            <w:pPr>
              <w:spacing w:after="0"/>
              <w:rPr>
                <w:sz w:val="18"/>
                <w:szCs w:val="18"/>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1,680</w:t>
            </w:r>
          </w:p>
        </w:tc>
        <w:tc>
          <w:tcPr>
            <w:tcW w:w="80" w:type="dxa"/>
            <w:vAlign w:val="bottom"/>
          </w:tcPr>
          <w:p>
            <w:pPr>
              <w:spacing w:after="0"/>
              <w:rPr>
                <w:sz w:val="18"/>
                <w:szCs w:val="18"/>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(249)</w:t>
            </w:r>
          </w:p>
        </w:tc>
        <w:tc>
          <w:tcPr>
            <w:tcW w:w="100" w:type="dxa"/>
            <w:vAlign w:val="bottom"/>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(14.8)%</w:t>
            </w: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9"/>
        </w:trPr>
        <w:tc>
          <w:tcPr>
            <w:tcW w:w="20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4"/>
          </w:tcPr>
          <w:p>
            <w:pPr>
              <w:jc w:val="center"/>
              <w:ind w:right="440"/>
              <w:spacing w:after="0"/>
              <w:rPr>
                <w:sz w:val="20"/>
                <w:szCs w:val="20"/>
                <w:color w:val="auto"/>
              </w:rPr>
            </w:pPr>
            <w:r>
              <w:rPr>
                <w:rFonts w:ascii="Arial" w:cs="Arial" w:eastAsia="Arial" w:hAnsi="Arial"/>
                <w:sz w:val="16"/>
                <w:szCs w:val="16"/>
                <w:b w:val="1"/>
                <w:bCs w:val="1"/>
                <w:color w:val="auto"/>
              </w:rPr>
              <w:t>Nine Months Ended</w:t>
            </w:r>
          </w:p>
        </w:tc>
        <w:tc>
          <w:tcPr>
            <w:tcW w:w="1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ind w:right="139"/>
              <w:spacing w:after="0"/>
              <w:rPr>
                <w:sz w:val="20"/>
                <w:szCs w:val="20"/>
                <w:color w:val="auto"/>
              </w:rPr>
            </w:pPr>
            <w:r>
              <w:rPr>
                <w:rFonts w:ascii="Arial" w:cs="Arial" w:eastAsia="Arial" w:hAnsi="Arial"/>
                <w:sz w:val="16"/>
                <w:szCs w:val="16"/>
                <w:b w:val="1"/>
                <w:bCs w:val="1"/>
                <w:color w:val="auto"/>
              </w:rPr>
              <w:t>May 31, 2025</w:t>
            </w:r>
          </w:p>
        </w:tc>
        <w:tc>
          <w:tcPr>
            <w:tcW w:w="80" w:type="dxa"/>
            <w:vAlign w:val="bottom"/>
          </w:tcPr>
          <w:p>
            <w:pPr>
              <w:spacing w:after="0"/>
              <w:rPr>
                <w:sz w:val="18"/>
                <w:szCs w:val="18"/>
                <w:color w:val="auto"/>
              </w:rPr>
            </w:pPr>
          </w:p>
        </w:tc>
        <w:tc>
          <w:tcPr>
            <w:tcW w:w="1680" w:type="dxa"/>
            <w:vAlign w:val="bottom"/>
            <w:gridSpan w:val="3"/>
          </w:tcPr>
          <w:p>
            <w:pPr>
              <w:jc w:val="center"/>
              <w:ind w:right="179"/>
              <w:spacing w:after="0" w:line="210" w:lineRule="exact"/>
              <w:rPr>
                <w:sz w:val="20"/>
                <w:szCs w:val="20"/>
                <w:color w:val="auto"/>
              </w:rPr>
            </w:pPr>
            <w:r>
              <w:rPr>
                <w:rFonts w:ascii="Arial" w:cs="Arial" w:eastAsia="Arial" w:hAnsi="Arial"/>
                <w:sz w:val="16"/>
                <w:szCs w:val="16"/>
                <w:b w:val="1"/>
                <w:bCs w:val="1"/>
                <w:color w:val="auto"/>
                <w:w w:val="99"/>
              </w:rPr>
              <w:t>% of Revenues</w:t>
            </w:r>
            <w:r>
              <w:rPr>
                <w:rFonts w:ascii="Arial" w:cs="Arial" w:eastAsia="Arial" w:hAnsi="Arial"/>
                <w:sz w:val="21"/>
                <w:szCs w:val="21"/>
                <w:b w:val="1"/>
                <w:bCs w:val="1"/>
                <w:color w:val="auto"/>
                <w:w w:val="99"/>
                <w:vertAlign w:val="superscript"/>
              </w:rPr>
              <w:t>(1)</w:t>
            </w:r>
          </w:p>
        </w:tc>
        <w:tc>
          <w:tcPr>
            <w:tcW w:w="1280" w:type="dxa"/>
            <w:vAlign w:val="bottom"/>
          </w:tcPr>
          <w:p>
            <w:pPr>
              <w:jc w:val="right"/>
              <w:ind w:right="159"/>
              <w:spacing w:after="0"/>
              <w:rPr>
                <w:sz w:val="20"/>
                <w:szCs w:val="20"/>
                <w:color w:val="auto"/>
              </w:rPr>
            </w:pPr>
            <w:r>
              <w:rPr>
                <w:rFonts w:ascii="Arial" w:cs="Arial" w:eastAsia="Arial" w:hAnsi="Arial"/>
                <w:sz w:val="16"/>
                <w:szCs w:val="16"/>
                <w:b w:val="1"/>
                <w:bCs w:val="1"/>
                <w:color w:val="auto"/>
              </w:rPr>
              <w:t>May 25, 2024</w:t>
            </w:r>
          </w:p>
        </w:tc>
        <w:tc>
          <w:tcPr>
            <w:tcW w:w="80" w:type="dxa"/>
            <w:vAlign w:val="bottom"/>
          </w:tcPr>
          <w:p>
            <w:pPr>
              <w:spacing w:after="0"/>
              <w:rPr>
                <w:sz w:val="18"/>
                <w:szCs w:val="18"/>
                <w:color w:val="auto"/>
              </w:rPr>
            </w:pPr>
          </w:p>
        </w:tc>
        <w:tc>
          <w:tcPr>
            <w:tcW w:w="1520" w:type="dxa"/>
            <w:vAlign w:val="bottom"/>
            <w:gridSpan w:val="2"/>
          </w:tcPr>
          <w:p>
            <w:pPr>
              <w:jc w:val="center"/>
              <w:ind w:right="120"/>
              <w:spacing w:after="0" w:line="210" w:lineRule="exact"/>
              <w:rPr>
                <w:sz w:val="20"/>
                <w:szCs w:val="20"/>
                <w:color w:val="auto"/>
              </w:rPr>
            </w:pPr>
            <w:r>
              <w:rPr>
                <w:rFonts w:ascii="Arial" w:cs="Arial" w:eastAsia="Arial" w:hAnsi="Arial"/>
                <w:sz w:val="16"/>
                <w:szCs w:val="16"/>
                <w:b w:val="1"/>
                <w:bCs w:val="1"/>
                <w:color w:val="auto"/>
                <w:w w:val="97"/>
              </w:rPr>
              <w:t>% of Revenues</w:t>
            </w:r>
            <w:r>
              <w:rPr>
                <w:rFonts w:ascii="Arial" w:cs="Arial" w:eastAsia="Arial" w:hAnsi="Arial"/>
                <w:sz w:val="21"/>
                <w:szCs w:val="21"/>
                <w:b w:val="1"/>
                <w:bCs w:val="1"/>
                <w:color w:val="auto"/>
                <w:w w:val="97"/>
                <w:vertAlign w:val="superscript"/>
              </w:rPr>
              <w:t>(1)</w:t>
            </w:r>
          </w:p>
        </w:tc>
        <w:tc>
          <w:tcPr>
            <w:tcW w:w="120" w:type="dxa"/>
            <w:vAlign w:val="bottom"/>
          </w:tcPr>
          <w:p>
            <w:pPr>
              <w:spacing w:after="0"/>
              <w:rPr>
                <w:sz w:val="18"/>
                <w:szCs w:val="18"/>
                <w:color w:val="auto"/>
              </w:rPr>
            </w:pPr>
          </w:p>
        </w:tc>
        <w:tc>
          <w:tcPr>
            <w:tcW w:w="1260" w:type="dxa"/>
            <w:vAlign w:val="bottom"/>
            <w:gridSpan w:val="2"/>
          </w:tcPr>
          <w:p>
            <w:pPr>
              <w:jc w:val="center"/>
              <w:ind w:right="240"/>
              <w:spacing w:after="0" w:line="210" w:lineRule="exact"/>
              <w:rPr>
                <w:sz w:val="20"/>
                <w:szCs w:val="20"/>
                <w:color w:val="auto"/>
              </w:rPr>
            </w:pPr>
            <w:r>
              <w:rPr>
                <w:rFonts w:ascii="Arial" w:cs="Arial" w:eastAsia="Arial" w:hAnsi="Arial"/>
                <w:sz w:val="16"/>
                <w:szCs w:val="16"/>
                <w:b w:val="1"/>
                <w:bCs w:val="1"/>
                <w:color w:val="auto"/>
                <w:w w:val="96"/>
              </w:rPr>
              <w:t>$ Change</w:t>
            </w:r>
            <w:r>
              <w:rPr>
                <w:rFonts w:ascii="Arial" w:cs="Arial" w:eastAsia="Arial" w:hAnsi="Arial"/>
                <w:sz w:val="21"/>
                <w:szCs w:val="21"/>
                <w:b w:val="1"/>
                <w:bCs w:val="1"/>
                <w:color w:val="auto"/>
                <w:w w:val="96"/>
                <w:vertAlign w:val="superscript"/>
              </w:rPr>
              <w:t>(1)</w:t>
            </w:r>
          </w:p>
        </w:tc>
        <w:tc>
          <w:tcPr>
            <w:tcW w:w="1380" w:type="dxa"/>
            <w:vAlign w:val="bottom"/>
          </w:tcPr>
          <w:p>
            <w:pPr>
              <w:jc w:val="center"/>
              <w:spacing w:after="0" w:line="210" w:lineRule="exact"/>
              <w:rPr>
                <w:sz w:val="20"/>
                <w:szCs w:val="20"/>
                <w:color w:val="auto"/>
              </w:rPr>
            </w:pPr>
            <w:r>
              <w:rPr>
                <w:rFonts w:ascii="Arial" w:cs="Arial" w:eastAsia="Arial" w:hAnsi="Arial"/>
                <w:sz w:val="16"/>
                <w:szCs w:val="16"/>
                <w:b w:val="1"/>
                <w:bCs w:val="1"/>
                <w:color w:val="auto"/>
                <w:w w:val="97"/>
              </w:rPr>
              <w:t>% Change</w:t>
            </w:r>
            <w:r>
              <w:rPr>
                <w:rFonts w:ascii="Arial" w:cs="Arial" w:eastAsia="Arial" w:hAnsi="Arial"/>
                <w:sz w:val="21"/>
                <w:szCs w:val="21"/>
                <w:b w:val="1"/>
                <w:bCs w:val="1"/>
                <w:color w:val="auto"/>
                <w:w w:val="97"/>
                <w:vertAlign w:val="superscript"/>
              </w:rPr>
              <w:t>(1)</w:t>
            </w:r>
          </w:p>
        </w:tc>
        <w:tc>
          <w:tcPr>
            <w:tcW w:w="0" w:type="dxa"/>
            <w:vAlign w:val="bottom"/>
          </w:tcPr>
          <w:p>
            <w:pPr>
              <w:spacing w:after="0"/>
              <w:rPr>
                <w:sz w:val="1"/>
                <w:szCs w:val="1"/>
                <w:color w:val="auto"/>
              </w:rPr>
            </w:pPr>
          </w:p>
        </w:tc>
      </w:tr>
      <w:tr>
        <w:trPr>
          <w:trHeight w:val="210"/>
        </w:trPr>
        <w:tc>
          <w:tcPr>
            <w:tcW w:w="20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Net revenues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798.5</w:t>
            </w:r>
          </w:p>
        </w:tc>
        <w:tc>
          <w:tcPr>
            <w:tcW w:w="8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971.8</w:t>
            </w:r>
          </w:p>
        </w:tc>
        <w:tc>
          <w:tcPr>
            <w:tcW w:w="8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(173.3)</w:t>
            </w:r>
          </w:p>
        </w:tc>
        <w:tc>
          <w:tcPr>
            <w:tcW w:w="1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(17.8)%</w:t>
            </w:r>
          </w:p>
        </w:tc>
        <w:tc>
          <w:tcPr>
            <w:tcW w:w="0" w:type="dxa"/>
            <w:vAlign w:val="bottom"/>
          </w:tcPr>
          <w:p>
            <w:pPr>
              <w:spacing w:after="0"/>
              <w:rPr>
                <w:sz w:val="1"/>
                <w:szCs w:val="1"/>
                <w:color w:val="auto"/>
              </w:rPr>
            </w:pPr>
          </w:p>
        </w:tc>
      </w:tr>
      <w:tr>
        <w:trPr>
          <w:trHeight w:val="215"/>
        </w:trPr>
        <w:tc>
          <w:tcPr>
            <w:tcW w:w="2040" w:type="dxa"/>
            <w:vAlign w:val="bottom"/>
          </w:tcPr>
          <w:p>
            <w:pPr>
              <w:spacing w:after="0"/>
              <w:rPr>
                <w:sz w:val="20"/>
                <w:szCs w:val="20"/>
                <w:color w:val="auto"/>
              </w:rPr>
            </w:pPr>
            <w:r>
              <w:rPr>
                <w:rFonts w:ascii="Arial" w:cs="Arial" w:eastAsia="Arial" w:hAnsi="Arial"/>
                <w:sz w:val="16"/>
                <w:szCs w:val="16"/>
                <w:color w:val="auto"/>
              </w:rPr>
              <w:t>Adjusted EBITDA</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10.9</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1.4 %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60.7</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6.2 %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(49.8)</w:t>
            </w: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(82.0)%</w:t>
            </w:r>
          </w:p>
        </w:tc>
        <w:tc>
          <w:tcPr>
            <w:tcW w:w="0" w:type="dxa"/>
            <w:vAlign w:val="bottom"/>
          </w:tcPr>
          <w:p>
            <w:pPr>
              <w:spacing w:after="0"/>
              <w:rPr>
                <w:sz w:val="1"/>
                <w:szCs w:val="1"/>
                <w:color w:val="auto"/>
              </w:rPr>
            </w:pPr>
          </w:p>
        </w:tc>
      </w:tr>
      <w:tr>
        <w:trPr>
          <w:trHeight w:val="379"/>
        </w:trPr>
        <w:tc>
          <w:tcPr>
            <w:tcW w:w="20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4"/>
          </w:tcPr>
          <w:p>
            <w:pPr>
              <w:jc w:val="center"/>
              <w:ind w:right="440"/>
              <w:spacing w:after="0"/>
              <w:rPr>
                <w:sz w:val="20"/>
                <w:szCs w:val="20"/>
                <w:color w:val="auto"/>
              </w:rPr>
            </w:pPr>
            <w:r>
              <w:rPr>
                <w:rFonts w:ascii="Arial" w:cs="Arial" w:eastAsia="Arial" w:hAnsi="Arial"/>
                <w:sz w:val="16"/>
                <w:szCs w:val="16"/>
                <w:b w:val="1"/>
                <w:bCs w:val="1"/>
                <w:color w:val="auto"/>
              </w:rPr>
              <w:t>Nine Months Ended</w:t>
            </w:r>
          </w:p>
        </w:tc>
        <w:tc>
          <w:tcPr>
            <w:tcW w:w="1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40" w:type="dxa"/>
            <w:vAlign w:val="bottom"/>
          </w:tcPr>
          <w:p>
            <w:pPr>
              <w:spacing w:after="0"/>
              <w:rPr>
                <w:sz w:val="20"/>
                <w:szCs w:val="20"/>
                <w:color w:val="auto"/>
              </w:rPr>
            </w:pPr>
            <w:r>
              <w:rPr>
                <w:rFonts w:ascii="Arial" w:cs="Arial" w:eastAsia="Arial" w:hAnsi="Arial"/>
                <w:sz w:val="16"/>
                <w:szCs w:val="16"/>
                <w:b w:val="1"/>
                <w:bCs w:val="1"/>
                <w:color w:val="auto"/>
              </w:rPr>
              <w:t>Unit deliveries</w:t>
            </w:r>
          </w:p>
        </w:tc>
        <w:tc>
          <w:tcPr>
            <w:tcW w:w="140" w:type="dxa"/>
            <w:vAlign w:val="bottom"/>
          </w:tcPr>
          <w:p>
            <w:pPr>
              <w:spacing w:after="0"/>
              <w:rPr>
                <w:sz w:val="21"/>
                <w:szCs w:val="21"/>
                <w:color w:val="auto"/>
              </w:rPr>
            </w:pPr>
          </w:p>
        </w:tc>
        <w:tc>
          <w:tcPr>
            <w:tcW w:w="1280" w:type="dxa"/>
            <w:vAlign w:val="bottom"/>
          </w:tcPr>
          <w:p>
            <w:pPr>
              <w:jc w:val="right"/>
              <w:ind w:right="139"/>
              <w:spacing w:after="0"/>
              <w:rPr>
                <w:sz w:val="20"/>
                <w:szCs w:val="20"/>
                <w:color w:val="auto"/>
              </w:rPr>
            </w:pPr>
            <w:r>
              <w:rPr>
                <w:rFonts w:ascii="Arial" w:cs="Arial" w:eastAsia="Arial" w:hAnsi="Arial"/>
                <w:sz w:val="16"/>
                <w:szCs w:val="16"/>
                <w:b w:val="1"/>
                <w:bCs w:val="1"/>
                <w:color w:val="auto"/>
              </w:rPr>
              <w:t>May 31, 2025</w:t>
            </w:r>
          </w:p>
        </w:tc>
        <w:tc>
          <w:tcPr>
            <w:tcW w:w="80" w:type="dxa"/>
            <w:vAlign w:val="bottom"/>
          </w:tcPr>
          <w:p>
            <w:pPr>
              <w:spacing w:after="0"/>
              <w:rPr>
                <w:sz w:val="21"/>
                <w:szCs w:val="21"/>
                <w:color w:val="auto"/>
              </w:rPr>
            </w:pPr>
          </w:p>
        </w:tc>
        <w:tc>
          <w:tcPr>
            <w:tcW w:w="1680" w:type="dxa"/>
            <w:vAlign w:val="bottom"/>
            <w:gridSpan w:val="3"/>
          </w:tcPr>
          <w:p>
            <w:pPr>
              <w:jc w:val="center"/>
              <w:ind w:right="179"/>
              <w:spacing w:after="0"/>
              <w:rPr>
                <w:sz w:val="20"/>
                <w:szCs w:val="20"/>
                <w:color w:val="auto"/>
              </w:rPr>
            </w:pPr>
            <w:r>
              <w:rPr>
                <w:rFonts w:ascii="Arial" w:cs="Arial" w:eastAsia="Arial" w:hAnsi="Arial"/>
                <w:sz w:val="16"/>
                <w:szCs w:val="16"/>
                <w:b w:val="1"/>
                <w:bCs w:val="1"/>
                <w:color w:val="auto"/>
                <w:w w:val="97"/>
              </w:rPr>
              <w:t>Product Mix</w:t>
            </w:r>
            <w:r>
              <w:rPr>
                <w:rFonts w:ascii="Arial" w:cs="Arial" w:eastAsia="Arial" w:hAnsi="Arial"/>
                <w:sz w:val="21"/>
                <w:szCs w:val="21"/>
                <w:b w:val="1"/>
                <w:bCs w:val="1"/>
                <w:color w:val="auto"/>
                <w:w w:val="97"/>
                <w:vertAlign w:val="superscript"/>
              </w:rPr>
              <w:t>(2)</w:t>
            </w:r>
          </w:p>
        </w:tc>
        <w:tc>
          <w:tcPr>
            <w:tcW w:w="1280" w:type="dxa"/>
            <w:vAlign w:val="bottom"/>
          </w:tcPr>
          <w:p>
            <w:pPr>
              <w:jc w:val="right"/>
              <w:ind w:right="159"/>
              <w:spacing w:after="0"/>
              <w:rPr>
                <w:sz w:val="20"/>
                <w:szCs w:val="20"/>
                <w:color w:val="auto"/>
              </w:rPr>
            </w:pPr>
            <w:r>
              <w:rPr>
                <w:rFonts w:ascii="Arial" w:cs="Arial" w:eastAsia="Arial" w:hAnsi="Arial"/>
                <w:sz w:val="16"/>
                <w:szCs w:val="16"/>
                <w:b w:val="1"/>
                <w:bCs w:val="1"/>
                <w:color w:val="auto"/>
              </w:rPr>
              <w:t>May 25, 2024</w:t>
            </w:r>
          </w:p>
        </w:tc>
        <w:tc>
          <w:tcPr>
            <w:tcW w:w="80" w:type="dxa"/>
            <w:vAlign w:val="bottom"/>
          </w:tcPr>
          <w:p>
            <w:pPr>
              <w:spacing w:after="0"/>
              <w:rPr>
                <w:sz w:val="21"/>
                <w:szCs w:val="21"/>
                <w:color w:val="auto"/>
              </w:rPr>
            </w:pPr>
          </w:p>
        </w:tc>
        <w:tc>
          <w:tcPr>
            <w:tcW w:w="15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7"/>
              </w:rPr>
              <w:t>Product Mix</w:t>
            </w:r>
            <w:r>
              <w:rPr>
                <w:rFonts w:ascii="Arial" w:cs="Arial" w:eastAsia="Arial" w:hAnsi="Arial"/>
                <w:sz w:val="21"/>
                <w:szCs w:val="21"/>
                <w:b w:val="1"/>
                <w:bCs w:val="1"/>
                <w:color w:val="auto"/>
                <w:w w:val="97"/>
                <w:vertAlign w:val="superscript"/>
              </w:rPr>
              <w:t>(2)</w:t>
            </w:r>
          </w:p>
        </w:tc>
        <w:tc>
          <w:tcPr>
            <w:tcW w:w="120" w:type="dxa"/>
            <w:vAlign w:val="bottom"/>
          </w:tcPr>
          <w:p>
            <w:pPr>
              <w:spacing w:after="0"/>
              <w:rPr>
                <w:sz w:val="21"/>
                <w:szCs w:val="21"/>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9"/>
              </w:rPr>
              <w:t>Unit Change</w:t>
            </w:r>
          </w:p>
        </w:tc>
        <w:tc>
          <w:tcPr>
            <w:tcW w:w="1380" w:type="dxa"/>
            <w:vAlign w:val="bottom"/>
          </w:tcPr>
          <w:p>
            <w:pPr>
              <w:jc w:val="center"/>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09"/>
        </w:trPr>
        <w:tc>
          <w:tcPr>
            <w:tcW w:w="20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Class A</w:t>
            </w:r>
          </w:p>
        </w:tc>
        <w:tc>
          <w:tcPr>
            <w:tcW w:w="14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808</w:t>
            </w:r>
          </w:p>
        </w:tc>
        <w:tc>
          <w:tcPr>
            <w:tcW w:w="8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20.2 %</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1,269</w:t>
            </w:r>
          </w:p>
        </w:tc>
        <w:tc>
          <w:tcPr>
            <w:tcW w:w="8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24.3 %</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(461)</w:t>
            </w:r>
          </w:p>
        </w:tc>
        <w:tc>
          <w:tcPr>
            <w:tcW w:w="1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(36.3)%</w:t>
            </w:r>
          </w:p>
        </w:tc>
        <w:tc>
          <w:tcPr>
            <w:tcW w:w="0" w:type="dxa"/>
            <w:vAlign w:val="bottom"/>
          </w:tcPr>
          <w:p>
            <w:pPr>
              <w:spacing w:after="0"/>
              <w:rPr>
                <w:sz w:val="1"/>
                <w:szCs w:val="1"/>
                <w:color w:val="auto"/>
              </w:rPr>
            </w:pPr>
          </w:p>
        </w:tc>
      </w:tr>
      <w:tr>
        <w:trPr>
          <w:trHeight w:val="215"/>
        </w:trPr>
        <w:tc>
          <w:tcPr>
            <w:tcW w:w="2040" w:type="dxa"/>
            <w:vAlign w:val="bottom"/>
          </w:tcPr>
          <w:p>
            <w:pPr>
              <w:spacing w:after="0"/>
              <w:rPr>
                <w:sz w:val="20"/>
                <w:szCs w:val="20"/>
                <w:color w:val="auto"/>
              </w:rPr>
            </w:pPr>
            <w:r>
              <w:rPr>
                <w:rFonts w:ascii="Arial" w:cs="Arial" w:eastAsia="Arial" w:hAnsi="Arial"/>
                <w:sz w:val="16"/>
                <w:szCs w:val="16"/>
                <w:color w:val="auto"/>
              </w:rPr>
              <w:t>Class B</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1,158</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29.0 %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1,815</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34.8 %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(657)</w:t>
            </w: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(36.2)%</w:t>
            </w:r>
          </w:p>
        </w:tc>
        <w:tc>
          <w:tcPr>
            <w:tcW w:w="0" w:type="dxa"/>
            <w:vAlign w:val="bottom"/>
          </w:tcPr>
          <w:p>
            <w:pPr>
              <w:spacing w:after="0"/>
              <w:rPr>
                <w:sz w:val="1"/>
                <w:szCs w:val="1"/>
                <w:color w:val="auto"/>
              </w:rPr>
            </w:pPr>
          </w:p>
        </w:tc>
      </w:tr>
      <w:tr>
        <w:trPr>
          <w:trHeight w:val="217"/>
        </w:trPr>
        <w:tc>
          <w:tcPr>
            <w:tcW w:w="2040" w:type="dxa"/>
            <w:vAlign w:val="bottom"/>
            <w:shd w:val="clear" w:color="auto" w:fill="CCEEFF"/>
          </w:tcPr>
          <w:p>
            <w:pPr>
              <w:spacing w:after="0"/>
              <w:rPr>
                <w:sz w:val="20"/>
                <w:szCs w:val="20"/>
                <w:color w:val="auto"/>
              </w:rPr>
            </w:pPr>
            <w:r>
              <w:rPr>
                <w:rFonts w:ascii="Arial" w:cs="Arial" w:eastAsia="Arial" w:hAnsi="Arial"/>
                <w:sz w:val="16"/>
                <w:szCs w:val="16"/>
                <w:color w:val="auto"/>
              </w:rPr>
              <w:t>Class C</w:t>
            </w: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2,031</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50.8 %</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2,128</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40.8 %</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209"/>
        </w:trPr>
        <w:tc>
          <w:tcPr>
            <w:tcW w:w="2040" w:type="dxa"/>
            <w:vAlign w:val="bottom"/>
          </w:tcPr>
          <w:p>
            <w:pPr>
              <w:ind w:left="120"/>
              <w:spacing w:after="0"/>
              <w:rPr>
                <w:sz w:val="20"/>
                <w:szCs w:val="20"/>
                <w:color w:val="auto"/>
              </w:rPr>
            </w:pPr>
            <w:r>
              <w:rPr>
                <w:rFonts w:ascii="Arial" w:cs="Arial" w:eastAsia="Arial" w:hAnsi="Arial"/>
                <w:sz w:val="16"/>
                <w:szCs w:val="16"/>
                <w:color w:val="auto"/>
              </w:rPr>
              <w:t>Total Motorhome RV</w:t>
            </w:r>
          </w:p>
        </w:tc>
        <w:tc>
          <w:tcPr>
            <w:tcW w:w="14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3,997</w:t>
            </w:r>
          </w:p>
        </w:tc>
        <w:tc>
          <w:tcPr>
            <w:tcW w:w="80" w:type="dxa"/>
            <w:vAlign w:val="bottom"/>
          </w:tcPr>
          <w:p>
            <w:pPr>
              <w:spacing w:after="0"/>
              <w:rPr>
                <w:sz w:val="18"/>
                <w:szCs w:val="18"/>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5,212</w:t>
            </w:r>
          </w:p>
        </w:tc>
        <w:tc>
          <w:tcPr>
            <w:tcW w:w="80" w:type="dxa"/>
            <w:vAlign w:val="bottom"/>
          </w:tcPr>
          <w:p>
            <w:pPr>
              <w:spacing w:after="0"/>
              <w:rPr>
                <w:sz w:val="18"/>
                <w:szCs w:val="18"/>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(1,215)</w:t>
            </w:r>
          </w:p>
        </w:tc>
        <w:tc>
          <w:tcPr>
            <w:tcW w:w="100" w:type="dxa"/>
            <w:vAlign w:val="bottom"/>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(23.3)%</w:t>
            </w:r>
          </w:p>
        </w:tc>
        <w:tc>
          <w:tcPr>
            <w:tcW w:w="0" w:type="dxa"/>
            <w:vAlign w:val="bottom"/>
          </w:tcPr>
          <w:p>
            <w:pPr>
              <w:spacing w:after="0"/>
              <w:rPr>
                <w:sz w:val="1"/>
                <w:szCs w:val="1"/>
                <w:color w:val="auto"/>
              </w:rPr>
            </w:pPr>
          </w:p>
        </w:tc>
      </w:tr>
      <w:tr>
        <w:trPr>
          <w:trHeight w:val="20"/>
        </w:trPr>
        <w:tc>
          <w:tcPr>
            <w:tcW w:w="2040" w:type="dxa"/>
            <w:vAlign w:val="bottom"/>
            <w:vMerge w:val="restart"/>
          </w:tcPr>
          <w:p>
            <w:pPr>
              <w:spacing w:after="0"/>
              <w:rPr>
                <w:sz w:val="20"/>
                <w:szCs w:val="20"/>
                <w:color w:val="auto"/>
              </w:rPr>
            </w:pPr>
            <w:r>
              <w:rPr>
                <w:rFonts w:ascii="Arial" w:cs="Arial" w:eastAsia="Arial" w:hAnsi="Arial"/>
                <w:sz w:val="16"/>
                <w:szCs w:val="16"/>
                <w:b w:val="1"/>
                <w:bCs w:val="1"/>
                <w:color w:val="auto"/>
              </w:rPr>
              <w:t>Dealer Inventory</w:t>
            </w:r>
            <w:r>
              <w:rPr>
                <w:rFonts w:ascii="Arial" w:cs="Arial" w:eastAsia="Arial" w:hAnsi="Arial"/>
                <w:sz w:val="21"/>
                <w:szCs w:val="21"/>
                <w:b w:val="1"/>
                <w:bCs w:val="1"/>
                <w:color w:val="auto"/>
                <w:vertAlign w:val="superscript"/>
              </w:rPr>
              <w:t>(3)</w:t>
            </w: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9"/>
        </w:trPr>
        <w:tc>
          <w:tcPr>
            <w:tcW w:w="20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jc w:val="right"/>
              <w:ind w:right="139"/>
              <w:spacing w:after="0"/>
              <w:rPr>
                <w:sz w:val="20"/>
                <w:szCs w:val="20"/>
                <w:color w:val="auto"/>
              </w:rPr>
            </w:pPr>
            <w:r>
              <w:rPr>
                <w:rFonts w:ascii="Arial" w:cs="Arial" w:eastAsia="Arial" w:hAnsi="Arial"/>
                <w:sz w:val="16"/>
                <w:szCs w:val="16"/>
                <w:b w:val="1"/>
                <w:bCs w:val="1"/>
                <w:color w:val="auto"/>
              </w:rPr>
              <w:t>May 31, 2025</w:t>
            </w:r>
          </w:p>
        </w:tc>
        <w:tc>
          <w:tcPr>
            <w:tcW w:w="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jc w:val="right"/>
              <w:ind w:right="159"/>
              <w:spacing w:after="0"/>
              <w:rPr>
                <w:sz w:val="20"/>
                <w:szCs w:val="20"/>
                <w:color w:val="auto"/>
              </w:rPr>
            </w:pPr>
            <w:r>
              <w:rPr>
                <w:rFonts w:ascii="Arial" w:cs="Arial" w:eastAsia="Arial" w:hAnsi="Arial"/>
                <w:sz w:val="16"/>
                <w:szCs w:val="16"/>
                <w:b w:val="1"/>
                <w:bCs w:val="1"/>
                <w:color w:val="auto"/>
              </w:rPr>
              <w:t>May 25, 2024</w:t>
            </w:r>
          </w:p>
        </w:tc>
        <w:tc>
          <w:tcPr>
            <w:tcW w:w="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9"/>
              </w:rPr>
              <w:t>Unit Change</w:t>
            </w:r>
          </w:p>
        </w:tc>
        <w:tc>
          <w:tcPr>
            <w:tcW w:w="1380" w:type="dxa"/>
            <w:vAlign w:val="bottom"/>
          </w:tcPr>
          <w:p>
            <w:pPr>
              <w:jc w:val="center"/>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10"/>
        </w:trPr>
        <w:tc>
          <w:tcPr>
            <w:tcW w:w="2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Units</w:t>
            </w:r>
          </w:p>
        </w:tc>
        <w:tc>
          <w:tcPr>
            <w:tcW w:w="14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3,614</w:t>
            </w:r>
          </w:p>
        </w:tc>
        <w:tc>
          <w:tcPr>
            <w:tcW w:w="8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4,386</w:t>
            </w:r>
          </w:p>
        </w:tc>
        <w:tc>
          <w:tcPr>
            <w:tcW w:w="8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(772)</w:t>
            </w:r>
          </w:p>
        </w:tc>
        <w:tc>
          <w:tcPr>
            <w:tcW w:w="1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(17.6)%</w:t>
            </w:r>
          </w:p>
        </w:tc>
        <w:tc>
          <w:tcPr>
            <w:tcW w:w="0" w:type="dxa"/>
            <w:vAlign w:val="bottom"/>
          </w:tcPr>
          <w:p>
            <w:pPr>
              <w:spacing w:after="0"/>
              <w:rPr>
                <w:sz w:val="1"/>
                <w:szCs w:val="1"/>
                <w:color w:val="auto"/>
              </w:rPr>
            </w:pPr>
          </w:p>
        </w:tc>
      </w:tr>
    </w:tbl>
    <w:p>
      <w:pPr>
        <w:spacing w:after="0" w:line="126" w:lineRule="exact"/>
        <w:rPr>
          <w:sz w:val="20"/>
          <w:szCs w:val="20"/>
          <w:color w:val="auto"/>
        </w:rPr>
      </w:pPr>
    </w:p>
    <w:p>
      <w:pPr>
        <w:ind w:left="272" w:hanging="272"/>
        <w:spacing w:after="0"/>
        <w:tabs>
          <w:tab w:leader="none" w:pos="272" w:val="left"/>
        </w:tabs>
        <w:numPr>
          <w:ilvl w:val="0"/>
          <w:numId w:val="9"/>
        </w:numPr>
        <w:rPr>
          <w:rFonts w:ascii="Arial" w:cs="Arial" w:eastAsia="Arial" w:hAnsi="Arial"/>
          <w:sz w:val="9"/>
          <w:szCs w:val="9"/>
          <w:color w:val="auto"/>
        </w:rPr>
      </w:pPr>
      <w:r>
        <w:rPr>
          <w:rFonts w:ascii="Arial" w:cs="Arial" w:eastAsia="Arial" w:hAnsi="Arial"/>
          <w:sz w:val="14"/>
          <w:szCs w:val="14"/>
          <w:color w:val="auto"/>
        </w:rPr>
        <w:t>Amounts are calculated based on unrounded numbers and therefore may not recalculate using the rounded numbers provided.</w:t>
      </w:r>
    </w:p>
    <w:p>
      <w:pPr>
        <w:spacing w:after="0" w:line="40" w:lineRule="exact"/>
        <w:rPr>
          <w:rFonts w:ascii="Arial" w:cs="Arial" w:eastAsia="Arial" w:hAnsi="Arial"/>
          <w:sz w:val="9"/>
          <w:szCs w:val="9"/>
          <w:color w:val="auto"/>
        </w:rPr>
      </w:pPr>
    </w:p>
    <w:p>
      <w:pPr>
        <w:ind w:left="272" w:hanging="272"/>
        <w:spacing w:after="0"/>
        <w:tabs>
          <w:tab w:leader="none" w:pos="272" w:val="left"/>
        </w:tabs>
        <w:numPr>
          <w:ilvl w:val="0"/>
          <w:numId w:val="9"/>
        </w:numPr>
        <w:rPr>
          <w:rFonts w:ascii="Arial" w:cs="Arial" w:eastAsia="Arial" w:hAnsi="Arial"/>
          <w:sz w:val="19"/>
          <w:szCs w:val="19"/>
          <w:color w:val="auto"/>
          <w:vertAlign w:val="superscript"/>
        </w:rPr>
      </w:pPr>
      <w:r>
        <w:rPr>
          <w:rFonts w:ascii="Arial" w:cs="Arial" w:eastAsia="Arial" w:hAnsi="Arial"/>
          <w:sz w:val="14"/>
          <w:szCs w:val="14"/>
          <w:color w:val="auto"/>
        </w:rPr>
        <w:t>Percentages may not add due to rounding differences.</w:t>
      </w:r>
    </w:p>
    <w:p>
      <w:pPr>
        <w:spacing w:after="0" w:line="53" w:lineRule="exact"/>
        <w:rPr>
          <w:rFonts w:ascii="Arial" w:cs="Arial" w:eastAsia="Arial" w:hAnsi="Arial"/>
          <w:sz w:val="19"/>
          <w:szCs w:val="19"/>
          <w:color w:val="auto"/>
          <w:vertAlign w:val="superscript"/>
        </w:rPr>
      </w:pPr>
    </w:p>
    <w:p>
      <w:pPr>
        <w:ind w:left="292" w:hanging="292"/>
        <w:spacing w:after="0" w:line="183" w:lineRule="auto"/>
        <w:tabs>
          <w:tab w:leader="none" w:pos="292" w:val="left"/>
        </w:tabs>
        <w:numPr>
          <w:ilvl w:val="0"/>
          <w:numId w:val="9"/>
        </w:numPr>
        <w:rPr>
          <w:rFonts w:ascii="Arial" w:cs="Arial" w:eastAsia="Arial" w:hAnsi="Arial"/>
          <w:sz w:val="20"/>
          <w:szCs w:val="20"/>
          <w:color w:val="auto"/>
          <w:vertAlign w:val="superscript"/>
        </w:rPr>
      </w:pPr>
      <w:r>
        <w:rPr>
          <w:rFonts w:ascii="Arial" w:cs="Arial" w:eastAsia="Arial" w:hAnsi="Arial"/>
          <w:sz w:val="14"/>
          <w:szCs w:val="14"/>
          <w:color w:val="auto"/>
        </w:rPr>
        <w:t>Data is based on the latest information available from our dealer partners and is subject to timing of reporting and other limitations.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71"/>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052"/>
          </w:cols>
          <w:pgMar w:left="328" w:top="1151" w:right="519" w:bottom="1440" w:gutter="0" w:footer="0" w:header="0"/>
        </w:sectPr>
      </w:pPr>
    </w:p>
    <w:bookmarkStart w:id="15" w:name="page16"/>
    <w:bookmarkEnd w:id="15"/>
    <w:p>
      <w:pPr>
        <w:ind w:left="4472"/>
        <w:spacing w:after="0"/>
        <w:rPr>
          <w:sz w:val="20"/>
          <w:szCs w:val="20"/>
          <w:color w:val="auto"/>
        </w:rPr>
      </w:pPr>
      <w:r>
        <w:rPr>
          <w:rFonts w:ascii="Arial" w:cs="Arial" w:eastAsia="Arial" w:hAnsi="Arial"/>
          <w:sz w:val="16"/>
          <w:szCs w:val="16"/>
          <w:b w:val="1"/>
          <w:bCs w:val="1"/>
          <w:color w:val="auto"/>
        </w:rPr>
        <w:t>Winnebago Industries, Inc.</w:t>
      </w:r>
    </w:p>
    <w:p>
      <w:pPr>
        <w:spacing w:after="0" w:line="21" w:lineRule="exact"/>
        <w:rPr>
          <w:sz w:val="20"/>
          <w:szCs w:val="20"/>
          <w:color w:val="auto"/>
        </w:rPr>
      </w:pPr>
    </w:p>
    <w:p>
      <w:pPr>
        <w:ind w:left="3352"/>
        <w:spacing w:after="0"/>
        <w:rPr>
          <w:sz w:val="20"/>
          <w:szCs w:val="20"/>
          <w:color w:val="auto"/>
        </w:rPr>
      </w:pPr>
      <w:r>
        <w:rPr>
          <w:rFonts w:ascii="Arial" w:cs="Arial" w:eastAsia="Arial" w:hAnsi="Arial"/>
          <w:sz w:val="16"/>
          <w:szCs w:val="16"/>
          <w:b w:val="1"/>
          <w:bCs w:val="1"/>
          <w:color w:val="auto"/>
        </w:rPr>
        <w:t>Supplemental Information by Reportable Segment - Marine</w:t>
      </w:r>
    </w:p>
    <w:p>
      <w:pPr>
        <w:spacing w:after="0" w:line="19" w:lineRule="exact"/>
        <w:rPr>
          <w:sz w:val="20"/>
          <w:szCs w:val="20"/>
          <w:color w:val="auto"/>
        </w:rPr>
      </w:pPr>
    </w:p>
    <w:p>
      <w:pPr>
        <w:jc w:val="center"/>
        <w:ind w:right="-271"/>
        <w:spacing w:after="0"/>
        <w:rPr>
          <w:sz w:val="20"/>
          <w:szCs w:val="20"/>
          <w:color w:val="auto"/>
        </w:rPr>
      </w:pPr>
      <w:r>
        <w:rPr>
          <w:rFonts w:ascii="Arial" w:cs="Arial" w:eastAsia="Arial" w:hAnsi="Arial"/>
          <w:sz w:val="16"/>
          <w:szCs w:val="16"/>
          <w:b w:val="1"/>
          <w:bCs w:val="1"/>
          <w:color w:val="auto"/>
        </w:rPr>
        <w:t>(in millions, except unit data)</w:t>
      </w:r>
    </w:p>
    <w:p>
      <w:pPr>
        <w:spacing w:after="0" w:line="5" w:lineRule="exact"/>
        <w:rPr>
          <w:sz w:val="20"/>
          <w:szCs w:val="20"/>
          <w:color w:val="auto"/>
        </w:rPr>
      </w:pPr>
    </w:p>
    <w:p>
      <w:pPr>
        <w:jc w:val="center"/>
        <w:ind w:right="-271"/>
        <w:spacing w:after="0"/>
        <w:rPr>
          <w:sz w:val="20"/>
          <w:szCs w:val="20"/>
          <w:color w:val="auto"/>
        </w:rPr>
      </w:pPr>
      <w:r>
        <w:rPr>
          <w:rFonts w:ascii="Arial" w:cs="Arial" w:eastAsia="Arial" w:hAnsi="Arial"/>
          <w:sz w:val="16"/>
          <w:szCs w:val="16"/>
          <w:b w:val="1"/>
          <w:bCs w:val="1"/>
          <w:color w:val="auto"/>
        </w:rPr>
        <w:t>(Unaudited and subject to reclassification)</w:t>
      </w:r>
    </w:p>
    <w:p>
      <w:pPr>
        <w:spacing w:after="0" w:line="43" w:lineRule="exact"/>
        <w:rPr>
          <w:sz w:val="20"/>
          <w:szCs w:val="20"/>
          <w:color w:val="auto"/>
        </w:rPr>
      </w:pPr>
    </w:p>
    <w:tbl>
      <w:tblPr>
        <w:tblLayout w:type="fixed"/>
        <w:tblInd w:w="292" w:type="dxa"/>
        <w:tblCellMar>
          <w:top w:w="0" w:type="dxa"/>
          <w:left w:w="0" w:type="dxa"/>
          <w:bottom w:w="0" w:type="dxa"/>
          <w:right w:w="0" w:type="dxa"/>
        </w:tblCellMar>
      </w:tblPr>
      <w:tr>
        <w:trPr>
          <w:trHeight w:val="217"/>
        </w:trPr>
        <w:tc>
          <w:tcPr>
            <w:tcW w:w="18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4"/>
          </w:tcPr>
          <w:p>
            <w:pPr>
              <w:jc w:val="center"/>
              <w:ind w:right="420"/>
              <w:spacing w:after="0"/>
              <w:rPr>
                <w:sz w:val="20"/>
                <w:szCs w:val="20"/>
                <w:color w:val="auto"/>
              </w:rPr>
            </w:pPr>
            <w:r>
              <w:rPr>
                <w:rFonts w:ascii="Arial" w:cs="Arial" w:eastAsia="Arial" w:hAnsi="Arial"/>
                <w:sz w:val="16"/>
                <w:szCs w:val="16"/>
                <w:b w:val="1"/>
                <w:bCs w:val="1"/>
                <w:color w:val="auto"/>
              </w:rPr>
              <w:t>Three Months Ended</w:t>
            </w: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r>
      <w:tr>
        <w:trPr>
          <w:trHeight w:val="210"/>
        </w:trPr>
        <w:tc>
          <w:tcPr>
            <w:tcW w:w="1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ind w:right="139"/>
              <w:spacing w:after="0"/>
              <w:rPr>
                <w:sz w:val="20"/>
                <w:szCs w:val="20"/>
                <w:color w:val="auto"/>
              </w:rPr>
            </w:pPr>
            <w:r>
              <w:rPr>
                <w:rFonts w:ascii="Arial" w:cs="Arial" w:eastAsia="Arial" w:hAnsi="Arial"/>
                <w:sz w:val="16"/>
                <w:szCs w:val="16"/>
                <w:b w:val="1"/>
                <w:bCs w:val="1"/>
                <w:color w:val="auto"/>
              </w:rPr>
              <w:t>May 31, 2025</w:t>
            </w:r>
          </w:p>
        </w:tc>
        <w:tc>
          <w:tcPr>
            <w:tcW w:w="100" w:type="dxa"/>
            <w:vAlign w:val="bottom"/>
          </w:tcPr>
          <w:p>
            <w:pPr>
              <w:spacing w:after="0"/>
              <w:rPr>
                <w:sz w:val="18"/>
                <w:szCs w:val="18"/>
                <w:color w:val="auto"/>
              </w:rPr>
            </w:pPr>
          </w:p>
        </w:tc>
        <w:tc>
          <w:tcPr>
            <w:tcW w:w="1660" w:type="dxa"/>
            <w:vAlign w:val="bottom"/>
            <w:gridSpan w:val="3"/>
          </w:tcPr>
          <w:p>
            <w:pPr>
              <w:jc w:val="right"/>
              <w:ind w:right="239"/>
              <w:spacing w:after="0" w:line="210" w:lineRule="exact"/>
              <w:rPr>
                <w:sz w:val="20"/>
                <w:szCs w:val="20"/>
                <w:color w:val="auto"/>
              </w:rPr>
            </w:pPr>
            <w:r>
              <w:rPr>
                <w:rFonts w:ascii="Arial" w:cs="Arial" w:eastAsia="Arial" w:hAnsi="Arial"/>
                <w:sz w:val="16"/>
                <w:szCs w:val="16"/>
                <w:b w:val="1"/>
                <w:bCs w:val="1"/>
                <w:color w:val="auto"/>
              </w:rPr>
              <w:t>% of Revenues</w:t>
            </w:r>
            <w:r>
              <w:rPr>
                <w:rFonts w:ascii="Arial" w:cs="Arial" w:eastAsia="Arial" w:hAnsi="Arial"/>
                <w:sz w:val="21"/>
                <w:szCs w:val="21"/>
                <w:b w:val="1"/>
                <w:bCs w:val="1"/>
                <w:color w:val="auto"/>
                <w:vertAlign w:val="superscript"/>
              </w:rPr>
              <w:t>(1)</w:t>
            </w:r>
          </w:p>
        </w:tc>
        <w:tc>
          <w:tcPr>
            <w:tcW w:w="1260" w:type="dxa"/>
            <w:vAlign w:val="bottom"/>
          </w:tcPr>
          <w:p>
            <w:pPr>
              <w:jc w:val="right"/>
              <w:ind w:right="139"/>
              <w:spacing w:after="0"/>
              <w:rPr>
                <w:sz w:val="20"/>
                <w:szCs w:val="20"/>
                <w:color w:val="auto"/>
              </w:rPr>
            </w:pPr>
            <w:r>
              <w:rPr>
                <w:rFonts w:ascii="Arial" w:cs="Arial" w:eastAsia="Arial" w:hAnsi="Arial"/>
                <w:sz w:val="16"/>
                <w:szCs w:val="16"/>
                <w:b w:val="1"/>
                <w:bCs w:val="1"/>
                <w:color w:val="auto"/>
              </w:rPr>
              <w:t>May 25, 2024</w:t>
            </w:r>
          </w:p>
        </w:tc>
        <w:tc>
          <w:tcPr>
            <w:tcW w:w="100" w:type="dxa"/>
            <w:vAlign w:val="bottom"/>
          </w:tcPr>
          <w:p>
            <w:pPr>
              <w:spacing w:after="0"/>
              <w:rPr>
                <w:sz w:val="18"/>
                <w:szCs w:val="18"/>
                <w:color w:val="auto"/>
              </w:rPr>
            </w:pPr>
          </w:p>
        </w:tc>
        <w:tc>
          <w:tcPr>
            <w:tcW w:w="1500" w:type="dxa"/>
            <w:vAlign w:val="bottom"/>
            <w:gridSpan w:val="2"/>
          </w:tcPr>
          <w:p>
            <w:pPr>
              <w:ind w:left="60"/>
              <w:spacing w:after="0" w:line="210" w:lineRule="exact"/>
              <w:rPr>
                <w:sz w:val="20"/>
                <w:szCs w:val="20"/>
                <w:color w:val="auto"/>
              </w:rPr>
            </w:pPr>
            <w:r>
              <w:rPr>
                <w:rFonts w:ascii="Arial" w:cs="Arial" w:eastAsia="Arial" w:hAnsi="Arial"/>
                <w:sz w:val="16"/>
                <w:szCs w:val="16"/>
                <w:b w:val="1"/>
                <w:bCs w:val="1"/>
                <w:color w:val="auto"/>
              </w:rPr>
              <w:t>% of Revenues</w:t>
            </w:r>
            <w:r>
              <w:rPr>
                <w:rFonts w:ascii="Arial" w:cs="Arial" w:eastAsia="Arial" w:hAnsi="Arial"/>
                <w:sz w:val="21"/>
                <w:szCs w:val="21"/>
                <w:b w:val="1"/>
                <w:bCs w:val="1"/>
                <w:color w:val="auto"/>
                <w:vertAlign w:val="superscript"/>
              </w:rPr>
              <w:t>(1)</w:t>
            </w:r>
          </w:p>
        </w:tc>
        <w:tc>
          <w:tcPr>
            <w:tcW w:w="140" w:type="dxa"/>
            <w:vAlign w:val="bottom"/>
          </w:tcPr>
          <w:p>
            <w:pPr>
              <w:spacing w:after="0"/>
              <w:rPr>
                <w:sz w:val="18"/>
                <w:szCs w:val="18"/>
                <w:color w:val="auto"/>
              </w:rPr>
            </w:pPr>
          </w:p>
        </w:tc>
        <w:tc>
          <w:tcPr>
            <w:tcW w:w="1240" w:type="dxa"/>
            <w:vAlign w:val="bottom"/>
            <w:gridSpan w:val="2"/>
          </w:tcPr>
          <w:p>
            <w:pPr>
              <w:jc w:val="center"/>
              <w:ind w:right="260"/>
              <w:spacing w:after="0" w:line="210" w:lineRule="exact"/>
              <w:rPr>
                <w:sz w:val="20"/>
                <w:szCs w:val="20"/>
                <w:color w:val="auto"/>
              </w:rPr>
            </w:pPr>
            <w:r>
              <w:rPr>
                <w:rFonts w:ascii="Arial" w:cs="Arial" w:eastAsia="Arial" w:hAnsi="Arial"/>
                <w:sz w:val="16"/>
                <w:szCs w:val="16"/>
                <w:b w:val="1"/>
                <w:bCs w:val="1"/>
                <w:color w:val="auto"/>
                <w:w w:val="96"/>
              </w:rPr>
              <w:t>$ Change</w:t>
            </w:r>
            <w:r>
              <w:rPr>
                <w:rFonts w:ascii="Arial" w:cs="Arial" w:eastAsia="Arial" w:hAnsi="Arial"/>
                <w:sz w:val="21"/>
                <w:szCs w:val="21"/>
                <w:b w:val="1"/>
                <w:bCs w:val="1"/>
                <w:color w:val="auto"/>
                <w:w w:val="96"/>
                <w:vertAlign w:val="superscript"/>
              </w:rPr>
              <w:t>(1)</w:t>
            </w:r>
          </w:p>
        </w:tc>
        <w:tc>
          <w:tcPr>
            <w:tcW w:w="1380" w:type="dxa"/>
            <w:vAlign w:val="bottom"/>
          </w:tcPr>
          <w:p>
            <w:pPr>
              <w:jc w:val="center"/>
              <w:spacing w:after="0" w:line="210" w:lineRule="exact"/>
              <w:rPr>
                <w:sz w:val="20"/>
                <w:szCs w:val="20"/>
                <w:color w:val="auto"/>
              </w:rPr>
            </w:pPr>
            <w:r>
              <w:rPr>
                <w:rFonts w:ascii="Arial" w:cs="Arial" w:eastAsia="Arial" w:hAnsi="Arial"/>
                <w:sz w:val="16"/>
                <w:szCs w:val="16"/>
                <w:b w:val="1"/>
                <w:bCs w:val="1"/>
                <w:color w:val="auto"/>
                <w:w w:val="97"/>
              </w:rPr>
              <w:t>% Change</w:t>
            </w:r>
            <w:r>
              <w:rPr>
                <w:rFonts w:ascii="Arial" w:cs="Arial" w:eastAsia="Arial" w:hAnsi="Arial"/>
                <w:sz w:val="21"/>
                <w:szCs w:val="21"/>
                <w:b w:val="1"/>
                <w:bCs w:val="1"/>
                <w:color w:val="auto"/>
                <w:w w:val="97"/>
                <w:vertAlign w:val="superscript"/>
              </w:rPr>
              <w:t>(1)</w:t>
            </w:r>
          </w:p>
        </w:tc>
      </w:tr>
      <w:tr>
        <w:trPr>
          <w:trHeight w:val="209"/>
        </w:trPr>
        <w:tc>
          <w:tcPr>
            <w:tcW w:w="18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100.7</w:t>
            </w:r>
          </w:p>
        </w:tc>
        <w:tc>
          <w:tcPr>
            <w:tcW w:w="1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87.9</w:t>
            </w:r>
          </w:p>
        </w:tc>
        <w:tc>
          <w:tcPr>
            <w:tcW w:w="1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w:t>
            </w:r>
          </w:p>
        </w:tc>
        <w:tc>
          <w:tcPr>
            <w:tcW w:w="1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14.6 %</w:t>
            </w:r>
          </w:p>
        </w:tc>
      </w:tr>
      <w:tr>
        <w:trPr>
          <w:trHeight w:val="215"/>
        </w:trPr>
        <w:tc>
          <w:tcPr>
            <w:tcW w:w="1860" w:type="dxa"/>
            <w:vAlign w:val="bottom"/>
          </w:tcPr>
          <w:p>
            <w:pPr>
              <w:ind w:left="20"/>
              <w:spacing w:after="0"/>
              <w:rPr>
                <w:sz w:val="20"/>
                <w:szCs w:val="20"/>
                <w:color w:val="auto"/>
              </w:rPr>
            </w:pPr>
            <w:r>
              <w:rPr>
                <w:rFonts w:ascii="Arial" w:cs="Arial" w:eastAsia="Arial" w:hAnsi="Arial"/>
                <w:sz w:val="16"/>
                <w:szCs w:val="16"/>
                <w:color w:val="auto"/>
              </w:rPr>
              <w:t>Adjusted EBITDA</w:t>
            </w: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11.6</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11.6 %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8.5</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9.7 %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37.0 %</w:t>
            </w:r>
          </w:p>
        </w:tc>
      </w:tr>
      <w:tr>
        <w:trPr>
          <w:trHeight w:val="474"/>
        </w:trPr>
        <w:tc>
          <w:tcPr>
            <w:tcW w:w="18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4"/>
          </w:tcPr>
          <w:p>
            <w:pPr>
              <w:jc w:val="center"/>
              <w:ind w:right="420"/>
              <w:spacing w:after="0"/>
              <w:rPr>
                <w:sz w:val="20"/>
                <w:szCs w:val="20"/>
                <w:color w:val="auto"/>
              </w:rPr>
            </w:pPr>
            <w:r>
              <w:rPr>
                <w:rFonts w:ascii="Arial" w:cs="Arial" w:eastAsia="Arial" w:hAnsi="Arial"/>
                <w:sz w:val="16"/>
                <w:szCs w:val="16"/>
                <w:b w:val="1"/>
                <w:bCs w:val="1"/>
                <w:color w:val="auto"/>
              </w:rPr>
              <w:t>Three Months Ended</w:t>
            </w:r>
          </w:p>
        </w:tc>
        <w:tc>
          <w:tcPr>
            <w:tcW w:w="1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r>
      <w:tr>
        <w:trPr>
          <w:trHeight w:val="209"/>
        </w:trPr>
        <w:tc>
          <w:tcPr>
            <w:tcW w:w="1860" w:type="dxa"/>
            <w:vAlign w:val="bottom"/>
          </w:tcPr>
          <w:p>
            <w:pPr>
              <w:ind w:left="20"/>
              <w:spacing w:after="0"/>
              <w:rPr>
                <w:sz w:val="20"/>
                <w:szCs w:val="20"/>
                <w:color w:val="auto"/>
              </w:rPr>
            </w:pPr>
            <w:r>
              <w:rPr>
                <w:rFonts w:ascii="Arial" w:cs="Arial" w:eastAsia="Arial" w:hAnsi="Arial"/>
                <w:sz w:val="16"/>
                <w:szCs w:val="16"/>
                <w:b w:val="1"/>
                <w:bCs w:val="1"/>
                <w:color w:val="auto"/>
              </w:rPr>
              <w:t>Unit deliveries</w:t>
            </w:r>
          </w:p>
        </w:tc>
        <w:tc>
          <w:tcPr>
            <w:tcW w:w="160" w:type="dxa"/>
            <w:vAlign w:val="bottom"/>
          </w:tcPr>
          <w:p>
            <w:pPr>
              <w:spacing w:after="0"/>
              <w:rPr>
                <w:sz w:val="18"/>
                <w:szCs w:val="18"/>
                <w:color w:val="auto"/>
              </w:rPr>
            </w:pPr>
          </w:p>
        </w:tc>
        <w:tc>
          <w:tcPr>
            <w:tcW w:w="1260" w:type="dxa"/>
            <w:vAlign w:val="bottom"/>
          </w:tcPr>
          <w:p>
            <w:pPr>
              <w:jc w:val="right"/>
              <w:ind w:right="139"/>
              <w:spacing w:after="0"/>
              <w:rPr>
                <w:sz w:val="20"/>
                <w:szCs w:val="20"/>
                <w:color w:val="auto"/>
              </w:rPr>
            </w:pPr>
            <w:r>
              <w:rPr>
                <w:rFonts w:ascii="Arial" w:cs="Arial" w:eastAsia="Arial" w:hAnsi="Arial"/>
                <w:sz w:val="16"/>
                <w:szCs w:val="16"/>
                <w:b w:val="1"/>
                <w:bCs w:val="1"/>
                <w:color w:val="auto"/>
              </w:rPr>
              <w:t>May 31, 2025</w:t>
            </w: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ind w:right="139"/>
              <w:spacing w:after="0"/>
              <w:rPr>
                <w:sz w:val="20"/>
                <w:szCs w:val="20"/>
                <w:color w:val="auto"/>
              </w:rPr>
            </w:pPr>
            <w:r>
              <w:rPr>
                <w:rFonts w:ascii="Arial" w:cs="Arial" w:eastAsia="Arial" w:hAnsi="Arial"/>
                <w:sz w:val="16"/>
                <w:szCs w:val="16"/>
                <w:b w:val="1"/>
                <w:bCs w:val="1"/>
                <w:color w:val="auto"/>
              </w:rPr>
              <w:t>May 25, 2024</w:t>
            </w: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Unit Change</w:t>
            </w:r>
          </w:p>
        </w:tc>
        <w:tc>
          <w:tcPr>
            <w:tcW w:w="1380" w:type="dxa"/>
            <w:vAlign w:val="bottom"/>
          </w:tcPr>
          <w:p>
            <w:pPr>
              <w:jc w:val="center"/>
              <w:spacing w:after="0"/>
              <w:rPr>
                <w:sz w:val="20"/>
                <w:szCs w:val="20"/>
                <w:color w:val="auto"/>
              </w:rPr>
            </w:pPr>
            <w:r>
              <w:rPr>
                <w:rFonts w:ascii="Arial" w:cs="Arial" w:eastAsia="Arial" w:hAnsi="Arial"/>
                <w:sz w:val="16"/>
                <w:szCs w:val="16"/>
                <w:b w:val="1"/>
                <w:bCs w:val="1"/>
                <w:color w:val="auto"/>
              </w:rPr>
              <w:t>% Change</w:t>
            </w:r>
          </w:p>
        </w:tc>
      </w:tr>
      <w:tr>
        <w:trPr>
          <w:trHeight w:val="210"/>
        </w:trPr>
        <w:tc>
          <w:tcPr>
            <w:tcW w:w="18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Boats</w:t>
            </w:r>
          </w:p>
        </w:tc>
        <w:tc>
          <w:tcPr>
            <w:tcW w:w="16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1,254</w:t>
            </w:r>
          </w:p>
        </w:tc>
        <w:tc>
          <w:tcPr>
            <w:tcW w:w="1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1,127</w:t>
            </w:r>
          </w:p>
        </w:tc>
        <w:tc>
          <w:tcPr>
            <w:tcW w:w="1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w:t>
            </w:r>
          </w:p>
        </w:tc>
        <w:tc>
          <w:tcPr>
            <w:tcW w:w="1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11.3 %</w:t>
            </w:r>
          </w:p>
        </w:tc>
      </w:tr>
      <w:tr>
        <w:trPr>
          <w:trHeight w:val="486"/>
        </w:trPr>
        <w:tc>
          <w:tcPr>
            <w:tcW w:w="18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4"/>
          </w:tcPr>
          <w:p>
            <w:pPr>
              <w:jc w:val="center"/>
              <w:ind w:right="420"/>
              <w:spacing w:after="0"/>
              <w:rPr>
                <w:sz w:val="20"/>
                <w:szCs w:val="20"/>
                <w:color w:val="auto"/>
              </w:rPr>
            </w:pPr>
            <w:r>
              <w:rPr>
                <w:rFonts w:ascii="Arial" w:cs="Arial" w:eastAsia="Arial" w:hAnsi="Arial"/>
                <w:sz w:val="16"/>
                <w:szCs w:val="16"/>
                <w:b w:val="1"/>
                <w:bCs w:val="1"/>
                <w:color w:val="auto"/>
              </w:rPr>
              <w:t>Nine Months Ended</w:t>
            </w:r>
          </w:p>
        </w:tc>
        <w:tc>
          <w:tcPr>
            <w:tcW w:w="1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r>
      <w:tr>
        <w:trPr>
          <w:trHeight w:val="209"/>
        </w:trPr>
        <w:tc>
          <w:tcPr>
            <w:tcW w:w="1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ind w:right="139"/>
              <w:spacing w:after="0"/>
              <w:rPr>
                <w:sz w:val="20"/>
                <w:szCs w:val="20"/>
                <w:color w:val="auto"/>
              </w:rPr>
            </w:pPr>
            <w:r>
              <w:rPr>
                <w:rFonts w:ascii="Arial" w:cs="Arial" w:eastAsia="Arial" w:hAnsi="Arial"/>
                <w:sz w:val="16"/>
                <w:szCs w:val="16"/>
                <w:b w:val="1"/>
                <w:bCs w:val="1"/>
                <w:color w:val="auto"/>
              </w:rPr>
              <w:t>May 31, 2025</w:t>
            </w:r>
          </w:p>
        </w:tc>
        <w:tc>
          <w:tcPr>
            <w:tcW w:w="100" w:type="dxa"/>
            <w:vAlign w:val="bottom"/>
          </w:tcPr>
          <w:p>
            <w:pPr>
              <w:spacing w:after="0"/>
              <w:rPr>
                <w:sz w:val="18"/>
                <w:szCs w:val="18"/>
                <w:color w:val="auto"/>
              </w:rPr>
            </w:pPr>
          </w:p>
        </w:tc>
        <w:tc>
          <w:tcPr>
            <w:tcW w:w="1660" w:type="dxa"/>
            <w:vAlign w:val="bottom"/>
            <w:gridSpan w:val="3"/>
          </w:tcPr>
          <w:p>
            <w:pPr>
              <w:jc w:val="right"/>
              <w:ind w:right="239"/>
              <w:spacing w:after="0" w:line="210" w:lineRule="exact"/>
              <w:rPr>
                <w:sz w:val="20"/>
                <w:szCs w:val="20"/>
                <w:color w:val="auto"/>
              </w:rPr>
            </w:pPr>
            <w:r>
              <w:rPr>
                <w:rFonts w:ascii="Arial" w:cs="Arial" w:eastAsia="Arial" w:hAnsi="Arial"/>
                <w:sz w:val="16"/>
                <w:szCs w:val="16"/>
                <w:b w:val="1"/>
                <w:bCs w:val="1"/>
                <w:color w:val="auto"/>
              </w:rPr>
              <w:t>% of Revenues</w:t>
            </w:r>
            <w:r>
              <w:rPr>
                <w:rFonts w:ascii="Arial" w:cs="Arial" w:eastAsia="Arial" w:hAnsi="Arial"/>
                <w:sz w:val="21"/>
                <w:szCs w:val="21"/>
                <w:b w:val="1"/>
                <w:bCs w:val="1"/>
                <w:color w:val="auto"/>
                <w:vertAlign w:val="superscript"/>
              </w:rPr>
              <w:t>(1)</w:t>
            </w:r>
          </w:p>
        </w:tc>
        <w:tc>
          <w:tcPr>
            <w:tcW w:w="1260" w:type="dxa"/>
            <w:vAlign w:val="bottom"/>
          </w:tcPr>
          <w:p>
            <w:pPr>
              <w:jc w:val="right"/>
              <w:ind w:right="139"/>
              <w:spacing w:after="0"/>
              <w:rPr>
                <w:sz w:val="20"/>
                <w:szCs w:val="20"/>
                <w:color w:val="auto"/>
              </w:rPr>
            </w:pPr>
            <w:r>
              <w:rPr>
                <w:rFonts w:ascii="Arial" w:cs="Arial" w:eastAsia="Arial" w:hAnsi="Arial"/>
                <w:sz w:val="16"/>
                <w:szCs w:val="16"/>
                <w:b w:val="1"/>
                <w:bCs w:val="1"/>
                <w:color w:val="auto"/>
              </w:rPr>
              <w:t>May 25, 2024</w:t>
            </w:r>
          </w:p>
        </w:tc>
        <w:tc>
          <w:tcPr>
            <w:tcW w:w="100" w:type="dxa"/>
            <w:vAlign w:val="bottom"/>
          </w:tcPr>
          <w:p>
            <w:pPr>
              <w:spacing w:after="0"/>
              <w:rPr>
                <w:sz w:val="18"/>
                <w:szCs w:val="18"/>
                <w:color w:val="auto"/>
              </w:rPr>
            </w:pPr>
          </w:p>
        </w:tc>
        <w:tc>
          <w:tcPr>
            <w:tcW w:w="1500" w:type="dxa"/>
            <w:vAlign w:val="bottom"/>
            <w:gridSpan w:val="2"/>
          </w:tcPr>
          <w:p>
            <w:pPr>
              <w:ind w:left="60"/>
              <w:spacing w:after="0" w:line="210" w:lineRule="exact"/>
              <w:rPr>
                <w:sz w:val="20"/>
                <w:szCs w:val="20"/>
                <w:color w:val="auto"/>
              </w:rPr>
            </w:pPr>
            <w:r>
              <w:rPr>
                <w:rFonts w:ascii="Arial" w:cs="Arial" w:eastAsia="Arial" w:hAnsi="Arial"/>
                <w:sz w:val="16"/>
                <w:szCs w:val="16"/>
                <w:b w:val="1"/>
                <w:bCs w:val="1"/>
                <w:color w:val="auto"/>
              </w:rPr>
              <w:t>% of Revenues</w:t>
            </w:r>
            <w:r>
              <w:rPr>
                <w:rFonts w:ascii="Arial" w:cs="Arial" w:eastAsia="Arial" w:hAnsi="Arial"/>
                <w:sz w:val="21"/>
                <w:szCs w:val="21"/>
                <w:b w:val="1"/>
                <w:bCs w:val="1"/>
                <w:color w:val="auto"/>
                <w:vertAlign w:val="superscript"/>
              </w:rPr>
              <w:t>(1)</w:t>
            </w:r>
          </w:p>
        </w:tc>
        <w:tc>
          <w:tcPr>
            <w:tcW w:w="140" w:type="dxa"/>
            <w:vAlign w:val="bottom"/>
          </w:tcPr>
          <w:p>
            <w:pPr>
              <w:spacing w:after="0"/>
              <w:rPr>
                <w:sz w:val="18"/>
                <w:szCs w:val="18"/>
                <w:color w:val="auto"/>
              </w:rPr>
            </w:pPr>
          </w:p>
        </w:tc>
        <w:tc>
          <w:tcPr>
            <w:tcW w:w="1240" w:type="dxa"/>
            <w:vAlign w:val="bottom"/>
            <w:gridSpan w:val="2"/>
          </w:tcPr>
          <w:p>
            <w:pPr>
              <w:jc w:val="center"/>
              <w:ind w:right="260"/>
              <w:spacing w:after="0" w:line="210" w:lineRule="exact"/>
              <w:rPr>
                <w:sz w:val="20"/>
                <w:szCs w:val="20"/>
                <w:color w:val="auto"/>
              </w:rPr>
            </w:pPr>
            <w:r>
              <w:rPr>
                <w:rFonts w:ascii="Arial" w:cs="Arial" w:eastAsia="Arial" w:hAnsi="Arial"/>
                <w:sz w:val="16"/>
                <w:szCs w:val="16"/>
                <w:b w:val="1"/>
                <w:bCs w:val="1"/>
                <w:color w:val="auto"/>
                <w:w w:val="96"/>
              </w:rPr>
              <w:t>$ Change</w:t>
            </w:r>
            <w:r>
              <w:rPr>
                <w:rFonts w:ascii="Arial" w:cs="Arial" w:eastAsia="Arial" w:hAnsi="Arial"/>
                <w:sz w:val="21"/>
                <w:szCs w:val="21"/>
                <w:b w:val="1"/>
                <w:bCs w:val="1"/>
                <w:color w:val="auto"/>
                <w:w w:val="96"/>
                <w:vertAlign w:val="superscript"/>
              </w:rPr>
              <w:t>(1)</w:t>
            </w:r>
          </w:p>
        </w:tc>
        <w:tc>
          <w:tcPr>
            <w:tcW w:w="1380" w:type="dxa"/>
            <w:vAlign w:val="bottom"/>
          </w:tcPr>
          <w:p>
            <w:pPr>
              <w:jc w:val="center"/>
              <w:spacing w:after="0" w:line="210" w:lineRule="exact"/>
              <w:rPr>
                <w:sz w:val="20"/>
                <w:szCs w:val="20"/>
                <w:color w:val="auto"/>
              </w:rPr>
            </w:pPr>
            <w:r>
              <w:rPr>
                <w:rFonts w:ascii="Arial" w:cs="Arial" w:eastAsia="Arial" w:hAnsi="Arial"/>
                <w:sz w:val="16"/>
                <w:szCs w:val="16"/>
                <w:b w:val="1"/>
                <w:bCs w:val="1"/>
                <w:color w:val="auto"/>
                <w:w w:val="97"/>
              </w:rPr>
              <w:t>% Change</w:t>
            </w:r>
            <w:r>
              <w:rPr>
                <w:rFonts w:ascii="Arial" w:cs="Arial" w:eastAsia="Arial" w:hAnsi="Arial"/>
                <w:sz w:val="21"/>
                <w:szCs w:val="21"/>
                <w:b w:val="1"/>
                <w:bCs w:val="1"/>
                <w:color w:val="auto"/>
                <w:w w:val="97"/>
                <w:vertAlign w:val="superscript"/>
              </w:rPr>
              <w:t>(1)</w:t>
            </w:r>
          </w:p>
        </w:tc>
      </w:tr>
      <w:tr>
        <w:trPr>
          <w:trHeight w:val="210"/>
        </w:trPr>
        <w:tc>
          <w:tcPr>
            <w:tcW w:w="18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272.9</w:t>
            </w:r>
          </w:p>
        </w:tc>
        <w:tc>
          <w:tcPr>
            <w:tcW w:w="1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245.0</w:t>
            </w:r>
          </w:p>
        </w:tc>
        <w:tc>
          <w:tcPr>
            <w:tcW w:w="1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27.9</w:t>
            </w:r>
          </w:p>
        </w:tc>
        <w:tc>
          <w:tcPr>
            <w:tcW w:w="1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11.4 %</w:t>
            </w:r>
          </w:p>
        </w:tc>
      </w:tr>
      <w:tr>
        <w:trPr>
          <w:trHeight w:val="215"/>
        </w:trPr>
        <w:tc>
          <w:tcPr>
            <w:tcW w:w="1860" w:type="dxa"/>
            <w:vAlign w:val="bottom"/>
          </w:tcPr>
          <w:p>
            <w:pPr>
              <w:ind w:left="20"/>
              <w:spacing w:after="0"/>
              <w:rPr>
                <w:sz w:val="20"/>
                <w:szCs w:val="20"/>
                <w:color w:val="auto"/>
              </w:rPr>
            </w:pPr>
            <w:r>
              <w:rPr>
                <w:rFonts w:ascii="Arial" w:cs="Arial" w:eastAsia="Arial" w:hAnsi="Arial"/>
                <w:sz w:val="16"/>
                <w:szCs w:val="16"/>
                <w:color w:val="auto"/>
              </w:rPr>
              <w:t>Adjusted EBITDA</w:t>
            </w: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27.7</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10.2 %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20.1</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8.2 %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7.6</w:t>
            </w: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38.1 %</w:t>
            </w:r>
          </w:p>
        </w:tc>
      </w:tr>
      <w:tr>
        <w:trPr>
          <w:trHeight w:val="379"/>
        </w:trPr>
        <w:tc>
          <w:tcPr>
            <w:tcW w:w="18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4"/>
          </w:tcPr>
          <w:p>
            <w:pPr>
              <w:jc w:val="center"/>
              <w:ind w:right="420"/>
              <w:spacing w:after="0"/>
              <w:rPr>
                <w:sz w:val="20"/>
                <w:szCs w:val="20"/>
                <w:color w:val="auto"/>
              </w:rPr>
            </w:pPr>
            <w:r>
              <w:rPr>
                <w:rFonts w:ascii="Arial" w:cs="Arial" w:eastAsia="Arial" w:hAnsi="Arial"/>
                <w:sz w:val="16"/>
                <w:szCs w:val="16"/>
                <w:b w:val="1"/>
                <w:bCs w:val="1"/>
                <w:color w:val="auto"/>
              </w:rPr>
              <w:t>Nine Months Ended</w:t>
            </w:r>
          </w:p>
        </w:tc>
        <w:tc>
          <w:tcPr>
            <w:tcW w:w="1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r>
      <w:tr>
        <w:trPr>
          <w:trHeight w:val="210"/>
        </w:trPr>
        <w:tc>
          <w:tcPr>
            <w:tcW w:w="1860" w:type="dxa"/>
            <w:vAlign w:val="bottom"/>
          </w:tcPr>
          <w:p>
            <w:pPr>
              <w:ind w:left="20"/>
              <w:spacing w:after="0"/>
              <w:rPr>
                <w:sz w:val="20"/>
                <w:szCs w:val="20"/>
                <w:color w:val="auto"/>
              </w:rPr>
            </w:pPr>
            <w:r>
              <w:rPr>
                <w:rFonts w:ascii="Arial" w:cs="Arial" w:eastAsia="Arial" w:hAnsi="Arial"/>
                <w:sz w:val="16"/>
                <w:szCs w:val="16"/>
                <w:b w:val="1"/>
                <w:bCs w:val="1"/>
                <w:color w:val="auto"/>
              </w:rPr>
              <w:t>Unit deliveries</w:t>
            </w:r>
          </w:p>
        </w:tc>
        <w:tc>
          <w:tcPr>
            <w:tcW w:w="160" w:type="dxa"/>
            <w:vAlign w:val="bottom"/>
          </w:tcPr>
          <w:p>
            <w:pPr>
              <w:spacing w:after="0"/>
              <w:rPr>
                <w:sz w:val="18"/>
                <w:szCs w:val="18"/>
                <w:color w:val="auto"/>
              </w:rPr>
            </w:pPr>
          </w:p>
        </w:tc>
        <w:tc>
          <w:tcPr>
            <w:tcW w:w="1260" w:type="dxa"/>
            <w:vAlign w:val="bottom"/>
          </w:tcPr>
          <w:p>
            <w:pPr>
              <w:jc w:val="right"/>
              <w:ind w:right="139"/>
              <w:spacing w:after="0"/>
              <w:rPr>
                <w:sz w:val="20"/>
                <w:szCs w:val="20"/>
                <w:color w:val="auto"/>
              </w:rPr>
            </w:pPr>
            <w:r>
              <w:rPr>
                <w:rFonts w:ascii="Arial" w:cs="Arial" w:eastAsia="Arial" w:hAnsi="Arial"/>
                <w:sz w:val="16"/>
                <w:szCs w:val="16"/>
                <w:b w:val="1"/>
                <w:bCs w:val="1"/>
                <w:color w:val="auto"/>
              </w:rPr>
              <w:t>May 31, 2025</w:t>
            </w: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ind w:right="139"/>
              <w:spacing w:after="0"/>
              <w:rPr>
                <w:sz w:val="20"/>
                <w:szCs w:val="20"/>
                <w:color w:val="auto"/>
              </w:rPr>
            </w:pPr>
            <w:r>
              <w:rPr>
                <w:rFonts w:ascii="Arial" w:cs="Arial" w:eastAsia="Arial" w:hAnsi="Arial"/>
                <w:sz w:val="16"/>
                <w:szCs w:val="16"/>
                <w:b w:val="1"/>
                <w:bCs w:val="1"/>
                <w:color w:val="auto"/>
              </w:rPr>
              <w:t>May 25, 2024</w:t>
            </w: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Unit Change</w:t>
            </w:r>
          </w:p>
        </w:tc>
        <w:tc>
          <w:tcPr>
            <w:tcW w:w="1380" w:type="dxa"/>
            <w:vAlign w:val="bottom"/>
          </w:tcPr>
          <w:p>
            <w:pPr>
              <w:jc w:val="center"/>
              <w:spacing w:after="0"/>
              <w:rPr>
                <w:sz w:val="20"/>
                <w:szCs w:val="20"/>
                <w:color w:val="auto"/>
              </w:rPr>
            </w:pPr>
            <w:r>
              <w:rPr>
                <w:rFonts w:ascii="Arial" w:cs="Arial" w:eastAsia="Arial" w:hAnsi="Arial"/>
                <w:sz w:val="16"/>
                <w:szCs w:val="16"/>
                <w:b w:val="1"/>
                <w:bCs w:val="1"/>
                <w:color w:val="auto"/>
              </w:rPr>
              <w:t>% Change</w:t>
            </w:r>
          </w:p>
        </w:tc>
      </w:tr>
      <w:tr>
        <w:trPr>
          <w:trHeight w:val="209"/>
        </w:trPr>
        <w:tc>
          <w:tcPr>
            <w:tcW w:w="18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Boats</w:t>
            </w:r>
          </w:p>
        </w:tc>
        <w:tc>
          <w:tcPr>
            <w:tcW w:w="16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3,471</w:t>
            </w:r>
          </w:p>
        </w:tc>
        <w:tc>
          <w:tcPr>
            <w:tcW w:w="1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3,107</w:t>
            </w:r>
          </w:p>
        </w:tc>
        <w:tc>
          <w:tcPr>
            <w:tcW w:w="1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364</w:t>
            </w:r>
          </w:p>
        </w:tc>
        <w:tc>
          <w:tcPr>
            <w:tcW w:w="1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11.7 %</w:t>
            </w:r>
          </w:p>
        </w:tc>
      </w:tr>
      <w:tr>
        <w:trPr>
          <w:trHeight w:val="432"/>
        </w:trPr>
        <w:tc>
          <w:tcPr>
            <w:tcW w:w="1860" w:type="dxa"/>
            <w:vAlign w:val="bottom"/>
          </w:tcPr>
          <w:p>
            <w:pPr>
              <w:ind w:left="20"/>
              <w:spacing w:after="0"/>
              <w:rPr>
                <w:sz w:val="20"/>
                <w:szCs w:val="20"/>
                <w:color w:val="auto"/>
              </w:rPr>
            </w:pPr>
            <w:r>
              <w:rPr>
                <w:rFonts w:ascii="Arial" w:cs="Arial" w:eastAsia="Arial" w:hAnsi="Arial"/>
                <w:sz w:val="16"/>
                <w:szCs w:val="16"/>
                <w:b w:val="1"/>
                <w:bCs w:val="1"/>
                <w:color w:val="auto"/>
              </w:rPr>
              <w:t>Dealer Inventory</w:t>
            </w:r>
            <w:r>
              <w:rPr>
                <w:rFonts w:ascii="Arial" w:cs="Arial" w:eastAsia="Arial" w:hAnsi="Arial"/>
                <w:sz w:val="21"/>
                <w:szCs w:val="21"/>
                <w:b w:val="1"/>
                <w:bCs w:val="1"/>
                <w:color w:val="auto"/>
                <w:vertAlign w:val="superscript"/>
              </w:rPr>
              <w:t>(2,3)</w:t>
            </w:r>
          </w:p>
        </w:tc>
        <w:tc>
          <w:tcPr>
            <w:tcW w:w="160" w:type="dxa"/>
            <w:vAlign w:val="bottom"/>
          </w:tcPr>
          <w:p>
            <w:pPr>
              <w:spacing w:after="0"/>
              <w:rPr>
                <w:sz w:val="24"/>
                <w:szCs w:val="24"/>
                <w:color w:val="auto"/>
              </w:rPr>
            </w:pPr>
          </w:p>
        </w:tc>
        <w:tc>
          <w:tcPr>
            <w:tcW w:w="1260" w:type="dxa"/>
            <w:vAlign w:val="bottom"/>
          </w:tcPr>
          <w:p>
            <w:pPr>
              <w:jc w:val="right"/>
              <w:ind w:right="139"/>
              <w:spacing w:after="0"/>
              <w:rPr>
                <w:sz w:val="20"/>
                <w:szCs w:val="20"/>
                <w:color w:val="auto"/>
              </w:rPr>
            </w:pPr>
            <w:r>
              <w:rPr>
                <w:rFonts w:ascii="Arial" w:cs="Arial" w:eastAsia="Arial" w:hAnsi="Arial"/>
                <w:sz w:val="16"/>
                <w:szCs w:val="16"/>
                <w:b w:val="1"/>
                <w:bCs w:val="1"/>
                <w:color w:val="auto"/>
              </w:rPr>
              <w:t>May 31, 2025</w:t>
            </w: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jc w:val="right"/>
              <w:ind w:right="139"/>
              <w:spacing w:after="0"/>
              <w:rPr>
                <w:sz w:val="20"/>
                <w:szCs w:val="20"/>
                <w:color w:val="auto"/>
              </w:rPr>
            </w:pPr>
            <w:r>
              <w:rPr>
                <w:rFonts w:ascii="Arial" w:cs="Arial" w:eastAsia="Arial" w:hAnsi="Arial"/>
                <w:sz w:val="16"/>
                <w:szCs w:val="16"/>
                <w:b w:val="1"/>
                <w:bCs w:val="1"/>
                <w:color w:val="auto"/>
              </w:rPr>
              <w:t>May 25, 2024</w:t>
            </w: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Unit Change</w:t>
            </w:r>
          </w:p>
        </w:tc>
        <w:tc>
          <w:tcPr>
            <w:tcW w:w="1380" w:type="dxa"/>
            <w:vAlign w:val="bottom"/>
          </w:tcPr>
          <w:p>
            <w:pPr>
              <w:jc w:val="center"/>
              <w:spacing w:after="0"/>
              <w:rPr>
                <w:sz w:val="20"/>
                <w:szCs w:val="20"/>
                <w:color w:val="auto"/>
              </w:rPr>
            </w:pPr>
            <w:r>
              <w:rPr>
                <w:rFonts w:ascii="Arial" w:cs="Arial" w:eastAsia="Arial" w:hAnsi="Arial"/>
                <w:sz w:val="16"/>
                <w:szCs w:val="16"/>
                <w:b w:val="1"/>
                <w:bCs w:val="1"/>
                <w:color w:val="auto"/>
              </w:rPr>
              <w:t>% Change</w:t>
            </w:r>
          </w:p>
        </w:tc>
      </w:tr>
      <w:tr>
        <w:trPr>
          <w:trHeight w:val="209"/>
        </w:trPr>
        <w:tc>
          <w:tcPr>
            <w:tcW w:w="1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Units</w:t>
            </w:r>
          </w:p>
        </w:tc>
        <w:tc>
          <w:tcPr>
            <w:tcW w:w="16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3,069</w:t>
            </w:r>
          </w:p>
        </w:tc>
        <w:tc>
          <w:tcPr>
            <w:tcW w:w="1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3,400</w:t>
            </w:r>
          </w:p>
        </w:tc>
        <w:tc>
          <w:tcPr>
            <w:tcW w:w="1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(331)</w:t>
            </w:r>
          </w:p>
        </w:tc>
        <w:tc>
          <w:tcPr>
            <w:tcW w:w="1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w:t>
            </w:r>
          </w:p>
        </w:tc>
      </w:tr>
    </w:tbl>
    <w:p>
      <w:pPr>
        <w:spacing w:after="0" w:line="126" w:lineRule="exact"/>
        <w:rPr>
          <w:sz w:val="20"/>
          <w:szCs w:val="20"/>
          <w:color w:val="auto"/>
        </w:rPr>
      </w:pPr>
    </w:p>
    <w:p>
      <w:pPr>
        <w:ind w:left="212" w:hanging="212"/>
        <w:spacing w:after="0"/>
        <w:tabs>
          <w:tab w:leader="none" w:pos="212" w:val="left"/>
        </w:tabs>
        <w:numPr>
          <w:ilvl w:val="0"/>
          <w:numId w:val="10"/>
        </w:numPr>
        <w:rPr>
          <w:rFonts w:ascii="Arial" w:cs="Arial" w:eastAsia="Arial" w:hAnsi="Arial"/>
          <w:sz w:val="9"/>
          <w:szCs w:val="9"/>
          <w:color w:val="auto"/>
        </w:rPr>
      </w:pPr>
      <w:r>
        <w:rPr>
          <w:rFonts w:ascii="Arial" w:cs="Arial" w:eastAsia="Arial" w:hAnsi="Arial"/>
          <w:sz w:val="14"/>
          <w:szCs w:val="14"/>
          <w:color w:val="auto"/>
        </w:rPr>
        <w:t>Amounts are calculated based on unrounded numbers and therefore may not recalculate using the rounded numbers provided.</w:t>
      </w:r>
    </w:p>
    <w:p>
      <w:pPr>
        <w:spacing w:after="0" w:line="29" w:lineRule="exact"/>
        <w:rPr>
          <w:rFonts w:ascii="Arial" w:cs="Arial" w:eastAsia="Arial" w:hAnsi="Arial"/>
          <w:sz w:val="9"/>
          <w:szCs w:val="9"/>
          <w:color w:val="auto"/>
        </w:rPr>
      </w:pPr>
    </w:p>
    <w:p>
      <w:pPr>
        <w:ind w:left="212" w:hanging="212"/>
        <w:spacing w:after="0" w:line="237" w:lineRule="auto"/>
        <w:tabs>
          <w:tab w:leader="none" w:pos="212" w:val="left"/>
        </w:tabs>
        <w:numPr>
          <w:ilvl w:val="0"/>
          <w:numId w:val="10"/>
        </w:numPr>
        <w:rPr>
          <w:rFonts w:ascii="Arial" w:cs="Arial" w:eastAsia="Arial" w:hAnsi="Arial"/>
          <w:sz w:val="19"/>
          <w:szCs w:val="19"/>
          <w:color w:val="auto"/>
          <w:vertAlign w:val="superscript"/>
        </w:rPr>
      </w:pPr>
      <w:r>
        <w:rPr>
          <w:rFonts w:ascii="Arial" w:cs="Arial" w:eastAsia="Arial" w:hAnsi="Arial"/>
          <w:sz w:val="14"/>
          <w:szCs w:val="14"/>
          <w:color w:val="auto"/>
        </w:rPr>
        <w:t>Due to the nature of the Marine industry, this amount includes a higher proportion of retail sold units than our other segments.</w:t>
      </w:r>
    </w:p>
    <w:p>
      <w:pPr>
        <w:spacing w:after="0" w:line="53" w:lineRule="exact"/>
        <w:rPr>
          <w:rFonts w:ascii="Arial" w:cs="Arial" w:eastAsia="Arial" w:hAnsi="Arial"/>
          <w:sz w:val="19"/>
          <w:szCs w:val="19"/>
          <w:color w:val="auto"/>
          <w:vertAlign w:val="superscript"/>
        </w:rPr>
      </w:pPr>
    </w:p>
    <w:p>
      <w:pPr>
        <w:ind w:left="292" w:hanging="292"/>
        <w:spacing w:after="0" w:line="183" w:lineRule="auto"/>
        <w:tabs>
          <w:tab w:leader="none" w:pos="292" w:val="left"/>
        </w:tabs>
        <w:numPr>
          <w:ilvl w:val="0"/>
          <w:numId w:val="10"/>
        </w:numPr>
        <w:rPr>
          <w:rFonts w:ascii="Arial" w:cs="Arial" w:eastAsia="Arial" w:hAnsi="Arial"/>
          <w:sz w:val="20"/>
          <w:szCs w:val="20"/>
          <w:color w:val="auto"/>
          <w:vertAlign w:val="superscript"/>
        </w:rPr>
      </w:pPr>
      <w:r>
        <w:rPr>
          <w:rFonts w:ascii="Arial" w:cs="Arial" w:eastAsia="Arial" w:hAnsi="Arial"/>
          <w:sz w:val="14"/>
          <w:szCs w:val="14"/>
          <w:color w:val="auto"/>
        </w:rPr>
        <w:t>Data is based on the latest information available from our dealer partners and is subject to timing of reporting and other limitations.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271"/>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0952"/>
          </w:cols>
          <w:pgMar w:left="328" w:top="908" w:right="619" w:bottom="1440" w:gutter="0" w:footer="0" w:header="0"/>
        </w:sectPr>
      </w:pPr>
    </w:p>
    <w:bookmarkStart w:id="16" w:name="page17"/>
    <w:bookmarkEnd w:id="16"/>
    <w:p>
      <w:pPr>
        <w:ind w:left="4600"/>
        <w:spacing w:after="0"/>
        <w:rPr>
          <w:sz w:val="20"/>
          <w:szCs w:val="20"/>
          <w:color w:val="auto"/>
        </w:rPr>
      </w:pPr>
      <w:r>
        <w:rPr>
          <w:rFonts w:ascii="Arial" w:cs="Arial" w:eastAsia="Arial" w:hAnsi="Arial"/>
          <w:sz w:val="16"/>
          <w:szCs w:val="16"/>
          <w:b w:val="1"/>
          <w:bCs w:val="1"/>
          <w:color w:val="auto"/>
        </w:rPr>
        <w:t>Winnebago Industries, Inc.</w:t>
      </w:r>
    </w:p>
    <w:p>
      <w:pPr>
        <w:spacing w:after="0" w:line="21" w:lineRule="exact"/>
        <w:rPr>
          <w:sz w:val="20"/>
          <w:szCs w:val="20"/>
          <w:color w:val="auto"/>
        </w:rPr>
      </w:pPr>
    </w:p>
    <w:p>
      <w:pPr>
        <w:ind w:left="4620"/>
        <w:spacing w:after="0"/>
        <w:rPr>
          <w:sz w:val="20"/>
          <w:szCs w:val="20"/>
          <w:color w:val="auto"/>
        </w:rPr>
      </w:pPr>
      <w:r>
        <w:rPr>
          <w:rFonts w:ascii="Arial" w:cs="Arial" w:eastAsia="Arial" w:hAnsi="Arial"/>
          <w:sz w:val="16"/>
          <w:szCs w:val="16"/>
          <w:b w:val="1"/>
          <w:bCs w:val="1"/>
          <w:color w:val="auto"/>
        </w:rPr>
        <w:t>Non-GAAP Reconciliation</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 and subject to reclassification)</w:t>
      </w:r>
    </w:p>
    <w:p>
      <w:pPr>
        <w:spacing w:after="0" w:line="246" w:lineRule="exact"/>
        <w:rPr>
          <w:sz w:val="20"/>
          <w:szCs w:val="20"/>
          <w:color w:val="auto"/>
        </w:rPr>
      </w:pPr>
    </w:p>
    <w:p>
      <w:pPr>
        <w:ind w:right="140"/>
        <w:spacing w:after="0" w:line="304" w:lineRule="auto"/>
        <w:rPr>
          <w:sz w:val="20"/>
          <w:szCs w:val="20"/>
          <w:color w:val="auto"/>
        </w:rPr>
      </w:pPr>
      <w:r>
        <w:rPr>
          <w:rFonts w:ascii="Arial" w:cs="Arial" w:eastAsia="Arial" w:hAnsi="Arial"/>
          <w:sz w:val="16"/>
          <w:szCs w:val="16"/>
          <w:color w:val="auto"/>
        </w:rPr>
        <w:t>Non-GAAP financial measures, which are not calculated or presented in accordance with accounting principles generally accepted in the United States (“GAAP”), have been provided as information supplemental and in addition to the financial measures presented in the accompanying news release that are calculated and presented in accordance with GAAP. Such non-GAAP financial measures should not be considered superior to, as a substitute for, or as an alternative to, and should be considered in conjunction with, the GAAP financial measures presented in the news release. The non-GAAP financial measures presented may differ from similar measures used by other companies.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reconciles diluted earnings per share to Adjusted diluted earnings per share:</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60" w:type="dxa"/>
            <w:vAlign w:val="bottom"/>
            <w:gridSpan w:val="5"/>
          </w:tcPr>
          <w:p>
            <w:pPr>
              <w:ind w:left="660"/>
              <w:spacing w:after="0"/>
              <w:rPr>
                <w:sz w:val="20"/>
                <w:szCs w:val="20"/>
                <w:color w:val="auto"/>
              </w:rPr>
            </w:pPr>
            <w:r>
              <w:rPr>
                <w:rFonts w:ascii="Arial" w:cs="Arial" w:eastAsia="Arial" w:hAnsi="Arial"/>
                <w:sz w:val="16"/>
                <w:szCs w:val="16"/>
                <w:b w:val="1"/>
                <w:bCs w:val="1"/>
                <w:color w:val="auto"/>
              </w:rPr>
              <w:t>Three Months Ended</w:t>
            </w:r>
          </w:p>
        </w:tc>
        <w:tc>
          <w:tcPr>
            <w:tcW w:w="200" w:type="dxa"/>
            <w:vAlign w:val="bottom"/>
          </w:tcPr>
          <w:p>
            <w:pPr>
              <w:spacing w:after="0"/>
              <w:rPr>
                <w:sz w:val="18"/>
                <w:szCs w:val="18"/>
                <w:color w:val="auto"/>
              </w:rPr>
            </w:pPr>
          </w:p>
        </w:tc>
        <w:tc>
          <w:tcPr>
            <w:tcW w:w="3180" w:type="dxa"/>
            <w:vAlign w:val="bottom"/>
            <w:gridSpan w:val="4"/>
          </w:tcPr>
          <w:p>
            <w:pPr>
              <w:jc w:val="right"/>
              <w:ind w:right="859"/>
              <w:spacing w:after="0"/>
              <w:rPr>
                <w:sz w:val="20"/>
                <w:szCs w:val="20"/>
                <w:color w:val="auto"/>
              </w:rPr>
            </w:pPr>
            <w:r>
              <w:rPr>
                <w:rFonts w:ascii="Arial" w:cs="Arial" w:eastAsia="Arial" w:hAnsi="Arial"/>
                <w:sz w:val="16"/>
                <w:szCs w:val="16"/>
                <w:b w:val="1"/>
                <w:bCs w:val="1"/>
                <w:color w:val="auto"/>
              </w:rPr>
              <w:t>Nine Months Ended</w:t>
            </w:r>
          </w:p>
        </w:tc>
      </w:tr>
      <w:tr>
        <w:trPr>
          <w:trHeight w:val="209"/>
        </w:trPr>
        <w:tc>
          <w:tcPr>
            <w:tcW w:w="43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gridSpan w:val="2"/>
          </w:tcPr>
          <w:p>
            <w:pPr>
              <w:ind w:left="100"/>
              <w:spacing w:after="0"/>
              <w:rPr>
                <w:sz w:val="20"/>
                <w:szCs w:val="20"/>
                <w:color w:val="auto"/>
              </w:rPr>
            </w:pPr>
            <w:r>
              <w:rPr>
                <w:rFonts w:ascii="Arial" w:cs="Arial" w:eastAsia="Arial" w:hAnsi="Arial"/>
                <w:sz w:val="16"/>
                <w:szCs w:val="16"/>
                <w:b w:val="1"/>
                <w:bCs w:val="1"/>
                <w:color w:val="auto"/>
              </w:rPr>
              <w:t>May 31, 2025</w:t>
            </w:r>
          </w:p>
        </w:tc>
        <w:tc>
          <w:tcPr>
            <w:tcW w:w="22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May 25, 2024</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gridSpan w:val="2"/>
          </w:tcPr>
          <w:p>
            <w:pPr>
              <w:ind w:left="120"/>
              <w:spacing w:after="0"/>
              <w:rPr>
                <w:sz w:val="20"/>
                <w:szCs w:val="20"/>
                <w:color w:val="auto"/>
              </w:rPr>
            </w:pPr>
            <w:r>
              <w:rPr>
                <w:rFonts w:ascii="Arial" w:cs="Arial" w:eastAsia="Arial" w:hAnsi="Arial"/>
                <w:sz w:val="16"/>
                <w:szCs w:val="16"/>
                <w:b w:val="1"/>
                <w:bCs w:val="1"/>
                <w:color w:val="auto"/>
              </w:rPr>
              <w:t>May 31, 2025</w:t>
            </w:r>
          </w:p>
        </w:tc>
        <w:tc>
          <w:tcPr>
            <w:tcW w:w="22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May 25, 2024</w:t>
            </w:r>
          </w:p>
        </w:tc>
      </w:tr>
      <w:tr>
        <w:trPr>
          <w:trHeight w:val="210"/>
        </w:trPr>
        <w:tc>
          <w:tcPr>
            <w:tcW w:w="43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Diluted earnings per share</w:t>
            </w: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0.62</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0.96</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0.42</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1.40</w:t>
            </w:r>
          </w:p>
        </w:tc>
      </w:tr>
      <w:tr>
        <w:trPr>
          <w:trHeight w:val="256"/>
        </w:trPr>
        <w:tc>
          <w:tcPr>
            <w:tcW w:w="4380" w:type="dxa"/>
            <w:vAlign w:val="bottom"/>
          </w:tcPr>
          <w:p>
            <w:pPr>
              <w:ind w:left="20"/>
              <w:spacing w:after="0"/>
              <w:rPr>
                <w:sz w:val="20"/>
                <w:szCs w:val="20"/>
                <w:color w:val="auto"/>
              </w:rPr>
            </w:pPr>
            <w:r>
              <w:rPr>
                <w:rFonts w:ascii="Arial" w:cs="Arial" w:eastAsia="Arial" w:hAnsi="Arial"/>
                <w:sz w:val="16"/>
                <w:szCs w:val="16"/>
                <w:color w:val="auto"/>
              </w:rPr>
              <w:t>Acquisition-related costs</w:t>
            </w:r>
            <w:r>
              <w:rPr>
                <w:rFonts w:ascii="Arial" w:cs="Arial" w:eastAsia="Arial" w:hAnsi="Arial"/>
                <w:sz w:val="21"/>
                <w:szCs w:val="21"/>
                <w:color w:val="auto"/>
                <w:vertAlign w:val="superscript"/>
              </w:rPr>
              <w:t>(1)</w:t>
            </w:r>
          </w:p>
        </w:tc>
        <w:tc>
          <w:tcPr>
            <w:tcW w:w="220" w:type="dxa"/>
            <w:vAlign w:val="bottom"/>
          </w:tcPr>
          <w:p>
            <w:pPr>
              <w:spacing w:after="0"/>
              <w:rPr>
                <w:sz w:val="22"/>
                <w:szCs w:val="22"/>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2"/>
                <w:szCs w:val="22"/>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0.05</w:t>
            </w:r>
          </w:p>
        </w:tc>
      </w:tr>
      <w:tr>
        <w:trPr>
          <w:trHeight w:val="257"/>
        </w:trPr>
        <w:tc>
          <w:tcPr>
            <w:tcW w:w="4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w:t>
            </w:r>
            <w:r>
              <w:rPr>
                <w:rFonts w:ascii="Arial" w:cs="Arial" w:eastAsia="Arial" w:hAnsi="Arial"/>
                <w:sz w:val="21"/>
                <w:szCs w:val="21"/>
                <w:color w:val="auto"/>
                <w:vertAlign w:val="superscript"/>
              </w:rPr>
              <w:t>(1)</w:t>
            </w:r>
          </w:p>
        </w:tc>
        <w:tc>
          <w:tcPr>
            <w:tcW w:w="22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0.19</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0.19</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0.59</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0.55</w:t>
            </w:r>
          </w:p>
        </w:tc>
      </w:tr>
      <w:tr>
        <w:trPr>
          <w:trHeight w:val="216"/>
        </w:trPr>
        <w:tc>
          <w:tcPr>
            <w:tcW w:w="4380" w:type="dxa"/>
            <w:vAlign w:val="bottom"/>
          </w:tcPr>
          <w:p>
            <w:pPr>
              <w:ind w:left="20"/>
              <w:spacing w:after="0" w:line="216" w:lineRule="exact"/>
              <w:rPr>
                <w:sz w:val="20"/>
                <w:szCs w:val="20"/>
                <w:color w:val="auto"/>
              </w:rPr>
            </w:pPr>
            <w:r>
              <w:rPr>
                <w:rFonts w:ascii="Arial" w:cs="Arial" w:eastAsia="Arial" w:hAnsi="Arial"/>
                <w:sz w:val="16"/>
                <w:szCs w:val="16"/>
                <w:color w:val="auto"/>
              </w:rPr>
              <w:t>Change in fair value of note receivable</w:t>
            </w:r>
            <w:r>
              <w:rPr>
                <w:rFonts w:ascii="Arial" w:cs="Arial" w:eastAsia="Arial" w:hAnsi="Arial"/>
                <w:sz w:val="21"/>
                <w:szCs w:val="21"/>
                <w:color w:val="auto"/>
                <w:vertAlign w:val="superscript"/>
              </w:rPr>
              <w:t>(1)</w:t>
            </w:r>
          </w:p>
        </w:tc>
        <w:tc>
          <w:tcPr>
            <w:tcW w:w="220" w:type="dxa"/>
            <w:vAlign w:val="bottom"/>
          </w:tcPr>
          <w:p>
            <w:pPr>
              <w:spacing w:after="0"/>
              <w:rPr>
                <w:sz w:val="18"/>
                <w:szCs w:val="18"/>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0.10</w:t>
            </w:r>
          </w:p>
        </w:tc>
      </w:tr>
      <w:tr>
        <w:trPr>
          <w:trHeight w:val="257"/>
        </w:trPr>
        <w:tc>
          <w:tcPr>
            <w:tcW w:w="4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Contingent consideration fair value adjustment</w:t>
            </w:r>
            <w:r>
              <w:rPr>
                <w:rFonts w:ascii="Arial" w:cs="Arial" w:eastAsia="Arial" w:hAnsi="Arial"/>
                <w:sz w:val="21"/>
                <w:szCs w:val="21"/>
                <w:color w:val="auto"/>
                <w:vertAlign w:val="superscript"/>
              </w:rPr>
              <w:t>(1)</w:t>
            </w:r>
          </w:p>
        </w:tc>
        <w:tc>
          <w:tcPr>
            <w:tcW w:w="220" w:type="dxa"/>
            <w:vAlign w:val="bottom"/>
            <w:shd w:val="clear" w:color="auto" w:fill="CCEEFF"/>
          </w:tcPr>
          <w:p>
            <w:pPr>
              <w:spacing w:after="0"/>
              <w:rPr>
                <w:sz w:val="22"/>
                <w:szCs w:val="22"/>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2"/>
                <w:szCs w:val="22"/>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2"/>
                <w:szCs w:val="22"/>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0.03</w:t>
            </w:r>
          </w:p>
        </w:tc>
      </w:tr>
      <w:tr>
        <w:trPr>
          <w:trHeight w:val="257"/>
        </w:trPr>
        <w:tc>
          <w:tcPr>
            <w:tcW w:w="4380" w:type="dxa"/>
            <w:vAlign w:val="bottom"/>
          </w:tcPr>
          <w:p>
            <w:pPr>
              <w:ind w:left="20"/>
              <w:spacing w:after="0"/>
              <w:rPr>
                <w:sz w:val="20"/>
                <w:szCs w:val="20"/>
                <w:color w:val="auto"/>
              </w:rPr>
            </w:pPr>
            <w:r>
              <w:rPr>
                <w:rFonts w:ascii="Arial" w:cs="Arial" w:eastAsia="Arial" w:hAnsi="Arial"/>
                <w:sz w:val="16"/>
                <w:szCs w:val="16"/>
                <w:color w:val="auto"/>
              </w:rPr>
              <w:t>Loss on note repurchase</w:t>
            </w:r>
            <w:r>
              <w:rPr>
                <w:rFonts w:ascii="Arial" w:cs="Arial" w:eastAsia="Arial" w:hAnsi="Arial"/>
                <w:sz w:val="21"/>
                <w:szCs w:val="21"/>
                <w:color w:val="auto"/>
                <w:vertAlign w:val="superscript"/>
              </w:rPr>
              <w:t>(2,3)</w:t>
            </w:r>
          </w:p>
        </w:tc>
        <w:tc>
          <w:tcPr>
            <w:tcW w:w="220" w:type="dxa"/>
            <w:vAlign w:val="bottom"/>
          </w:tcPr>
          <w:p>
            <w:pPr>
              <w:spacing w:after="0"/>
              <w:rPr>
                <w:sz w:val="22"/>
                <w:szCs w:val="22"/>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2"/>
                <w:szCs w:val="22"/>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0.07</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1.07</w:t>
            </w:r>
          </w:p>
        </w:tc>
      </w:tr>
      <w:tr>
        <w:trPr>
          <w:trHeight w:val="216"/>
        </w:trPr>
        <w:tc>
          <w:tcPr>
            <w:tcW w:w="438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Asset impairment</w:t>
            </w:r>
            <w:r>
              <w:rPr>
                <w:rFonts w:ascii="Arial" w:cs="Arial" w:eastAsia="Arial" w:hAnsi="Arial"/>
                <w:sz w:val="21"/>
                <w:szCs w:val="21"/>
                <w:color w:val="auto"/>
                <w:vertAlign w:val="superscript"/>
              </w:rPr>
              <w:t>(1)</w:t>
            </w: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57"/>
        </w:trPr>
        <w:tc>
          <w:tcPr>
            <w:tcW w:w="43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Tax impact of adjustments</w:t>
            </w:r>
            <w:r>
              <w:rPr>
                <w:rFonts w:ascii="Arial" w:cs="Arial" w:eastAsia="Arial" w:hAnsi="Arial"/>
                <w:sz w:val="21"/>
                <w:szCs w:val="21"/>
                <w:color w:val="auto"/>
                <w:vertAlign w:val="superscript"/>
              </w:rPr>
              <w:t>(3,4)</w:t>
            </w:r>
          </w:p>
        </w:tc>
        <w:tc>
          <w:tcPr>
            <w:tcW w:w="22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(0.05)</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(0.04)</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(0.16)</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(0.17)</w:t>
            </w:r>
          </w:p>
        </w:tc>
      </w:tr>
      <w:tr>
        <w:trPr>
          <w:trHeight w:val="234"/>
        </w:trPr>
        <w:tc>
          <w:tcPr>
            <w:tcW w:w="4380" w:type="dxa"/>
            <w:vAlign w:val="bottom"/>
            <w:tcBorders>
              <w:bottom w:val="single" w:sz="8" w:color="CCEEFF"/>
            </w:tcBorders>
            <w:shd w:val="clear" w:color="auto" w:fill="CCEEFF"/>
          </w:tcPr>
          <w:p>
            <w:pPr>
              <w:ind w:left="140"/>
              <w:spacing w:after="0" w:line="210" w:lineRule="exact"/>
              <w:rPr>
                <w:sz w:val="20"/>
                <w:szCs w:val="20"/>
                <w:color w:val="auto"/>
              </w:rPr>
            </w:pPr>
            <w:r>
              <w:rPr>
                <w:rFonts w:ascii="Arial" w:cs="Arial" w:eastAsia="Arial" w:hAnsi="Arial"/>
                <w:sz w:val="16"/>
                <w:szCs w:val="16"/>
                <w:color w:val="auto"/>
              </w:rPr>
              <w:t>Adjusted diluted earnings per share</w:t>
            </w:r>
            <w:r>
              <w:rPr>
                <w:rFonts w:ascii="Arial" w:cs="Arial" w:eastAsia="Arial" w:hAnsi="Arial"/>
                <w:sz w:val="21"/>
                <w:szCs w:val="21"/>
                <w:color w:val="auto"/>
                <w:vertAlign w:val="superscript"/>
              </w:rPr>
              <w:t>(5,6)</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0.81</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0.96</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3.04</w:t>
            </w: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43" w:lineRule="exact"/>
        <w:rPr>
          <w:sz w:val="20"/>
          <w:szCs w:val="20"/>
          <w:color w:val="auto"/>
        </w:rPr>
      </w:pPr>
    </w:p>
    <w:p>
      <w:pPr>
        <w:ind w:left="220" w:hanging="212"/>
        <w:spacing w:after="0"/>
        <w:tabs>
          <w:tab w:leader="none" w:pos="220" w:val="left"/>
        </w:tabs>
        <w:numPr>
          <w:ilvl w:val="0"/>
          <w:numId w:val="11"/>
        </w:numPr>
        <w:rPr>
          <w:rFonts w:ascii="Arial" w:cs="Arial" w:eastAsia="Arial" w:hAnsi="Arial"/>
          <w:sz w:val="19"/>
          <w:szCs w:val="19"/>
          <w:color w:val="auto"/>
          <w:vertAlign w:val="superscript"/>
        </w:rPr>
      </w:pPr>
      <w:r>
        <w:rPr>
          <w:rFonts w:ascii="Arial" w:cs="Arial" w:eastAsia="Arial" w:hAnsi="Arial"/>
          <w:sz w:val="14"/>
          <w:szCs w:val="14"/>
          <w:color w:val="auto"/>
        </w:rPr>
        <w:t>Represents a pre-tax adjustment.</w:t>
      </w:r>
    </w:p>
    <w:p>
      <w:pPr>
        <w:ind w:left="260" w:right="20" w:hanging="252"/>
        <w:spacing w:after="0" w:line="221" w:lineRule="auto"/>
        <w:tabs>
          <w:tab w:leader="none" w:pos="235" w:val="left"/>
        </w:tabs>
        <w:numPr>
          <w:ilvl w:val="0"/>
          <w:numId w:val="11"/>
        </w:numPr>
        <w:rPr>
          <w:rFonts w:ascii="Arial" w:cs="Arial" w:eastAsia="Arial" w:hAnsi="Arial"/>
          <w:sz w:val="19"/>
          <w:szCs w:val="19"/>
          <w:color w:val="auto"/>
          <w:vertAlign w:val="superscript"/>
        </w:rPr>
      </w:pPr>
      <w:r>
        <w:rPr>
          <w:rFonts w:ascii="Arial" w:cs="Arial" w:eastAsia="Arial" w:hAnsi="Arial"/>
          <w:sz w:val="14"/>
          <w:szCs w:val="14"/>
          <w:color w:val="auto"/>
        </w:rPr>
        <w:t>Represents the loss incurred on the partial repurchase of our Senior Secure Notes in the second quarter of Fiscal 2025 and partial repurchase of our 2025 Convertible Notes in the second quarter of Fiscal 2024.</w:t>
      </w:r>
    </w:p>
    <w:p>
      <w:pPr>
        <w:spacing w:after="0" w:line="1" w:lineRule="exact"/>
        <w:rPr>
          <w:rFonts w:ascii="Arial" w:cs="Arial" w:eastAsia="Arial" w:hAnsi="Arial"/>
          <w:sz w:val="19"/>
          <w:szCs w:val="19"/>
          <w:color w:val="auto"/>
          <w:vertAlign w:val="superscript"/>
        </w:rPr>
      </w:pPr>
    </w:p>
    <w:p>
      <w:pPr>
        <w:ind w:left="220" w:hanging="212"/>
        <w:spacing w:after="0" w:line="187" w:lineRule="auto"/>
        <w:tabs>
          <w:tab w:leader="none" w:pos="220" w:val="left"/>
        </w:tabs>
        <w:numPr>
          <w:ilvl w:val="0"/>
          <w:numId w:val="11"/>
        </w:numPr>
        <w:rPr>
          <w:rFonts w:ascii="Arial" w:cs="Arial" w:eastAsia="Arial" w:hAnsi="Arial"/>
          <w:sz w:val="18"/>
          <w:szCs w:val="18"/>
          <w:color w:val="auto"/>
          <w:vertAlign w:val="superscript"/>
        </w:rPr>
      </w:pPr>
      <w:r>
        <w:rPr>
          <w:rFonts w:ascii="Arial" w:cs="Arial" w:eastAsia="Arial" w:hAnsi="Arial"/>
          <w:sz w:val="14"/>
          <w:szCs w:val="14"/>
          <w:color w:val="auto"/>
        </w:rPr>
        <w:t>The loss on note repurchase in the second quarter of Fiscal 2025 was tax-deductible, while the loss in the second quarter of Fiscal 2024 did not qualify for a tax deduction.</w:t>
      </w:r>
    </w:p>
    <w:p>
      <w:pPr>
        <w:ind w:left="220" w:hanging="212"/>
        <w:spacing w:after="0"/>
        <w:tabs>
          <w:tab w:leader="none" w:pos="220" w:val="left"/>
        </w:tabs>
        <w:numPr>
          <w:ilvl w:val="0"/>
          <w:numId w:val="11"/>
        </w:numPr>
        <w:rPr>
          <w:rFonts w:ascii="Arial" w:cs="Arial" w:eastAsia="Arial" w:hAnsi="Arial"/>
          <w:sz w:val="9"/>
          <w:szCs w:val="9"/>
          <w:color w:val="auto"/>
        </w:rPr>
      </w:pPr>
      <w:r>
        <w:rPr>
          <w:rFonts w:ascii="Arial" w:cs="Arial" w:eastAsia="Arial" w:hAnsi="Arial"/>
          <w:sz w:val="14"/>
          <w:szCs w:val="14"/>
          <w:color w:val="auto"/>
        </w:rPr>
        <w:t>Income tax impact calculated using the statutory tax rate for the U.S. of 23.0% for Fiscal 2025 and Fiscal 2024.</w:t>
      </w:r>
    </w:p>
    <w:p>
      <w:pPr>
        <w:spacing w:after="0" w:line="14" w:lineRule="exact"/>
        <w:rPr>
          <w:rFonts w:ascii="Arial" w:cs="Arial" w:eastAsia="Arial" w:hAnsi="Arial"/>
          <w:sz w:val="9"/>
          <w:szCs w:val="9"/>
          <w:color w:val="auto"/>
        </w:rPr>
      </w:pPr>
    </w:p>
    <w:p>
      <w:pPr>
        <w:jc w:val="both"/>
        <w:ind w:left="260" w:right="140" w:hanging="252"/>
        <w:spacing w:after="0" w:line="221" w:lineRule="auto"/>
        <w:tabs>
          <w:tab w:leader="none" w:pos="235" w:val="left"/>
        </w:tabs>
        <w:numPr>
          <w:ilvl w:val="0"/>
          <w:numId w:val="11"/>
        </w:numPr>
        <w:rPr>
          <w:rFonts w:ascii="Arial" w:cs="Arial" w:eastAsia="Arial" w:hAnsi="Arial"/>
          <w:sz w:val="19"/>
          <w:szCs w:val="19"/>
          <w:color w:val="auto"/>
          <w:vertAlign w:val="superscript"/>
        </w:rPr>
      </w:pPr>
      <w:r>
        <w:rPr>
          <w:rFonts w:ascii="Arial" w:cs="Arial" w:eastAsia="Arial" w:hAnsi="Arial"/>
          <w:sz w:val="14"/>
          <w:szCs w:val="14"/>
          <w:color w:val="auto"/>
        </w:rPr>
        <w:t>Beginning in the fourth quarter of Fiscal 2024, the Company updated its definition of Adjusted EPS to no longer adjust for the impact of a call spread overlay that was put in place upon the issuance of convertible notes, and which economically offsets dilution risk. Prior period amounts have been revised to conform to current year presentation.</w:t>
      </w:r>
    </w:p>
    <w:p>
      <w:pPr>
        <w:spacing w:after="0" w:line="1" w:lineRule="exact"/>
        <w:rPr>
          <w:rFonts w:ascii="Arial" w:cs="Arial" w:eastAsia="Arial" w:hAnsi="Arial"/>
          <w:sz w:val="19"/>
          <w:szCs w:val="19"/>
          <w:color w:val="auto"/>
          <w:vertAlign w:val="superscript"/>
        </w:rPr>
      </w:pPr>
    </w:p>
    <w:p>
      <w:pPr>
        <w:ind w:left="220" w:hanging="212"/>
        <w:spacing w:after="0" w:line="193" w:lineRule="auto"/>
        <w:tabs>
          <w:tab w:leader="none" w:pos="220" w:val="left"/>
        </w:tabs>
        <w:numPr>
          <w:ilvl w:val="0"/>
          <w:numId w:val="11"/>
        </w:numPr>
        <w:rPr>
          <w:rFonts w:ascii="Arial" w:cs="Arial" w:eastAsia="Arial" w:hAnsi="Arial"/>
          <w:sz w:val="19"/>
          <w:szCs w:val="19"/>
          <w:color w:val="auto"/>
          <w:vertAlign w:val="superscript"/>
        </w:rPr>
      </w:pPr>
      <w:r>
        <w:rPr>
          <w:rFonts w:ascii="Arial" w:cs="Arial" w:eastAsia="Arial" w:hAnsi="Arial"/>
          <w:sz w:val="14"/>
          <w:szCs w:val="14"/>
          <w:color w:val="auto"/>
        </w:rPr>
        <w:t>Per share numbers may not foot due to rounding.</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reconciles net income to consolidated EBITDA and Adjusted EBITDA.</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80" w:type="dxa"/>
            <w:vAlign w:val="bottom"/>
            <w:gridSpan w:val="5"/>
          </w:tcPr>
          <w:p>
            <w:pPr>
              <w:ind w:left="680"/>
              <w:spacing w:after="0"/>
              <w:rPr>
                <w:sz w:val="20"/>
                <w:szCs w:val="20"/>
                <w:color w:val="auto"/>
              </w:rPr>
            </w:pPr>
            <w:r>
              <w:rPr>
                <w:rFonts w:ascii="Arial" w:cs="Arial" w:eastAsia="Arial" w:hAnsi="Arial"/>
                <w:sz w:val="16"/>
                <w:szCs w:val="16"/>
                <w:b w:val="1"/>
                <w:bCs w:val="1"/>
                <w:color w:val="auto"/>
              </w:rPr>
              <w:t>Three Months Ended</w:t>
            </w:r>
          </w:p>
        </w:tc>
        <w:tc>
          <w:tcPr>
            <w:tcW w:w="200" w:type="dxa"/>
            <w:vAlign w:val="bottom"/>
          </w:tcPr>
          <w:p>
            <w:pPr>
              <w:spacing w:after="0"/>
              <w:rPr>
                <w:sz w:val="18"/>
                <w:szCs w:val="18"/>
                <w:color w:val="auto"/>
              </w:rPr>
            </w:pPr>
          </w:p>
        </w:tc>
        <w:tc>
          <w:tcPr>
            <w:tcW w:w="3180" w:type="dxa"/>
            <w:vAlign w:val="bottom"/>
            <w:gridSpan w:val="4"/>
          </w:tcPr>
          <w:p>
            <w:pPr>
              <w:jc w:val="right"/>
              <w:ind w:right="859"/>
              <w:spacing w:after="0"/>
              <w:rPr>
                <w:sz w:val="20"/>
                <w:szCs w:val="20"/>
                <w:color w:val="auto"/>
              </w:rPr>
            </w:pPr>
            <w:r>
              <w:rPr>
                <w:rFonts w:ascii="Arial" w:cs="Arial" w:eastAsia="Arial" w:hAnsi="Arial"/>
                <w:sz w:val="16"/>
                <w:szCs w:val="16"/>
                <w:b w:val="1"/>
                <w:bCs w:val="1"/>
                <w:color w:val="auto"/>
              </w:rPr>
              <w:t>Nine Months Ended</w:t>
            </w:r>
          </w:p>
        </w:tc>
      </w:tr>
      <w:tr>
        <w:trPr>
          <w:trHeight w:val="210"/>
        </w:trPr>
        <w:tc>
          <w:tcPr>
            <w:tcW w:w="4360" w:type="dxa"/>
            <w:vAlign w:val="bottom"/>
          </w:tcPr>
          <w:p>
            <w:pPr>
              <w:ind w:left="20"/>
              <w:spacing w:after="0"/>
              <w:rPr>
                <w:sz w:val="20"/>
                <w:szCs w:val="20"/>
                <w:color w:val="auto"/>
              </w:rPr>
            </w:pPr>
            <w:r>
              <w:rPr>
                <w:rFonts w:ascii="Arial" w:cs="Arial" w:eastAsia="Arial" w:hAnsi="Arial"/>
                <w:sz w:val="16"/>
                <w:szCs w:val="16"/>
                <w:color w:val="auto"/>
              </w:rPr>
              <w:t>(in millions)</w:t>
            </w:r>
          </w:p>
        </w:tc>
        <w:tc>
          <w:tcPr>
            <w:tcW w:w="22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gridSpan w:val="2"/>
          </w:tcPr>
          <w:p>
            <w:pPr>
              <w:ind w:left="120"/>
              <w:spacing w:after="0"/>
              <w:rPr>
                <w:sz w:val="20"/>
                <w:szCs w:val="20"/>
                <w:color w:val="auto"/>
              </w:rPr>
            </w:pPr>
            <w:r>
              <w:rPr>
                <w:rFonts w:ascii="Arial" w:cs="Arial" w:eastAsia="Arial" w:hAnsi="Arial"/>
                <w:sz w:val="16"/>
                <w:szCs w:val="16"/>
                <w:b w:val="1"/>
                <w:bCs w:val="1"/>
                <w:color w:val="auto"/>
              </w:rPr>
              <w:t>May 31, 2025</w:t>
            </w:r>
          </w:p>
        </w:tc>
        <w:tc>
          <w:tcPr>
            <w:tcW w:w="22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May 25, 2024</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gridSpan w:val="2"/>
          </w:tcPr>
          <w:p>
            <w:pPr>
              <w:ind w:left="120"/>
              <w:spacing w:after="0"/>
              <w:rPr>
                <w:sz w:val="20"/>
                <w:szCs w:val="20"/>
                <w:color w:val="auto"/>
              </w:rPr>
            </w:pPr>
            <w:r>
              <w:rPr>
                <w:rFonts w:ascii="Arial" w:cs="Arial" w:eastAsia="Arial" w:hAnsi="Arial"/>
                <w:sz w:val="16"/>
                <w:szCs w:val="16"/>
                <w:b w:val="1"/>
                <w:bCs w:val="1"/>
                <w:color w:val="auto"/>
              </w:rPr>
              <w:t>May 31, 2025</w:t>
            </w:r>
          </w:p>
        </w:tc>
        <w:tc>
          <w:tcPr>
            <w:tcW w:w="22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May 25, 2024</w:t>
            </w:r>
          </w:p>
        </w:tc>
      </w:tr>
      <w:tr>
        <w:trPr>
          <w:trHeight w:val="210"/>
        </w:trPr>
        <w:tc>
          <w:tcPr>
            <w:tcW w:w="43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17.6</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29.0</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42.1</w:t>
            </w:r>
          </w:p>
        </w:tc>
      </w:tr>
      <w:tr>
        <w:trPr>
          <w:trHeight w:val="215"/>
        </w:trPr>
        <w:tc>
          <w:tcPr>
            <w:tcW w:w="4360" w:type="dxa"/>
            <w:vAlign w:val="bottom"/>
          </w:tcPr>
          <w:p>
            <w:pPr>
              <w:ind w:left="20"/>
              <w:spacing w:after="0"/>
              <w:rPr>
                <w:sz w:val="20"/>
                <w:szCs w:val="20"/>
                <w:color w:val="auto"/>
              </w:rPr>
            </w:pPr>
            <w:r>
              <w:rPr>
                <w:rFonts w:ascii="Arial" w:cs="Arial" w:eastAsia="Arial" w:hAnsi="Arial"/>
                <w:sz w:val="16"/>
                <w:szCs w:val="16"/>
                <w:color w:val="auto"/>
              </w:rPr>
              <w:t>Interest expense, net</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6.7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5.8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19.3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15.2</w:t>
            </w:r>
          </w:p>
        </w:tc>
      </w:tr>
      <w:tr>
        <w:trPr>
          <w:trHeight w:val="217"/>
        </w:trPr>
        <w:tc>
          <w:tcPr>
            <w:tcW w:w="4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provision</w:t>
            </w: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w:t>
            </w:r>
          </w:p>
        </w:tc>
      </w:tr>
      <w:tr>
        <w:trPr>
          <w:trHeight w:val="215"/>
        </w:trPr>
        <w:tc>
          <w:tcPr>
            <w:tcW w:w="4360" w:type="dxa"/>
            <w:vAlign w:val="bottom"/>
          </w:tcPr>
          <w:p>
            <w:pPr>
              <w:ind w:left="20"/>
              <w:spacing w:after="0"/>
              <w:rPr>
                <w:sz w:val="20"/>
                <w:szCs w:val="20"/>
                <w:color w:val="auto"/>
              </w:rPr>
            </w:pPr>
            <w:r>
              <w:rPr>
                <w:rFonts w:ascii="Arial" w:cs="Arial" w:eastAsia="Arial" w:hAnsi="Arial"/>
                <w:sz w:val="16"/>
                <w:szCs w:val="16"/>
                <w:color w:val="auto"/>
              </w:rPr>
              <w:t>Depreciation</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9.6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8.9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28.7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25.5</w:t>
            </w:r>
          </w:p>
        </w:tc>
      </w:tr>
      <w:tr>
        <w:trPr>
          <w:trHeight w:val="217"/>
        </w:trPr>
        <w:tc>
          <w:tcPr>
            <w:tcW w:w="4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w:t>
            </w:r>
          </w:p>
        </w:tc>
        <w:tc>
          <w:tcPr>
            <w:tcW w:w="2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16.7</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16.9</w:t>
            </w:r>
          </w:p>
        </w:tc>
      </w:tr>
      <w:tr>
        <w:trPr>
          <w:trHeight w:val="209"/>
        </w:trPr>
        <w:tc>
          <w:tcPr>
            <w:tcW w:w="4360" w:type="dxa"/>
            <w:vAlign w:val="bottom"/>
          </w:tcPr>
          <w:p>
            <w:pPr>
              <w:ind w:left="140"/>
              <w:spacing w:after="0"/>
              <w:rPr>
                <w:sz w:val="20"/>
                <w:szCs w:val="20"/>
                <w:color w:val="auto"/>
              </w:rPr>
            </w:pPr>
            <w:r>
              <w:rPr>
                <w:rFonts w:ascii="Arial" w:cs="Arial" w:eastAsia="Arial" w:hAnsi="Arial"/>
                <w:sz w:val="16"/>
                <w:szCs w:val="16"/>
                <w:color w:val="auto"/>
              </w:rPr>
              <w:t>EBITDA</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45.7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55.8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81.5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121.9</w:t>
            </w:r>
          </w:p>
        </w:tc>
      </w:tr>
      <w:tr>
        <w:trPr>
          <w:trHeight w:val="217"/>
        </w:trPr>
        <w:tc>
          <w:tcPr>
            <w:tcW w:w="4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Acquisition-related costs</w:t>
            </w:r>
          </w:p>
        </w:tc>
        <w:tc>
          <w:tcPr>
            <w:tcW w:w="2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r>
      <w:tr>
        <w:trPr>
          <w:trHeight w:val="215"/>
        </w:trPr>
        <w:tc>
          <w:tcPr>
            <w:tcW w:w="4360" w:type="dxa"/>
            <w:vAlign w:val="bottom"/>
          </w:tcPr>
          <w:p>
            <w:pPr>
              <w:ind w:left="20"/>
              <w:spacing w:after="0"/>
              <w:rPr>
                <w:sz w:val="20"/>
                <w:szCs w:val="20"/>
                <w:color w:val="auto"/>
              </w:rPr>
            </w:pPr>
            <w:r>
              <w:rPr>
                <w:rFonts w:ascii="Arial" w:cs="Arial" w:eastAsia="Arial" w:hAnsi="Arial"/>
                <w:sz w:val="16"/>
                <w:szCs w:val="16"/>
                <w:color w:val="auto"/>
              </w:rPr>
              <w:t>Change in fair value of note receivable</w:t>
            </w:r>
          </w:p>
        </w:tc>
        <w:tc>
          <w:tcPr>
            <w:tcW w:w="220" w:type="dxa"/>
            <w:vAlign w:val="bottom"/>
          </w:tcPr>
          <w:p>
            <w:pPr>
              <w:spacing w:after="0"/>
              <w:rPr>
                <w:sz w:val="18"/>
                <w:szCs w:val="18"/>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3.0</w:t>
            </w:r>
          </w:p>
        </w:tc>
      </w:tr>
      <w:tr>
        <w:trPr>
          <w:trHeight w:val="217"/>
        </w:trPr>
        <w:tc>
          <w:tcPr>
            <w:tcW w:w="4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Contingent consideration fair value adjustment</w:t>
            </w:r>
          </w:p>
        </w:tc>
        <w:tc>
          <w:tcPr>
            <w:tcW w:w="2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r>
      <w:tr>
        <w:trPr>
          <w:trHeight w:val="215"/>
        </w:trPr>
        <w:tc>
          <w:tcPr>
            <w:tcW w:w="4360" w:type="dxa"/>
            <w:vAlign w:val="bottom"/>
          </w:tcPr>
          <w:p>
            <w:pPr>
              <w:ind w:left="20"/>
              <w:spacing w:after="0"/>
              <w:rPr>
                <w:sz w:val="20"/>
                <w:szCs w:val="20"/>
                <w:color w:val="auto"/>
              </w:rPr>
            </w:pPr>
            <w:r>
              <w:rPr>
                <w:rFonts w:ascii="Arial" w:cs="Arial" w:eastAsia="Arial" w:hAnsi="Arial"/>
                <w:sz w:val="16"/>
                <w:szCs w:val="16"/>
                <w:color w:val="auto"/>
              </w:rPr>
              <w:t>Loss on note repurchase</w:t>
            </w:r>
          </w:p>
        </w:tc>
        <w:tc>
          <w:tcPr>
            <w:tcW w:w="220" w:type="dxa"/>
            <w:vAlign w:val="bottom"/>
          </w:tcPr>
          <w:p>
            <w:pPr>
              <w:spacing w:after="0"/>
              <w:rPr>
                <w:sz w:val="18"/>
                <w:szCs w:val="18"/>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32.7</w:t>
            </w:r>
          </w:p>
        </w:tc>
      </w:tr>
      <w:tr>
        <w:trPr>
          <w:trHeight w:val="217"/>
        </w:trPr>
        <w:tc>
          <w:tcPr>
            <w:tcW w:w="4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Asset impairment</w:t>
            </w: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43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Non-operating (income) loss</w:t>
            </w: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r>
      <w:tr>
        <w:trPr>
          <w:trHeight w:val="235"/>
        </w:trPr>
        <w:tc>
          <w:tcPr>
            <w:tcW w:w="43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Adjusted EBITDA</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161.9</w:t>
            </w: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240"/>
          </w:cols>
          <w:pgMar w:left="320" w:top="895" w:right="339" w:bottom="1440" w:gutter="0" w:footer="0" w:header="0"/>
        </w:sectPr>
      </w:pPr>
    </w:p>
    <w:bookmarkStart w:id="17" w:name="page18"/>
    <w:bookmarkEnd w:id="17"/>
    <w:p>
      <w:pPr>
        <w:spacing w:after="0" w:line="302" w:lineRule="auto"/>
        <w:rPr>
          <w:sz w:val="20"/>
          <w:szCs w:val="20"/>
          <w:color w:val="auto"/>
        </w:rPr>
      </w:pPr>
      <w:r>
        <w:rPr>
          <w:rFonts w:ascii="Arial" w:cs="Arial" w:eastAsia="Arial" w:hAnsi="Arial"/>
          <w:sz w:val="16"/>
          <w:szCs w:val="16"/>
          <w:color w:val="auto"/>
        </w:rPr>
        <w:t>Non-GAAP performance measures of Adjusted diluted earnings per share, EBITDA and Adjusted EBITDA have been provided as comparable measures to illustrate the effect of non-recurring transactions occurring during the reported periods and to improve comparability of our results from period to period. Adjusted diluted earnings per share is defined as diluted earnings per share adjusted for after-tax items that impact the comparability of our results from period to period. EBITDA is defined as net income before interest expense, provision for income taxes, and depreciation and amortization expense. Adjusted EBITDA is defined as net income before interest expense, provision for income taxes, depreciation and amortization expense and other pretax adjustments made in order to present comparable results from period to period. Management believes Adjusted diluted earnings per share and Adjusted EBITDA provide meaningful supplemental information about our operating performance because these measures exclude amounts that we do not consider part of our core operating results when assessing our performance.</w:t>
      </w:r>
    </w:p>
    <w:p>
      <w:pPr>
        <w:spacing w:after="0" w:line="200" w:lineRule="exact"/>
        <w:rPr>
          <w:sz w:val="20"/>
          <w:szCs w:val="20"/>
          <w:color w:val="auto"/>
        </w:rPr>
      </w:pPr>
    </w:p>
    <w:p>
      <w:pPr>
        <w:ind w:right="300"/>
        <w:spacing w:after="0" w:line="303" w:lineRule="auto"/>
        <w:rPr>
          <w:sz w:val="20"/>
          <w:szCs w:val="20"/>
          <w:color w:val="auto"/>
        </w:rPr>
      </w:pPr>
      <w:r>
        <w:rPr>
          <w:rFonts w:ascii="Arial" w:cs="Arial" w:eastAsia="Arial" w:hAnsi="Arial"/>
          <w:sz w:val="16"/>
          <w:szCs w:val="16"/>
          <w:color w:val="auto"/>
        </w:rPr>
        <w:t>Management uses these non-GAAP financial measures (a) to evaluate historical and prospective financial performance and trends as well as assess performance relative to competitors and peers; (b) to measure operational profitability on a consistent basis; (c) in presentations to the members of our Board of Directors to enable our Board of Directors to have the same measurement basis of operating performance as is used by management in its assessments of performance and in forecasting and budgeting for the Company; (d) to evaluate potential acquisitions; and (e) to ensure compliance with restricted activities under the terms of our asset-backed revolving credit facility and outstanding notes. Management believes these non-GAAP financial measures are frequently used by securities analysts, investors and other interested parties to evaluate companies in our industry.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sectPr>
      <w:pgSz w:w="11900" w:h="16838" w:orient="portrait"/>
      <w:cols w:equalWidth="0" w:num="1">
        <w:col w:w="11220"/>
      </w:cols>
      <w:pgMar w:left="320" w:top="908"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lvl w:ilvl="1">
      <w:lvlJc w:val="left"/>
      <w:lvlText w:val="•"/>
      <w:numFmt w:val="bullet"/>
      <w:start w:val="1"/>
    </w:lvl>
  </w:abstractNum>
  <w:abstractNum w:abstractNumId="3">
    <w:nsid w:val="79E2A9E3"/>
    <w:multiLevelType w:val="hybridMultilevel"/>
    <w:lvl w:ilvl="0">
      <w:lvlJc w:val="left"/>
      <w:lvlText w:val="(%1)"/>
      <w:numFmt w:val="decimal"/>
      <w:start w:val="1"/>
    </w:lvl>
    <w:lvl w:ilvl="1">
      <w:lvlJc w:val="left"/>
      <w:lvlText w:val="•"/>
      <w:numFmt w:val="bullet"/>
      <w:start w:val="1"/>
    </w:lvl>
  </w:abstractNum>
  <w:abstractNum w:abstractNumId="4">
    <w:nsid w:val="7545E146"/>
    <w:multiLevelType w:val="hybridMultilevel"/>
    <w:lvl w:ilvl="0">
      <w:lvlJc w:val="left"/>
      <w:lvlText w:val="(%1)"/>
      <w:numFmt w:val="decimal"/>
      <w:start w:val="1"/>
    </w:lvl>
    <w:lvl w:ilvl="1">
      <w:lvlJc w:val="left"/>
      <w:lvlText w:val="•"/>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1)"/>
      <w:numFmt w:val="decimal"/>
      <w:start w:val="1"/>
    </w:lvl>
  </w:abstractNum>
  <w:abstractNum w:abstractNumId="7">
    <w:nsid w:val="12200854"/>
    <w:multiLevelType w:val="hybridMultilevel"/>
    <w:lvl w:ilvl="0">
      <w:lvlJc w:val="left"/>
      <w:lvlText w:val="(%1)"/>
      <w:numFmt w:val="decimal"/>
      <w:start w:val="1"/>
    </w:lvl>
  </w:abstractNum>
  <w:abstractNum w:abstractNumId="8">
    <w:nsid w:val="4DB127F8"/>
    <w:multiLevelType w:val="hybridMultilevel"/>
    <w:lvl w:ilvl="0">
      <w:lvlJc w:val="left"/>
      <w:lvlText w:val="(%1)"/>
      <w:numFmt w:val="decimal"/>
      <w:start w:val="1"/>
    </w:lvl>
  </w:abstractNum>
  <w:abstractNum w:abstractNumId="9">
    <w:nsid w:val="216231B"/>
    <w:multiLevelType w:val="hybridMultilevel"/>
    <w:lvl w:ilvl="0">
      <w:lvlJc w:val="left"/>
      <w:lvlText w:val="(%1)"/>
      <w:numFmt w:val="decimal"/>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2025-06-25T07:03:04Z</dcterms:created>
  <dcterms:modified xsi:type="dcterms:W3CDTF">2025-06-25T07:03:04Z</dcterms:modified>
</cp:coreProperties>
</file>