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5" w:lineRule="exact"/>
        <w:rPr>
          <w:sz w:val="24"/>
          <w:szCs w:val="24"/>
          <w:color w:val="auto"/>
        </w:rPr>
      </w:pPr>
    </w:p>
    <w:p>
      <w:pPr>
        <w:ind w:left="2680"/>
        <w:spacing w:after="0"/>
        <w:tabs>
          <w:tab w:leader="none" w:pos="69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6"/>
          <w:szCs w:val="16"/>
          <w:color w:val="auto"/>
        </w:rPr>
        <w:t>July 12,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3839845</wp:posOffset>
            </wp:positionH>
            <wp:positionV relativeFrom="paragraph">
              <wp:posOffset>-10160</wp:posOffset>
            </wp:positionV>
            <wp:extent cx="17189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894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91440</wp:posOffset>
            </wp:positionV>
            <wp:extent cx="5042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2" w:lineRule="exact"/>
        <w:rPr>
          <w:sz w:val="24"/>
          <w:szCs w:val="24"/>
          <w:color w:val="auto"/>
        </w:rPr>
      </w:pPr>
    </w:p>
    <w:tbl>
      <w:tblPr>
        <w:tblLayout w:type="fixed"/>
        <w:tblInd w:w="1660" w:type="dxa"/>
        <w:tblCellMar>
          <w:top w:w="0" w:type="dxa"/>
          <w:left w:w="0" w:type="dxa"/>
          <w:bottom w:w="0" w:type="dxa"/>
          <w:right w:w="0" w:type="dxa"/>
        </w:tblCellMar>
      </w:tblPr>
      <w:tr>
        <w:trPr>
          <w:trHeight w:val="228"/>
        </w:trPr>
        <w:tc>
          <w:tcPr>
            <w:tcW w:w="344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9"/>
              </w:rPr>
              <w:t>Iowa</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001-06403</w:t>
            </w:r>
          </w:p>
        </w:tc>
        <w:tc>
          <w:tcPr>
            <w:tcW w:w="216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8"/>
              </w:rPr>
              <w:t>42-0802678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03"/>
        </w:trPr>
        <w:tc>
          <w:tcPr>
            <w:tcW w:w="344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(Commission File</w:t>
            </w:r>
          </w:p>
        </w:tc>
        <w:tc>
          <w:tcPr>
            <w:tcW w:w="28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auto"/>
                <w:w w:val="96"/>
              </w:rPr>
              <w:t>(IRS Employer</w:t>
            </w:r>
          </w:p>
        </w:tc>
        <w:tc>
          <w:tcPr>
            <w:tcW w:w="160" w:type="dxa"/>
            <w:vAlign w:val="bottom"/>
          </w:tcPr>
          <w:p>
            <w:pPr>
              <w:spacing w:after="0"/>
              <w:rPr>
                <w:sz w:val="24"/>
                <w:szCs w:val="24"/>
                <w:color w:val="auto"/>
              </w:rPr>
            </w:pPr>
          </w:p>
        </w:tc>
      </w:tr>
      <w:tr>
        <w:trPr>
          <w:trHeight w:val="228"/>
        </w:trPr>
        <w:tc>
          <w:tcPr>
            <w:tcW w:w="344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Number)</w:t>
            </w:r>
          </w:p>
        </w:tc>
        <w:tc>
          <w:tcPr>
            <w:tcW w:w="28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auto"/>
                <w:w w:val="96"/>
              </w:rPr>
              <w:t>Identification No.)</w:t>
            </w:r>
          </w:p>
        </w:tc>
        <w:tc>
          <w:tcPr>
            <w:tcW w:w="160" w:type="dxa"/>
            <w:vAlign w:val="bottom"/>
          </w:tcPr>
          <w:p>
            <w:pPr>
              <w:spacing w:after="0"/>
              <w:rPr>
                <w:sz w:val="19"/>
                <w:szCs w:val="19"/>
                <w:color w:val="auto"/>
              </w:rPr>
            </w:pPr>
          </w:p>
        </w:tc>
      </w:tr>
      <w:tr>
        <w:trPr>
          <w:trHeight w:val="459"/>
        </w:trPr>
        <w:tc>
          <w:tcPr>
            <w:tcW w:w="344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6"/>
              </w:rPr>
              <w:t>P.O. Box 152, Forest City, Iowa</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50436</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0"/>
        </w:trPr>
        <w:tc>
          <w:tcPr>
            <w:tcW w:w="34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r>
        <w:trPr>
          <w:trHeight w:val="343"/>
        </w:trPr>
        <w:tc>
          <w:tcPr>
            <w:tcW w:w="344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6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5"/>
              </w:rPr>
              <w:t>(Zip Code)</w:t>
            </w:r>
          </w:p>
        </w:tc>
        <w:tc>
          <w:tcPr>
            <w:tcW w:w="160" w:type="dxa"/>
            <w:vAlign w:val="bottom"/>
          </w:tcPr>
          <w:p>
            <w:pPr>
              <w:spacing w:after="0"/>
              <w:rPr>
                <w:sz w:val="24"/>
                <w:szCs w:val="24"/>
                <w:color w:val="auto"/>
              </w:rPr>
            </w:pPr>
          </w:p>
        </w:tc>
      </w:tr>
      <w:tr>
        <w:trPr>
          <w:trHeight w:val="637"/>
        </w:trPr>
        <w:tc>
          <w:tcPr>
            <w:tcW w:w="45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641-585-3535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428625</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4" w:lineRule="exact"/>
        <w:rPr>
          <w:sz w:val="24"/>
          <w:szCs w:val="24"/>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293"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 xml:space="preserve">The Human Resources Committee of the Board of Directors of Winnebago Industries, Inc.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recommended, and the full Board of Directors approved, effective September 1, 2005, modifications to director compensation such that the Chairman of the Audit Committee will receive a yearly retainer of $5,000 to be paid in monthly increments of $416.67 and the Chairman of each of the four other Committees of the Board will receive a yearly retainer of $4,000 to be paid in monthly increments of $333.34. The Chairman of each committee will no longer receive a per diem of $2,000 per meeting but rather each Board member will receive $1,000 per day for Board meetings and Committee meetings. Also effective September 1, 2005, the 10,000 share stock option grant for new directors will be eliminated but each director (including new directors) will continue to receive an annual stock option grant of 4,000 shares.</w:t>
      </w:r>
    </w:p>
    <w:p>
      <w:pPr>
        <w:spacing w:after="0" w:line="167" w:lineRule="exact"/>
        <w:rPr>
          <w:sz w:val="24"/>
          <w:szCs w:val="24"/>
          <w:color w:val="auto"/>
        </w:rPr>
      </w:pPr>
    </w:p>
    <w:p>
      <w:pPr>
        <w:ind w:right="100" w:firstLine="341"/>
        <w:spacing w:after="0" w:line="275" w:lineRule="auto"/>
        <w:rPr>
          <w:sz w:val="20"/>
          <w:szCs w:val="20"/>
          <w:color w:val="auto"/>
        </w:rPr>
      </w:pPr>
      <w:r>
        <w:rPr>
          <w:rFonts w:ascii="Times New Roman" w:cs="Times New Roman" w:eastAsia="Times New Roman" w:hAnsi="Times New Roman"/>
          <w:sz w:val="18"/>
          <w:szCs w:val="18"/>
          <w:color w:val="auto"/>
        </w:rPr>
        <w:t>A Summary of Director Compensation reflecting the above-referenced actions of the Board of Directors of the Company is attached hereto as Exhibit 99.1 and is incorporated herein by reference.</w:t>
      </w:r>
    </w:p>
    <w:p>
      <w:pPr>
        <w:spacing w:after="0" w:line="253"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95" w:lineRule="exact"/>
        <w:rPr>
          <w:sz w:val="24"/>
          <w:szCs w:val="24"/>
          <w:color w:val="auto"/>
        </w:rPr>
      </w:pPr>
    </w:p>
    <w:p>
      <w:pPr>
        <w:ind w:left="1180" w:hanging="618"/>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50" w:lineRule="exact"/>
        <w:rPr>
          <w:sz w:val="24"/>
          <w:szCs w:val="24"/>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ectPr>
          <w:pgSz w:w="11900" w:h="16838" w:orient="portrait"/>
          <w:cols w:equalWidth="0" w:num="1">
            <w:col w:w="11320"/>
          </w:cols>
          <w:pgMar w:left="240" w:top="986" w:right="339" w:bottom="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54" w:lineRule="exact"/>
        <w:rPr>
          <w:sz w:val="20"/>
          <w:szCs w:val="20"/>
          <w:color w:val="auto"/>
        </w:rPr>
      </w:pPr>
    </w:p>
    <w:p>
      <w:pPr>
        <w:ind w:left="1480"/>
        <w:spacing w:after="0"/>
        <w:tabs>
          <w:tab w:leader="none" w:pos="27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Summary of Director Compensation</w:t>
      </w: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July 12, 2005</w:t>
            </w:r>
          </w:p>
        </w:tc>
        <w:tc>
          <w:tcPr>
            <w:tcW w:w="564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WINNEBAGO INDUSTRIES, INC.</w:t>
            </w:r>
          </w:p>
        </w:tc>
      </w:tr>
      <w:tr>
        <w:trPr>
          <w:trHeight w:val="486"/>
        </w:trPr>
        <w:tc>
          <w:tcPr>
            <w:tcW w:w="3760" w:type="dxa"/>
            <w:vAlign w:val="bottom"/>
          </w:tcPr>
          <w:p>
            <w:pPr>
              <w:spacing w:after="0"/>
              <w:rPr>
                <w:sz w:val="24"/>
                <w:szCs w:val="24"/>
                <w:color w:val="auto"/>
              </w:rPr>
            </w:pPr>
          </w:p>
        </w:tc>
        <w:tc>
          <w:tcPr>
            <w:tcW w:w="2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Bruce D. Hertzke</w:t>
            </w:r>
          </w:p>
        </w:tc>
      </w:tr>
      <w:tr>
        <w:trPr>
          <w:trHeight w:val="110"/>
        </w:trPr>
        <w:tc>
          <w:tcPr>
            <w:tcW w:w="37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356"/>
        </w:trPr>
        <w:tc>
          <w:tcPr>
            <w:tcW w:w="3760" w:type="dxa"/>
            <w:vAlign w:val="bottom"/>
          </w:tcPr>
          <w:p>
            <w:pPr>
              <w:spacing w:after="0"/>
              <w:rPr>
                <w:sz w:val="24"/>
                <w:szCs w:val="24"/>
                <w:color w:val="auto"/>
              </w:rPr>
            </w:pPr>
          </w:p>
        </w:tc>
        <w:tc>
          <w:tcPr>
            <w:tcW w:w="2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Bruce D. Hertzke</w:t>
            </w:r>
          </w:p>
        </w:tc>
      </w:tr>
      <w:tr>
        <w:trPr>
          <w:trHeight w:val="243"/>
        </w:trPr>
        <w:tc>
          <w:tcPr>
            <w:tcW w:w="3760" w:type="dxa"/>
            <w:vAlign w:val="bottom"/>
          </w:tcPr>
          <w:p>
            <w:pPr>
              <w:spacing w:after="0"/>
              <w:rPr>
                <w:sz w:val="21"/>
                <w:szCs w:val="21"/>
                <w:color w:val="auto"/>
              </w:rPr>
            </w:pPr>
          </w:p>
        </w:tc>
        <w:tc>
          <w:tcPr>
            <w:tcW w:w="2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40" w:lineRule="exact"/>
        <w:rPr>
          <w:sz w:val="20"/>
          <w:szCs w:val="20"/>
          <w:color w:val="auto"/>
        </w:rPr>
      </w:pPr>
    </w:p>
    <w:p>
      <w:pPr>
        <w:ind w:left="1480"/>
        <w:spacing w:after="0"/>
        <w:tabs>
          <w:tab w:leader="none" w:pos="27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Summary of Director Compensation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23" w:right="7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Compensation</w:t>
      </w:r>
    </w:p>
    <w:p>
      <w:pPr>
        <w:spacing w:after="0" w:line="30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 xml:space="preserve">Employee directors receive no additional compensation for serving on the Board of Directors of Winnebago Industries,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Committees of the Board. Non-employee directors receive a retainer of $2,083.34 per month or $25,000 per year, the Chairman of the Audit Committee will receive an additional retainer of $416.67 per month or $5,000 per year, and the chairman of each of the four other Board Committees will receive an additional retainer of $333.34 per month or $4,000 per year. In addition, non-employee directors, including Committee Chairmen, will receive a $1,000 per day attendance fee for Board and Committee meetings attended in person and a $500 fee for participation in any Board or Committee meetings held telephonically. Directors are also reimbursed for customary and usual travel expenses.</w:t>
      </w:r>
    </w:p>
    <w:p>
      <w:pPr>
        <w:spacing w:after="0" w:line="193"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In addition, each non-employee director under the Company’s 2004 Incentive Compensation Plan (the </w:t>
      </w:r>
      <w:r>
        <w:rPr>
          <w:rFonts w:ascii="Times New Roman" w:cs="Times New Roman" w:eastAsia="Times New Roman" w:hAnsi="Times New Roman"/>
          <w:sz w:val="18"/>
          <w:szCs w:val="18"/>
          <w:i w:val="1"/>
          <w:iCs w:val="1"/>
          <w:color w:val="auto"/>
        </w:rPr>
        <w:t>“Incentive Compensation Plan”</w:t>
      </w:r>
      <w:r>
        <w:rPr>
          <w:rFonts w:ascii="Times New Roman" w:cs="Times New Roman" w:eastAsia="Times New Roman" w:hAnsi="Times New Roman"/>
          <w:sz w:val="18"/>
          <w:szCs w:val="18"/>
          <w:color w:val="auto"/>
        </w:rPr>
        <w:t>), including a new director, annually receives options for 4,000 shares of the Company’s Common Stock.</w:t>
      </w:r>
    </w:p>
    <w:p>
      <w:pPr>
        <w:spacing w:after="0" w:line="170"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Under the Company’s Directors’ Deferred Compensation Plan (the </w:t>
      </w:r>
      <w:r>
        <w:rPr>
          <w:rFonts w:ascii="Times New Roman" w:cs="Times New Roman" w:eastAsia="Times New Roman" w:hAnsi="Times New Roman"/>
          <w:sz w:val="18"/>
          <w:szCs w:val="18"/>
          <w:i w:val="1"/>
          <w:iCs w:val="1"/>
          <w:color w:val="auto"/>
        </w:rPr>
        <w:t>“Directors’ Deferred Compensation Plan”</w:t>
      </w:r>
      <w:r>
        <w:rPr>
          <w:rFonts w:ascii="Times New Roman" w:cs="Times New Roman" w:eastAsia="Times New Roman" w:hAnsi="Times New Roman"/>
          <w:sz w:val="18"/>
          <w:szCs w:val="18"/>
          <w:color w:val="auto"/>
        </w:rPr>
        <w:t>), each of the non-employee directors may elect to receive their fees and retainers as members of the Board of Directors and Committees of the Board in a form other than as direct payments.</w:t>
      </w:r>
    </w:p>
    <w:p>
      <w:pPr>
        <w:spacing w:after="0" w:line="172"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Incentive Compensation Plan and the Directors’ Deferred Compensation Plan and the forms of awards thereunder are filed as exhibits to the Company’s Annual Report on Form 10-K and the compensation, plans and agreements referenced above are discussed in further detail in the Company’s Proxy Statement relating to its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1583055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2019-12-13T08:29:41Z</dcterms:created>
  <dcterms:modified xsi:type="dcterms:W3CDTF">2019-12-13T08:29:41Z</dcterms:modified>
</cp:coreProperties>
</file>