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25</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NOTIFICATION OF REMOVAL FROM LISTING AND/OR</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REGISTRATION UNDER SECTION 12(b) OF THE</w:t>
      </w: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91" w:lineRule="exact"/>
        <w:rPr>
          <w:sz w:val="24"/>
          <w:szCs w:val="24"/>
          <w:color w:val="auto"/>
        </w:rPr>
      </w:pPr>
    </w:p>
    <w:p>
      <w:pPr>
        <w:ind w:left="8620"/>
        <w:spacing w:after="0"/>
        <w:rPr>
          <w:sz w:val="20"/>
          <w:szCs w:val="20"/>
          <w:color w:val="auto"/>
        </w:rPr>
      </w:pPr>
      <w:r>
        <w:rPr>
          <w:rFonts w:ascii="Arial" w:cs="Arial" w:eastAsia="Arial" w:hAnsi="Arial"/>
          <w:sz w:val="16"/>
          <w:szCs w:val="16"/>
          <w:b w:val="1"/>
          <w:bCs w:val="1"/>
          <w:color w:val="auto"/>
        </w:rPr>
        <w:t>Commission File Number 001-06403</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Winnebago Industries, Inc. / Chicago Stock Exchange</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Issuer as specified in its charter, and name of Exchange where security is listed and/or registered)</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 Box 152</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Forest City, Iowa 50436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(641) 585-3535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Issuer’s principal executive offices)</w:t>
      </w:r>
    </w:p>
    <w:p>
      <w:pPr>
        <w:spacing w:after="0" w:line="220" w:lineRule="exact"/>
        <w:rPr>
          <w:sz w:val="24"/>
          <w:szCs w:val="24"/>
          <w:color w:val="auto"/>
        </w:rPr>
      </w:pPr>
    </w:p>
    <w:p>
      <w:pPr>
        <w:ind w:left="5100"/>
        <w:spacing w:after="0"/>
        <w:rPr>
          <w:sz w:val="20"/>
          <w:szCs w:val="20"/>
          <w:color w:val="auto"/>
        </w:rPr>
      </w:pPr>
      <w:r>
        <w:rPr>
          <w:rFonts w:ascii="Arial" w:cs="Arial" w:eastAsia="Arial" w:hAnsi="Arial"/>
          <w:sz w:val="18"/>
          <w:szCs w:val="18"/>
          <w:b w:val="1"/>
          <w:bCs w:val="1"/>
          <w:color w:val="auto"/>
        </w:rPr>
        <w:t>Common Stock,</w:t>
      </w:r>
    </w:p>
    <w:p>
      <w:pPr>
        <w:spacing w:after="0" w:line="25" w:lineRule="exact"/>
        <w:rPr>
          <w:sz w:val="24"/>
          <w:szCs w:val="24"/>
          <w:color w:val="auto"/>
        </w:rPr>
      </w:pPr>
    </w:p>
    <w:p>
      <w:pPr>
        <w:ind w:left="4740"/>
        <w:spacing w:after="0"/>
        <w:rPr>
          <w:sz w:val="20"/>
          <w:szCs w:val="20"/>
          <w:color w:val="auto"/>
        </w:rPr>
      </w:pPr>
      <w:r>
        <w:rPr>
          <w:rFonts w:ascii="Arial" w:cs="Arial" w:eastAsia="Arial" w:hAnsi="Arial"/>
          <w:sz w:val="18"/>
          <w:szCs w:val="18"/>
          <w:b w:val="1"/>
          <w:bCs w:val="1"/>
          <w:color w:val="auto"/>
        </w:rPr>
        <w:t>par value $0.50 per share</w:t>
      </w:r>
    </w:p>
    <w:p>
      <w:pPr>
        <w:jc w:val="center"/>
        <w:spacing w:after="0"/>
        <w:rPr>
          <w:sz w:val="20"/>
          <w:szCs w:val="20"/>
          <w:color w:val="auto"/>
        </w:rPr>
      </w:pPr>
      <w:r>
        <w:rPr>
          <w:rFonts w:ascii="Arial" w:cs="Arial" w:eastAsia="Arial" w:hAnsi="Arial"/>
          <w:sz w:val="18"/>
          <w:szCs w:val="18"/>
          <w:color w:val="auto"/>
        </w:rPr>
        <w:t>(Description of class of securities)</w:t>
      </w: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color w:val="auto"/>
        </w:rPr>
        <w:t>Please place an X in the box to designate the rule provision relied upon to strike the class of securities from listing and registration:</w:t>
      </w:r>
    </w:p>
    <w:p>
      <w:pPr>
        <w:spacing w:after="0" w:line="225" w:lineRule="exact"/>
        <w:rPr>
          <w:sz w:val="24"/>
          <w:szCs w:val="24"/>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17 CFR 240.12d2-2(a)(1)</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17 CFR 240.12d2-2(a)(2)</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17 CFR 240.12d2-2(a)(3)</w:t>
      </w:r>
    </w:p>
    <w:p>
      <w:pPr>
        <w:spacing w:after="0" w:line="238"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17 CFR 240.12d2-2(a)(4)</w:t>
      </w:r>
    </w:p>
    <w:p>
      <w:pPr>
        <w:spacing w:after="0" w:line="211" w:lineRule="exact"/>
        <w:rPr>
          <w:rFonts w:ascii="Arial" w:cs="Arial" w:eastAsia="Arial" w:hAnsi="Arial"/>
          <w:sz w:val="18"/>
          <w:szCs w:val="18"/>
          <w:color w:val="auto"/>
        </w:rPr>
      </w:pPr>
    </w:p>
    <w:p>
      <w:pPr>
        <w:ind w:right="200" w:firstLine="8"/>
        <w:spacing w:after="0" w:line="277" w:lineRule="auto"/>
        <w:tabs>
          <w:tab w:leader="none" w:pos="252"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17 CFR 240.12d2-2(b), the Exchange has complied with its rules to strike the class of securities from listing and/or withdraw registration on the Exchange.(1)</w:t>
      </w:r>
    </w:p>
    <w:p>
      <w:pPr>
        <w:spacing w:after="0" w:line="170" w:lineRule="exact"/>
        <w:rPr>
          <w:sz w:val="24"/>
          <w:szCs w:val="24"/>
          <w:color w:val="auto"/>
        </w:rPr>
      </w:pPr>
    </w:p>
    <w:p>
      <w:pPr>
        <w:ind w:right="200" w:firstLine="8"/>
        <w:spacing w:after="0" w:line="277" w:lineRule="auto"/>
        <w:tabs>
          <w:tab w:leader="none" w:pos="225" w:val="left"/>
        </w:tabs>
        <w:numPr>
          <w:ilvl w:val="0"/>
          <w:numId w:val="2"/>
        </w:numPr>
        <w:rPr>
          <w:rFonts w:ascii="Arial" w:cs="Arial" w:eastAsia="Arial" w:hAnsi="Arial"/>
          <w:sz w:val="18"/>
          <w:szCs w:val="18"/>
          <w:color w:val="auto"/>
        </w:rPr>
      </w:pPr>
      <w:r>
        <w:rPr>
          <w:rFonts w:ascii="Arial" w:cs="Arial" w:eastAsia="Arial" w:hAnsi="Arial"/>
          <w:sz w:val="18"/>
          <w:szCs w:val="18"/>
          <w:color w:val="auto"/>
        </w:rPr>
        <w:t>Pursuant to 17 CFR 240.12d2-2(c), the Issuer has complied with the rules of the Exchange and the requirements of 17 CFR 240.12d2-2(c) governing the voluntary withdrawal of the class of securities from listing and registration on the Exchange.</w:t>
      </w:r>
    </w:p>
    <w:p>
      <w:pPr>
        <w:spacing w:after="0" w:line="170" w:lineRule="exact"/>
        <w:rPr>
          <w:sz w:val="24"/>
          <w:szCs w:val="24"/>
          <w:color w:val="auto"/>
        </w:rPr>
      </w:pPr>
    </w:p>
    <w:p>
      <w:pPr>
        <w:jc w:val="both"/>
        <w:ind w:right="400"/>
        <w:spacing w:after="0" w:line="342" w:lineRule="auto"/>
        <w:rPr>
          <w:sz w:val="20"/>
          <w:szCs w:val="20"/>
          <w:color w:val="auto"/>
        </w:rPr>
      </w:pPr>
      <w:r>
        <w:rPr>
          <w:rFonts w:ascii="Arial" w:cs="Arial" w:eastAsia="Arial" w:hAnsi="Arial"/>
          <w:sz w:val="16"/>
          <w:szCs w:val="16"/>
          <w:color w:val="auto"/>
        </w:rPr>
        <w:t>Pursuant to the requirements of the Securities Exchange Act of 1934, Winnebago Industries, Inc. certifies that it has reasonable grounds to believe that it meets all of the requirements for filing the Form 25 and has caused this notification to be signed on its behalf by the undersigned duly authorized person.</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360" w:type="dxa"/>
            <w:vAlign w:val="bottom"/>
          </w:tcPr>
          <w:p>
            <w:pPr>
              <w:jc w:val="center"/>
              <w:spacing w:after="0"/>
              <w:rPr>
                <w:sz w:val="20"/>
                <w:szCs w:val="20"/>
                <w:color w:val="auto"/>
              </w:rPr>
            </w:pPr>
            <w:r>
              <w:rPr>
                <w:rFonts w:ascii="Arial" w:cs="Arial" w:eastAsia="Arial" w:hAnsi="Arial"/>
                <w:sz w:val="18"/>
                <w:szCs w:val="18"/>
                <w:color w:val="auto"/>
                <w:w w:val="89"/>
              </w:rPr>
              <w:t>Vice President – General</w:t>
            </w:r>
          </w:p>
        </w:tc>
      </w:tr>
      <w:tr>
        <w:trPr>
          <w:trHeight w:val="230"/>
        </w:trPr>
        <w:tc>
          <w:tcPr>
            <w:tcW w:w="2880" w:type="dxa"/>
            <w:vAlign w:val="bottom"/>
          </w:tcPr>
          <w:p>
            <w:pPr>
              <w:jc w:val="center"/>
              <w:spacing w:after="0"/>
              <w:rPr>
                <w:sz w:val="20"/>
                <w:szCs w:val="20"/>
                <w:color w:val="auto"/>
              </w:rPr>
            </w:pPr>
            <w:r>
              <w:rPr>
                <w:rFonts w:ascii="Arial" w:cs="Arial" w:eastAsia="Arial" w:hAnsi="Arial"/>
                <w:sz w:val="18"/>
                <w:szCs w:val="18"/>
                <w:color w:val="auto"/>
                <w:w w:val="88"/>
              </w:rPr>
              <w:t>December 31, 2018</w:t>
            </w:r>
          </w:p>
        </w:tc>
        <w:tc>
          <w:tcPr>
            <w:tcW w:w="4180" w:type="dxa"/>
            <w:vAlign w:val="bottom"/>
            <w:gridSpan w:val="3"/>
          </w:tcPr>
          <w:p>
            <w:pPr>
              <w:ind w:left="260"/>
              <w:spacing w:after="0"/>
              <w:rPr>
                <w:sz w:val="20"/>
                <w:szCs w:val="20"/>
                <w:color w:val="auto"/>
              </w:rPr>
            </w:pPr>
            <w:r>
              <w:rPr>
                <w:rFonts w:ascii="Arial" w:cs="Arial" w:eastAsia="Arial" w:hAnsi="Arial"/>
                <w:sz w:val="18"/>
                <w:szCs w:val="18"/>
                <w:color w:val="auto"/>
              </w:rPr>
              <w:t>By: /s/ Stacy L. Bogart</w:t>
            </w:r>
          </w:p>
        </w:tc>
        <w:tc>
          <w:tcPr>
            <w:tcW w:w="4360" w:type="dxa"/>
            <w:vAlign w:val="bottom"/>
          </w:tcPr>
          <w:p>
            <w:pPr>
              <w:jc w:val="center"/>
              <w:spacing w:after="0"/>
              <w:rPr>
                <w:sz w:val="20"/>
                <w:szCs w:val="20"/>
                <w:color w:val="auto"/>
              </w:rPr>
            </w:pPr>
            <w:r>
              <w:rPr>
                <w:rFonts w:ascii="Arial" w:cs="Arial" w:eastAsia="Arial" w:hAnsi="Arial"/>
                <w:sz w:val="18"/>
                <w:szCs w:val="18"/>
                <w:color w:val="auto"/>
                <w:w w:val="88"/>
              </w:rPr>
              <w:t>Counsel and Secretary</w:t>
            </w:r>
          </w:p>
        </w:tc>
      </w:tr>
      <w:tr>
        <w:trPr>
          <w:trHeight w:val="224"/>
        </w:trPr>
        <w:tc>
          <w:tcPr>
            <w:tcW w:w="28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Date</w:t>
            </w:r>
          </w:p>
        </w:tc>
        <w:tc>
          <w:tcPr>
            <w:tcW w:w="580" w:type="dxa"/>
            <w:vAlign w:val="bottom"/>
          </w:tcPr>
          <w:p>
            <w:pPr>
              <w:spacing w:after="0"/>
              <w:rPr>
                <w:sz w:val="19"/>
                <w:szCs w:val="19"/>
                <w:color w:val="auto"/>
              </w:rPr>
            </w:pPr>
          </w:p>
        </w:tc>
        <w:tc>
          <w:tcPr>
            <w:tcW w:w="3400" w:type="dxa"/>
            <w:vAlign w:val="bottom"/>
            <w:tcBorders>
              <w:top w:val="single" w:sz="8" w:color="auto"/>
            </w:tcBorders>
          </w:tcPr>
          <w:p>
            <w:pPr>
              <w:ind w:left="1480"/>
              <w:spacing w:after="0"/>
              <w:rPr>
                <w:sz w:val="20"/>
                <w:szCs w:val="20"/>
                <w:color w:val="auto"/>
              </w:rPr>
            </w:pPr>
            <w:r>
              <w:rPr>
                <w:rFonts w:ascii="Arial" w:cs="Arial" w:eastAsia="Arial" w:hAnsi="Arial"/>
                <w:sz w:val="18"/>
                <w:szCs w:val="18"/>
                <w:color w:val="auto"/>
              </w:rPr>
              <w:t>Name</w:t>
            </w:r>
          </w:p>
        </w:tc>
        <w:tc>
          <w:tcPr>
            <w:tcW w:w="200" w:type="dxa"/>
            <w:vAlign w:val="bottom"/>
          </w:tcPr>
          <w:p>
            <w:pPr>
              <w:spacing w:after="0"/>
              <w:rPr>
                <w:sz w:val="19"/>
                <w:szCs w:val="19"/>
                <w:color w:val="auto"/>
              </w:rPr>
            </w:pPr>
          </w:p>
        </w:tc>
        <w:tc>
          <w:tcPr>
            <w:tcW w:w="4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Title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4"/>
          <w:szCs w:val="24"/>
          <w:color w:val="auto"/>
        </w:rPr>
      </w:pPr>
    </w:p>
    <w:p>
      <w:pPr>
        <w:spacing w:after="0"/>
        <w:rPr>
          <w:sz w:val="20"/>
          <w:szCs w:val="20"/>
          <w:color w:val="auto"/>
        </w:rPr>
      </w:pPr>
      <w:r>
        <w:rPr>
          <w:rFonts w:ascii="Arial" w:cs="Arial" w:eastAsia="Arial" w:hAnsi="Arial"/>
          <w:sz w:val="17"/>
          <w:szCs w:val="17"/>
          <w:color w:val="auto"/>
        </w:rPr>
        <w:t>(1) Form 25 and attached Notice will be considered compliance with the provisions of 17 CFR 240.19d-1 as applicable. See General Instructions.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202565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440055</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54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x"/>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2019-12-05T10:20:54Z</dcterms:created>
  <dcterms:modified xsi:type="dcterms:W3CDTF">2019-12-05T10:20:54Z</dcterms:modified>
</cp:coreProperties>
</file>