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On March 27, 2025, Winnebago Industries, Inc. (the "Company") issued a press release to report financial results for the second quarter of Fiscal 2025 ended March 1, 2025. A copy of the press release is attached as Exhibit 99.1 and is incorporated by reference herein.</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2025.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March 27, 2025</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6620" w:type="dxa"/>
            <w:vAlign w:val="bottom"/>
            <w:gridSpan w:val="2"/>
          </w:tcPr>
          <w:p>
            <w:pPr>
              <w:ind w:left="116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2440" w:type="dxa"/>
            <w:vAlign w:val="bottom"/>
          </w:tcPr>
          <w:p>
            <w:pPr>
              <w:ind w:left="160"/>
              <w:spacing w:after="0"/>
              <w:rPr>
                <w:sz w:val="20"/>
                <w:szCs w:val="20"/>
                <w:color w:val="auto"/>
              </w:rPr>
            </w:pPr>
            <w:r>
              <w:rPr>
                <w:rFonts w:ascii="Arial" w:cs="Arial" w:eastAsia="Arial" w:hAnsi="Arial"/>
                <w:sz w:val="16"/>
                <w:szCs w:val="16"/>
                <w:color w:val="auto"/>
              </w:rPr>
              <w:t>March 27, 2025</w:t>
            </w:r>
          </w:p>
        </w:tc>
        <w:tc>
          <w:tcPr>
            <w:tcW w:w="1960" w:type="dxa"/>
            <w:vAlign w:val="bottom"/>
          </w:tcPr>
          <w:p>
            <w:pPr>
              <w:ind w:left="116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60" w:type="dxa"/>
            <w:vAlign w:val="bottom"/>
          </w:tcPr>
          <w:p>
            <w:pPr>
              <w:ind w:left="116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960" w:type="dxa"/>
            <w:vAlign w:val="bottom"/>
            <w:vMerge w:val="restart"/>
          </w:tcPr>
          <w:p>
            <w:pPr>
              <w:ind w:left="116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96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20"/>
          </w:cols>
          <w:pgMar w:left="320" w:top="88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SECOND QUARTER FISCAL 2025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Improves Sequential Profitability, Driven by Margin Growth in All Segments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Completes $100 Million High Yield Debt Tender, Enhancing Capital Efficiency Through Strategic Debt Reduction --</w:t>
      </w:r>
    </w:p>
    <w:p>
      <w:pPr>
        <w:spacing w:after="0" w:line="208" w:lineRule="exact"/>
        <w:rPr>
          <w:sz w:val="20"/>
          <w:szCs w:val="20"/>
          <w:color w:val="auto"/>
        </w:rPr>
      </w:pPr>
    </w:p>
    <w:p>
      <w:pPr>
        <w:ind w:left="1740" w:right="1740" w:firstLine="36"/>
        <w:spacing w:after="0" w:line="436" w:lineRule="auto"/>
        <w:rPr>
          <w:sz w:val="20"/>
          <w:szCs w:val="20"/>
          <w:color w:val="auto"/>
        </w:rPr>
      </w:pPr>
      <w:r>
        <w:rPr>
          <w:rFonts w:ascii="Arial" w:cs="Arial" w:eastAsia="Arial" w:hAnsi="Arial"/>
          <w:sz w:val="16"/>
          <w:szCs w:val="16"/>
          <w:b w:val="1"/>
          <w:bCs w:val="1"/>
          <w:color w:val="auto"/>
        </w:rPr>
        <w:t>-- Barletta's Share of U.S. Aluminum Pontoon Market Increases to 9.5%</w:t>
      </w:r>
      <w:r>
        <w:rPr>
          <w:rFonts w:ascii="Arial" w:cs="Arial" w:eastAsia="Arial" w:hAnsi="Arial"/>
          <w:sz w:val="21"/>
          <w:szCs w:val="21"/>
          <w:b w:val="1"/>
          <w:bCs w:val="1"/>
          <w:color w:val="auto"/>
          <w:vertAlign w:val="superscript"/>
        </w:rPr>
        <w:t>(1)</w:t>
      </w:r>
      <w:r>
        <w:rPr>
          <w:rFonts w:ascii="Arial" w:cs="Arial" w:eastAsia="Arial" w:hAnsi="Arial"/>
          <w:sz w:val="16"/>
          <w:szCs w:val="16"/>
          <w:b w:val="1"/>
          <w:bCs w:val="1"/>
          <w:color w:val="auto"/>
        </w:rPr>
        <w:t>, up 140 Basis Points YoY -- -- Newmar Delivers its Fourth Straight Year of Increasing Market Share in Class A Diesel Segment</w:t>
      </w:r>
      <w:r>
        <w:rPr>
          <w:rFonts w:ascii="Arial" w:cs="Arial" w:eastAsia="Arial" w:hAnsi="Arial"/>
          <w:sz w:val="21"/>
          <w:szCs w:val="21"/>
          <w:b w:val="1"/>
          <w:bCs w:val="1"/>
          <w:color w:val="auto"/>
          <w:vertAlign w:val="superscript"/>
        </w:rPr>
        <w:t>(2)</w:t>
      </w:r>
      <w:r>
        <w:rPr>
          <w:rFonts w:ascii="Arial" w:cs="Arial" w:eastAsia="Arial" w:hAnsi="Arial"/>
          <w:sz w:val="16"/>
          <w:szCs w:val="16"/>
          <w:b w:val="1"/>
          <w:bCs w:val="1"/>
          <w:color w:val="auto"/>
        </w:rPr>
        <w:t xml:space="preserve"> --</w:t>
      </w:r>
    </w:p>
    <w:p>
      <w:pPr>
        <w:spacing w:after="0" w:line="297" w:lineRule="exact"/>
        <w:rPr>
          <w:sz w:val="20"/>
          <w:szCs w:val="20"/>
          <w:color w:val="auto"/>
        </w:rPr>
      </w:pPr>
    </w:p>
    <w:p>
      <w:pPr>
        <w:ind w:right="500"/>
        <w:spacing w:after="0" w:line="409" w:lineRule="auto"/>
        <w:rPr>
          <w:sz w:val="20"/>
          <w:szCs w:val="20"/>
          <w:color w:val="auto"/>
        </w:rPr>
      </w:pPr>
      <w:r>
        <w:rPr>
          <w:rFonts w:ascii="Arial" w:cs="Arial" w:eastAsia="Arial" w:hAnsi="Arial"/>
          <w:sz w:val="16"/>
          <w:szCs w:val="16"/>
          <w:b w:val="1"/>
          <w:bCs w:val="1"/>
          <w:color w:val="auto"/>
        </w:rPr>
        <w:t xml:space="preserve">EDEN PRAIRIE, MINN, March 27, 2025 </w:t>
      </w:r>
      <w:r>
        <w:rPr>
          <w:rFonts w:ascii="Arial" w:cs="Arial" w:eastAsia="Arial" w:hAnsi="Arial"/>
          <w:sz w:val="16"/>
          <w:szCs w:val="16"/>
          <w:color w:val="auto"/>
        </w:rPr>
        <w:t>-- Winnebago Industries, Inc. (NYSE: WGO), a leading outdoor lifestyle product manufacturer, today reported</w:t>
      </w:r>
      <w:r>
        <w:rPr>
          <w:rFonts w:ascii="Arial" w:cs="Arial" w:eastAsia="Arial" w:hAnsi="Arial"/>
          <w:sz w:val="16"/>
          <w:szCs w:val="16"/>
          <w:b w:val="1"/>
          <w:bCs w:val="1"/>
          <w:color w:val="auto"/>
        </w:rPr>
        <w:t xml:space="preserve"> </w:t>
      </w:r>
      <w:r>
        <w:rPr>
          <w:rFonts w:ascii="Arial" w:cs="Arial" w:eastAsia="Arial" w:hAnsi="Arial"/>
          <w:sz w:val="16"/>
          <w:szCs w:val="16"/>
          <w:color w:val="auto"/>
        </w:rPr>
        <w:t>financial results for the fiscal 2025 second quarter ended March 1, 2025.</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Fiscal 2025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of $620.2 million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$83.1 million, representing 13.4% gross margin</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loss of $0.4 million, or $0.02 per diluted share; adjusted earnings per diluted share of $0.19</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of $22.8 million, representing 3.7% adjusted EBITDA margin</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235" w:lineRule="exact"/>
        <w:rPr>
          <w:sz w:val="20"/>
          <w:szCs w:val="20"/>
          <w:color w:val="auto"/>
        </w:rPr>
      </w:pPr>
    </w:p>
    <w:p>
      <w:pPr>
        <w:ind w:right="140"/>
        <w:spacing w:after="0" w:line="376" w:lineRule="auto"/>
        <w:rPr>
          <w:sz w:val="20"/>
          <w:szCs w:val="20"/>
          <w:color w:val="auto"/>
        </w:rPr>
      </w:pPr>
      <w:r>
        <w:rPr>
          <w:rFonts w:ascii="Arial" w:cs="Arial" w:eastAsia="Arial" w:hAnsi="Arial"/>
          <w:sz w:val="16"/>
          <w:szCs w:val="16"/>
          <w:color w:val="auto"/>
        </w:rPr>
        <w:t>“Winnebago Industries continues to demonstrate solid performance in our strategic markets, leveraging product differentiation and sharper affordability options to maintain healthy market share in our core premium and mid-range RV segments,” said President and Chief Executive Officer Michael Happe. “We're expanding our RV brand portfolio with new products across diverse price points, while maintaining our commitment to profitability. This strategic approach allows us to capitalize on market opportunities and positions us for sustainable financial performance as the market recovers. Our most recent example of this is the introduction of Grand Design's Class C Lineage Series M, which has been enthusiastically received in the marketplace and highlights the demand for the brand’s innovative motorized RVs. With the latest launch of our new Lineage Class Super C motorhome, the Lineage brand is on a trajectory to achieve its $100 million-plus revenue target in fiscal 2025."</w:t>
      </w:r>
    </w:p>
    <w:p>
      <w:pPr>
        <w:spacing w:after="0" w:line="102" w:lineRule="exact"/>
        <w:rPr>
          <w:sz w:val="20"/>
          <w:szCs w:val="20"/>
          <w:color w:val="auto"/>
        </w:rPr>
      </w:pPr>
    </w:p>
    <w:p>
      <w:pPr>
        <w:ind w:right="240"/>
        <w:spacing w:after="0" w:line="389" w:lineRule="auto"/>
        <w:rPr>
          <w:sz w:val="20"/>
          <w:szCs w:val="20"/>
          <w:color w:val="auto"/>
        </w:rPr>
      </w:pPr>
      <w:r>
        <w:rPr>
          <w:rFonts w:ascii="Arial" w:cs="Arial" w:eastAsia="Arial" w:hAnsi="Arial"/>
          <w:sz w:val="16"/>
          <w:szCs w:val="16"/>
          <w:color w:val="auto"/>
        </w:rPr>
        <w:t>“In our Marine segment, Barletta continues to grow its share of the U.S. aluminum pontoon market and outperform the category.” Happe said. “For the 12-month period ended February 28, 2025, Barletta achieved a market share of 9.5%, an improvement of 140 basis points over the prior-year period and placing Barletta as the number three player in aluminum pontoons."</w:t>
      </w:r>
    </w:p>
    <w:p>
      <w:pPr>
        <w:spacing w:after="0" w:line="91" w:lineRule="exact"/>
        <w:rPr>
          <w:sz w:val="20"/>
          <w:szCs w:val="20"/>
          <w:color w:val="auto"/>
        </w:rPr>
      </w:pPr>
    </w:p>
    <w:p>
      <w:pPr>
        <w:jc w:val="both"/>
        <w:ind w:right="180"/>
        <w:spacing w:after="0" w:line="383" w:lineRule="auto"/>
        <w:rPr>
          <w:sz w:val="20"/>
          <w:szCs w:val="20"/>
          <w:color w:val="auto"/>
        </w:rPr>
      </w:pPr>
      <w:r>
        <w:rPr>
          <w:rFonts w:ascii="Arial" w:cs="Arial" w:eastAsia="Arial" w:hAnsi="Arial"/>
          <w:sz w:val="16"/>
          <w:szCs w:val="16"/>
          <w:color w:val="auto"/>
        </w:rPr>
        <w:t>“Our strong financial position provides flexibility to invest in growth opportunities while maintaining disciplined fiscal management," Happe said. “During the second quarter, we completed a cash tender offer to repurchase $100 million of our 6.25% Senior Secured Notes due 2028, and we also repurchased $20 million of our stock. Reducing our higher-cost debt and returning value to shareholders, while continuing to focus on internal investments, underscores our commitment to executing a diverse capital allocation strategy and deliver resiliency through the cycle.”</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Second Quarter Fiscal 2025 Results</w:t>
      </w:r>
    </w:p>
    <w:p>
      <w:pPr>
        <w:spacing w:after="0" w:line="235"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Net revenues were $620.2 million, a decrease of 11.8% compared to $703.6 million in the second quarter of last year, driven by a reduction in average selling price per unit related to product mix, partially offset by targeted price increases. Volume growth in the Towable RV and Marine segments was offset by volume reductions in the Motorhome RV segment, as dealers continue their efforts to reduce field inventories in this segment in an effort to combat higher interest rates.</w:t>
      </w:r>
    </w:p>
    <w:p>
      <w:pPr>
        <w:spacing w:after="0" w:line="95" w:lineRule="exact"/>
        <w:rPr>
          <w:sz w:val="20"/>
          <w:szCs w:val="20"/>
          <w:color w:val="auto"/>
        </w:rPr>
      </w:pPr>
    </w:p>
    <w:p>
      <w:pPr>
        <w:jc w:val="both"/>
        <w:ind w:right="140"/>
        <w:spacing w:after="0" w:line="409" w:lineRule="auto"/>
        <w:rPr>
          <w:sz w:val="20"/>
          <w:szCs w:val="20"/>
          <w:color w:val="auto"/>
        </w:rPr>
      </w:pPr>
      <w:r>
        <w:rPr>
          <w:rFonts w:ascii="Arial" w:cs="Arial" w:eastAsia="Arial" w:hAnsi="Arial"/>
          <w:sz w:val="16"/>
          <w:szCs w:val="16"/>
          <w:color w:val="auto"/>
        </w:rPr>
        <w:t>Gross profit was $83.1 million, a decrease of 21.1% compared to $105.3 million in the second quarter of last year. Gross profit margin decreased 160 basis points in the quarter to 13.4% as a result of deleverage associated with product mix, partially offset by operational efficiencies.</w:t>
      </w:r>
    </w:p>
    <w:p>
      <w:pPr>
        <w:spacing w:after="0" w:line="88" w:lineRule="exact"/>
        <w:rPr>
          <w:sz w:val="20"/>
          <w:szCs w:val="20"/>
          <w:color w:val="auto"/>
        </w:rPr>
      </w:pPr>
    </w:p>
    <w:p>
      <w:pPr>
        <w:jc w:val="both"/>
        <w:ind w:right="140"/>
        <w:spacing w:after="0" w:line="389" w:lineRule="auto"/>
        <w:rPr>
          <w:sz w:val="20"/>
          <w:szCs w:val="20"/>
          <w:color w:val="auto"/>
        </w:rPr>
      </w:pPr>
      <w:r>
        <w:rPr>
          <w:rFonts w:ascii="Arial" w:cs="Arial" w:eastAsia="Arial" w:hAnsi="Arial"/>
          <w:sz w:val="16"/>
          <w:szCs w:val="16"/>
          <w:color w:val="auto"/>
        </w:rPr>
        <w:t>Selling, general and administrative expenses were $69.7 million, an increase of 8.6% compared to $64.2 million in the second quarter of last year, primarily due to the mix of incentive-based compensation plans relative to performance across our businesses, and investments to support Grand Design motorized growth and also growth in Barletta.</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was $7.8 million, a decrease of 78.0% compared to $35.4 million in the second quarter of last year.</w:t>
      </w:r>
    </w:p>
    <w:p>
      <w:pPr>
        <w:spacing w:after="0" w:line="248" w:lineRule="exact"/>
        <w:rPr>
          <w:sz w:val="20"/>
          <w:szCs w:val="20"/>
          <w:color w:val="auto"/>
        </w:rPr>
      </w:pPr>
    </w:p>
    <w:p>
      <w:pPr>
        <w:ind w:right="80"/>
        <w:spacing w:after="0" w:line="369" w:lineRule="auto"/>
        <w:rPr>
          <w:sz w:val="20"/>
          <w:szCs w:val="20"/>
          <w:color w:val="auto"/>
        </w:rPr>
      </w:pPr>
      <w:r>
        <w:rPr>
          <w:rFonts w:ascii="Arial" w:cs="Arial" w:eastAsia="Arial" w:hAnsi="Arial"/>
          <w:sz w:val="16"/>
          <w:szCs w:val="16"/>
          <w:color w:val="auto"/>
        </w:rPr>
        <w:t>Net loss was $0.4 million, compared to net loss of $12.7 million in the second quarter of last year. Reported net loss per diluted share was $0.02, compared to reported net loss per share of $0.43 in the second quarter of last year. Results for the second quarter of fiscal 2024 include a charge of $32.7 million, or $1.12 per share, attributable to the loss on repurchase of a significant portion of the Company's 2025 convertible senior notes. Adjusted earnings per diluted share was $0.19</w:t>
      </w:r>
      <w:r>
        <w:rPr>
          <w:rFonts w:ascii="Arial" w:cs="Arial" w:eastAsia="Arial" w:hAnsi="Arial"/>
          <w:sz w:val="21"/>
          <w:szCs w:val="21"/>
          <w:color w:val="auto"/>
          <w:vertAlign w:val="superscript"/>
        </w:rPr>
        <w:t>(3)</w:t>
      </w:r>
      <w:r>
        <w:rPr>
          <w:rFonts w:ascii="Arial" w:cs="Arial" w:eastAsia="Arial" w:hAnsi="Arial"/>
          <w:sz w:val="16"/>
          <w:szCs w:val="16"/>
          <w:color w:val="auto"/>
        </w:rPr>
        <w:t>, a decrease of 79.6% compared to adjusted earnings per diluted share of $0.93</w:t>
      </w:r>
      <w:r>
        <w:rPr>
          <w:rFonts w:ascii="Arial" w:cs="Arial" w:eastAsia="Arial" w:hAnsi="Arial"/>
          <w:sz w:val="21"/>
          <w:szCs w:val="21"/>
          <w:color w:val="auto"/>
          <w:vertAlign w:val="superscript"/>
        </w:rPr>
        <w:t>(3)</w:t>
      </w:r>
      <w:r>
        <w:rPr>
          <w:rFonts w:ascii="Arial" w:cs="Arial" w:eastAsia="Arial" w:hAnsi="Arial"/>
          <w:sz w:val="16"/>
          <w:szCs w:val="16"/>
          <w:color w:val="auto"/>
        </w:rPr>
        <w:t xml:space="preserve"> in the second quarter of last year.</w:t>
      </w:r>
    </w:p>
    <w:p>
      <w:pPr>
        <w:spacing w:after="0" w:line="49"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$22.8 million, a decrease of 54.2%, compared to $49.8 million in the second quarter of last year.</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Second Quarter Fiscal 2025 Segments Summary</w:t>
            </w:r>
          </w:p>
        </w:tc>
        <w:tc>
          <w:tcPr>
            <w:tcW w:w="3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31"/>
        </w:trPr>
        <w:tc>
          <w:tcPr>
            <w:tcW w:w="460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 2025</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 2024</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284.7</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26.8</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(36.5)</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(350) bps</w:t>
            </w:r>
          </w:p>
        </w:tc>
      </w:tr>
    </w:tbl>
    <w:p>
      <w:pPr>
        <w:spacing w:after="0" w:line="34"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63" w:lineRule="exact"/>
        <w:rPr>
          <w:rFonts w:ascii="Arial" w:cs="Arial" w:eastAsia="Arial" w:hAnsi="Arial"/>
          <w:sz w:val="21"/>
          <w:szCs w:val="21"/>
          <w:color w:val="auto"/>
          <w:vertAlign w:val="superscript"/>
        </w:rPr>
      </w:pPr>
    </w:p>
    <w:p>
      <w:pPr>
        <w:ind w:left="660" w:right="300" w:hanging="328"/>
        <w:spacing w:after="0" w:line="36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Net revenues for the Towable RV segment modestly increased primarily due to unit volume, partially offset by a shift in product mix toward lower price-point models.</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1"/>
          <w:numId w:val="3"/>
        </w:numPr>
        <w:rPr>
          <w:rFonts w:ascii="Arial" w:cs="Arial" w:eastAsia="Arial" w:hAnsi="Arial"/>
          <w:sz w:val="16"/>
          <w:szCs w:val="16"/>
          <w:color w:val="auto"/>
        </w:rPr>
      </w:pPr>
      <w:r>
        <w:rPr>
          <w:rFonts w:ascii="Arial" w:cs="Arial" w:eastAsia="Arial" w:hAnsi="Arial"/>
          <w:sz w:val="16"/>
          <w:szCs w:val="16"/>
          <w:color w:val="auto"/>
        </w:rPr>
        <w:t>Adjusted EBITDA margin decreased primarily due to product mix, higher warranty experience compared to prior year, and higher input costs.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60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30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9"/>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 2025</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 2024</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10"/>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338.4</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(30.4)</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780" w:type="dxa"/>
            <w:vAlign w:val="bottom"/>
          </w:tcPr>
          <w:p>
            <w:pPr>
              <w:jc w:val="right"/>
              <w:ind w:right="11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(79.8)</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(540) bps</w:t>
            </w:r>
          </w:p>
        </w:tc>
      </w:tr>
    </w:tbl>
    <w:p>
      <w:pPr>
        <w:spacing w:after="0" w:line="75" w:lineRule="exact"/>
        <w:rPr>
          <w:sz w:val="20"/>
          <w:szCs w:val="20"/>
          <w:color w:val="auto"/>
        </w:rPr>
      </w:pPr>
    </w:p>
    <w:p>
      <w:pPr>
        <w:ind w:left="280" w:hanging="272"/>
        <w:spacing w:after="0"/>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60" w:right="60" w:hanging="328"/>
        <w:spacing w:after="0" w:line="36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for the Motorhome RV segment were down from the prior year, due to lower unit volume related to current market conditions, partially offset by favorable product mix.</w:t>
      </w:r>
    </w:p>
    <w:p>
      <w:pPr>
        <w:spacing w:after="0" w:line="1" w:lineRule="exact"/>
        <w:rPr>
          <w:rFonts w:ascii="Arial" w:cs="Arial" w:eastAsia="Arial" w:hAnsi="Arial"/>
          <w:sz w:val="16"/>
          <w:szCs w:val="16"/>
          <w:color w:val="auto"/>
        </w:rPr>
      </w:pPr>
    </w:p>
    <w:p>
      <w:pPr>
        <w:ind w:left="660" w:right="140" w:hanging="328"/>
        <w:spacing w:after="0" w:line="409" w:lineRule="auto"/>
        <w:tabs>
          <w:tab w:leader="none" w:pos="649" w:val="left"/>
        </w:tabs>
        <w:numPr>
          <w:ilvl w:val="1"/>
          <w:numId w:val="4"/>
        </w:numPr>
        <w:rPr>
          <w:rFonts w:ascii="Arial" w:cs="Arial" w:eastAsia="Arial" w:hAnsi="Arial"/>
          <w:sz w:val="16"/>
          <w:szCs w:val="16"/>
          <w:color w:val="auto"/>
        </w:rPr>
      </w:pPr>
      <w:r>
        <w:rPr>
          <w:rFonts w:ascii="Arial" w:cs="Arial" w:eastAsia="Arial" w:hAnsi="Arial"/>
          <w:sz w:val="16"/>
          <w:szCs w:val="16"/>
          <w:color w:val="auto"/>
        </w:rPr>
        <w:t>Adjusted EBITDA margin decreased compared to the prior year, primarily due to volume deleverage, partially offset by operational efficiencies and favorable warranty experience compared to prior year.</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sz w:val="20"/>
                <w:szCs w:val="20"/>
                <w:color w:val="auto"/>
              </w:rPr>
            </w:pPr>
            <w:r>
              <w:rPr>
                <w:rFonts w:ascii="Arial" w:cs="Arial" w:eastAsia="Arial" w:hAnsi="Arial"/>
                <w:sz w:val="16"/>
                <w:szCs w:val="16"/>
                <w:color w:val="auto"/>
              </w:rPr>
              <w:t>Marine</w:t>
            </w:r>
          </w:p>
        </w:tc>
        <w:tc>
          <w:tcPr>
            <w:tcW w:w="3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91"/>
        </w:trPr>
        <w:tc>
          <w:tcPr>
            <w:tcW w:w="50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19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300" w:type="dxa"/>
            <w:vAlign w:val="bottom"/>
          </w:tcPr>
          <w:p>
            <w:pPr>
              <w:spacing w:after="0"/>
              <w:rPr>
                <w:sz w:val="18"/>
                <w:szCs w:val="18"/>
                <w:color w:val="auto"/>
              </w:rPr>
            </w:pPr>
          </w:p>
        </w:tc>
        <w:tc>
          <w:tcPr>
            <w:tcW w:w="1880" w:type="dxa"/>
            <w:vAlign w:val="bottom"/>
            <w:gridSpan w:val="2"/>
          </w:tcPr>
          <w:p>
            <w:pPr>
              <w:ind w:left="200"/>
              <w:spacing w:after="0"/>
              <w:rPr>
                <w:sz w:val="20"/>
                <w:szCs w:val="20"/>
                <w:color w:val="auto"/>
              </w:rPr>
            </w:pPr>
            <w:r>
              <w:rPr>
                <w:rFonts w:ascii="Arial" w:cs="Arial" w:eastAsia="Arial" w:hAnsi="Arial"/>
                <w:sz w:val="16"/>
                <w:szCs w:val="16"/>
                <w:b w:val="1"/>
                <w:bCs w:val="1"/>
                <w:color w:val="auto"/>
              </w:rPr>
              <w:t>March 1, 2025</w:t>
            </w:r>
          </w:p>
        </w:tc>
        <w:tc>
          <w:tcPr>
            <w:tcW w:w="22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24, 2024</w:t>
            </w:r>
          </w:p>
        </w:tc>
        <w:tc>
          <w:tcPr>
            <w:tcW w:w="1920" w:type="dxa"/>
            <w:vAlign w:val="bottom"/>
          </w:tcPr>
          <w:p>
            <w:pPr>
              <w:jc w:val="right"/>
              <w:ind w:right="35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340" w:type="dxa"/>
            <w:vAlign w:val="bottom"/>
          </w:tcPr>
          <w:p>
            <w:pPr>
              <w:spacing w:after="0"/>
              <w:rPr>
                <w:sz w:val="18"/>
                <w:szCs w:val="18"/>
                <w:color w:val="auto"/>
              </w:rPr>
            </w:pPr>
          </w:p>
        </w:tc>
      </w:tr>
      <w:tr>
        <w:trPr>
          <w:trHeight w:val="209"/>
        </w:trPr>
        <w:tc>
          <w:tcPr>
            <w:tcW w:w="4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3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81.7</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69.8</w:t>
            </w:r>
          </w:p>
        </w:tc>
        <w:tc>
          <w:tcPr>
            <w:tcW w:w="12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Adjusted EBITDA</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760" w:type="dxa"/>
            <w:vAlign w:val="bottom"/>
          </w:tcPr>
          <w:p>
            <w:pPr>
              <w:jc w:val="right"/>
              <w:ind w:right="119"/>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4.4</w:t>
            </w:r>
          </w:p>
        </w:tc>
        <w:tc>
          <w:tcPr>
            <w:tcW w:w="12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Arial" w:cs="Arial" w:eastAsia="Arial" w:hAnsi="Arial"/>
                <w:sz w:val="16"/>
                <w:szCs w:val="16"/>
                <w:color w:val="auto"/>
              </w:rPr>
              <w:t>75.7</w:t>
            </w: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Adjusted EBITDA Margin</w:t>
            </w:r>
          </w:p>
        </w:tc>
        <w:tc>
          <w:tcPr>
            <w:tcW w:w="3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9.4 %</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6.3 %</w:t>
            </w:r>
          </w:p>
        </w:tc>
        <w:tc>
          <w:tcPr>
            <w:tcW w:w="1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bps</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304" w:lineRule="exact"/>
        <w:rPr>
          <w:rFonts w:ascii="Arial" w:cs="Arial" w:eastAsia="Arial" w:hAnsi="Arial"/>
          <w:sz w:val="21"/>
          <w:szCs w:val="21"/>
          <w:color w:val="auto"/>
          <w:vertAlign w:val="superscript"/>
        </w:rPr>
      </w:pPr>
    </w:p>
    <w:p>
      <w:pPr>
        <w:ind w:left="660" w:right="20" w:hanging="328"/>
        <w:spacing w:after="0" w:line="361"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for the Marine segment were up from the prior year, primarily due to unit volume, partially offset by a reduction in average selling price per unit related to product mix.</w:t>
      </w:r>
    </w:p>
    <w:p>
      <w:pPr>
        <w:ind w:left="660" w:right="320" w:hanging="328"/>
        <w:spacing w:after="0" w:line="409" w:lineRule="auto"/>
        <w:tabs>
          <w:tab w:leader="none" w:pos="649" w:val="left"/>
        </w:tabs>
        <w:numPr>
          <w:ilvl w:val="1"/>
          <w:numId w:val="5"/>
        </w:numPr>
        <w:rPr>
          <w:rFonts w:ascii="Arial" w:cs="Arial" w:eastAsia="Arial" w:hAnsi="Arial"/>
          <w:sz w:val="16"/>
          <w:szCs w:val="16"/>
          <w:color w:val="auto"/>
        </w:rPr>
      </w:pPr>
      <w:r>
        <w:rPr>
          <w:rFonts w:ascii="Arial" w:cs="Arial" w:eastAsia="Arial" w:hAnsi="Arial"/>
          <w:sz w:val="16"/>
          <w:szCs w:val="16"/>
          <w:color w:val="auto"/>
        </w:rPr>
        <w:t>Adjusted EBITDA increased compared to the prior year, primarily due to targeted price increases, leverage and operational efficiencies, partially offset by product mix and higher operating expenses, including incentive-based compensation.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100"/>
        <w:spacing w:after="0" w:line="389" w:lineRule="auto"/>
        <w:rPr>
          <w:sz w:val="20"/>
          <w:szCs w:val="20"/>
          <w:color w:val="auto"/>
        </w:rPr>
      </w:pPr>
      <w:r>
        <w:rPr>
          <w:rFonts w:ascii="Arial" w:cs="Arial" w:eastAsia="Arial" w:hAnsi="Arial"/>
          <w:sz w:val="16"/>
          <w:szCs w:val="16"/>
          <w:color w:val="auto"/>
        </w:rPr>
        <w:t>As of March 1, 2025, the Company had total outstanding debt of $598.7 million ($609.3 million of debt, net of debt issuance costs of $10.6 million) and working capital of $438.4 million. Cash flow used in operations was $27.2 million in the fiscal 2025 second quarter. During the second quarter of fiscal 2025, the Company successfully completed its previously announced cash tender offer to purchase $100 million of its 6.250% Senior Secured Notes due 2028.</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100" w:lineRule="exact"/>
        <w:rPr>
          <w:sz w:val="20"/>
          <w:szCs w:val="20"/>
          <w:color w:val="auto"/>
        </w:rPr>
      </w:pPr>
    </w:p>
    <w:p>
      <w:pPr>
        <w:ind w:right="80"/>
        <w:spacing w:after="0" w:line="329" w:lineRule="auto"/>
        <w:rPr>
          <w:sz w:val="20"/>
          <w:szCs w:val="20"/>
          <w:color w:val="auto"/>
        </w:rPr>
      </w:pPr>
      <w:r>
        <w:rPr>
          <w:rFonts w:ascii="Arial" w:cs="Arial" w:eastAsia="Arial" w:hAnsi="Arial"/>
          <w:sz w:val="16"/>
          <w:szCs w:val="16"/>
          <w:color w:val="auto"/>
        </w:rPr>
        <w:t>Based on its second quarter 2025 results, and its outlook for the balance of the year, the Company is updating its fiscal 2025 outlook for sales of $2.8 billion to $3.0 billion, and for reported earnings per diluted share of $2.10 to $3.10 and adjusted earnings per share of $2.75 to $3.75</w:t>
      </w:r>
      <w:r>
        <w:rPr>
          <w:rFonts w:ascii="Arial" w:cs="Arial" w:eastAsia="Arial" w:hAnsi="Arial"/>
          <w:sz w:val="23"/>
          <w:szCs w:val="23"/>
          <w:color w:val="auto"/>
          <w:vertAlign w:val="superscript"/>
        </w:rPr>
        <w:t>(4)</w:t>
      </w:r>
      <w:r>
        <w:rPr>
          <w:rFonts w:ascii="Arial" w:cs="Arial" w:eastAsia="Arial" w:hAnsi="Arial"/>
          <w:sz w:val="16"/>
          <w:szCs w:val="16"/>
          <w:color w:val="auto"/>
        </w:rPr>
        <w:t>. The Company’s outlook takes into account prevailing trends in the RV and marine sectors, including competitive dynamics, shifts in consumer preferences, dealer ordering patterns, and key macroeconomic factors, including changes to trade practices and other policies, that may influence overall demand.</w:t>
      </w:r>
    </w:p>
    <w:p>
      <w:pPr>
        <w:spacing w:after="0" w:line="244" w:lineRule="exact"/>
        <w:rPr>
          <w:sz w:val="20"/>
          <w:szCs w:val="20"/>
          <w:color w:val="auto"/>
        </w:rPr>
      </w:pPr>
    </w:p>
    <w:p>
      <w:pPr>
        <w:ind w:right="20"/>
        <w:spacing w:after="0" w:line="383" w:lineRule="auto"/>
        <w:rPr>
          <w:sz w:val="20"/>
          <w:szCs w:val="20"/>
          <w:color w:val="auto"/>
        </w:rPr>
      </w:pPr>
      <w:r>
        <w:rPr>
          <w:rFonts w:ascii="Arial" w:cs="Arial" w:eastAsia="Arial" w:hAnsi="Arial"/>
          <w:sz w:val="16"/>
          <w:szCs w:val="16"/>
          <w:color w:val="auto"/>
        </w:rPr>
        <w:t>“Our full-year financial outlook for fiscal 2025 is updated to take into consideration the very dynamic environment and the macro economic and sector challenges that our industry has been presented. Among these are stubborn interest rates, inconsistent consumer sentiment, and dealers that continue to push inventory levels lower, particularly in the Motorhome RV and Marine segments”, Happe said. “As we have in the past, we will continue to take a prudent approach to pacing our production and output</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1171" w:right="339" w:bottom="1440" w:gutter="0" w:footer="0" w:header="0"/>
        </w:sectPr>
      </w:pPr>
    </w:p>
    <w:bookmarkStart w:id="6" w:name="page7"/>
    <w:bookmarkEnd w:id="6"/>
    <w:p>
      <w:pPr>
        <w:ind w:right="120"/>
        <w:spacing w:after="0" w:line="379" w:lineRule="auto"/>
        <w:rPr>
          <w:sz w:val="20"/>
          <w:szCs w:val="20"/>
          <w:color w:val="auto"/>
        </w:rPr>
      </w:pPr>
      <w:r>
        <w:rPr>
          <w:rFonts w:ascii="Arial" w:cs="Arial" w:eastAsia="Arial" w:hAnsi="Arial"/>
          <w:sz w:val="16"/>
          <w:szCs w:val="16"/>
          <w:color w:val="auto"/>
        </w:rPr>
        <w:t>with dealer demand. While these near-term challenges exist, we remain confident in the long-term demand landscape and the strong interest in the outdoor lifestyle that our consumers demonstrate. Our long-term ambitions and investment theses reflect confidence in the RV and marine markets' underlying resilience as a growing number of consumers embrace the benefits of outdoor recreation. Our strong balance sheet and robust cash flows afford us the flexibility to continue investing in product innovation to drive organic growth while maintaining our commitment to direct shareholder returns through dividends and share repurchases.”</w:t>
      </w:r>
    </w:p>
    <w:p>
      <w:pPr>
        <w:spacing w:after="0" w:line="194" w:lineRule="exact"/>
        <w:rPr>
          <w:sz w:val="20"/>
          <w:szCs w:val="20"/>
          <w:color w:val="auto"/>
        </w:rPr>
      </w:pPr>
    </w:p>
    <w:p>
      <w:pPr>
        <w:ind w:right="60"/>
        <w:spacing w:after="0" w:line="389" w:lineRule="auto"/>
        <w:rPr>
          <w:sz w:val="20"/>
          <w:szCs w:val="20"/>
          <w:color w:val="auto"/>
        </w:rPr>
      </w:pPr>
      <w:r>
        <w:rPr>
          <w:rFonts w:ascii="Arial" w:cs="Arial" w:eastAsia="Arial" w:hAnsi="Arial"/>
          <w:sz w:val="16"/>
          <w:szCs w:val="16"/>
          <w:color w:val="auto"/>
        </w:rPr>
        <w:t>Happe continued, "While the impact of tariffs remains an active conversation with our vendors, including collaborative discussions on how best to mitigate their impact, we have included our current estimate of the net impact of tariffs in the range provided for our fiscal year 2025 outlook. This net impact includes anticipated pricing actions that may be required to offset the estimated inflationary pressures on our input costs."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Q2 FY 2025 Conference Call</w:t>
      </w:r>
    </w:p>
    <w:p>
      <w:pPr>
        <w:spacing w:after="0" w:line="100" w:lineRule="exact"/>
        <w:rPr>
          <w:sz w:val="20"/>
          <w:szCs w:val="20"/>
          <w:color w:val="auto"/>
        </w:rPr>
      </w:pPr>
    </w:p>
    <w:p>
      <w:pPr>
        <w:ind w:right="240"/>
        <w:spacing w:after="0" w:line="383" w:lineRule="auto"/>
        <w:rPr>
          <w:sz w:val="20"/>
          <w:szCs w:val="20"/>
          <w:color w:val="auto"/>
        </w:rPr>
      </w:pPr>
      <w:r>
        <w:rPr>
          <w:rFonts w:ascii="Arial" w:cs="Arial" w:eastAsia="Arial" w:hAnsi="Arial"/>
          <w:sz w:val="16"/>
          <w:szCs w:val="16"/>
          <w:color w:val="auto"/>
        </w:rPr>
        <w:t>Winnebago Industries, Inc. will discuss second quarter fiscal 2025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spacing w:after="0" w:line="377" w:lineRule="auto"/>
        <w:rPr>
          <w:sz w:val="20"/>
          <w:szCs w:val="20"/>
          <w:color w:val="auto"/>
        </w:rPr>
      </w:pPr>
      <w:r>
        <w:rPr>
          <w:rFonts w:ascii="Arial" w:cs="Arial" w:eastAsia="Arial" w:hAnsi="Arial"/>
          <w:sz w:val="16"/>
          <w:szCs w:val="16"/>
          <w:color w:val="auto"/>
        </w:rPr>
        <w:t>Winnebago Industries, Inc. is a leading North American manufacturer of outdoor lifestyle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ind w:right="20"/>
        <w:spacing w:after="0" w:line="372"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2025. Investors are cautioned that forward-looking statements are inherently uncertain.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("ESG") matters, and our ability to meet our commitments; impairment of goodwill and trade names; risks related to our 2025 Convertible Notes, 2030 Convertible Notes, and</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935" w:right="339" w:bottom="1440" w:gutter="0" w:footer="0" w:header="0"/>
        </w:sectPr>
      </w:pPr>
    </w:p>
    <w:bookmarkStart w:id="7" w:name="page8"/>
    <w:bookmarkEnd w:id="7"/>
    <w:p>
      <w:pPr>
        <w:spacing w:after="0" w:line="374" w:lineRule="auto"/>
        <w:rPr>
          <w:sz w:val="20"/>
          <w:szCs w:val="20"/>
          <w:color w:val="auto"/>
        </w:rPr>
      </w:pPr>
      <w:r>
        <w:rPr>
          <w:rFonts w:ascii="Arial" w:cs="Arial" w:eastAsia="Arial" w:hAnsi="Arial"/>
          <w:sz w:val="16"/>
          <w:szCs w:val="16"/>
          <w:color w:val="auto"/>
        </w:rPr>
        <w:t>Senior Secured Notes, including our ability to satisfy our obligations under these notes; and changes in recommendations or a withdrawal of coverage by third party security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Investors: Ray Posadas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220"/>
          </w:cols>
          <w:pgMar w:left="320" w:top="935" w:right="359" w:bottom="1440" w:gutter="0" w:footer="0" w:header="0"/>
        </w:sectPr>
      </w:pPr>
    </w:p>
    <w:bookmarkStart w:id="8" w:name="page9"/>
    <w:bookmarkEnd w:id="8"/>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Footnotes to News Release</w:t>
      </w:r>
    </w:p>
    <w:p>
      <w:pPr>
        <w:spacing w:after="0" w:line="239"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43" w:lineRule="exact"/>
        <w:rPr>
          <w:sz w:val="20"/>
          <w:szCs w:val="20"/>
          <w:color w:val="auto"/>
        </w:rPr>
      </w:pPr>
    </w:p>
    <w:p>
      <w:pPr>
        <w:ind w:left="260" w:hanging="252"/>
        <w:spacing w:after="0" w:line="405" w:lineRule="auto"/>
        <w:tabs>
          <w:tab w:leader="none" w:pos="261" w:val="left"/>
        </w:tabs>
        <w:numPr>
          <w:ilvl w:val="0"/>
          <w:numId w:val="6"/>
        </w:numPr>
        <w:rPr>
          <w:rFonts w:ascii="Arial" w:cs="Arial" w:eastAsia="Arial" w:hAnsi="Arial"/>
          <w:sz w:val="9"/>
          <w:szCs w:val="9"/>
          <w:color w:val="auto"/>
        </w:rPr>
      </w:pPr>
      <w:r>
        <w:rPr>
          <w:rFonts w:ascii="Arial" w:cs="Arial" w:eastAsia="Arial" w:hAnsi="Arial"/>
          <w:sz w:val="16"/>
          <w:szCs w:val="16"/>
          <w:color w:val="auto"/>
        </w:rPr>
        <w:t>Data reported by Statistical Surveys, Inc., representing trailing twelve-month U.S. aluminum pontoon market share through February 2025. This data is continuously updated and often impacted by delays in reporting by various states.</w:t>
      </w:r>
    </w:p>
    <w:p>
      <w:pPr>
        <w:ind w:left="260" w:right="40" w:hanging="252"/>
        <w:spacing w:after="0" w:line="334" w:lineRule="auto"/>
        <w:tabs>
          <w:tab w:leader="none" w:pos="26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Data reported by Statistical Surveys, Inc., representing trailing twelve-month U.S. motorhome Class A diesel market share through January 2025. This data is continuously updated and often impacted by delays in reporting by various states.</w:t>
      </w:r>
    </w:p>
    <w:p>
      <w:pPr>
        <w:spacing w:after="0" w:line="28" w:lineRule="exact"/>
        <w:rPr>
          <w:rFonts w:ascii="Arial" w:cs="Arial" w:eastAsia="Arial" w:hAnsi="Arial"/>
          <w:sz w:val="21"/>
          <w:szCs w:val="21"/>
          <w:color w:val="auto"/>
          <w:vertAlign w:val="superscript"/>
        </w:rPr>
      </w:pPr>
    </w:p>
    <w:p>
      <w:pPr>
        <w:ind w:left="260" w:right="200" w:hanging="252"/>
        <w:spacing w:after="0" w:line="337" w:lineRule="auto"/>
        <w:tabs>
          <w:tab w:leader="none" w:pos="263"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spacing w:after="0" w:line="21" w:lineRule="exact"/>
        <w:rPr>
          <w:rFonts w:ascii="Arial" w:cs="Arial" w:eastAsia="Arial" w:hAnsi="Arial"/>
          <w:sz w:val="21"/>
          <w:szCs w:val="21"/>
          <w:color w:val="auto"/>
          <w:vertAlign w:val="superscript"/>
        </w:rPr>
      </w:pPr>
    </w:p>
    <w:p>
      <w:pPr>
        <w:ind w:left="260" w:hanging="252"/>
        <w:spacing w:after="0"/>
        <w:tabs>
          <w:tab w:leader="none" w:pos="260" w:val="left"/>
        </w:tabs>
        <w:numPr>
          <w:ilvl w:val="0"/>
          <w:numId w:val="6"/>
        </w:numPr>
        <w:rPr>
          <w:rFonts w:ascii="Arial" w:cs="Arial" w:eastAsia="Arial" w:hAnsi="Arial"/>
          <w:sz w:val="21"/>
          <w:szCs w:val="21"/>
          <w:color w:val="auto"/>
          <w:vertAlign w:val="superscript"/>
        </w:rPr>
      </w:pPr>
      <w:r>
        <w:rPr>
          <w:rFonts w:ascii="Arial" w:cs="Arial" w:eastAsia="Arial" w:hAnsi="Arial"/>
          <w:sz w:val="16"/>
          <w:szCs w:val="16"/>
          <w:color w:val="auto"/>
        </w:rPr>
        <w:t>Fiscal 2025 adjusted EPS guidance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040"/>
          </w:cols>
          <w:pgMar w:left="320" w:top="890" w:right="539" w:bottom="1440" w:gutter="0" w:footer="0" w:header="0"/>
        </w:sectPr>
      </w:pPr>
    </w:p>
    <w:bookmarkStart w:id="9" w:name="page10"/>
    <w:bookmarkEnd w:id="9"/>
    <w:p>
      <w:pPr>
        <w:jc w:val="center"/>
        <w:ind w:right="-59"/>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12"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5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March 1, 2025</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February 24, 2024</w:t>
            </w: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598.3</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85.0 %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15.0 %</w:t>
            </w:r>
          </w:p>
        </w:tc>
      </w:tr>
      <w:tr>
        <w:trPr>
          <w:trHeight w:val="209"/>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69.7</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9.1 %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0.8 %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 loss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before income taxes</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500" w:type="dxa"/>
            <w:vAlign w:val="bottom"/>
          </w:tcPr>
          <w:p>
            <w:pPr>
              <w:spacing w:after="0"/>
              <w:rPr>
                <w:sz w:val="18"/>
                <w:szCs w:val="18"/>
                <w:color w:val="auto"/>
              </w:rPr>
            </w:pPr>
          </w:p>
        </w:tc>
        <w:tc>
          <w:tcPr>
            <w:tcW w:w="1820" w:type="dxa"/>
            <w:vAlign w:val="bottom"/>
            <w:gridSpan w:val="3"/>
          </w:tcPr>
          <w:p>
            <w:pPr>
              <w:jc w:val="right"/>
              <w:ind w:right="88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7.1</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35"/>
        </w:trPr>
        <w:tc>
          <w:tcPr>
            <w:tcW w:w="45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500" w:type="dxa"/>
            <w:vAlign w:val="bottom"/>
            <w:tcBorders>
              <w:top w:val="single" w:sz="8" w:color="auto"/>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4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29.2</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379"/>
        </w:trPr>
        <w:tc>
          <w:tcPr>
            <w:tcW w:w="45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10"/>
        </w:trPr>
        <w:tc>
          <w:tcPr>
            <w:tcW w:w="45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5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March 1, 2025</w:t>
            </w: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ind w:left="100"/>
              <w:spacing w:after="0"/>
              <w:rPr>
                <w:sz w:val="20"/>
                <w:szCs w:val="20"/>
                <w:color w:val="auto"/>
              </w:rPr>
            </w:pPr>
            <w:r>
              <w:rPr>
                <w:rFonts w:ascii="Arial" w:cs="Arial" w:eastAsia="Arial" w:hAnsi="Arial"/>
                <w:sz w:val="16"/>
                <w:szCs w:val="16"/>
                <w:b w:val="1"/>
                <w:bCs w:val="1"/>
                <w:color w:val="auto"/>
              </w:rPr>
              <w:t>February 24, 2024</w:t>
            </w:r>
          </w:p>
        </w:tc>
        <w:tc>
          <w:tcPr>
            <w:tcW w:w="780" w:type="dxa"/>
            <w:vAlign w:val="bottom"/>
            <w:tcBorders>
              <w:bottom w:val="single" w:sz="8" w:color="auto"/>
            </w:tcBorders>
          </w:tcPr>
          <w:p>
            <w:pPr>
              <w:spacing w:after="0"/>
              <w:rPr>
                <w:sz w:val="18"/>
                <w:szCs w:val="18"/>
                <w:color w:val="auto"/>
              </w:rPr>
            </w:pPr>
          </w:p>
        </w:tc>
      </w:tr>
      <w:tr>
        <w:trPr>
          <w:trHeight w:val="209"/>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1,466.6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1,245.5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84.9 %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221.1</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141.8</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11.4 %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135.3</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r>
      <w:tr>
        <w:trPr>
          <w:trHeight w:val="209"/>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146.6</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10.0 %</w:t>
            </w:r>
          </w:p>
        </w:tc>
      </w:tr>
      <w:tr>
        <w:trPr>
          <w:trHeight w:val="210"/>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74.5</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0.6 %</w:t>
            </w:r>
          </w:p>
        </w:tc>
      </w:tr>
      <w:tr>
        <w:trPr>
          <w:trHeight w:val="217"/>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32.7</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2.2 %</w:t>
            </w: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Non-operating (income) loss</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0.2 %</w:t>
            </w:r>
          </w:p>
        </w:tc>
      </w:tr>
      <w:tr>
        <w:trPr>
          <w:trHeight w:val="210"/>
        </w:trPr>
        <w:tc>
          <w:tcPr>
            <w:tcW w:w="4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(Loss) income before income taxes</w:t>
            </w: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2.0 %</w:t>
            </w:r>
          </w:p>
        </w:tc>
      </w:tr>
      <w:tr>
        <w:trPr>
          <w:trHeight w:val="215"/>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(benefit) provision</w:t>
            </w: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1.1 %</w:t>
            </w:r>
          </w:p>
        </w:tc>
      </w:tr>
      <w:tr>
        <w:trPr>
          <w:trHeight w:val="235"/>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50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earnings per common share:</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0.45</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7"/>
        </w:trPr>
        <w:tc>
          <w:tcPr>
            <w:tcW w:w="45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5"/>
        </w:trPr>
        <w:tc>
          <w:tcPr>
            <w:tcW w:w="4580" w:type="dxa"/>
            <w:vAlign w:val="bottom"/>
          </w:tcPr>
          <w:p>
            <w:pPr>
              <w:ind w:left="180"/>
              <w:spacing w:after="0"/>
              <w:rPr>
                <w:sz w:val="20"/>
                <w:szCs w:val="20"/>
                <w:color w:val="auto"/>
              </w:rPr>
            </w:pPr>
            <w:r>
              <w:rPr>
                <w:rFonts w:ascii="Arial" w:cs="Arial" w:eastAsia="Arial" w:hAnsi="Arial"/>
                <w:sz w:val="16"/>
                <w:szCs w:val="16"/>
                <w:color w:val="auto"/>
              </w:rPr>
              <w:t>Diluted</w:t>
            </w: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29.7</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8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180"/>
          </w:cols>
          <w:pgMar w:left="320" w:top="890" w:right="39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1, 2025</w:t>
            </w:r>
          </w:p>
        </w:tc>
        <w:tc>
          <w:tcPr>
            <w:tcW w:w="220" w:type="dxa"/>
            <w:vAlign w:val="bottom"/>
          </w:tcPr>
          <w:p>
            <w:pPr>
              <w:spacing w:after="0"/>
              <w:rPr>
                <w:sz w:val="18"/>
                <w:szCs w:val="18"/>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31, 2024</w:t>
            </w:r>
          </w:p>
        </w:tc>
      </w:tr>
      <w:tr>
        <w:trPr>
          <w:trHeight w:val="210"/>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330.9</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183.5</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438.7</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35.6</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812.2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988.7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337.2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338.9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467.9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479.0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29.6</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46.6</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2,194.0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3"/>
        </w:trPr>
        <w:tc>
          <w:tcPr>
            <w:tcW w:w="7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144.5</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144.7</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Current maturities of long-term debt, net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Accrued expenses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170.0</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200.9</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current liabilities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404.7</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debt,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539.4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637.1</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income tax liabilities, net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Unrecognized tax benefits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977.7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1,110.9</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1,216.3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1,273.3</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2,194.0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2,384.2</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240"/>
          </w:cols>
          <w:pgMar w:left="320" w:top="890" w:right="339" w:bottom="1440" w:gutter="0" w:footer="0" w:header="0"/>
        </w:sectPr>
      </w:pPr>
    </w:p>
    <w:bookmarkStart w:id="11" w:name="page12"/>
    <w:bookmarkEnd w:id="11"/>
    <w:p>
      <w:pPr>
        <w:jc w:val="center"/>
        <w:ind w:right="2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680" w:type="dxa"/>
            <w:vAlign w:val="bottom"/>
            <w:tcBorders>
              <w:bottom w:val="single" w:sz="8" w:color="auto"/>
            </w:tcBorders>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8"/>
                <w:szCs w:val="18"/>
                <w:color w:val="auto"/>
              </w:rPr>
            </w:pPr>
          </w:p>
        </w:tc>
        <w:tc>
          <w:tcPr>
            <w:tcW w:w="17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1, 2025</w:t>
            </w:r>
          </w:p>
        </w:tc>
        <w:tc>
          <w:tcPr>
            <w:tcW w:w="200" w:type="dxa"/>
            <w:vAlign w:val="bottom"/>
          </w:tcPr>
          <w:p>
            <w:pPr>
              <w:spacing w:after="0"/>
              <w:rPr>
                <w:sz w:val="18"/>
                <w:szCs w:val="18"/>
                <w:color w:val="auto"/>
              </w:rPr>
            </w:pPr>
          </w:p>
        </w:tc>
        <w:tc>
          <w:tcPr>
            <w:tcW w:w="172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24, 2024</w:t>
            </w:r>
          </w:p>
        </w:tc>
      </w:tr>
      <w:tr>
        <w:trPr>
          <w:trHeight w:val="210"/>
        </w:trPr>
        <w:tc>
          <w:tcPr>
            <w:tcW w:w="7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720" w:type="dxa"/>
            <w:vAlign w:val="bottom"/>
            <w:tcBorders>
              <w:top w:val="single" w:sz="8" w:color="auto"/>
            </w:tcBorders>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Net (loss) income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13.1</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Adjustments to reconcile net (loss) income to net cash used in operating activities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Amortization of debt issuance costs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Last in, first-out expense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Stock-based compensation</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Deferred income taxes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Loss on note repurchase</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Contingent consideration fair value adjustment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Change in operating assets and liabilities, net of assets and liabilities acquired</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Receivables, net</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(55.9)</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Inventories, net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Prepaid expenses and other assets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15"/>
        </w:trPr>
        <w:tc>
          <w:tcPr>
            <w:tcW w:w="7240" w:type="dxa"/>
            <w:vAlign w:val="bottom"/>
          </w:tcPr>
          <w:p>
            <w:pPr>
              <w:ind w:left="240"/>
              <w:spacing w:after="0"/>
              <w:rPr>
                <w:sz w:val="20"/>
                <w:szCs w:val="20"/>
                <w:color w:val="auto"/>
              </w:rPr>
            </w:pPr>
            <w:r>
              <w:rPr>
                <w:rFonts w:ascii="Arial" w:cs="Arial" w:eastAsia="Arial" w:hAnsi="Arial"/>
                <w:sz w:val="16"/>
                <w:szCs w:val="16"/>
                <w:color w:val="auto"/>
              </w:rPr>
              <w:t>Income taxes and unrecognized tax benefits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17"/>
        </w:trPr>
        <w:tc>
          <w:tcPr>
            <w:tcW w:w="72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Accrued expenses and other liabilities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w:t>
            </w:r>
          </w:p>
        </w:tc>
      </w:tr>
      <w:tr>
        <w:trPr>
          <w:trHeight w:val="209"/>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provided by operating activities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3.8</w:t>
            </w:r>
          </w:p>
        </w:tc>
      </w:tr>
      <w:tr>
        <w:trPr>
          <w:trHeight w:val="183"/>
        </w:trPr>
        <w:tc>
          <w:tcPr>
            <w:tcW w:w="7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16"/>
        </w:trPr>
        <w:tc>
          <w:tcPr>
            <w:tcW w:w="724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Purchases of property, plant, and equipment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w:t>
            </w:r>
          </w:p>
        </w:tc>
      </w:tr>
      <w:tr>
        <w:trPr>
          <w:trHeight w:val="215"/>
        </w:trPr>
        <w:tc>
          <w:tcPr>
            <w:tcW w:w="7240" w:type="dxa"/>
            <w:vAlign w:val="bottom"/>
            <w:tcBorders>
              <w:bottom w:val="single" w:sz="8" w:color="CCEEFF"/>
            </w:tcBorders>
          </w:tcPr>
          <w:p>
            <w:pPr>
              <w:ind w:left="1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w:t>
            </w:r>
          </w:p>
        </w:tc>
      </w:tr>
      <w:tr>
        <w:trPr>
          <w:trHeight w:val="210"/>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used in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(15.2)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(25.5)</w:t>
            </w:r>
          </w:p>
        </w:tc>
      </w:tr>
      <w:tr>
        <w:trPr>
          <w:trHeight w:val="183"/>
        </w:trPr>
        <w:tc>
          <w:tcPr>
            <w:tcW w:w="7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20" w:type="dxa"/>
            <w:vAlign w:val="bottom"/>
          </w:tcPr>
          <w:p>
            <w:pPr>
              <w:spacing w:after="0"/>
              <w:rPr>
                <w:sz w:val="15"/>
                <w:szCs w:val="15"/>
                <w:color w:val="auto"/>
              </w:rPr>
            </w:pP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Financing activities</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Borrowings on long-term debt</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1,805.7</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Repayments on long-term debt</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(1,749.5)</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for convertible note bond hedge</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(68.7)</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Proceeds from issuance of convertible note warrant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Proceeds from partial unwind of convertible note bond hedge</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55.8</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partial unwind of convertible note warrant</w:t>
            </w:r>
          </w:p>
        </w:tc>
        <w:tc>
          <w:tcPr>
            <w:tcW w:w="2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of cash dividends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Payments for repurchases of common stock</w:t>
            </w:r>
          </w:p>
        </w:tc>
        <w:tc>
          <w:tcPr>
            <w:tcW w:w="2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w:t>
            </w:r>
          </w:p>
        </w:tc>
      </w:tr>
      <w:tr>
        <w:trPr>
          <w:trHeight w:val="215"/>
        </w:trPr>
        <w:tc>
          <w:tcPr>
            <w:tcW w:w="7240" w:type="dxa"/>
            <w:vAlign w:val="bottom"/>
          </w:tcPr>
          <w:p>
            <w:pPr>
              <w:ind w:left="120"/>
              <w:spacing w:after="0"/>
              <w:rPr>
                <w:sz w:val="20"/>
                <w:szCs w:val="20"/>
                <w:color w:val="auto"/>
              </w:rPr>
            </w:pPr>
            <w:r>
              <w:rPr>
                <w:rFonts w:ascii="Arial" w:cs="Arial" w:eastAsia="Arial" w:hAnsi="Arial"/>
                <w:sz w:val="16"/>
                <w:szCs w:val="16"/>
                <w:color w:val="auto"/>
              </w:rPr>
              <w:t>Payments of debt issuance costs</w:t>
            </w:r>
          </w:p>
        </w:tc>
        <w:tc>
          <w:tcPr>
            <w:tcW w:w="260" w:type="dxa"/>
            <w:vAlign w:val="bottom"/>
          </w:tcPr>
          <w:p>
            <w:pPr>
              <w:spacing w:after="0"/>
              <w:rPr>
                <w:sz w:val="18"/>
                <w:szCs w:val="18"/>
                <w:color w:val="auto"/>
              </w:rPr>
            </w:pPr>
          </w:p>
        </w:tc>
        <w:tc>
          <w:tcPr>
            <w:tcW w:w="17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(9.7)</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Other, net</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w:t>
            </w:r>
          </w:p>
        </w:tc>
      </w:tr>
      <w:tr>
        <w:trPr>
          <w:trHeight w:val="210"/>
        </w:trPr>
        <w:tc>
          <w:tcPr>
            <w:tcW w:w="7240" w:type="dxa"/>
            <w:vAlign w:val="bottom"/>
            <w:tcBorders>
              <w:bottom w:val="single" w:sz="8" w:color="CCEEFF"/>
            </w:tcBorders>
          </w:tcPr>
          <w:p>
            <w:pPr>
              <w:spacing w:after="0"/>
              <w:rPr>
                <w:sz w:val="20"/>
                <w:szCs w:val="20"/>
                <w:color w:val="auto"/>
              </w:rPr>
            </w:pPr>
            <w:r>
              <w:rPr>
                <w:rFonts w:ascii="Arial" w:cs="Arial" w:eastAsia="Arial" w:hAnsi="Arial"/>
                <w:sz w:val="16"/>
                <w:szCs w:val="16"/>
                <w:b w:val="1"/>
                <w:bCs w:val="1"/>
                <w:color w:val="auto"/>
              </w:rPr>
              <w:t>Net cash used in financing activities</w:t>
            </w: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(173.0)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(22.5)</w:t>
            </w:r>
          </w:p>
        </w:tc>
      </w:tr>
      <w:tr>
        <w:trPr>
          <w:trHeight w:val="183"/>
        </w:trPr>
        <w:tc>
          <w:tcPr>
            <w:tcW w:w="7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20" w:type="dxa"/>
            <w:vAlign w:val="bottom"/>
            <w:shd w:val="clear" w:color="auto" w:fill="CCEEFF"/>
          </w:tcPr>
          <w:p>
            <w:pPr>
              <w:spacing w:after="0"/>
              <w:rPr>
                <w:sz w:val="15"/>
                <w:szCs w:val="15"/>
                <w:color w:val="auto"/>
              </w:rPr>
            </w:pPr>
          </w:p>
        </w:tc>
      </w:tr>
      <w:tr>
        <w:trPr>
          <w:trHeight w:val="215"/>
        </w:trPr>
        <w:tc>
          <w:tcPr>
            <w:tcW w:w="7240" w:type="dxa"/>
            <w:vAlign w:val="bottom"/>
          </w:tcPr>
          <w:p>
            <w:pPr>
              <w:spacing w:after="0"/>
              <w:rPr>
                <w:sz w:val="20"/>
                <w:szCs w:val="20"/>
                <w:color w:val="auto"/>
              </w:rPr>
            </w:pPr>
            <w:r>
              <w:rPr>
                <w:rFonts w:ascii="Arial" w:cs="Arial" w:eastAsia="Arial" w:hAnsi="Arial"/>
                <w:sz w:val="16"/>
                <w:szCs w:val="16"/>
                <w:color w:val="auto"/>
              </w:rPr>
              <w:t>Net decrease in cash and cash equivalents</w:t>
            </w:r>
          </w:p>
        </w:tc>
        <w:tc>
          <w:tcPr>
            <w:tcW w:w="2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(215.4)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(44.2)</w:t>
            </w:r>
          </w:p>
        </w:tc>
      </w:tr>
      <w:tr>
        <w:trPr>
          <w:trHeight w:val="216"/>
        </w:trPr>
        <w:tc>
          <w:tcPr>
            <w:tcW w:w="724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309.9</w:t>
            </w:r>
          </w:p>
        </w:tc>
      </w:tr>
      <w:tr>
        <w:trPr>
          <w:trHeight w:val="210"/>
        </w:trPr>
        <w:tc>
          <w:tcPr>
            <w:tcW w:w="7240" w:type="dxa"/>
            <w:vAlign w:val="bottom"/>
          </w:tcPr>
          <w:p>
            <w:pPr>
              <w:spacing w:after="0"/>
              <w:rPr>
                <w:sz w:val="20"/>
                <w:szCs w:val="20"/>
                <w:color w:val="auto"/>
              </w:rPr>
            </w:pPr>
            <w:r>
              <w:rPr>
                <w:rFonts w:ascii="Arial" w:cs="Arial" w:eastAsia="Arial" w:hAnsi="Arial"/>
                <w:sz w:val="16"/>
                <w:szCs w:val="16"/>
                <w:color w:val="auto"/>
              </w:rPr>
              <w:t>Cash and cash equivalents at end of period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115.5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265.7</w:t>
            </w:r>
          </w:p>
        </w:tc>
      </w:tr>
      <w:tr>
        <w:trPr>
          <w:trHeight w:val="21"/>
        </w:trPr>
        <w:tc>
          <w:tcPr>
            <w:tcW w:w="7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180"/>
          </w:cols>
          <w:pgMar w:left="360" w:top="850" w:right="35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4820" w:type="dxa"/>
            <w:vAlign w:val="bottom"/>
          </w:tcPr>
          <w:p>
            <w:pPr>
              <w:ind w:left="120"/>
              <w:spacing w:after="0"/>
              <w:rPr>
                <w:sz w:val="20"/>
                <w:szCs w:val="20"/>
                <w:color w:val="auto"/>
              </w:rPr>
            </w:pPr>
            <w:r>
              <w:rPr>
                <w:rFonts w:ascii="Arial" w:cs="Arial" w:eastAsia="Arial" w:hAnsi="Arial"/>
                <w:sz w:val="16"/>
                <w:szCs w:val="16"/>
                <w:color w:val="auto"/>
              </w:rPr>
              <w:t>Income taxes paid, net</w:t>
            </w:r>
          </w:p>
        </w:tc>
        <w:tc>
          <w:tcPr>
            <w:tcW w:w="32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10.8</w:t>
            </w:r>
          </w:p>
        </w:tc>
      </w:tr>
      <w:tr>
        <w:trPr>
          <w:trHeight w:val="217"/>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paid</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16.6</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03"/>
        </w:trPr>
        <w:tc>
          <w:tcPr>
            <w:tcW w:w="48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Non-cash investing and financing activities</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15"/>
        </w:trPr>
        <w:tc>
          <w:tcPr>
            <w:tcW w:w="4820" w:type="dxa"/>
            <w:vAlign w:val="bottom"/>
          </w:tcPr>
          <w:p>
            <w:pPr>
              <w:ind w:left="120"/>
              <w:spacing w:after="0"/>
              <w:rPr>
                <w:sz w:val="20"/>
                <w:szCs w:val="20"/>
                <w:color w:val="auto"/>
              </w:rPr>
            </w:pPr>
            <w:r>
              <w:rPr>
                <w:rFonts w:ascii="Arial" w:cs="Arial" w:eastAsia="Arial" w:hAnsi="Arial"/>
                <w:sz w:val="16"/>
                <w:szCs w:val="16"/>
                <w:color w:val="auto"/>
              </w:rPr>
              <w:t>Capital expenditures in accounts payable</w:t>
            </w:r>
          </w:p>
        </w:tc>
        <w:tc>
          <w:tcPr>
            <w:tcW w:w="3240" w:type="dxa"/>
            <w:vAlign w:val="bottom"/>
          </w:tcPr>
          <w:p>
            <w:pPr>
              <w:jc w:val="right"/>
              <w:ind w:right="6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900" w:type="dxa"/>
            <w:vAlign w:val="bottom"/>
          </w:tcPr>
          <w:p>
            <w:pPr>
              <w:jc w:val="right"/>
              <w:ind w:right="61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217"/>
        </w:trPr>
        <w:tc>
          <w:tcPr>
            <w:tcW w:w="48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Accrued debt issuance costs</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5"/>
        </w:trPr>
        <w:tc>
          <w:tcPr>
            <w:tcW w:w="4820" w:type="dxa"/>
            <w:vAlign w:val="bottom"/>
          </w:tcPr>
          <w:p>
            <w:pPr>
              <w:ind w:left="120"/>
              <w:spacing w:after="0"/>
              <w:rPr>
                <w:sz w:val="20"/>
                <w:szCs w:val="20"/>
                <w:color w:val="auto"/>
              </w:rPr>
            </w:pPr>
            <w:r>
              <w:rPr>
                <w:rFonts w:ascii="Arial" w:cs="Arial" w:eastAsia="Arial" w:hAnsi="Arial"/>
                <w:sz w:val="16"/>
                <w:szCs w:val="16"/>
                <w:color w:val="auto"/>
              </w:rPr>
              <w:t>Increase in lease assets in exchange for lease liabilities:</w:t>
            </w:r>
          </w:p>
        </w:tc>
        <w:tc>
          <w:tcPr>
            <w:tcW w:w="3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7"/>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leases</w:t>
            </w:r>
          </w:p>
        </w:tc>
        <w:tc>
          <w:tcPr>
            <w:tcW w:w="32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w:t>
            </w:r>
          </w:p>
        </w:tc>
        <w:tc>
          <w:tcPr>
            <w:tcW w:w="9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820" w:type="dxa"/>
            <w:vAlign w:val="bottom"/>
          </w:tcPr>
          <w:p>
            <w:pPr>
              <w:ind w:left="240"/>
              <w:spacing w:after="0"/>
              <w:rPr>
                <w:sz w:val="20"/>
                <w:szCs w:val="20"/>
                <w:color w:val="auto"/>
              </w:rPr>
            </w:pPr>
            <w:r>
              <w:rPr>
                <w:rFonts w:ascii="Arial" w:cs="Arial" w:eastAsia="Arial" w:hAnsi="Arial"/>
                <w:sz w:val="16"/>
                <w:szCs w:val="16"/>
                <w:color w:val="auto"/>
              </w:rPr>
              <w:t>Finance leases</w:t>
            </w:r>
          </w:p>
        </w:tc>
        <w:tc>
          <w:tcPr>
            <w:tcW w:w="3240" w:type="dxa"/>
            <w:vAlign w:val="bottom"/>
          </w:tcPr>
          <w:p>
            <w:pPr>
              <w:spacing w:after="0"/>
              <w:rPr>
                <w:sz w:val="18"/>
                <w:szCs w:val="18"/>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9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823"/>
        </w:trPr>
        <w:tc>
          <w:tcPr>
            <w:tcW w:w="4820" w:type="dxa"/>
            <w:vAlign w:val="bottom"/>
          </w:tcPr>
          <w:p>
            <w:pPr>
              <w:spacing w:after="0"/>
              <w:rPr>
                <w:sz w:val="24"/>
                <w:szCs w:val="24"/>
                <w:color w:val="auto"/>
              </w:rPr>
            </w:pPr>
          </w:p>
        </w:tc>
        <w:tc>
          <w:tcPr>
            <w:tcW w:w="3240" w:type="dxa"/>
            <w:vAlign w:val="bottom"/>
          </w:tcPr>
          <w:p>
            <w:pPr>
              <w:jc w:val="right"/>
              <w:ind w:right="2299"/>
              <w:spacing w:after="0"/>
              <w:rPr>
                <w:sz w:val="20"/>
                <w:szCs w:val="20"/>
                <w:color w:val="auto"/>
              </w:rPr>
            </w:pPr>
            <w:r>
              <w:rPr>
                <w:rFonts w:ascii="Arial" w:cs="Arial" w:eastAsia="Arial" w:hAnsi="Arial"/>
                <w:sz w:val="16"/>
                <w:szCs w:val="16"/>
                <w:color w:val="auto"/>
              </w:rPr>
              <w:t>10</w:t>
            </w: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80"/>
          </w:cols>
          <w:pgMar w:left="360" w:top="896" w:right="359" w:bottom="1440" w:gutter="0" w:footer="0" w:header="0"/>
        </w:sectPr>
      </w:pPr>
    </w:p>
    <w:bookmarkStart w:id="13" w:name="page14"/>
    <w:bookmarkEnd w:id="13"/>
    <w:p>
      <w:pPr>
        <w:jc w:val="center"/>
        <w:ind w:right="-15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51"/>
        <w:spacing w:after="0"/>
        <w:rPr>
          <w:sz w:val="20"/>
          <w:szCs w:val="20"/>
          <w:color w:val="auto"/>
        </w:rPr>
      </w:pPr>
      <w:r>
        <w:rPr>
          <w:rFonts w:ascii="Arial" w:cs="Arial" w:eastAsia="Arial" w:hAnsi="Arial"/>
          <w:sz w:val="18"/>
          <w:szCs w:val="18"/>
          <w:b w:val="1"/>
          <w:bCs w:val="1"/>
          <w:color w:val="auto"/>
        </w:rPr>
        <w:t>Supplemental Information by Reportable Segment - Towable RV</w:t>
      </w:r>
    </w:p>
    <w:p>
      <w:pPr>
        <w:spacing w:after="0" w:line="12"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1.2 %</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17.0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5.9 %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26.8</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(9.8)</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(36.5)%</w:t>
            </w:r>
          </w:p>
        </w:tc>
      </w:tr>
      <w:tr>
        <w:trPr>
          <w:trHeight w:val="474"/>
        </w:trPr>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1"/>
                <w:szCs w:val="2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4,486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66.5 %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7.6 %</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2,397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33.2 %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2,261</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33.5 %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136</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6.0 %</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6,747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7.1 %</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09"/>
        </w:trPr>
        <w:tc>
          <w:tcPr>
            <w:tcW w:w="2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20" w:type="dxa"/>
            <w:vAlign w:val="bottom"/>
            <w:gridSpan w:val="2"/>
          </w:tcPr>
          <w:p>
            <w:pPr>
              <w:jc w:val="center"/>
              <w:ind w:right="12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20" w:type="dxa"/>
            <w:vAlign w:val="bottom"/>
          </w:tcPr>
          <w:p>
            <w:pPr>
              <w:spacing w:after="0"/>
              <w:rPr>
                <w:sz w:val="18"/>
                <w:szCs w:val="18"/>
                <w:color w:val="auto"/>
              </w:rPr>
            </w:pPr>
          </w:p>
        </w:tc>
        <w:tc>
          <w:tcPr>
            <w:tcW w:w="1240" w:type="dxa"/>
            <w:vAlign w:val="bottom"/>
            <w:gridSpan w:val="2"/>
          </w:tcPr>
          <w:p>
            <w:pPr>
              <w:jc w:val="center"/>
              <w:ind w:right="22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40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5.6 %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59.9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9.7 %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(29.3)</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(49.0)%</w:t>
            </w:r>
          </w:p>
        </w:tc>
      </w:tr>
      <w:tr>
        <w:trPr>
          <w:trHeight w:val="379"/>
        </w:trPr>
        <w:tc>
          <w:tcPr>
            <w:tcW w:w="20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50"/>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1"/>
                <w:szCs w:val="21"/>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20" w:type="dxa"/>
            <w:vAlign w:val="bottom"/>
          </w:tcPr>
          <w:p>
            <w:pPr>
              <w:spacing w:after="0"/>
              <w:rPr>
                <w:sz w:val="21"/>
                <w:szCs w:val="21"/>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67.6 %</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215"/>
        </w:trPr>
        <w:tc>
          <w:tcPr>
            <w:tcW w:w="206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4,376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31.6 %</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4,726</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32.4 %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(350)</w:t>
            </w:r>
          </w:p>
        </w:tc>
        <w:tc>
          <w:tcPr>
            <w:tcW w:w="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(7.4)%</w:t>
            </w:r>
          </w:p>
        </w:tc>
      </w:tr>
      <w:tr>
        <w:trPr>
          <w:trHeight w:val="235"/>
        </w:trPr>
        <w:tc>
          <w:tcPr>
            <w:tcW w:w="206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14,593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r>
        <w:trPr>
          <w:trHeight w:val="325"/>
        </w:trPr>
        <w:tc>
          <w:tcPr>
            <w:tcW w:w="206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24"/>
                <w:szCs w:val="24"/>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Unit Change</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18,106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8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w:t>
            </w:r>
          </w:p>
        </w:tc>
      </w:tr>
    </w:tbl>
    <w:p>
      <w:pPr>
        <w:spacing w:after="0" w:line="126" w:lineRule="exact"/>
        <w:rPr>
          <w:sz w:val="20"/>
          <w:szCs w:val="20"/>
          <w:color w:val="auto"/>
        </w:rPr>
      </w:pPr>
    </w:p>
    <w:p>
      <w:pPr>
        <w:ind w:left="272" w:hanging="272"/>
        <w:spacing w:after="0"/>
        <w:tabs>
          <w:tab w:leader="none" w:pos="272" w:val="left"/>
        </w:tabs>
        <w:numPr>
          <w:ilvl w:val="0"/>
          <w:numId w:val="7"/>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7"/>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72"/>
          </w:cols>
          <w:pgMar w:left="328" w:top="850" w:right="499" w:bottom="1440" w:gutter="0" w:footer="0" w:header="0"/>
        </w:sectPr>
      </w:pPr>
    </w:p>
    <w:bookmarkStart w:id="14" w:name="page15"/>
    <w:bookmarkEnd w:id="14"/>
    <w:p>
      <w:pPr>
        <w:jc w:val="center"/>
        <w:ind w:right="-171"/>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jc w:val="center"/>
        <w:ind w:right="-171"/>
        <w:spacing w:after="0"/>
        <w:rPr>
          <w:sz w:val="20"/>
          <w:szCs w:val="20"/>
          <w:color w:val="auto"/>
        </w:rPr>
      </w:pPr>
      <w:r>
        <w:rPr>
          <w:rFonts w:ascii="Arial" w:cs="Arial" w:eastAsia="Arial" w:hAnsi="Arial"/>
          <w:sz w:val="18"/>
          <w:szCs w:val="18"/>
          <w:b w:val="1"/>
          <w:bCs w:val="1"/>
          <w:color w:val="auto"/>
        </w:rPr>
        <w:t>Supplemental Information by Reportable Segment - Motorhome RV</w:t>
      </w:r>
    </w:p>
    <w:p>
      <w:pPr>
        <w:spacing w:after="0" w:line="12"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10"/>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5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338.4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5.2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2.2 %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(20.7)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(79.8)%</w:t>
            </w:r>
          </w:p>
        </w:tc>
      </w:tr>
      <w:tr>
        <w:trPr>
          <w:trHeight w:val="474"/>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(25.1)%</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283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648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35.8 %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(365)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(56.3)%</w:t>
            </w: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(26.4)%</w:t>
            </w: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1,811</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(667)</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(36.8)%</w:t>
            </w:r>
          </w:p>
        </w:tc>
      </w:tr>
      <w:tr>
        <w:trPr>
          <w:trHeight w:val="21"/>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43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52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9"/>
              </w:rPr>
              <w:t>% of Revenues</w:t>
            </w:r>
            <w:r>
              <w:rPr>
                <w:rFonts w:ascii="Arial" w:cs="Arial" w:eastAsia="Arial" w:hAnsi="Arial"/>
                <w:sz w:val="21"/>
                <w:szCs w:val="21"/>
                <w:b w:val="1"/>
                <w:bCs w:val="1"/>
                <w:color w:val="auto"/>
                <w:w w:val="99"/>
                <w:vertAlign w:val="superscript"/>
              </w:rPr>
              <w:t>(1)</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672.8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1.6 %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47.3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(39.4)</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(83.2)%</w:t>
            </w:r>
          </w:p>
        </w:tc>
      </w:tr>
      <w:tr>
        <w:trPr>
          <w:trHeight w:val="379"/>
        </w:trPr>
        <w:tc>
          <w:tcPr>
            <w:tcW w:w="2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center"/>
              <w:ind w:right="64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21"/>
                <w:szCs w:val="21"/>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(39.0)%</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752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1,339</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37.9 %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(587)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(43.8)%</w:t>
            </w: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1,341</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r>
      <w:tr>
        <w:trPr>
          <w:trHeight w:val="209"/>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1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8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3,532</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(966)</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(27.3)%</w:t>
            </w:r>
          </w:p>
        </w:tc>
      </w:tr>
      <w:tr>
        <w:trPr>
          <w:trHeight w:val="21"/>
        </w:trPr>
        <w:tc>
          <w:tcPr>
            <w:tcW w:w="2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398"/>
        </w:trPr>
        <w:tc>
          <w:tcPr>
            <w:tcW w:w="2040" w:type="dxa"/>
            <w:vAlign w:val="bottom"/>
          </w:tcPr>
          <w:p>
            <w:pPr>
              <w:spacing w:after="0"/>
              <w:rPr>
                <w:sz w:val="20"/>
                <w:szCs w:val="20"/>
                <w:color w:val="auto"/>
              </w:rPr>
            </w:pPr>
            <w:r>
              <w:rPr>
                <w:rFonts w:ascii="Arial" w:cs="Arial" w:eastAsia="Arial" w:hAnsi="Arial"/>
                <w:sz w:val="16"/>
                <w:szCs w:val="16"/>
                <w:b w:val="1"/>
                <w:bCs w:val="1"/>
                <w:color w:val="auto"/>
              </w:rPr>
              <w:t>Dealer Inventory</w:t>
            </w:r>
          </w:p>
        </w:tc>
        <w:tc>
          <w:tcPr>
            <w:tcW w:w="140" w:type="dxa"/>
            <w:vAlign w:val="bottom"/>
          </w:tcPr>
          <w:p>
            <w:pPr>
              <w:spacing w:after="0"/>
              <w:rPr>
                <w:sz w:val="24"/>
                <w:szCs w:val="24"/>
                <w:color w:val="auto"/>
              </w:rPr>
            </w:pPr>
          </w:p>
        </w:tc>
        <w:tc>
          <w:tcPr>
            <w:tcW w:w="128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4,844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w:t>
            </w: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68"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Percentages may not add due to rounding differences.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052"/>
          </w:cols>
          <w:pgMar w:left="328" w:top="1147" w:right="519" w:bottom="1440" w:gutter="0" w:footer="0" w:header="0"/>
        </w:sectPr>
      </w:pPr>
    </w:p>
    <w:bookmarkStart w:id="15" w:name="page16"/>
    <w:bookmarkEnd w:id="15"/>
    <w:p>
      <w:pPr>
        <w:ind w:left="4352"/>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3112"/>
        <w:spacing w:after="0"/>
        <w:rPr>
          <w:sz w:val="20"/>
          <w:szCs w:val="20"/>
          <w:color w:val="auto"/>
        </w:rPr>
      </w:pPr>
      <w:r>
        <w:rPr>
          <w:rFonts w:ascii="Arial" w:cs="Arial" w:eastAsia="Arial" w:hAnsi="Arial"/>
          <w:sz w:val="18"/>
          <w:szCs w:val="18"/>
          <w:b w:val="1"/>
          <w:bCs w:val="1"/>
          <w:color w:val="auto"/>
        </w:rPr>
        <w:t>Supplemental Information by Reportable Segment - Marine</w:t>
      </w:r>
    </w:p>
    <w:p>
      <w:pPr>
        <w:spacing w:after="0" w:line="12" w:lineRule="exact"/>
        <w:rPr>
          <w:sz w:val="20"/>
          <w:szCs w:val="20"/>
          <w:color w:val="auto"/>
        </w:rPr>
      </w:pPr>
    </w:p>
    <w:p>
      <w:pPr>
        <w:jc w:val="center"/>
        <w:ind w:right="-2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2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292" w:type="dxa"/>
        <w:tblCellMar>
          <w:top w:w="0" w:type="dxa"/>
          <w:left w:w="0" w:type="dxa"/>
          <w:bottom w:w="0" w:type="dxa"/>
          <w:right w:w="0" w:type="dxa"/>
        </w:tblCellMar>
      </w:tblPr>
      <w:tr>
        <w:trPr>
          <w:trHeight w:val="217"/>
        </w:trPr>
        <w:tc>
          <w:tcPr>
            <w:tcW w:w="18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9"/>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10"/>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17.1 %</w:t>
            </w: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7.7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75.7 %</w:t>
            </w:r>
          </w:p>
        </w:tc>
      </w:tr>
      <w:tr>
        <w:trPr>
          <w:trHeight w:val="474"/>
        </w:trPr>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21.3 %</w:t>
            </w:r>
          </w:p>
        </w:tc>
      </w:tr>
      <w:tr>
        <w:trPr>
          <w:trHeight w:val="486"/>
        </w:trPr>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ind w:left="4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40" w:type="dxa"/>
            <w:vAlign w:val="bottom"/>
            <w:gridSpan w:val="2"/>
          </w:tcPr>
          <w:p>
            <w:pPr>
              <w:jc w:val="center"/>
              <w:ind w:right="26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7"/>
              </w:rPr>
              <w:t>% Change</w:t>
            </w:r>
            <w:r>
              <w:rPr>
                <w:rFonts w:ascii="Arial" w:cs="Arial" w:eastAsia="Arial" w:hAnsi="Arial"/>
                <w:sz w:val="21"/>
                <w:szCs w:val="21"/>
                <w:b w:val="1"/>
                <w:bCs w:val="1"/>
                <w:color w:val="auto"/>
                <w:w w:val="97"/>
                <w:vertAlign w:val="superscript"/>
              </w:rPr>
              <w:t>(1)</w:t>
            </w:r>
          </w:p>
        </w:tc>
      </w:tr>
      <w:tr>
        <w:trPr>
          <w:trHeight w:val="209"/>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157.1</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9.6 %</w:t>
            </w:r>
          </w:p>
        </w:tc>
      </w:tr>
      <w:tr>
        <w:trPr>
          <w:trHeight w:val="215"/>
        </w:trPr>
        <w:tc>
          <w:tcPr>
            <w:tcW w:w="184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1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16.1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9.3 %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7.4 %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38.9 %</w:t>
            </w:r>
          </w:p>
        </w:tc>
      </w:tr>
      <w:tr>
        <w:trPr>
          <w:trHeight w:val="379"/>
        </w:trPr>
        <w:tc>
          <w:tcPr>
            <w:tcW w:w="18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center"/>
              <w:ind w:right="62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0" w:type="dxa"/>
            <w:vAlign w:val="bottom"/>
          </w:tcPr>
          <w:p>
            <w:pPr>
              <w:spacing w:after="0"/>
              <w:rPr>
                <w:sz w:val="18"/>
                <w:szCs w:val="18"/>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Boats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12.0 %</w:t>
            </w:r>
          </w:p>
        </w:tc>
      </w:tr>
      <w:tr>
        <w:trPr>
          <w:trHeight w:val="432"/>
        </w:trPr>
        <w:tc>
          <w:tcPr>
            <w:tcW w:w="1840" w:type="dxa"/>
            <w:vAlign w:val="bottom"/>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w:t>
            </w:r>
          </w:p>
        </w:tc>
        <w:tc>
          <w:tcPr>
            <w:tcW w:w="140" w:type="dxa"/>
            <w:vAlign w:val="bottom"/>
          </w:tcPr>
          <w:p>
            <w:pPr>
              <w:spacing w:after="0"/>
              <w:rPr>
                <w:sz w:val="24"/>
                <w:szCs w:val="24"/>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1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1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4,095</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bl>
    <w:p>
      <w:pPr>
        <w:spacing w:after="0" w:line="126" w:lineRule="exact"/>
        <w:rPr>
          <w:sz w:val="20"/>
          <w:szCs w:val="20"/>
          <w:color w:val="auto"/>
        </w:rPr>
      </w:pPr>
    </w:p>
    <w:p>
      <w:pPr>
        <w:ind w:left="212" w:hanging="212"/>
        <w:spacing w:after="0"/>
        <w:tabs>
          <w:tab w:leader="none" w:pos="21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55" w:lineRule="exact"/>
        <w:rPr>
          <w:rFonts w:ascii="Arial" w:cs="Arial" w:eastAsia="Arial" w:hAnsi="Arial"/>
          <w:sz w:val="9"/>
          <w:szCs w:val="9"/>
          <w:color w:val="auto"/>
        </w:rPr>
      </w:pPr>
    </w:p>
    <w:p>
      <w:pPr>
        <w:ind w:left="212" w:hanging="212"/>
        <w:spacing w:after="0"/>
        <w:tabs>
          <w:tab w:leader="none" w:pos="212" w:val="left"/>
        </w:tabs>
        <w:numPr>
          <w:ilvl w:val="0"/>
          <w:numId w:val="9"/>
        </w:numPr>
        <w:rPr>
          <w:rFonts w:ascii="Arial" w:cs="Arial" w:eastAsia="Arial" w:hAnsi="Arial"/>
          <w:sz w:val="9"/>
          <w:szCs w:val="9"/>
          <w:color w:val="auto"/>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71"/>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0952"/>
          </w:cols>
          <w:pgMar w:left="328" w:top="904" w:right="619" w:bottom="1440" w:gutter="0" w:footer="0" w:header="0"/>
        </w:sectPr>
      </w:pPr>
    </w:p>
    <w:bookmarkStart w:id="16" w:name="page17"/>
    <w:bookmarkEnd w:id="16"/>
    <w:p>
      <w:pPr>
        <w:ind w:left="4480"/>
        <w:spacing w:after="0"/>
        <w:rPr>
          <w:sz w:val="20"/>
          <w:szCs w:val="20"/>
          <w:color w:val="auto"/>
        </w:rPr>
      </w:pPr>
      <w:r>
        <w:rPr>
          <w:rFonts w:ascii="Arial" w:cs="Arial" w:eastAsia="Arial" w:hAnsi="Arial"/>
          <w:sz w:val="18"/>
          <w:szCs w:val="18"/>
          <w:b w:val="1"/>
          <w:bCs w:val="1"/>
          <w:color w:val="auto"/>
        </w:rPr>
        <w:t>Winnebago Industries, Inc.</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Non-GAAP Reconciliation</w:t>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9"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(loss)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ind w:left="78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3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1, 2025</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1, 2025</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auto"/>
              </w:rPr>
              <w:t>February 24, 2024</w:t>
            </w:r>
          </w:p>
        </w:tc>
      </w:tr>
      <w:tr>
        <w:trPr>
          <w:trHeight w:val="209"/>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(loss) earnings per share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rPr>
              <w:t>(0.43)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center"/>
              <w:ind w:left="979"/>
              <w:spacing w:after="0"/>
              <w:rPr>
                <w:sz w:val="20"/>
                <w:szCs w:val="20"/>
                <w:color w:val="auto"/>
              </w:rPr>
            </w:pPr>
            <w:r>
              <w:rPr>
                <w:rFonts w:ascii="Arial" w:cs="Arial" w:eastAsia="Arial" w:hAnsi="Arial"/>
                <w:sz w:val="16"/>
                <w:szCs w:val="16"/>
                <w:color w:val="auto"/>
                <w:w w:val="96"/>
              </w:rPr>
              <w:t>0.44</w:t>
            </w:r>
          </w:p>
        </w:tc>
      </w:tr>
      <w:tr>
        <w:trPr>
          <w:trHeight w:val="257"/>
        </w:trPr>
        <w:tc>
          <w:tcPr>
            <w:tcW w:w="4360" w:type="dxa"/>
            <w:vAlign w:val="bottom"/>
          </w:tcPr>
          <w:p>
            <w:pPr>
              <w:ind w:left="20"/>
              <w:spacing w:after="0"/>
              <w:rPr>
                <w:sz w:val="20"/>
                <w:szCs w:val="20"/>
                <w:color w:val="auto"/>
              </w:rPr>
            </w:pPr>
            <w:r>
              <w:rPr>
                <w:rFonts w:ascii="Arial" w:cs="Arial" w:eastAsia="Arial" w:hAnsi="Arial"/>
                <w:sz w:val="16"/>
                <w:szCs w:val="16"/>
                <w:color w:val="auto"/>
              </w:rPr>
              <w:t>Acquisition-related costs</w:t>
            </w:r>
            <w:r>
              <w:rPr>
                <w:rFonts w:ascii="Arial" w:cs="Arial" w:eastAsia="Arial" w:hAnsi="Arial"/>
                <w:sz w:val="21"/>
                <w:szCs w:val="21"/>
                <w:color w:val="auto"/>
                <w:vertAlign w:val="superscript"/>
              </w:rPr>
              <w:t>(1)</w:t>
            </w:r>
          </w:p>
        </w:tc>
        <w:tc>
          <w:tcPr>
            <w:tcW w:w="200" w:type="dxa"/>
            <w:vAlign w:val="bottom"/>
          </w:tcPr>
          <w:p>
            <w:pPr>
              <w:spacing w:after="0"/>
              <w:rPr>
                <w:sz w:val="22"/>
                <w:szCs w:val="22"/>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520" w:type="dxa"/>
            <w:vAlign w:val="bottom"/>
          </w:tcPr>
          <w:p>
            <w:pPr>
              <w:jc w:val="center"/>
              <w:ind w:left="959"/>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2"/>
                <w:szCs w:val="22"/>
                <w:color w:val="auto"/>
              </w:rPr>
            </w:pPr>
          </w:p>
        </w:tc>
        <w:tc>
          <w:tcPr>
            <w:tcW w:w="1520" w:type="dxa"/>
            <w:vAlign w:val="bottom"/>
          </w:tcPr>
          <w:p>
            <w:pPr>
              <w:jc w:val="center"/>
              <w:ind w:left="979"/>
              <w:spacing w:after="0"/>
              <w:rPr>
                <w:sz w:val="20"/>
                <w:szCs w:val="20"/>
                <w:color w:val="auto"/>
              </w:rPr>
            </w:pPr>
            <w:r>
              <w:rPr>
                <w:rFonts w:ascii="Arial" w:cs="Arial" w:eastAsia="Arial" w:hAnsi="Arial"/>
                <w:sz w:val="16"/>
                <w:szCs w:val="16"/>
                <w:color w:val="auto"/>
                <w:w w:val="96"/>
              </w:rPr>
              <w:t>0.05</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rPr>
              <w:t>0.19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0.40</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w w:val="96"/>
              </w:rPr>
              <w:t>0.38</w:t>
            </w:r>
          </w:p>
        </w:tc>
      </w:tr>
      <w:tr>
        <w:trPr>
          <w:trHeight w:val="216"/>
        </w:trPr>
        <w:tc>
          <w:tcPr>
            <w:tcW w:w="4360" w:type="dxa"/>
            <w:vAlign w:val="bottom"/>
          </w:tcPr>
          <w:p>
            <w:pPr>
              <w:ind w:left="20"/>
              <w:spacing w:after="0" w:line="216" w:lineRule="exact"/>
              <w:rPr>
                <w:sz w:val="20"/>
                <w:szCs w:val="20"/>
                <w:color w:val="auto"/>
              </w:rPr>
            </w:pPr>
            <w:r>
              <w:rPr>
                <w:rFonts w:ascii="Arial" w:cs="Arial" w:eastAsia="Arial" w:hAnsi="Arial"/>
                <w:sz w:val="16"/>
                <w:szCs w:val="16"/>
                <w:color w:val="auto"/>
              </w:rPr>
              <w:t>Change in fair value of note receivable</w:t>
            </w:r>
            <w:r>
              <w:rPr>
                <w:rFonts w:ascii="Arial" w:cs="Arial" w:eastAsia="Arial" w:hAnsi="Arial"/>
                <w:sz w:val="21"/>
                <w:szCs w:val="21"/>
                <w:color w:val="auto"/>
                <w:vertAlign w:val="superscript"/>
              </w:rPr>
              <w:t>(1)</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tcPr>
          <w:p>
            <w:pPr>
              <w:jc w:val="center"/>
              <w:ind w:left="959"/>
              <w:spacing w:after="0"/>
              <w:rPr>
                <w:sz w:val="20"/>
                <w:szCs w:val="20"/>
                <w:color w:val="auto"/>
              </w:rPr>
            </w:pPr>
            <w:r>
              <w:rPr>
                <w:rFonts w:ascii="Arial" w:cs="Arial" w:eastAsia="Arial" w:hAnsi="Arial"/>
                <w:sz w:val="16"/>
                <w:szCs w:val="16"/>
                <w:color w:val="auto"/>
              </w:rPr>
              <w:t>0.10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center"/>
              <w:ind w:left="979"/>
              <w:spacing w:after="0"/>
              <w:rPr>
                <w:sz w:val="20"/>
                <w:szCs w:val="20"/>
                <w:color w:val="auto"/>
              </w:rPr>
            </w:pPr>
            <w:r>
              <w:rPr>
                <w:rFonts w:ascii="Arial" w:cs="Arial" w:eastAsia="Arial" w:hAnsi="Arial"/>
                <w:sz w:val="16"/>
                <w:szCs w:val="16"/>
                <w:color w:val="auto"/>
                <w:w w:val="96"/>
              </w:rPr>
              <w:t>0.10</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w w:val="96"/>
              </w:rPr>
              <w:t>0.04</w:t>
            </w:r>
          </w:p>
        </w:tc>
      </w:tr>
      <w:tr>
        <w:trPr>
          <w:trHeight w:val="256"/>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r>
              <w:rPr>
                <w:rFonts w:ascii="Arial" w:cs="Arial" w:eastAsia="Arial" w:hAnsi="Arial"/>
                <w:sz w:val="21"/>
                <w:szCs w:val="21"/>
                <w:color w:val="auto"/>
                <w:vertAlign w:val="superscript"/>
              </w:rPr>
              <w:t>(2,3)</w:t>
            </w: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20" w:type="dxa"/>
            <w:vAlign w:val="bottom"/>
          </w:tcPr>
          <w:p>
            <w:pPr>
              <w:jc w:val="center"/>
              <w:ind w:left="959"/>
              <w:spacing w:after="0"/>
              <w:rPr>
                <w:sz w:val="20"/>
                <w:szCs w:val="20"/>
                <w:color w:val="auto"/>
              </w:rPr>
            </w:pPr>
            <w:r>
              <w:rPr>
                <w:rFonts w:ascii="Arial" w:cs="Arial" w:eastAsia="Arial" w:hAnsi="Arial"/>
                <w:sz w:val="16"/>
                <w:szCs w:val="16"/>
                <w:color w:val="auto"/>
              </w:rPr>
              <w:t>1.12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center"/>
              <w:ind w:left="979"/>
              <w:spacing w:after="0"/>
              <w:rPr>
                <w:sz w:val="20"/>
                <w:szCs w:val="20"/>
                <w:color w:val="auto"/>
              </w:rPr>
            </w:pPr>
            <w:r>
              <w:rPr>
                <w:rFonts w:ascii="Arial" w:cs="Arial" w:eastAsia="Arial" w:hAnsi="Arial"/>
                <w:sz w:val="16"/>
                <w:szCs w:val="16"/>
                <w:color w:val="auto"/>
                <w:w w:val="96"/>
              </w:rPr>
              <w:t>1.10</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(3,4)</w:t>
            </w: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520" w:type="dxa"/>
            <w:vAlign w:val="bottom"/>
            <w:tcBorders>
              <w:bottom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rPr>
              <w:t>(0.13)</w:t>
            </w:r>
          </w:p>
        </w:tc>
      </w:tr>
      <w:tr>
        <w:trPr>
          <w:trHeight w:val="210"/>
        </w:trPr>
        <w:tc>
          <w:tcPr>
            <w:tcW w:w="4360" w:type="dxa"/>
            <w:vAlign w:val="bottom"/>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(5,6)</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color w:val="auto"/>
              </w:rPr>
              <w:t>0.93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center"/>
              <w:ind w:left="979"/>
              <w:spacing w:after="0"/>
              <w:rPr>
                <w:sz w:val="20"/>
                <w:szCs w:val="20"/>
                <w:color w:val="auto"/>
              </w:rPr>
            </w:pPr>
            <w:r>
              <w:rPr>
                <w:rFonts w:ascii="Arial" w:cs="Arial" w:eastAsia="Arial" w:hAnsi="Arial"/>
                <w:sz w:val="16"/>
                <w:szCs w:val="16"/>
                <w:color w:val="auto"/>
                <w:w w:val="96"/>
              </w:rPr>
              <w:t>1.98</w:t>
            </w:r>
          </w:p>
        </w:tc>
      </w:tr>
      <w:tr>
        <w:trPr>
          <w:trHeight w:val="20"/>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ind w:left="220" w:hanging="212"/>
        <w:spacing w:after="0"/>
        <w:tabs>
          <w:tab w:leader="none" w:pos="220"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a pre-tax adjustment.</w:t>
      </w:r>
    </w:p>
    <w:p>
      <w:pPr>
        <w:spacing w:after="0" w:line="28" w:lineRule="exact"/>
        <w:rPr>
          <w:rFonts w:ascii="Arial" w:cs="Arial" w:eastAsia="Arial" w:hAnsi="Arial"/>
          <w:sz w:val="9"/>
          <w:szCs w:val="9"/>
          <w:color w:val="auto"/>
        </w:rPr>
      </w:pPr>
    </w:p>
    <w:p>
      <w:pPr>
        <w:ind w:left="260" w:right="20" w:hanging="252"/>
        <w:spacing w:after="0" w:line="261" w:lineRule="auto"/>
        <w:tabs>
          <w:tab w:leader="none" w:pos="235" w:val="left"/>
        </w:tabs>
        <w:numPr>
          <w:ilvl w:val="0"/>
          <w:numId w:val="10"/>
        </w:numPr>
        <w:rPr>
          <w:rFonts w:ascii="Arial" w:cs="Arial" w:eastAsia="Arial" w:hAnsi="Arial"/>
          <w:sz w:val="9"/>
          <w:szCs w:val="9"/>
          <w:color w:val="auto"/>
        </w:rPr>
      </w:pPr>
      <w:r>
        <w:rPr>
          <w:rFonts w:ascii="Arial" w:cs="Arial" w:eastAsia="Arial" w:hAnsi="Arial"/>
          <w:sz w:val="14"/>
          <w:szCs w:val="14"/>
          <w:color w:val="auto"/>
        </w:rPr>
        <w:t>Represents the loss incurred on the partial repurchase of our Senior Secure Notes in the second quarter of Fiscal 2025 and partial repurchase of our 2025 Convertible Notes in the second quarter of Fiscal 2024.</w:t>
      </w:r>
    </w:p>
    <w:p>
      <w:pPr>
        <w:ind w:left="220" w:hanging="212"/>
        <w:spacing w:after="0" w:line="192" w:lineRule="auto"/>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The loss on note repurchase in the second quarter of Fiscal 2025 was tax-deductible, while the loss in the second quarter of Fiscal 2024 did not qualify for a tax deduction.</w:t>
      </w:r>
    </w:p>
    <w:p>
      <w:pPr>
        <w:ind w:left="220" w:hanging="212"/>
        <w:spacing w:after="0" w:line="187" w:lineRule="auto"/>
        <w:tabs>
          <w:tab w:leader="none" w:pos="220" w:val="left"/>
        </w:tabs>
        <w:numPr>
          <w:ilvl w:val="0"/>
          <w:numId w:val="10"/>
        </w:numPr>
        <w:rPr>
          <w:rFonts w:ascii="Arial" w:cs="Arial" w:eastAsia="Arial" w:hAnsi="Arial"/>
          <w:sz w:val="18"/>
          <w:szCs w:val="18"/>
          <w:color w:val="auto"/>
          <w:vertAlign w:val="superscript"/>
        </w:rPr>
      </w:pPr>
      <w:r>
        <w:rPr>
          <w:rFonts w:ascii="Arial" w:cs="Arial" w:eastAsia="Arial" w:hAnsi="Arial"/>
          <w:sz w:val="14"/>
          <w:szCs w:val="14"/>
          <w:color w:val="auto"/>
        </w:rPr>
        <w:t>Income tax impact calculated using the statutory tax rate for the U.S. of 23.0% for Fiscal 2025 and Fiscal 2024.</w:t>
      </w:r>
    </w:p>
    <w:p>
      <w:pPr>
        <w:jc w:val="both"/>
        <w:ind w:left="260" w:right="140" w:hanging="252"/>
        <w:spacing w:after="0" w:line="261" w:lineRule="auto"/>
        <w:tabs>
          <w:tab w:leader="none" w:pos="235" w:val="left"/>
        </w:tabs>
        <w:numPr>
          <w:ilvl w:val="0"/>
          <w:numId w:val="10"/>
        </w:numPr>
        <w:rPr>
          <w:rFonts w:ascii="Arial" w:cs="Arial" w:eastAsia="Arial" w:hAnsi="Arial"/>
          <w:sz w:val="9"/>
          <w:szCs w:val="9"/>
          <w:color w:val="auto"/>
        </w:rPr>
      </w:pPr>
      <w:r>
        <w:rPr>
          <w:rFonts w:ascii="Arial" w:cs="Arial" w:eastAsia="Arial" w:hAnsi="Arial"/>
          <w:sz w:val="14"/>
          <w:szCs w:val="14"/>
          <w:color w:val="auto"/>
        </w:rPr>
        <w:t>Beginning in the fourth quarter of Fiscal 2024, the Company updated its definition of Adjusted EPS to no longer adjust for the impact of a call spread overlay that was put in place upon the issuance of convertible notes, and which economically offsets dilution risk. Prior period amounts have been revised to conform to current year presentation.</w:t>
      </w:r>
    </w:p>
    <w:p>
      <w:pPr>
        <w:ind w:left="220" w:hanging="212"/>
        <w:spacing w:after="0" w:line="193" w:lineRule="auto"/>
        <w:tabs>
          <w:tab w:leader="none" w:pos="220"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(loss)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5"/>
          </w:tcPr>
          <w:p>
            <w:pPr>
              <w:ind w:left="7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18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March 1, 2025</w:t>
            </w:r>
          </w:p>
        </w:tc>
        <w:tc>
          <w:tcPr>
            <w:tcW w:w="14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24, 2024</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March 1, 2025</w:t>
            </w: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February 24, 2024</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(loss) income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9.4</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16.6</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13.9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66.1</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Acquisition-related costs</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Change in fair value of note receivable</w:t>
            </w: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Contingent consideration fair value adjustment</w:t>
            </w: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Loss on note repurchase</w:t>
            </w: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32.7</w:t>
            </w:r>
          </w:p>
        </w:tc>
      </w:tr>
      <w:tr>
        <w:trPr>
          <w:trHeight w:val="216"/>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Non-operating income</w:t>
            </w: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10"/>
        </w:trPr>
        <w:tc>
          <w:tcPr>
            <w:tcW w:w="4360" w:type="dxa"/>
            <w:vAlign w:val="bottom"/>
          </w:tcPr>
          <w:p>
            <w:pPr>
              <w:ind w:left="140"/>
              <w:spacing w:after="0"/>
              <w:rPr>
                <w:sz w:val="20"/>
                <w:szCs w:val="20"/>
                <w:color w:val="auto"/>
              </w:rPr>
            </w:pPr>
            <w:r>
              <w:rPr>
                <w:rFonts w:ascii="Arial" w:cs="Arial" w:eastAsia="Arial" w:hAnsi="Arial"/>
                <w:sz w:val="16"/>
                <w:szCs w:val="16"/>
                <w:color w:val="auto"/>
              </w:rPr>
              <w:t>Adjusted EBITDA</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103.9</w:t>
            </w:r>
          </w:p>
        </w:tc>
      </w:tr>
      <w:tr>
        <w:trPr>
          <w:trHeight w:val="21"/>
        </w:trPr>
        <w:tc>
          <w:tcPr>
            <w:tcW w:w="4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40"/>
        <w:spacing w:after="0" w:line="304" w:lineRule="auto"/>
        <w:rPr>
          <w:sz w:val="20"/>
          <w:szCs w:val="20"/>
          <w:color w:val="auto"/>
        </w:rPr>
      </w:pPr>
      <w:r>
        <w:rPr>
          <w:rFonts w:ascii="Arial" w:cs="Arial" w:eastAsia="Arial" w:hAnsi="Arial"/>
          <w:sz w:val="16"/>
          <w:szCs w:val="16"/>
          <w:color w:val="auto"/>
        </w:rPr>
        <w:t>Non-GAAP performance measures of Adjusted diluted (loss) earnings per share, EBITDA and Adjusted EBITDA have been provided as comparable measures to illustrate the effect of non-recurring transactions occurring during the reported periods and to improve comparability of our results from period to period. Adjusted diluted (loss) earnings per share is defined as diluted (loss) earnings per share adjusted for after-tax items that impact the comparability of our results from period to period. EBITDA is defined as net (loss) income before interest expense, provision for income taxes, and depreciation and amortization expense.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890" w:right="339" w:bottom="1440" w:gutter="0" w:footer="0" w:header="0"/>
        </w:sectPr>
      </w:pPr>
    </w:p>
    <w:bookmarkStart w:id="17" w:name="page18"/>
    <w:bookmarkEnd w:id="17"/>
    <w:p>
      <w:pPr>
        <w:spacing w:after="0" w:line="306" w:lineRule="auto"/>
        <w:rPr>
          <w:sz w:val="20"/>
          <w:szCs w:val="20"/>
          <w:color w:val="auto"/>
        </w:rPr>
      </w:pPr>
      <w:r>
        <w:rPr>
          <w:rFonts w:ascii="Arial" w:cs="Arial" w:eastAsia="Arial" w:hAnsi="Arial"/>
          <w:sz w:val="16"/>
          <w:szCs w:val="16"/>
          <w:color w:val="auto"/>
        </w:rPr>
        <w:t>Adjusted EBITDA is defined as net (loss) income before interest expense, provision for income taxes, depreciation and amortization expense and other pretax adjustments made in order to present comparable results from period to period. Management believes Adjusted diluted (loss)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09" w:lineRule="exact"/>
        <w:rPr>
          <w:sz w:val="20"/>
          <w:szCs w:val="20"/>
          <w:color w:val="auto"/>
        </w:rPr>
      </w:pPr>
    </w:p>
    <w:p>
      <w:pPr>
        <w:ind w:right="240"/>
        <w:spacing w:after="0" w:line="303"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 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15</w:t>
      </w:r>
    </w:p>
    <w:sectPr>
      <w:pgSz w:w="11900" w:h="16838" w:orient="portrait"/>
      <w:cols w:equalWidth="0" w:num="1">
        <w:col w:w="11160"/>
      </w:cols>
      <w:pgMar w:left="320" w:top="90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1"/>
    </w:lvl>
    <w:lvl w:ilvl="1">
      <w:lvlJc w:val="left"/>
      <w:lvlText w:val="•"/>
      <w:numFmt w:val="bullet"/>
      <w:start w:val="1"/>
    </w:lvl>
  </w:abstractNum>
  <w:abstractNum w:abstractNumId="3">
    <w:nsid w:val="41B71EFB"/>
    <w:multiLevelType w:val="hybridMultilevel"/>
    <w:lvl w:ilvl="0">
      <w:lvlJc w:val="left"/>
      <w:lvlText w:val="(%1)"/>
      <w:numFmt w:val="decimal"/>
      <w:start w:val="1"/>
    </w:lvl>
    <w:lvl w:ilvl="1">
      <w:lvlJc w:val="left"/>
      <w:lvlText w:val="•"/>
      <w:numFmt w:val="bullet"/>
      <w:start w:val="1"/>
    </w:lvl>
  </w:abstractNum>
  <w:abstractNum w:abstractNumId="4">
    <w:nsid w:val="79E2A9E3"/>
    <w:multiLevelType w:val="hybridMultilevel"/>
    <w:lvl w:ilvl="0">
      <w:lvlJc w:val="left"/>
      <w:lvlText w:val="(%1)"/>
      <w:numFmt w:val="decimal"/>
      <w:start w:val="1"/>
    </w:lvl>
    <w:lvl w:ilvl="1">
      <w:lvlJc w:val="left"/>
      <w:lvlText w:val="•"/>
      <w:numFmt w:val="bullet"/>
      <w:start w:val="1"/>
    </w:lvl>
  </w:abstractNum>
  <w:abstractNum w:abstractNumId="5">
    <w:nsid w:val="7545E146"/>
    <w:multiLevelType w:val="hybridMultilevel"/>
    <w:lvl w:ilvl="0">
      <w:lvlJc w:val="left"/>
      <w:lvlText w:val="(%1)"/>
      <w:numFmt w:val="decimal"/>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2025-03-27T07:12:42Z</dcterms:created>
  <dcterms:modified xsi:type="dcterms:W3CDTF">2025-03-27T07:12:42Z</dcterms:modified>
</cp:coreProperties>
</file>