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19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FORM 10-Q</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6" w:lineRule="exact"/>
        <w:rPr>
          <w:sz w:val="24"/>
          <w:szCs w:val="24"/>
          <w:color w:val="auto"/>
        </w:rPr>
      </w:pPr>
    </w:p>
    <w:p>
      <w:pPr>
        <w:ind w:left="520" w:right="300" w:hanging="512"/>
        <w:spacing w:after="0" w:line="256" w:lineRule="auto"/>
        <w:tabs>
          <w:tab w:leader="none" w:pos="5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69"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For the quarterly period ended </w:t>
      </w:r>
      <w:r>
        <w:rPr>
          <w:rFonts w:ascii="Arial" w:cs="Arial" w:eastAsia="Arial" w:hAnsi="Arial"/>
          <w:sz w:val="22"/>
          <w:szCs w:val="22"/>
          <w:u w:val="single" w:color="auto"/>
          <w:color w:val="auto"/>
        </w:rPr>
        <w:t>May 30, 2009</w:t>
      </w:r>
    </w:p>
    <w:p>
      <w:pPr>
        <w:spacing w:after="0" w:line="206"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or</w:t>
      </w:r>
    </w:p>
    <w:p>
      <w:pPr>
        <w:spacing w:after="0" w:line="200" w:lineRule="exact"/>
        <w:rPr>
          <w:sz w:val="24"/>
          <w:szCs w:val="24"/>
          <w:color w:val="auto"/>
        </w:rPr>
      </w:pPr>
    </w:p>
    <w:p>
      <w:pPr>
        <w:ind w:left="500" w:right="320" w:hanging="492"/>
        <w:spacing w:after="0" w:line="256" w:lineRule="auto"/>
        <w:tabs>
          <w:tab w:leader="none" w:pos="5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69" w:lineRule="exact"/>
        <w:rPr>
          <w:sz w:val="24"/>
          <w:szCs w:val="24"/>
          <w:color w:val="auto"/>
        </w:rPr>
      </w:pPr>
    </w:p>
    <w:p>
      <w:pPr>
        <w:spacing w:after="0"/>
        <w:rPr>
          <w:sz w:val="20"/>
          <w:szCs w:val="20"/>
          <w:color w:val="auto"/>
        </w:rPr>
      </w:pPr>
      <w:r>
        <w:rPr>
          <w:rFonts w:ascii="Arial" w:cs="Arial" w:eastAsia="Arial" w:hAnsi="Arial"/>
          <w:sz w:val="22"/>
          <w:szCs w:val="22"/>
          <w:color w:val="auto"/>
        </w:rPr>
        <w:t>For the transition period from ________________________ to ______________________</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Commission File Number: 001-06403</w:t>
      </w:r>
    </w:p>
    <w:p>
      <w:pPr>
        <w:spacing w:after="0" w:line="184"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WINNEBAGO INDUSTRIES, INC.</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6700" w:type="dxa"/>
            <w:vAlign w:val="bottom"/>
          </w:tcPr>
          <w:p>
            <w:pPr>
              <w:jc w:val="center"/>
              <w:ind w:right="42"/>
              <w:spacing w:after="0"/>
              <w:rPr>
                <w:sz w:val="20"/>
                <w:szCs w:val="20"/>
                <w:color w:val="auto"/>
              </w:rPr>
            </w:pPr>
            <w:r>
              <w:rPr>
                <w:rFonts w:ascii="Arial" w:cs="Arial" w:eastAsia="Arial" w:hAnsi="Arial"/>
                <w:sz w:val="22"/>
                <w:szCs w:val="22"/>
                <w:color w:val="auto"/>
                <w:w w:val="94"/>
              </w:rPr>
              <w:t>Iowa</w:t>
            </w:r>
          </w:p>
        </w:tc>
        <w:tc>
          <w:tcPr>
            <w:tcW w:w="2100" w:type="dxa"/>
            <w:vAlign w:val="bottom"/>
          </w:tcPr>
          <w:p>
            <w:pPr>
              <w:jc w:val="right"/>
              <w:ind w:right="44"/>
              <w:spacing w:after="0"/>
              <w:rPr>
                <w:sz w:val="20"/>
                <w:szCs w:val="20"/>
                <w:color w:val="auto"/>
              </w:rPr>
            </w:pPr>
            <w:r>
              <w:rPr>
                <w:rFonts w:ascii="Arial" w:cs="Arial" w:eastAsia="Arial" w:hAnsi="Arial"/>
                <w:sz w:val="22"/>
                <w:szCs w:val="22"/>
                <w:color w:val="auto"/>
              </w:rPr>
              <w:t>42-0802678</w:t>
            </w:r>
          </w:p>
        </w:tc>
      </w:tr>
      <w:tr>
        <w:trPr>
          <w:trHeight w:val="216"/>
        </w:trPr>
        <w:tc>
          <w:tcPr>
            <w:tcW w:w="6700" w:type="dxa"/>
            <w:vAlign w:val="bottom"/>
          </w:tcPr>
          <w:p>
            <w:pPr>
              <w:jc w:val="center"/>
              <w:ind w:right="42"/>
              <w:spacing w:after="0"/>
              <w:rPr>
                <w:sz w:val="20"/>
                <w:szCs w:val="20"/>
                <w:color w:val="auto"/>
              </w:rPr>
            </w:pPr>
            <w:r>
              <w:rPr>
                <w:rFonts w:ascii="Arial" w:cs="Arial" w:eastAsia="Arial" w:hAnsi="Arial"/>
                <w:sz w:val="18"/>
                <w:szCs w:val="18"/>
                <w:color w:val="auto"/>
                <w:w w:val="89"/>
              </w:rPr>
              <w:t>(State or other jurisdiction</w:t>
            </w:r>
          </w:p>
        </w:tc>
        <w:tc>
          <w:tcPr>
            <w:tcW w:w="2100" w:type="dxa"/>
            <w:vAlign w:val="bottom"/>
          </w:tcPr>
          <w:p>
            <w:pPr>
              <w:jc w:val="center"/>
              <w:ind w:left="684"/>
              <w:spacing w:after="0"/>
              <w:rPr>
                <w:sz w:val="20"/>
                <w:szCs w:val="20"/>
                <w:color w:val="auto"/>
              </w:rPr>
            </w:pPr>
            <w:r>
              <w:rPr>
                <w:rFonts w:ascii="Arial" w:cs="Arial" w:eastAsia="Arial" w:hAnsi="Arial"/>
                <w:sz w:val="18"/>
                <w:szCs w:val="18"/>
                <w:color w:val="auto"/>
                <w:w w:val="90"/>
              </w:rPr>
              <w:t>(I.R.S. Employer</w:t>
            </w:r>
          </w:p>
        </w:tc>
      </w:tr>
      <w:tr>
        <w:trPr>
          <w:trHeight w:val="222"/>
        </w:trPr>
        <w:tc>
          <w:tcPr>
            <w:tcW w:w="6700" w:type="dxa"/>
            <w:vAlign w:val="bottom"/>
          </w:tcPr>
          <w:p>
            <w:pPr>
              <w:jc w:val="center"/>
              <w:ind w:right="22"/>
              <w:spacing w:after="0"/>
              <w:rPr>
                <w:sz w:val="20"/>
                <w:szCs w:val="20"/>
                <w:color w:val="auto"/>
              </w:rPr>
            </w:pPr>
            <w:r>
              <w:rPr>
                <w:rFonts w:ascii="Arial" w:cs="Arial" w:eastAsia="Arial" w:hAnsi="Arial"/>
                <w:sz w:val="18"/>
                <w:szCs w:val="18"/>
                <w:color w:val="auto"/>
                <w:w w:val="90"/>
              </w:rPr>
              <w:t>of incorporation or organization)</w:t>
            </w:r>
          </w:p>
        </w:tc>
        <w:tc>
          <w:tcPr>
            <w:tcW w:w="2100" w:type="dxa"/>
            <w:vAlign w:val="bottom"/>
          </w:tcPr>
          <w:p>
            <w:pPr>
              <w:jc w:val="center"/>
              <w:ind w:left="704"/>
              <w:spacing w:after="0"/>
              <w:rPr>
                <w:sz w:val="20"/>
                <w:szCs w:val="20"/>
                <w:color w:val="auto"/>
              </w:rPr>
            </w:pPr>
            <w:r>
              <w:rPr>
                <w:rFonts w:ascii="Arial" w:cs="Arial" w:eastAsia="Arial" w:hAnsi="Arial"/>
                <w:sz w:val="18"/>
                <w:szCs w:val="18"/>
                <w:color w:val="auto"/>
                <w:w w:val="92"/>
              </w:rPr>
              <w:t>Identification No.)</w:t>
            </w:r>
          </w:p>
        </w:tc>
      </w:tr>
      <w:tr>
        <w:trPr>
          <w:trHeight w:val="385"/>
        </w:trPr>
        <w:tc>
          <w:tcPr>
            <w:tcW w:w="6700" w:type="dxa"/>
            <w:vAlign w:val="bottom"/>
          </w:tcPr>
          <w:p>
            <w:pPr>
              <w:jc w:val="center"/>
              <w:ind w:right="42"/>
              <w:spacing w:after="0"/>
              <w:rPr>
                <w:sz w:val="20"/>
                <w:szCs w:val="20"/>
                <w:color w:val="auto"/>
              </w:rPr>
            </w:pPr>
            <w:r>
              <w:rPr>
                <w:rFonts w:ascii="Arial" w:cs="Arial" w:eastAsia="Arial" w:hAnsi="Arial"/>
                <w:sz w:val="22"/>
                <w:szCs w:val="22"/>
                <w:color w:val="auto"/>
                <w:w w:val="89"/>
              </w:rPr>
              <w:t>P. O. Box 152, Forest City, Iowa</w:t>
            </w:r>
          </w:p>
        </w:tc>
        <w:tc>
          <w:tcPr>
            <w:tcW w:w="2100" w:type="dxa"/>
            <w:vAlign w:val="bottom"/>
          </w:tcPr>
          <w:p>
            <w:pPr>
              <w:jc w:val="right"/>
              <w:ind w:right="284"/>
              <w:spacing w:after="0"/>
              <w:rPr>
                <w:sz w:val="20"/>
                <w:szCs w:val="20"/>
                <w:color w:val="auto"/>
              </w:rPr>
            </w:pPr>
            <w:r>
              <w:rPr>
                <w:rFonts w:ascii="Arial" w:cs="Arial" w:eastAsia="Arial" w:hAnsi="Arial"/>
                <w:sz w:val="22"/>
                <w:szCs w:val="22"/>
                <w:color w:val="auto"/>
              </w:rPr>
              <w:t>50436</w:t>
            </w:r>
          </w:p>
        </w:tc>
      </w:tr>
      <w:tr>
        <w:trPr>
          <w:trHeight w:val="222"/>
        </w:trPr>
        <w:tc>
          <w:tcPr>
            <w:tcW w:w="6700" w:type="dxa"/>
            <w:vAlign w:val="bottom"/>
          </w:tcPr>
          <w:p>
            <w:pPr>
              <w:jc w:val="center"/>
              <w:ind w:right="22"/>
              <w:spacing w:after="0"/>
              <w:rPr>
                <w:sz w:val="20"/>
                <w:szCs w:val="20"/>
                <w:color w:val="auto"/>
              </w:rPr>
            </w:pPr>
            <w:r>
              <w:rPr>
                <w:rFonts w:ascii="Arial" w:cs="Arial" w:eastAsia="Arial" w:hAnsi="Arial"/>
                <w:sz w:val="18"/>
                <w:szCs w:val="18"/>
                <w:color w:val="auto"/>
                <w:w w:val="90"/>
              </w:rPr>
              <w:t>(Address of principal executive offices)</w:t>
            </w:r>
          </w:p>
        </w:tc>
        <w:tc>
          <w:tcPr>
            <w:tcW w:w="2100" w:type="dxa"/>
            <w:vAlign w:val="bottom"/>
          </w:tcPr>
          <w:p>
            <w:pPr>
              <w:jc w:val="center"/>
              <w:ind w:left="704"/>
              <w:spacing w:after="0"/>
              <w:rPr>
                <w:sz w:val="20"/>
                <w:szCs w:val="20"/>
                <w:color w:val="auto"/>
              </w:rPr>
            </w:pPr>
            <w:r>
              <w:rPr>
                <w:rFonts w:ascii="Arial" w:cs="Arial" w:eastAsia="Arial" w:hAnsi="Arial"/>
                <w:sz w:val="18"/>
                <w:szCs w:val="18"/>
                <w:color w:val="auto"/>
                <w:w w:val="91"/>
              </w:rPr>
              <w:t>(Zip Code)</w:t>
            </w:r>
          </w:p>
        </w:tc>
      </w:tr>
      <w:tr>
        <w:trPr>
          <w:trHeight w:val="471"/>
        </w:trPr>
        <w:tc>
          <w:tcPr>
            <w:tcW w:w="6700" w:type="dxa"/>
            <w:vAlign w:val="bottom"/>
          </w:tcPr>
          <w:p>
            <w:pPr>
              <w:spacing w:after="0"/>
              <w:rPr>
                <w:sz w:val="20"/>
                <w:szCs w:val="20"/>
                <w:color w:val="auto"/>
              </w:rPr>
            </w:pPr>
            <w:r>
              <w:rPr>
                <w:rFonts w:ascii="Arial" w:cs="Arial" w:eastAsia="Arial" w:hAnsi="Arial"/>
                <w:sz w:val="22"/>
                <w:szCs w:val="22"/>
                <w:color w:val="auto"/>
              </w:rPr>
              <w:t>Registrant’s telephone number, including area code: (641) 585-3535</w:t>
            </w:r>
          </w:p>
        </w:tc>
        <w:tc>
          <w:tcPr>
            <w:tcW w:w="2100" w:type="dxa"/>
            <w:vAlign w:val="bottom"/>
          </w:tcPr>
          <w:p>
            <w:pPr>
              <w:spacing w:after="0"/>
              <w:rPr>
                <w:sz w:val="24"/>
                <w:szCs w:val="24"/>
                <w:color w:val="auto"/>
              </w:rPr>
            </w:pPr>
          </w:p>
        </w:tc>
      </w:tr>
    </w:tbl>
    <w:p>
      <w:pPr>
        <w:spacing w:after="0" w:line="185" w:lineRule="exact"/>
        <w:rPr>
          <w:sz w:val="24"/>
          <w:szCs w:val="24"/>
          <w:color w:val="auto"/>
        </w:rPr>
      </w:pPr>
    </w:p>
    <w:p>
      <w:pPr>
        <w:ind w:right="160"/>
        <w:spacing w:after="0" w:line="258" w:lineRule="auto"/>
        <w:rPr>
          <w:sz w:val="20"/>
          <w:szCs w:val="20"/>
          <w:color w:val="auto"/>
        </w:rPr>
      </w:pPr>
      <w:r>
        <w:rPr>
          <w:rFonts w:ascii="Arial" w:cs="Arial" w:eastAsia="Arial" w:hAnsi="Arial"/>
          <w:sz w:val="21"/>
          <w:szCs w:val="2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r>
        <w:rPr>
          <w:rFonts w:ascii="Arial" w:cs="Arial" w:eastAsia="Arial" w:hAnsi="Arial"/>
          <w:sz w:val="16"/>
          <w:szCs w:val="16"/>
          <w:color w:val="auto"/>
        </w:rPr>
        <w:t>.</w:t>
      </w:r>
    </w:p>
    <w:p>
      <w:pPr>
        <w:spacing w:after="0" w:line="167" w:lineRule="exact"/>
        <w:rPr>
          <w:sz w:val="24"/>
          <w:szCs w:val="24"/>
          <w:color w:val="auto"/>
        </w:rPr>
      </w:pPr>
    </w:p>
    <w:p>
      <w:pPr>
        <w:spacing w:after="0" w:line="297" w:lineRule="auto"/>
        <w:rPr>
          <w:sz w:val="20"/>
          <w:szCs w:val="20"/>
          <w:color w:val="auto"/>
        </w:rPr>
      </w:pPr>
      <w:r>
        <w:rPr>
          <w:rFonts w:ascii="Arial" w:cs="Arial" w:eastAsia="Arial" w:hAnsi="Arial"/>
          <w:sz w:val="19"/>
          <w:szCs w:val="19"/>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r>
        <w:rPr>
          <w:rFonts w:ascii="Arial" w:cs="Arial" w:eastAsia="Arial" w:hAnsi="Arial"/>
          <w:sz w:val="15"/>
          <w:szCs w:val="15"/>
          <w:color w:val="auto"/>
        </w:rPr>
        <w:t>.</w:t>
      </w:r>
    </w:p>
    <w:p>
      <w:pPr>
        <w:spacing w:after="0" w:line="134" w:lineRule="exact"/>
        <w:rPr>
          <w:sz w:val="24"/>
          <w:szCs w:val="24"/>
          <w:color w:val="auto"/>
        </w:rPr>
      </w:pPr>
    </w:p>
    <w:p>
      <w:pPr>
        <w:jc w:val="both"/>
        <w:ind w:right="240"/>
        <w:spacing w:after="0"/>
        <w:rPr>
          <w:sz w:val="20"/>
          <w:szCs w:val="20"/>
          <w:color w:val="auto"/>
        </w:rPr>
      </w:pPr>
      <w:r>
        <w:rPr>
          <w:rFonts w:ascii="Arial" w:cs="Arial" w:eastAsia="Arial" w:hAnsi="Arial"/>
          <w:sz w:val="22"/>
          <w:szCs w:val="2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86" w:lineRule="exact"/>
        <w:rPr>
          <w:sz w:val="24"/>
          <w:szCs w:val="24"/>
          <w:color w:val="auto"/>
        </w:rPr>
      </w:pPr>
    </w:p>
    <w:p>
      <w:pPr>
        <w:spacing w:after="0"/>
        <w:rPr>
          <w:sz w:val="20"/>
          <w:szCs w:val="20"/>
          <w:color w:val="auto"/>
        </w:rPr>
      </w:pPr>
      <w:r>
        <w:rPr>
          <w:rFonts w:ascii="Arial" w:cs="Arial" w:eastAsia="Arial" w:hAnsi="Arial"/>
          <w:sz w:val="22"/>
          <w:szCs w:val="22"/>
          <w:color w:val="auto"/>
        </w:rPr>
        <w:t>Large accelerated filer o Accelerated filer x Non-accelerated filer o Smaller reporting company o</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is a shell company (as defined in Rule 12b-2 of the Exchange Act).</w:t>
      </w:r>
    </w:p>
    <w:p>
      <w:pPr>
        <w:spacing w:after="0" w:line="8" w:lineRule="exact"/>
        <w:rPr>
          <w:sz w:val="24"/>
          <w:szCs w:val="24"/>
          <w:color w:val="auto"/>
        </w:rPr>
      </w:pPr>
    </w:p>
    <w:p>
      <w:pPr>
        <w:spacing w:after="0"/>
        <w:rPr>
          <w:sz w:val="20"/>
          <w:szCs w:val="20"/>
          <w:color w:val="auto"/>
        </w:rPr>
      </w:pPr>
      <w:r>
        <w:rPr>
          <w:rFonts w:ascii="Arial" w:cs="Arial" w:eastAsia="Arial" w:hAnsi="Arial"/>
          <w:sz w:val="22"/>
          <w:szCs w:val="22"/>
          <w:color w:val="auto"/>
        </w:rPr>
        <w:t>Yes o No x</w:t>
      </w:r>
      <w:r>
        <w:rPr>
          <w:rFonts w:ascii="Arial" w:cs="Arial" w:eastAsia="Arial" w:hAnsi="Arial"/>
          <w:sz w:val="17"/>
          <w:szCs w:val="17"/>
          <w:color w:val="auto"/>
        </w:rPr>
        <w:t>.</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The number of shares of common stock, par value $0.50 per share, outstanding July 7, 2009 was 29,083,703.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434340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WINNEBAGO INDUSTRIES, INC.</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INDEX TO REPORT ON FORM 10-Q</w:t>
      </w:r>
    </w:p>
    <w:p>
      <w:pPr>
        <w:spacing w:after="0" w:line="200" w:lineRule="exact"/>
        <w:rPr>
          <w:sz w:val="24"/>
          <w:szCs w:val="24"/>
          <w:color w:val="auto"/>
        </w:rPr>
      </w:pP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Page Number</w:t>
            </w:r>
          </w:p>
        </w:tc>
      </w:tr>
      <w:tr>
        <w:trPr>
          <w:trHeight w:val="345"/>
        </w:trPr>
        <w:tc>
          <w:tcPr>
            <w:tcW w:w="84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w:t>
              </w:r>
            </w:hyperlink>
          </w:p>
        </w:tc>
        <w:tc>
          <w:tcPr>
            <w:tcW w:w="6740" w:type="dxa"/>
            <w:vAlign w:val="bottom"/>
            <w:gridSpan w:val="7"/>
          </w:tcPr>
          <w:p>
            <w:pPr>
              <w:ind w:left="200"/>
              <w:spacing w:after="0"/>
              <w:rPr>
                <w:rFonts w:ascii="Arial" w:cs="Arial" w:eastAsia="Arial" w:hAnsi="Arial"/>
                <w:sz w:val="18"/>
                <w:szCs w:val="18"/>
                <w:color w:val="0000EE"/>
              </w:rPr>
            </w:pPr>
            <w:hyperlink w:anchor="page2">
              <w:r>
                <w:rPr>
                  <w:rFonts w:ascii="Arial" w:cs="Arial" w:eastAsia="Arial" w:hAnsi="Arial"/>
                  <w:sz w:val="18"/>
                  <w:szCs w:val="18"/>
                  <w:color w:val="0000EE"/>
                </w:rPr>
                <w:t>FINANCIAL INFORMATION</w:t>
              </w:r>
            </w:hyperlink>
          </w:p>
        </w:tc>
        <w:tc>
          <w:tcPr>
            <w:tcW w:w="3640" w:type="dxa"/>
            <w:vAlign w:val="bottom"/>
            <w:gridSpan w:val="2"/>
          </w:tcPr>
          <w:p>
            <w:pPr>
              <w:jc w:val="center"/>
              <w:ind w:left="2592"/>
              <w:spacing w:after="0"/>
              <w:rPr>
                <w:sz w:val="20"/>
                <w:szCs w:val="20"/>
                <w:color w:val="auto"/>
              </w:rPr>
            </w:pPr>
            <w:r>
              <w:rPr>
                <w:rFonts w:ascii="Arial" w:cs="Arial" w:eastAsia="Arial" w:hAnsi="Arial"/>
                <w:sz w:val="18"/>
                <w:szCs w:val="18"/>
                <w:color w:val="auto"/>
                <w:w w:val="79"/>
              </w:rPr>
              <w:t>1</w:t>
            </w:r>
          </w:p>
        </w:tc>
      </w:tr>
      <w:tr>
        <w:trPr>
          <w:trHeight w:val="20"/>
        </w:trPr>
        <w:tc>
          <w:tcPr>
            <w:tcW w:w="6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45"/>
        </w:trPr>
        <w:tc>
          <w:tcPr>
            <w:tcW w:w="620" w:type="dxa"/>
            <w:vAlign w:val="bottom"/>
          </w:tcPr>
          <w:p>
            <w:pPr>
              <w:spacing w:after="0"/>
              <w:rPr>
                <w:rFonts w:ascii="Arial" w:cs="Arial" w:eastAsia="Arial" w:hAnsi="Arial"/>
                <w:sz w:val="18"/>
                <w:szCs w:val="18"/>
                <w:b w:val="1"/>
                <w:bCs w:val="1"/>
                <w:color w:val="0000EE"/>
                <w:w w:val="91"/>
              </w:rPr>
            </w:pPr>
            <w:hyperlink w:anchor="page2">
              <w:r>
                <w:rPr>
                  <w:rFonts w:ascii="Arial" w:cs="Arial" w:eastAsia="Arial" w:hAnsi="Arial"/>
                  <w:sz w:val="18"/>
                  <w:szCs w:val="18"/>
                  <w:b w:val="1"/>
                  <w:bCs w:val="1"/>
                  <w:color w:val="0000EE"/>
                  <w:w w:val="91"/>
                </w:rPr>
                <w:t>ITEM 1.</w:t>
              </w:r>
            </w:hyperlink>
          </w:p>
        </w:tc>
        <w:tc>
          <w:tcPr>
            <w:tcW w:w="220" w:type="dxa"/>
            <w:vAlign w:val="bottom"/>
          </w:tcPr>
          <w:p>
            <w:pPr>
              <w:spacing w:after="0"/>
              <w:rPr>
                <w:sz w:val="24"/>
                <w:szCs w:val="24"/>
                <w:color w:val="auto"/>
              </w:rPr>
            </w:pPr>
          </w:p>
        </w:tc>
        <w:tc>
          <w:tcPr>
            <w:tcW w:w="6740" w:type="dxa"/>
            <w:vAlign w:val="bottom"/>
            <w:gridSpan w:val="7"/>
          </w:tcPr>
          <w:p>
            <w:pPr>
              <w:ind w:left="200"/>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26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0" w:type="dxa"/>
            <w:vAlign w:val="bottom"/>
            <w:gridSpan w:val="5"/>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Unaudited Consolidated Statements of Operations</w:t>
              </w:r>
            </w:hyperlink>
          </w:p>
        </w:tc>
        <w:tc>
          <w:tcPr>
            <w:tcW w:w="3640" w:type="dxa"/>
            <w:vAlign w:val="bottom"/>
            <w:gridSpan w:val="2"/>
          </w:tcPr>
          <w:p>
            <w:pPr>
              <w:jc w:val="center"/>
              <w:ind w:left="2592"/>
              <w:spacing w:after="0" w:line="196" w:lineRule="exact"/>
              <w:rPr>
                <w:sz w:val="20"/>
                <w:szCs w:val="20"/>
                <w:color w:val="auto"/>
              </w:rPr>
            </w:pPr>
            <w:r>
              <w:rPr>
                <w:rFonts w:ascii="Arial" w:cs="Arial" w:eastAsia="Arial" w:hAnsi="Arial"/>
                <w:sz w:val="18"/>
                <w:szCs w:val="18"/>
                <w:color w:val="auto"/>
                <w:w w:val="79"/>
              </w:rPr>
              <w:t>1</w:t>
            </w:r>
          </w:p>
        </w:tc>
      </w:tr>
      <w:tr>
        <w:trPr>
          <w:trHeight w:val="196"/>
        </w:trPr>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w:anchor="page2">
              <w:r>
                <w:rPr>
                  <w:rFonts w:ascii="Arial" w:cs="Arial" w:eastAsia="Arial" w:hAnsi="Arial"/>
                  <w:sz w:val="18"/>
                  <w:szCs w:val="18"/>
                  <w:color w:val="0000EE"/>
                  <w:w w:val="86"/>
                </w:rPr>
                <w:t>Unaudited Consolidated Balance Sheets</w:t>
              </w:r>
            </w:hyperlink>
          </w:p>
        </w:tc>
        <w:tc>
          <w:tcPr>
            <w:tcW w:w="700" w:type="dxa"/>
            <w:vAlign w:val="bottom"/>
            <w:tcBorders>
              <w:top w:val="single" w:sz="8" w:color="0000EE"/>
            </w:tcBorders>
          </w:tcPr>
          <w:p>
            <w:pPr>
              <w:spacing w:after="0"/>
              <w:rPr>
                <w:sz w:val="17"/>
                <w:szCs w:val="17"/>
                <w:color w:val="auto"/>
              </w:rPr>
            </w:pPr>
          </w:p>
        </w:tc>
        <w:tc>
          <w:tcPr>
            <w:tcW w:w="2680" w:type="dxa"/>
            <w:vAlign w:val="bottom"/>
          </w:tcPr>
          <w:p>
            <w:pPr>
              <w:spacing w:after="0"/>
              <w:rPr>
                <w:sz w:val="17"/>
                <w:szCs w:val="17"/>
                <w:color w:val="auto"/>
              </w:rPr>
            </w:pPr>
          </w:p>
        </w:tc>
        <w:tc>
          <w:tcPr>
            <w:tcW w:w="3640" w:type="dxa"/>
            <w:vAlign w:val="bottom"/>
            <w:gridSpan w:val="2"/>
          </w:tcPr>
          <w:p>
            <w:pPr>
              <w:jc w:val="center"/>
              <w:ind w:left="2592"/>
              <w:spacing w:after="0" w:line="196" w:lineRule="exact"/>
              <w:rPr>
                <w:sz w:val="20"/>
                <w:szCs w:val="20"/>
                <w:color w:val="auto"/>
              </w:rPr>
            </w:pPr>
            <w:r>
              <w:rPr>
                <w:rFonts w:ascii="Arial" w:cs="Arial" w:eastAsia="Arial" w:hAnsi="Arial"/>
                <w:sz w:val="18"/>
                <w:szCs w:val="18"/>
                <w:color w:val="auto"/>
                <w:w w:val="79"/>
              </w:rPr>
              <w:t>2</w:t>
            </w:r>
          </w:p>
        </w:tc>
      </w:tr>
    </w:tbl>
    <w:p>
      <w:pPr>
        <w:sectPr>
          <w:pgSz w:w="11900" w:h="16857" w:orient="portrait"/>
          <w:cols w:equalWidth="0" w:num="1">
            <w:col w:w="11320"/>
          </w:cols>
          <w:pgMar w:left="240" w:top="239" w:right="3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58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Unaudited Consolidated Statements of Cash Flows</w:t>
              </w:r>
            </w:hyperlink>
          </w:p>
        </w:tc>
        <w:tc>
          <w:tcPr>
            <w:tcW w:w="4040" w:type="dxa"/>
            <w:vAlign w:val="bottom"/>
            <w:gridSpan w:val="5"/>
          </w:tcPr>
          <w:p>
            <w:pPr>
              <w:spacing w:after="0"/>
              <w:rPr>
                <w:sz w:val="17"/>
                <w:szCs w:val="17"/>
                <w:color w:val="auto"/>
              </w:rPr>
            </w:pPr>
          </w:p>
        </w:tc>
        <w:tc>
          <w:tcPr>
            <w:tcW w:w="1840" w:type="dxa"/>
            <w:vAlign w:val="bottom"/>
          </w:tcPr>
          <w:p>
            <w:pPr>
              <w:jc w:val="center"/>
              <w:ind w:left="1552"/>
              <w:spacing w:after="0"/>
              <w:rPr>
                <w:sz w:val="20"/>
                <w:szCs w:val="20"/>
                <w:color w:val="auto"/>
              </w:rPr>
            </w:pPr>
            <w:r>
              <w:rPr>
                <w:rFonts w:ascii="Arial" w:cs="Arial" w:eastAsia="Arial" w:hAnsi="Arial"/>
                <w:sz w:val="18"/>
                <w:szCs w:val="18"/>
                <w:color w:val="auto"/>
                <w:w w:val="79"/>
              </w:rPr>
              <w:t>3</w:t>
            </w:r>
          </w:p>
        </w:tc>
      </w:tr>
      <w:tr>
        <w:trPr>
          <w:trHeight w:val="196"/>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8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Unaudited Notes to Condensed Consolidated Financial Statements</w:t>
              </w:r>
            </w:hyperlink>
          </w:p>
        </w:tc>
        <w:tc>
          <w:tcPr>
            <w:tcW w:w="2940" w:type="dxa"/>
            <w:vAlign w:val="bottom"/>
            <w:gridSpan w:val="2"/>
          </w:tcPr>
          <w:p>
            <w:pPr>
              <w:spacing w:after="0"/>
              <w:rPr>
                <w:sz w:val="17"/>
                <w:szCs w:val="17"/>
                <w:color w:val="auto"/>
              </w:rPr>
            </w:pPr>
          </w:p>
        </w:tc>
        <w:tc>
          <w:tcPr>
            <w:tcW w:w="1840" w:type="dxa"/>
            <w:vAlign w:val="bottom"/>
          </w:tcPr>
          <w:p>
            <w:pPr>
              <w:jc w:val="center"/>
              <w:ind w:left="1552"/>
              <w:spacing w:after="0" w:line="196" w:lineRule="exact"/>
              <w:rPr>
                <w:sz w:val="20"/>
                <w:szCs w:val="20"/>
                <w:color w:val="auto"/>
              </w:rPr>
            </w:pPr>
            <w:r>
              <w:rPr>
                <w:rFonts w:ascii="Arial" w:cs="Arial" w:eastAsia="Arial" w:hAnsi="Arial"/>
                <w:sz w:val="18"/>
                <w:szCs w:val="18"/>
                <w:color w:val="auto"/>
                <w:w w:val="79"/>
              </w:rPr>
              <w:t>4</w:t>
            </w:r>
          </w:p>
        </w:tc>
      </w:tr>
      <w:tr>
        <w:trPr>
          <w:trHeight w:val="345"/>
        </w:trPr>
        <w:tc>
          <w:tcPr>
            <w:tcW w:w="660" w:type="dxa"/>
            <w:vAlign w:val="bottom"/>
            <w:tcBorders>
              <w:bottom w:val="single" w:sz="8" w:color="0000EE"/>
            </w:tcBorders>
          </w:tcPr>
          <w:p>
            <w:pPr>
              <w:spacing w:after="0"/>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ITEM 2.</w:t>
              </w:r>
            </w:hyperlink>
          </w:p>
        </w:tc>
        <w:tc>
          <w:tcPr>
            <w:tcW w:w="380" w:type="dxa"/>
            <w:vAlign w:val="bottom"/>
            <w:gridSpan w:val="3"/>
          </w:tcPr>
          <w:p>
            <w:pPr>
              <w:spacing w:after="0"/>
              <w:rPr>
                <w:sz w:val="24"/>
                <w:szCs w:val="24"/>
                <w:color w:val="auto"/>
              </w:rPr>
            </w:pPr>
          </w:p>
        </w:tc>
        <w:tc>
          <w:tcPr>
            <w:tcW w:w="63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10">
              <w:r>
                <w:rPr>
                  <w:rFonts w:ascii="Arial" w:cs="Arial" w:eastAsia="Arial" w:hAnsi="Arial"/>
                  <w:sz w:val="18"/>
                  <w:szCs w:val="18"/>
                  <w:color w:val="0000EE"/>
                  <w:w w:val="88"/>
                </w:rPr>
                <w:t>Management’s Discussion and Analysis of Financial Condition and Results of Operations</w:t>
              </w:r>
            </w:hyperlink>
          </w:p>
        </w:tc>
        <w:tc>
          <w:tcPr>
            <w:tcW w:w="1660" w:type="dxa"/>
            <w:vAlign w:val="bottom"/>
          </w:tcPr>
          <w:p>
            <w:pPr>
              <w:spacing w:after="0"/>
              <w:rPr>
                <w:sz w:val="24"/>
                <w:szCs w:val="24"/>
                <w:color w:val="auto"/>
              </w:rPr>
            </w:pPr>
          </w:p>
        </w:tc>
        <w:tc>
          <w:tcPr>
            <w:tcW w:w="1840" w:type="dxa"/>
            <w:vAlign w:val="bottom"/>
          </w:tcPr>
          <w:p>
            <w:pPr>
              <w:jc w:val="center"/>
              <w:ind w:left="1572"/>
              <w:spacing w:after="0"/>
              <w:rPr>
                <w:sz w:val="20"/>
                <w:szCs w:val="20"/>
                <w:color w:val="auto"/>
              </w:rPr>
            </w:pPr>
            <w:r>
              <w:rPr>
                <w:rFonts w:ascii="Arial" w:cs="Arial" w:eastAsia="Arial" w:hAnsi="Arial"/>
                <w:sz w:val="18"/>
                <w:szCs w:val="18"/>
                <w:color w:val="auto"/>
                <w:w w:val="89"/>
              </w:rPr>
              <w:t>12</w:t>
            </w:r>
          </w:p>
        </w:tc>
      </w:tr>
      <w:tr>
        <w:trPr>
          <w:trHeight w:val="345"/>
        </w:trPr>
        <w:tc>
          <w:tcPr>
            <w:tcW w:w="660" w:type="dxa"/>
            <w:vAlign w:val="bottom"/>
            <w:tcBorders>
              <w:bottom w:val="single" w:sz="8" w:color="0000EE"/>
            </w:tcBorders>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ITEM 3.</w:t>
              </w:r>
            </w:hyperlink>
          </w:p>
        </w:tc>
        <w:tc>
          <w:tcPr>
            <w:tcW w:w="380" w:type="dxa"/>
            <w:vAlign w:val="bottom"/>
            <w:gridSpan w:val="3"/>
          </w:tcPr>
          <w:p>
            <w:pPr>
              <w:spacing w:after="0"/>
              <w:rPr>
                <w:sz w:val="24"/>
                <w:szCs w:val="24"/>
                <w:color w:val="auto"/>
              </w:rPr>
            </w:pPr>
          </w:p>
        </w:tc>
        <w:tc>
          <w:tcPr>
            <w:tcW w:w="42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Quantitative and Qualitative Disclosures About Market Risk</w:t>
              </w:r>
            </w:hyperlink>
          </w:p>
        </w:tc>
        <w:tc>
          <w:tcPr>
            <w:tcW w:w="3700" w:type="dxa"/>
            <w:vAlign w:val="bottom"/>
            <w:gridSpan w:val="3"/>
          </w:tcPr>
          <w:p>
            <w:pPr>
              <w:spacing w:after="0"/>
              <w:rPr>
                <w:sz w:val="24"/>
                <w:szCs w:val="24"/>
                <w:color w:val="auto"/>
              </w:rPr>
            </w:pPr>
          </w:p>
        </w:tc>
        <w:tc>
          <w:tcPr>
            <w:tcW w:w="1840" w:type="dxa"/>
            <w:vAlign w:val="bottom"/>
          </w:tcPr>
          <w:p>
            <w:pPr>
              <w:jc w:val="center"/>
              <w:ind w:left="1572"/>
              <w:spacing w:after="0"/>
              <w:rPr>
                <w:sz w:val="20"/>
                <w:szCs w:val="20"/>
                <w:color w:val="auto"/>
              </w:rPr>
            </w:pPr>
            <w:r>
              <w:rPr>
                <w:rFonts w:ascii="Arial" w:cs="Arial" w:eastAsia="Arial" w:hAnsi="Arial"/>
                <w:sz w:val="18"/>
                <w:szCs w:val="18"/>
                <w:color w:val="auto"/>
                <w:w w:val="89"/>
              </w:rPr>
              <w:t>22</w:t>
            </w:r>
          </w:p>
        </w:tc>
      </w:tr>
      <w:tr>
        <w:trPr>
          <w:trHeight w:val="345"/>
        </w:trPr>
        <w:tc>
          <w:tcPr>
            <w:tcW w:w="660" w:type="dxa"/>
            <w:vAlign w:val="bottom"/>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ITEM 4.</w:t>
              </w:r>
            </w:hyperlink>
          </w:p>
        </w:tc>
        <w:tc>
          <w:tcPr>
            <w:tcW w:w="380" w:type="dxa"/>
            <w:vAlign w:val="bottom"/>
            <w:gridSpan w:val="3"/>
          </w:tcPr>
          <w:p>
            <w:pPr>
              <w:spacing w:after="0"/>
              <w:rPr>
                <w:sz w:val="24"/>
                <w:szCs w:val="24"/>
                <w:color w:val="auto"/>
              </w:rPr>
            </w:pPr>
          </w:p>
        </w:tc>
        <w:tc>
          <w:tcPr>
            <w:tcW w:w="7960" w:type="dxa"/>
            <w:vAlign w:val="bottom"/>
            <w:gridSpan w:val="14"/>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Controls and Procedures</w:t>
              </w:r>
            </w:hyperlink>
          </w:p>
        </w:tc>
        <w:tc>
          <w:tcPr>
            <w:tcW w:w="1840" w:type="dxa"/>
            <w:vAlign w:val="bottom"/>
          </w:tcPr>
          <w:p>
            <w:pPr>
              <w:jc w:val="center"/>
              <w:ind w:left="1572"/>
              <w:spacing w:after="0"/>
              <w:rPr>
                <w:sz w:val="20"/>
                <w:szCs w:val="20"/>
                <w:color w:val="auto"/>
              </w:rPr>
            </w:pPr>
            <w:r>
              <w:rPr>
                <w:rFonts w:ascii="Arial" w:cs="Arial" w:eastAsia="Arial" w:hAnsi="Arial"/>
                <w:sz w:val="18"/>
                <w:szCs w:val="18"/>
                <w:color w:val="auto"/>
                <w:w w:val="89"/>
              </w:rPr>
              <w:t>22</w:t>
            </w:r>
          </w:p>
        </w:tc>
      </w:tr>
      <w:tr>
        <w:trPr>
          <w:trHeight w:val="20"/>
        </w:trPr>
        <w:tc>
          <w:tcPr>
            <w:tcW w:w="6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345"/>
        </w:trPr>
        <w:tc>
          <w:tcPr>
            <w:tcW w:w="700" w:type="dxa"/>
            <w:vAlign w:val="bottom"/>
            <w:tcBorders>
              <w:bottom w:val="single" w:sz="8" w:color="0000EE"/>
            </w:tcBorders>
            <w:gridSpan w:val="2"/>
          </w:tcPr>
          <w:p>
            <w:pPr>
              <w:spacing w:after="0"/>
              <w:rPr>
                <w:rFonts w:ascii="Arial" w:cs="Arial" w:eastAsia="Arial" w:hAnsi="Arial"/>
                <w:sz w:val="18"/>
                <w:szCs w:val="18"/>
                <w:b w:val="1"/>
                <w:bCs w:val="1"/>
                <w:color w:val="0000EE"/>
                <w:w w:val="98"/>
              </w:rPr>
            </w:pPr>
            <w:hyperlink w:anchor="page18">
              <w:r>
                <w:rPr>
                  <w:rFonts w:ascii="Arial" w:cs="Arial" w:eastAsia="Arial" w:hAnsi="Arial"/>
                  <w:sz w:val="18"/>
                  <w:szCs w:val="18"/>
                  <w:b w:val="1"/>
                  <w:bCs w:val="1"/>
                  <w:color w:val="0000EE"/>
                  <w:w w:val="98"/>
                </w:rPr>
                <w:t>PART II.</w:t>
              </w:r>
            </w:hyperlink>
          </w:p>
        </w:tc>
        <w:tc>
          <w:tcPr>
            <w:tcW w:w="340" w:type="dxa"/>
            <w:vAlign w:val="bottom"/>
            <w:gridSpan w:val="2"/>
          </w:tcPr>
          <w:p>
            <w:pPr>
              <w:spacing w:after="0"/>
              <w:rPr>
                <w:sz w:val="24"/>
                <w:szCs w:val="24"/>
                <w:color w:val="auto"/>
              </w:rPr>
            </w:pPr>
          </w:p>
        </w:tc>
        <w:tc>
          <w:tcPr>
            <w:tcW w:w="184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18">
              <w:r>
                <w:rPr>
                  <w:rFonts w:ascii="Arial" w:cs="Arial" w:eastAsia="Arial" w:hAnsi="Arial"/>
                  <w:sz w:val="18"/>
                  <w:szCs w:val="18"/>
                  <w:color w:val="0000EE"/>
                  <w:w w:val="93"/>
                </w:rPr>
                <w:t>OTHER INFORMATION</w:t>
              </w:r>
            </w:hyperlink>
          </w:p>
        </w:tc>
        <w:tc>
          <w:tcPr>
            <w:tcW w:w="6120" w:type="dxa"/>
            <w:vAlign w:val="bottom"/>
            <w:gridSpan w:val="6"/>
          </w:tcPr>
          <w:p>
            <w:pPr>
              <w:spacing w:after="0"/>
              <w:rPr>
                <w:sz w:val="24"/>
                <w:szCs w:val="24"/>
                <w:color w:val="auto"/>
              </w:rPr>
            </w:pPr>
          </w:p>
        </w:tc>
        <w:tc>
          <w:tcPr>
            <w:tcW w:w="1840" w:type="dxa"/>
            <w:vAlign w:val="bottom"/>
          </w:tcPr>
          <w:p>
            <w:pPr>
              <w:jc w:val="center"/>
              <w:ind w:left="1572"/>
              <w:spacing w:after="0"/>
              <w:rPr>
                <w:sz w:val="20"/>
                <w:szCs w:val="20"/>
                <w:color w:val="auto"/>
              </w:rPr>
            </w:pPr>
            <w:r>
              <w:rPr>
                <w:rFonts w:ascii="Arial" w:cs="Arial" w:eastAsia="Arial" w:hAnsi="Arial"/>
                <w:sz w:val="18"/>
                <w:szCs w:val="18"/>
                <w:color w:val="auto"/>
                <w:w w:val="89"/>
              </w:rPr>
              <w:t>23</w:t>
            </w:r>
          </w:p>
        </w:tc>
      </w:tr>
      <w:tr>
        <w:trPr>
          <w:trHeight w:val="345"/>
        </w:trPr>
        <w:tc>
          <w:tcPr>
            <w:tcW w:w="660" w:type="dxa"/>
            <w:vAlign w:val="bottom"/>
            <w:tcBorders>
              <w:bottom w:val="single" w:sz="8" w:color="0000EE"/>
            </w:tcBorders>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ITEM 1.</w:t>
              </w:r>
            </w:hyperlink>
          </w:p>
        </w:tc>
        <w:tc>
          <w:tcPr>
            <w:tcW w:w="380" w:type="dxa"/>
            <w:vAlign w:val="bottom"/>
            <w:gridSpan w:val="3"/>
          </w:tcPr>
          <w:p>
            <w:pPr>
              <w:spacing w:after="0"/>
              <w:rPr>
                <w:sz w:val="24"/>
                <w:szCs w:val="24"/>
                <w:color w:val="auto"/>
              </w:rPr>
            </w:pPr>
          </w:p>
        </w:tc>
        <w:tc>
          <w:tcPr>
            <w:tcW w:w="1300" w:type="dxa"/>
            <w:vAlign w:val="bottom"/>
            <w:tcBorders>
              <w:bottom w:val="single" w:sz="8" w:color="0000EE"/>
            </w:tcBorders>
            <w:gridSpan w:val="6"/>
          </w:tcPr>
          <w:p>
            <w:pPr>
              <w:spacing w:after="0"/>
              <w:rPr>
                <w:rFonts w:ascii="Arial" w:cs="Arial" w:eastAsia="Arial" w:hAnsi="Arial"/>
                <w:sz w:val="18"/>
                <w:szCs w:val="18"/>
                <w:color w:val="0000EE"/>
                <w:w w:val="85"/>
              </w:rPr>
            </w:pPr>
            <w:hyperlink w:anchor="page18">
              <w:r>
                <w:rPr>
                  <w:rFonts w:ascii="Arial" w:cs="Arial" w:eastAsia="Arial" w:hAnsi="Arial"/>
                  <w:sz w:val="18"/>
                  <w:szCs w:val="18"/>
                  <w:color w:val="0000EE"/>
                  <w:w w:val="85"/>
                </w:rPr>
                <w:t>Legal Proceedings</w:t>
              </w:r>
            </w:hyperlink>
          </w:p>
        </w:tc>
        <w:tc>
          <w:tcPr>
            <w:tcW w:w="6660" w:type="dxa"/>
            <w:vAlign w:val="bottom"/>
            <w:gridSpan w:val="8"/>
          </w:tcPr>
          <w:p>
            <w:pPr>
              <w:spacing w:after="0"/>
              <w:rPr>
                <w:sz w:val="24"/>
                <w:szCs w:val="24"/>
                <w:color w:val="auto"/>
              </w:rPr>
            </w:pPr>
          </w:p>
        </w:tc>
        <w:tc>
          <w:tcPr>
            <w:tcW w:w="1840" w:type="dxa"/>
            <w:vAlign w:val="bottom"/>
          </w:tcPr>
          <w:p>
            <w:pPr>
              <w:jc w:val="center"/>
              <w:ind w:left="1572"/>
              <w:spacing w:after="0"/>
              <w:rPr>
                <w:sz w:val="20"/>
                <w:szCs w:val="20"/>
                <w:color w:val="auto"/>
              </w:rPr>
            </w:pPr>
            <w:r>
              <w:rPr>
                <w:rFonts w:ascii="Arial" w:cs="Arial" w:eastAsia="Arial" w:hAnsi="Arial"/>
                <w:sz w:val="18"/>
                <w:szCs w:val="18"/>
                <w:color w:val="auto"/>
                <w:w w:val="89"/>
              </w:rPr>
              <w:t>23</w:t>
            </w:r>
          </w:p>
        </w:tc>
      </w:tr>
      <w:tr>
        <w:trPr>
          <w:trHeight w:val="345"/>
        </w:trPr>
        <w:tc>
          <w:tcPr>
            <w:tcW w:w="780" w:type="dxa"/>
            <w:vAlign w:val="bottom"/>
            <w:tcBorders>
              <w:bottom w:val="single" w:sz="8" w:color="0000EE"/>
            </w:tcBorders>
            <w:gridSpan w:val="3"/>
          </w:tcPr>
          <w:p>
            <w:pPr>
              <w:spacing w:after="0"/>
              <w:rPr>
                <w:rFonts w:ascii="Arial" w:cs="Arial" w:eastAsia="Arial" w:hAnsi="Arial"/>
                <w:sz w:val="18"/>
                <w:szCs w:val="18"/>
                <w:b w:val="1"/>
                <w:bCs w:val="1"/>
                <w:color w:val="0000EE"/>
                <w:w w:val="99"/>
              </w:rPr>
            </w:pPr>
            <w:hyperlink w:anchor="page18">
              <w:r>
                <w:rPr>
                  <w:rFonts w:ascii="Arial" w:cs="Arial" w:eastAsia="Arial" w:hAnsi="Arial"/>
                  <w:sz w:val="18"/>
                  <w:szCs w:val="18"/>
                  <w:b w:val="1"/>
                  <w:bCs w:val="1"/>
                  <w:color w:val="0000EE"/>
                  <w:w w:val="99"/>
                </w:rPr>
                <w:t>ITEM 1A.</w:t>
              </w:r>
            </w:hyperlink>
          </w:p>
        </w:tc>
        <w:tc>
          <w:tcPr>
            <w:tcW w:w="260" w:type="dxa"/>
            <w:vAlign w:val="bottom"/>
          </w:tcPr>
          <w:p>
            <w:pPr>
              <w:spacing w:after="0"/>
              <w:rPr>
                <w:sz w:val="24"/>
                <w:szCs w:val="24"/>
                <w:color w:val="auto"/>
              </w:rPr>
            </w:pPr>
          </w:p>
        </w:tc>
        <w:tc>
          <w:tcPr>
            <w:tcW w:w="88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18">
              <w:r>
                <w:rPr>
                  <w:rFonts w:ascii="Arial" w:cs="Arial" w:eastAsia="Arial" w:hAnsi="Arial"/>
                  <w:sz w:val="18"/>
                  <w:szCs w:val="18"/>
                  <w:color w:val="0000EE"/>
                  <w:w w:val="85"/>
                </w:rPr>
                <w:t>Risk Factors</w:t>
              </w:r>
            </w:hyperlink>
          </w:p>
        </w:tc>
        <w:tc>
          <w:tcPr>
            <w:tcW w:w="7080" w:type="dxa"/>
            <w:vAlign w:val="bottom"/>
            <w:gridSpan w:val="10"/>
          </w:tcPr>
          <w:p>
            <w:pPr>
              <w:spacing w:after="0"/>
              <w:rPr>
                <w:sz w:val="24"/>
                <w:szCs w:val="24"/>
                <w:color w:val="auto"/>
              </w:rPr>
            </w:pPr>
          </w:p>
        </w:tc>
        <w:tc>
          <w:tcPr>
            <w:tcW w:w="1840" w:type="dxa"/>
            <w:vAlign w:val="bottom"/>
          </w:tcPr>
          <w:p>
            <w:pPr>
              <w:jc w:val="center"/>
              <w:ind w:left="1572"/>
              <w:spacing w:after="0"/>
              <w:rPr>
                <w:sz w:val="20"/>
                <w:szCs w:val="20"/>
                <w:color w:val="auto"/>
              </w:rPr>
            </w:pPr>
            <w:r>
              <w:rPr>
                <w:rFonts w:ascii="Arial" w:cs="Arial" w:eastAsia="Arial" w:hAnsi="Arial"/>
                <w:sz w:val="18"/>
                <w:szCs w:val="18"/>
                <w:color w:val="auto"/>
                <w:w w:val="89"/>
              </w:rPr>
              <w:t>23</w:t>
            </w:r>
          </w:p>
        </w:tc>
      </w:tr>
      <w:tr>
        <w:trPr>
          <w:trHeight w:val="345"/>
        </w:trPr>
        <w:tc>
          <w:tcPr>
            <w:tcW w:w="660" w:type="dxa"/>
            <w:vAlign w:val="bottom"/>
            <w:tcBorders>
              <w:bottom w:val="single" w:sz="8" w:color="0000EE"/>
            </w:tcBorders>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ITEM 2.</w:t>
              </w:r>
            </w:hyperlink>
          </w:p>
        </w:tc>
        <w:tc>
          <w:tcPr>
            <w:tcW w:w="380" w:type="dxa"/>
            <w:vAlign w:val="bottom"/>
            <w:gridSpan w:val="3"/>
          </w:tcPr>
          <w:p>
            <w:pPr>
              <w:spacing w:after="0"/>
              <w:rPr>
                <w:sz w:val="24"/>
                <w:szCs w:val="24"/>
                <w:color w:val="auto"/>
              </w:rPr>
            </w:pPr>
          </w:p>
        </w:tc>
        <w:tc>
          <w:tcPr>
            <w:tcW w:w="4240" w:type="dxa"/>
            <w:vAlign w:val="bottom"/>
            <w:tcBorders>
              <w:bottom w:val="single" w:sz="8" w:color="0000EE"/>
            </w:tcBorders>
            <w:gridSpan w:val="10"/>
          </w:tcPr>
          <w:p>
            <w:pPr>
              <w:spacing w:after="0"/>
              <w:rPr>
                <w:rFonts w:ascii="Arial" w:cs="Arial" w:eastAsia="Arial" w:hAnsi="Arial"/>
                <w:sz w:val="18"/>
                <w:szCs w:val="18"/>
                <w:color w:val="0000EE"/>
                <w:w w:val="86"/>
              </w:rPr>
            </w:pPr>
            <w:hyperlink w:anchor="page18">
              <w:r>
                <w:rPr>
                  <w:rFonts w:ascii="Arial" w:cs="Arial" w:eastAsia="Arial" w:hAnsi="Arial"/>
                  <w:sz w:val="18"/>
                  <w:szCs w:val="18"/>
                  <w:color w:val="0000EE"/>
                  <w:w w:val="86"/>
                </w:rPr>
                <w:t>Unregistered Sales of Equity Securities and Use of Proceeds</w:t>
              </w:r>
            </w:hyperlink>
          </w:p>
        </w:tc>
        <w:tc>
          <w:tcPr>
            <w:tcW w:w="3720" w:type="dxa"/>
            <w:vAlign w:val="bottom"/>
            <w:gridSpan w:val="4"/>
          </w:tcPr>
          <w:p>
            <w:pPr>
              <w:spacing w:after="0"/>
              <w:rPr>
                <w:sz w:val="24"/>
                <w:szCs w:val="24"/>
                <w:color w:val="auto"/>
              </w:rPr>
            </w:pPr>
          </w:p>
        </w:tc>
        <w:tc>
          <w:tcPr>
            <w:tcW w:w="1840" w:type="dxa"/>
            <w:vAlign w:val="bottom"/>
          </w:tcPr>
          <w:p>
            <w:pPr>
              <w:jc w:val="center"/>
              <w:ind w:left="1572"/>
              <w:spacing w:after="0"/>
              <w:rPr>
                <w:sz w:val="20"/>
                <w:szCs w:val="20"/>
                <w:color w:val="auto"/>
              </w:rPr>
            </w:pPr>
            <w:r>
              <w:rPr>
                <w:rFonts w:ascii="Arial" w:cs="Arial" w:eastAsia="Arial" w:hAnsi="Arial"/>
                <w:sz w:val="18"/>
                <w:szCs w:val="18"/>
                <w:color w:val="auto"/>
                <w:w w:val="89"/>
              </w:rPr>
              <w:t>23</w:t>
            </w:r>
          </w:p>
        </w:tc>
      </w:tr>
      <w:tr>
        <w:trPr>
          <w:trHeight w:val="345"/>
        </w:trPr>
        <w:tc>
          <w:tcPr>
            <w:tcW w:w="660" w:type="dxa"/>
            <w:vAlign w:val="bottom"/>
            <w:tcBorders>
              <w:bottom w:val="single" w:sz="8" w:color="0000EE"/>
            </w:tcBorders>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ITEM 6.</w:t>
              </w:r>
            </w:hyperlink>
          </w:p>
        </w:tc>
        <w:tc>
          <w:tcPr>
            <w:tcW w:w="380" w:type="dxa"/>
            <w:vAlign w:val="bottom"/>
            <w:gridSpan w:val="3"/>
          </w:tcPr>
          <w:p>
            <w:pPr>
              <w:spacing w:after="0"/>
              <w:rPr>
                <w:sz w:val="24"/>
                <w:szCs w:val="24"/>
                <w:color w:val="auto"/>
              </w:rPr>
            </w:pPr>
          </w:p>
        </w:tc>
        <w:tc>
          <w:tcPr>
            <w:tcW w:w="58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18">
              <w:r>
                <w:rPr>
                  <w:rFonts w:ascii="Arial" w:cs="Arial" w:eastAsia="Arial" w:hAnsi="Arial"/>
                  <w:sz w:val="18"/>
                  <w:szCs w:val="18"/>
                  <w:color w:val="0000EE"/>
                  <w:w w:val="88"/>
                </w:rPr>
                <w:t>Exhibits</w:t>
              </w:r>
            </w:hyperlink>
          </w:p>
        </w:tc>
        <w:tc>
          <w:tcPr>
            <w:tcW w:w="7380" w:type="dxa"/>
            <w:vAlign w:val="bottom"/>
            <w:gridSpan w:val="12"/>
          </w:tcPr>
          <w:p>
            <w:pPr>
              <w:spacing w:after="0"/>
              <w:rPr>
                <w:sz w:val="24"/>
                <w:szCs w:val="24"/>
                <w:color w:val="auto"/>
              </w:rPr>
            </w:pPr>
          </w:p>
        </w:tc>
        <w:tc>
          <w:tcPr>
            <w:tcW w:w="1840" w:type="dxa"/>
            <w:vAlign w:val="bottom"/>
          </w:tcPr>
          <w:p>
            <w:pPr>
              <w:jc w:val="center"/>
              <w:ind w:left="1572"/>
              <w:spacing w:after="0"/>
              <w:rPr>
                <w:sz w:val="20"/>
                <w:szCs w:val="20"/>
                <w:color w:val="auto"/>
              </w:rPr>
            </w:pPr>
            <w:r>
              <w:rPr>
                <w:rFonts w:ascii="Arial" w:cs="Arial" w:eastAsia="Arial" w:hAnsi="Arial"/>
                <w:sz w:val="18"/>
                <w:szCs w:val="18"/>
                <w:color w:val="auto"/>
                <w:w w:val="89"/>
              </w:rPr>
              <w:t>24</w:t>
            </w:r>
          </w:p>
        </w:tc>
      </w:tr>
      <w:tr>
        <w:trPr>
          <w:trHeight w:val="345"/>
        </w:trPr>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Borders>
              <w:bottom w:val="single" w:sz="8" w:color="0000EE"/>
            </w:tcBorders>
            <w:gridSpan w:val="3"/>
          </w:tcPr>
          <w:p>
            <w:pPr>
              <w:spacing w:after="0"/>
              <w:rPr>
                <w:rFonts w:ascii="Arial" w:cs="Arial" w:eastAsia="Arial" w:hAnsi="Arial"/>
                <w:sz w:val="18"/>
                <w:szCs w:val="18"/>
                <w:color w:val="0000EE"/>
                <w:w w:val="83"/>
              </w:rPr>
            </w:pPr>
            <w:hyperlink w:anchor="page19">
              <w:r>
                <w:rPr>
                  <w:rFonts w:ascii="Arial" w:cs="Arial" w:eastAsia="Arial" w:hAnsi="Arial"/>
                  <w:sz w:val="18"/>
                  <w:szCs w:val="18"/>
                  <w:color w:val="0000EE"/>
                  <w:w w:val="83"/>
                </w:rPr>
                <w:t>Signatures</w:t>
              </w:r>
            </w:hyperlink>
          </w:p>
        </w:tc>
        <w:tc>
          <w:tcPr>
            <w:tcW w:w="7220" w:type="dxa"/>
            <w:vAlign w:val="bottom"/>
            <w:gridSpan w:val="11"/>
          </w:tcPr>
          <w:p>
            <w:pPr>
              <w:spacing w:after="0"/>
              <w:rPr>
                <w:sz w:val="24"/>
                <w:szCs w:val="24"/>
                <w:color w:val="auto"/>
              </w:rPr>
            </w:pPr>
          </w:p>
        </w:tc>
        <w:tc>
          <w:tcPr>
            <w:tcW w:w="1840" w:type="dxa"/>
            <w:vAlign w:val="bottom"/>
          </w:tcPr>
          <w:p>
            <w:pPr>
              <w:jc w:val="center"/>
              <w:ind w:left="1572"/>
              <w:spacing w:after="0"/>
              <w:rPr>
                <w:sz w:val="20"/>
                <w:szCs w:val="20"/>
                <w:color w:val="auto"/>
              </w:rPr>
            </w:pPr>
            <w:r>
              <w:rPr>
                <w:rFonts w:ascii="Arial" w:cs="Arial" w:eastAsia="Arial" w:hAnsi="Arial"/>
                <w:sz w:val="18"/>
                <w:szCs w:val="18"/>
                <w:color w:val="auto"/>
                <w:w w:val="89"/>
              </w:rPr>
              <w:t>25</w:t>
            </w:r>
          </w:p>
        </w:tc>
      </w:tr>
      <w:tr>
        <w:trPr>
          <w:trHeight w:val="345"/>
        </w:trPr>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Exhibit Index</w:t>
              </w:r>
            </w:hyperlink>
          </w:p>
        </w:tc>
        <w:tc>
          <w:tcPr>
            <w:tcW w:w="7000" w:type="dxa"/>
            <w:vAlign w:val="bottom"/>
            <w:gridSpan w:val="9"/>
          </w:tcPr>
          <w:p>
            <w:pPr>
              <w:spacing w:after="0"/>
              <w:rPr>
                <w:sz w:val="24"/>
                <w:szCs w:val="24"/>
                <w:color w:val="auto"/>
              </w:rPr>
            </w:pPr>
          </w:p>
        </w:tc>
        <w:tc>
          <w:tcPr>
            <w:tcW w:w="1840" w:type="dxa"/>
            <w:vAlign w:val="bottom"/>
          </w:tcPr>
          <w:p>
            <w:pPr>
              <w:jc w:val="center"/>
              <w:ind w:left="1572"/>
              <w:spacing w:after="0"/>
              <w:rPr>
                <w:sz w:val="20"/>
                <w:szCs w:val="20"/>
                <w:color w:val="auto"/>
              </w:rPr>
            </w:pPr>
            <w:r>
              <w:rPr>
                <w:rFonts w:ascii="Arial" w:cs="Arial" w:eastAsia="Arial" w:hAnsi="Arial"/>
                <w:sz w:val="18"/>
                <w:szCs w:val="18"/>
                <w:color w:val="auto"/>
                <w:w w:val="89"/>
              </w:rPr>
              <w:t>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60" w:type="dxa"/>
            <w:vAlign w:val="bottom"/>
            <w:gridSpan w:val="2"/>
          </w:tcPr>
          <w:p>
            <w:pPr>
              <w:spacing w:after="0"/>
              <w:rPr>
                <w:sz w:val="20"/>
                <w:szCs w:val="20"/>
                <w:color w:val="auto"/>
              </w:rPr>
            </w:pPr>
            <w:r>
              <w:rPr>
                <w:rFonts w:ascii="Arial" w:cs="Arial" w:eastAsia="Arial" w:hAnsi="Arial"/>
                <w:sz w:val="22"/>
                <w:szCs w:val="22"/>
                <w:b w:val="1"/>
                <w:bCs w:val="1"/>
                <w:color w:val="auto"/>
              </w:rPr>
              <w:t>PART I.</w:t>
            </w:r>
          </w:p>
        </w:tc>
        <w:tc>
          <w:tcPr>
            <w:tcW w:w="3780" w:type="dxa"/>
            <w:vAlign w:val="bottom"/>
          </w:tcPr>
          <w:p>
            <w:pPr>
              <w:ind w:left="40"/>
              <w:spacing w:after="0"/>
              <w:rPr>
                <w:sz w:val="20"/>
                <w:szCs w:val="20"/>
                <w:color w:val="auto"/>
              </w:rPr>
            </w:pPr>
            <w:r>
              <w:rPr>
                <w:rFonts w:ascii="Arial" w:cs="Arial" w:eastAsia="Arial" w:hAnsi="Arial"/>
                <w:sz w:val="22"/>
                <w:szCs w:val="22"/>
                <w:b w:val="1"/>
                <w:bCs w:val="1"/>
                <w:color w:val="auto"/>
              </w:rPr>
              <w:t>FINANCIAL INFORMATION</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1260" w:type="dxa"/>
            <w:vAlign w:val="bottom"/>
            <w:gridSpan w:val="2"/>
          </w:tcPr>
          <w:p>
            <w:pPr>
              <w:spacing w:after="0"/>
              <w:rPr>
                <w:sz w:val="20"/>
                <w:szCs w:val="20"/>
                <w:color w:val="auto"/>
              </w:rPr>
            </w:pPr>
            <w:r>
              <w:rPr>
                <w:rFonts w:ascii="Arial" w:cs="Arial" w:eastAsia="Arial" w:hAnsi="Arial"/>
                <w:sz w:val="22"/>
                <w:szCs w:val="22"/>
                <w:b w:val="1"/>
                <w:bCs w:val="1"/>
                <w:color w:val="auto"/>
              </w:rPr>
              <w:t>Item 1.</w:t>
            </w:r>
          </w:p>
        </w:tc>
        <w:tc>
          <w:tcPr>
            <w:tcW w:w="3780" w:type="dxa"/>
            <w:vAlign w:val="bottom"/>
          </w:tcPr>
          <w:p>
            <w:pPr>
              <w:ind w:left="40"/>
              <w:spacing w:after="0"/>
              <w:rPr>
                <w:sz w:val="20"/>
                <w:szCs w:val="20"/>
                <w:color w:val="auto"/>
              </w:rPr>
            </w:pPr>
            <w:r>
              <w:rPr>
                <w:rFonts w:ascii="Arial" w:cs="Arial" w:eastAsia="Arial" w:hAnsi="Arial"/>
                <w:sz w:val="22"/>
                <w:szCs w:val="22"/>
                <w:b w:val="1"/>
                <w:bCs w:val="1"/>
                <w:color w:val="auto"/>
              </w:rPr>
              <w:t>Financial Statements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Thirteen</w:t>
            </w: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jc w:val="center"/>
              <w:ind w:right="298"/>
              <w:spacing w:after="0"/>
              <w:rPr>
                <w:sz w:val="20"/>
                <w:szCs w:val="20"/>
                <w:color w:val="auto"/>
              </w:rPr>
            </w:pPr>
            <w:r>
              <w:rPr>
                <w:rFonts w:ascii="Arial" w:cs="Arial" w:eastAsia="Arial" w:hAnsi="Arial"/>
                <w:sz w:val="14"/>
                <w:szCs w:val="14"/>
                <w:b w:val="1"/>
                <w:bCs w:val="1"/>
                <w:color w:val="auto"/>
                <w:w w:val="94"/>
              </w:rPr>
              <w:t>Thirty-Nine</w:t>
            </w:r>
          </w:p>
        </w:tc>
        <w:tc>
          <w:tcPr>
            <w:tcW w:w="420" w:type="dxa"/>
            <w:vAlign w:val="bottom"/>
          </w:tcPr>
          <w:p>
            <w:pPr>
              <w:spacing w:after="0"/>
              <w:rPr>
                <w:sz w:val="24"/>
                <w:szCs w:val="24"/>
                <w:color w:val="auto"/>
              </w:rPr>
            </w:pPr>
          </w:p>
        </w:tc>
        <w:tc>
          <w:tcPr>
            <w:tcW w:w="1080" w:type="dxa"/>
            <w:vAlign w:val="bottom"/>
          </w:tcPr>
          <w:p>
            <w:pPr>
              <w:jc w:val="center"/>
              <w:ind w:right="297"/>
              <w:spacing w:after="0"/>
              <w:rPr>
                <w:sz w:val="20"/>
                <w:szCs w:val="20"/>
                <w:color w:val="auto"/>
              </w:rPr>
            </w:pPr>
            <w:r>
              <w:rPr>
                <w:rFonts w:ascii="Arial" w:cs="Arial" w:eastAsia="Arial" w:hAnsi="Arial"/>
                <w:sz w:val="14"/>
                <w:szCs w:val="14"/>
                <w:b w:val="1"/>
                <w:bCs w:val="1"/>
                <w:color w:val="auto"/>
                <w:w w:val="97"/>
              </w:rPr>
              <w:t>Forty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Weeks Ended</w:t>
            </w:r>
          </w:p>
        </w:tc>
        <w:tc>
          <w:tcPr>
            <w:tcW w:w="1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Weeks Ended</w:t>
            </w: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ind w:right="516"/>
              <w:spacing w:after="0" w:line="136" w:lineRule="exact"/>
              <w:rPr>
                <w:sz w:val="20"/>
                <w:szCs w:val="20"/>
                <w:color w:val="auto"/>
              </w:rPr>
            </w:pPr>
            <w:r>
              <w:rPr>
                <w:rFonts w:ascii="Arial" w:cs="Arial" w:eastAsia="Arial" w:hAnsi="Arial"/>
                <w:sz w:val="14"/>
                <w:szCs w:val="14"/>
                <w:b w:val="1"/>
                <w:bCs w:val="1"/>
                <w:color w:val="auto"/>
              </w:rPr>
              <w:t>May 30,</w:t>
            </w:r>
          </w:p>
        </w:tc>
        <w:tc>
          <w:tcPr>
            <w:tcW w:w="460" w:type="dxa"/>
            <w:vAlign w:val="bottom"/>
          </w:tcPr>
          <w:p>
            <w:pPr>
              <w:spacing w:after="0"/>
              <w:rPr>
                <w:sz w:val="11"/>
                <w:szCs w:val="11"/>
                <w:color w:val="auto"/>
              </w:rPr>
            </w:pPr>
          </w:p>
        </w:tc>
        <w:tc>
          <w:tcPr>
            <w:tcW w:w="1140" w:type="dxa"/>
            <w:vAlign w:val="bottom"/>
          </w:tcPr>
          <w:p>
            <w:pPr>
              <w:jc w:val="right"/>
              <w:ind w:right="494"/>
              <w:spacing w:after="0" w:line="136" w:lineRule="exact"/>
              <w:rPr>
                <w:sz w:val="20"/>
                <w:szCs w:val="20"/>
                <w:color w:val="auto"/>
              </w:rPr>
            </w:pPr>
            <w:r>
              <w:rPr>
                <w:rFonts w:ascii="Arial" w:cs="Arial" w:eastAsia="Arial" w:hAnsi="Arial"/>
                <w:sz w:val="14"/>
                <w:szCs w:val="14"/>
                <w:b w:val="1"/>
                <w:bCs w:val="1"/>
                <w:color w:val="auto"/>
              </w:rPr>
              <w:t>May 31,</w:t>
            </w:r>
          </w:p>
        </w:tc>
        <w:tc>
          <w:tcPr>
            <w:tcW w:w="340" w:type="dxa"/>
            <w:vAlign w:val="bottom"/>
          </w:tcPr>
          <w:p>
            <w:pPr>
              <w:spacing w:after="0"/>
              <w:rPr>
                <w:sz w:val="11"/>
                <w:szCs w:val="11"/>
                <w:color w:val="auto"/>
              </w:rPr>
            </w:pPr>
          </w:p>
        </w:tc>
        <w:tc>
          <w:tcPr>
            <w:tcW w:w="1240" w:type="dxa"/>
            <w:vAlign w:val="bottom"/>
          </w:tcPr>
          <w:p>
            <w:pPr>
              <w:jc w:val="center"/>
              <w:ind w:right="298"/>
              <w:spacing w:after="0" w:line="136" w:lineRule="exact"/>
              <w:rPr>
                <w:sz w:val="20"/>
                <w:szCs w:val="20"/>
                <w:color w:val="auto"/>
              </w:rPr>
            </w:pPr>
            <w:r>
              <w:rPr>
                <w:rFonts w:ascii="Arial" w:cs="Arial" w:eastAsia="Arial" w:hAnsi="Arial"/>
                <w:sz w:val="14"/>
                <w:szCs w:val="14"/>
                <w:b w:val="1"/>
                <w:bCs w:val="1"/>
                <w:color w:val="auto"/>
                <w:w w:val="90"/>
              </w:rPr>
              <w:t>May 30,</w:t>
            </w:r>
          </w:p>
        </w:tc>
        <w:tc>
          <w:tcPr>
            <w:tcW w:w="420" w:type="dxa"/>
            <w:vAlign w:val="bottom"/>
          </w:tcPr>
          <w:p>
            <w:pPr>
              <w:spacing w:after="0"/>
              <w:rPr>
                <w:sz w:val="11"/>
                <w:szCs w:val="11"/>
                <w:color w:val="auto"/>
              </w:rPr>
            </w:pPr>
          </w:p>
        </w:tc>
        <w:tc>
          <w:tcPr>
            <w:tcW w:w="1080" w:type="dxa"/>
            <w:vAlign w:val="bottom"/>
          </w:tcPr>
          <w:p>
            <w:pPr>
              <w:jc w:val="center"/>
              <w:ind w:right="297"/>
              <w:spacing w:after="0" w:line="136" w:lineRule="exact"/>
              <w:rPr>
                <w:sz w:val="20"/>
                <w:szCs w:val="20"/>
                <w:color w:val="auto"/>
              </w:rPr>
            </w:pPr>
            <w:r>
              <w:rPr>
                <w:rFonts w:ascii="Arial" w:cs="Arial" w:eastAsia="Arial" w:hAnsi="Arial"/>
                <w:sz w:val="14"/>
                <w:szCs w:val="14"/>
                <w:b w:val="1"/>
                <w:bCs w:val="1"/>
                <w:color w:val="auto"/>
                <w:w w:val="90"/>
              </w:rPr>
              <w:t>May 31,</w:t>
            </w:r>
          </w:p>
        </w:tc>
        <w:tc>
          <w:tcPr>
            <w:tcW w:w="0" w:type="dxa"/>
            <w:vAlign w:val="bottom"/>
          </w:tcPr>
          <w:p>
            <w:pPr>
              <w:spacing w:after="0"/>
              <w:rPr>
                <w:sz w:val="1"/>
                <w:szCs w:val="1"/>
                <w:color w:val="auto"/>
              </w:rPr>
            </w:pPr>
          </w:p>
        </w:tc>
      </w:tr>
      <w:tr>
        <w:trPr>
          <w:trHeight w:val="168"/>
        </w:trPr>
        <w:tc>
          <w:tcPr>
            <w:tcW w:w="504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616"/>
              <w:spacing w:after="0"/>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4"/>
                <w:szCs w:val="14"/>
                <w:color w:val="auto"/>
              </w:rPr>
            </w:pPr>
          </w:p>
        </w:tc>
        <w:tc>
          <w:tcPr>
            <w:tcW w:w="1140" w:type="dxa"/>
            <w:vAlign w:val="bottom"/>
          </w:tcPr>
          <w:p>
            <w:pPr>
              <w:jc w:val="right"/>
              <w:ind w:right="594"/>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1240" w:type="dxa"/>
            <w:vAlign w:val="bottom"/>
          </w:tcPr>
          <w:p>
            <w:pPr>
              <w:jc w:val="center"/>
              <w:ind w:right="298"/>
              <w:spacing w:after="0"/>
              <w:rPr>
                <w:sz w:val="20"/>
                <w:szCs w:val="20"/>
                <w:color w:val="auto"/>
              </w:rPr>
            </w:pPr>
            <w:r>
              <w:rPr>
                <w:rFonts w:ascii="Arial" w:cs="Arial" w:eastAsia="Arial" w:hAnsi="Arial"/>
                <w:sz w:val="14"/>
                <w:szCs w:val="14"/>
                <w:b w:val="1"/>
                <w:bCs w:val="1"/>
                <w:color w:val="auto"/>
                <w:w w:val="83"/>
              </w:rPr>
              <w:t>2009</w:t>
            </w:r>
          </w:p>
        </w:tc>
        <w:tc>
          <w:tcPr>
            <w:tcW w:w="420" w:type="dxa"/>
            <w:vAlign w:val="bottom"/>
          </w:tcPr>
          <w:p>
            <w:pPr>
              <w:spacing w:after="0"/>
              <w:rPr>
                <w:sz w:val="14"/>
                <w:szCs w:val="14"/>
                <w:color w:val="auto"/>
              </w:rPr>
            </w:pPr>
          </w:p>
        </w:tc>
        <w:tc>
          <w:tcPr>
            <w:tcW w:w="1080" w:type="dxa"/>
            <w:vAlign w:val="bottom"/>
          </w:tcPr>
          <w:p>
            <w:pPr>
              <w:jc w:val="center"/>
              <w:ind w:right="297"/>
              <w:spacing w:after="0"/>
              <w:rPr>
                <w:sz w:val="20"/>
                <w:szCs w:val="20"/>
                <w:color w:val="auto"/>
              </w:rPr>
            </w:pPr>
            <w:r>
              <w:rPr>
                <w:rFonts w:ascii="Arial" w:cs="Arial" w:eastAsia="Arial" w:hAnsi="Arial"/>
                <w:sz w:val="14"/>
                <w:szCs w:val="14"/>
                <w:b w:val="1"/>
                <w:bCs w:val="1"/>
                <w:color w:val="auto"/>
                <w:w w:val="83"/>
              </w:rPr>
              <w:t>2008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7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D6F3E8"/>
          </w:tcPr>
          <w:p>
            <w:pPr>
              <w:spacing w:after="0"/>
              <w:rPr>
                <w:sz w:val="20"/>
                <w:szCs w:val="20"/>
                <w:color w:val="auto"/>
              </w:rPr>
            </w:pPr>
            <w:r>
              <w:rPr>
                <w:rFonts w:ascii="Arial" w:cs="Arial" w:eastAsia="Arial" w:hAnsi="Arial"/>
                <w:sz w:val="18"/>
                <w:szCs w:val="18"/>
                <w:color w:val="auto"/>
              </w:rPr>
              <w:t>Net revenues</w:t>
            </w:r>
          </w:p>
        </w:tc>
        <w:tc>
          <w:tcPr>
            <w:tcW w:w="3780" w:type="dxa"/>
            <w:vAlign w:val="bottom"/>
            <w:shd w:val="clear" w:color="auto" w:fill="D6F3E8"/>
          </w:tcPr>
          <w:p>
            <w:pPr>
              <w:spacing w:after="0"/>
              <w:rPr>
                <w:sz w:val="18"/>
                <w:szCs w:val="18"/>
                <w:color w:val="auto"/>
              </w:rPr>
            </w:pPr>
          </w:p>
        </w:tc>
        <w:tc>
          <w:tcPr>
            <w:tcW w:w="480" w:type="dxa"/>
            <w:vAlign w:val="bottom"/>
            <w:gridSpan w:val="2"/>
            <w:shd w:val="clear" w:color="auto" w:fill="D6F3E8"/>
          </w:tcPr>
          <w:p>
            <w:pPr>
              <w:jc w:val="right"/>
              <w:ind w:right="83"/>
              <w:spacing w:after="0"/>
              <w:rPr>
                <w:sz w:val="20"/>
                <w:szCs w:val="20"/>
                <w:color w:val="auto"/>
              </w:rPr>
            </w:pPr>
            <w:r>
              <w:rPr>
                <w:rFonts w:ascii="Arial" w:cs="Arial" w:eastAsia="Arial" w:hAnsi="Arial"/>
                <w:sz w:val="18"/>
                <w:szCs w:val="18"/>
                <w:color w:val="auto"/>
              </w:rPr>
              <w:t>$</w:t>
            </w:r>
          </w:p>
        </w:tc>
        <w:tc>
          <w:tcPr>
            <w:tcW w:w="1220" w:type="dxa"/>
            <w:vAlign w:val="bottom"/>
            <w:shd w:val="clear" w:color="auto" w:fill="D6F3E8"/>
          </w:tcPr>
          <w:p>
            <w:pPr>
              <w:jc w:val="right"/>
              <w:ind w:right="116"/>
              <w:spacing w:after="0"/>
              <w:rPr>
                <w:sz w:val="20"/>
                <w:szCs w:val="20"/>
                <w:color w:val="auto"/>
              </w:rPr>
            </w:pPr>
            <w:r>
              <w:rPr>
                <w:rFonts w:ascii="Arial" w:cs="Arial" w:eastAsia="Arial" w:hAnsi="Arial"/>
                <w:sz w:val="18"/>
                <w:szCs w:val="18"/>
                <w:color w:val="auto"/>
              </w:rPr>
              <w:t>50,848</w:t>
            </w:r>
          </w:p>
        </w:tc>
        <w:tc>
          <w:tcPr>
            <w:tcW w:w="460" w:type="dxa"/>
            <w:vAlign w:val="bottom"/>
            <w:shd w:val="clear" w:color="auto" w:fill="D6F3E8"/>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shd w:val="clear" w:color="auto" w:fill="D6F3E8"/>
          </w:tcPr>
          <w:p>
            <w:pPr>
              <w:jc w:val="right"/>
              <w:ind w:right="94"/>
              <w:spacing w:after="0"/>
              <w:rPr>
                <w:sz w:val="20"/>
                <w:szCs w:val="20"/>
                <w:color w:val="auto"/>
              </w:rPr>
            </w:pPr>
            <w:r>
              <w:rPr>
                <w:rFonts w:ascii="Arial" w:cs="Arial" w:eastAsia="Arial" w:hAnsi="Arial"/>
                <w:sz w:val="18"/>
                <w:szCs w:val="18"/>
                <w:color w:val="auto"/>
              </w:rPr>
              <w:t>139,736</w:t>
            </w:r>
          </w:p>
        </w:tc>
        <w:tc>
          <w:tcPr>
            <w:tcW w:w="34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w:t>
            </w:r>
          </w:p>
        </w:tc>
        <w:tc>
          <w:tcPr>
            <w:tcW w:w="1240" w:type="dxa"/>
            <w:vAlign w:val="bottom"/>
            <w:shd w:val="clear" w:color="auto" w:fill="D6F3E8"/>
          </w:tcPr>
          <w:p>
            <w:pPr>
              <w:jc w:val="right"/>
              <w:ind w:right="98"/>
              <w:spacing w:after="0"/>
              <w:rPr>
                <w:sz w:val="20"/>
                <w:szCs w:val="20"/>
                <w:color w:val="auto"/>
              </w:rPr>
            </w:pPr>
            <w:r>
              <w:rPr>
                <w:rFonts w:ascii="Arial" w:cs="Arial" w:eastAsia="Arial" w:hAnsi="Arial"/>
                <w:sz w:val="18"/>
                <w:szCs w:val="18"/>
                <w:color w:val="auto"/>
              </w:rPr>
              <w:t>152,054</w:t>
            </w:r>
          </w:p>
        </w:tc>
        <w:tc>
          <w:tcPr>
            <w:tcW w:w="42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rPr>
              <w:t>$</w:t>
            </w:r>
          </w:p>
        </w:tc>
        <w:tc>
          <w:tcPr>
            <w:tcW w:w="1080" w:type="dxa"/>
            <w:vAlign w:val="bottom"/>
            <w:shd w:val="clear" w:color="auto" w:fill="D6F3E8"/>
          </w:tcPr>
          <w:p>
            <w:pPr>
              <w:jc w:val="right"/>
              <w:ind w:right="17"/>
              <w:spacing w:after="0"/>
              <w:rPr>
                <w:sz w:val="20"/>
                <w:szCs w:val="20"/>
                <w:color w:val="auto"/>
              </w:rPr>
            </w:pPr>
            <w:r>
              <w:rPr>
                <w:rFonts w:ascii="Arial" w:cs="Arial" w:eastAsia="Arial" w:hAnsi="Arial"/>
                <w:sz w:val="18"/>
                <w:szCs w:val="18"/>
                <w:color w:val="auto"/>
              </w:rPr>
              <w:t>519,081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59,133</w:t>
            </w: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137,112</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color w:val="auto"/>
              </w:rPr>
              <w:t>181,025</w:t>
            </w: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478,648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24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Gross (deficit) profit</w:t>
            </w:r>
          </w:p>
        </w:tc>
        <w:tc>
          <w:tcPr>
            <w:tcW w:w="240" w:type="dxa"/>
            <w:vAlign w:val="bottom"/>
            <w:shd w:val="clear" w:color="auto" w:fill="D6F3E8"/>
          </w:tcPr>
          <w:p>
            <w:pPr>
              <w:spacing w:after="0"/>
              <w:rPr>
                <w:sz w:val="18"/>
                <w:szCs w:val="18"/>
                <w:color w:val="auto"/>
              </w:rPr>
            </w:pPr>
          </w:p>
        </w:tc>
        <w:tc>
          <w:tcPr>
            <w:tcW w:w="240" w:type="dxa"/>
            <w:vAlign w:val="bottom"/>
            <w:tcBorders>
              <w:bottom w:val="single" w:sz="8" w:color="auto"/>
            </w:tcBorders>
            <w:shd w:val="clear" w:color="auto" w:fill="D6F3E8"/>
          </w:tcPr>
          <w:p>
            <w:pPr>
              <w:spacing w:after="0"/>
              <w:rPr>
                <w:sz w:val="18"/>
                <w:szCs w:val="18"/>
                <w:color w:val="auto"/>
              </w:rPr>
            </w:pPr>
          </w:p>
        </w:tc>
        <w:tc>
          <w:tcPr>
            <w:tcW w:w="1220" w:type="dxa"/>
            <w:vAlign w:val="bottom"/>
            <w:tcBorders>
              <w:bottom w:val="single" w:sz="8" w:color="auto"/>
            </w:tcBorders>
            <w:shd w:val="clear" w:color="auto" w:fill="D6F3E8"/>
          </w:tcPr>
          <w:p>
            <w:pPr>
              <w:jc w:val="right"/>
              <w:ind w:right="56"/>
              <w:spacing w:after="0"/>
              <w:rPr>
                <w:sz w:val="20"/>
                <w:szCs w:val="20"/>
                <w:color w:val="auto"/>
              </w:rPr>
            </w:pPr>
            <w:r>
              <w:rPr>
                <w:rFonts w:ascii="Arial" w:cs="Arial" w:eastAsia="Arial" w:hAnsi="Arial"/>
                <w:sz w:val="18"/>
                <w:szCs w:val="18"/>
                <w:color w:val="auto"/>
              </w:rPr>
              <w:t>(8,285)</w:t>
            </w:r>
          </w:p>
        </w:tc>
        <w:tc>
          <w:tcPr>
            <w:tcW w:w="460" w:type="dxa"/>
            <w:vAlign w:val="bottom"/>
            <w:tcBorders>
              <w:bottom w:val="single" w:sz="8" w:color="auto"/>
            </w:tcBorders>
            <w:shd w:val="clear" w:color="auto" w:fill="D6F3E8"/>
          </w:tcPr>
          <w:p>
            <w:pPr>
              <w:spacing w:after="0"/>
              <w:rPr>
                <w:sz w:val="18"/>
                <w:szCs w:val="18"/>
                <w:color w:val="auto"/>
              </w:rPr>
            </w:pPr>
          </w:p>
        </w:tc>
        <w:tc>
          <w:tcPr>
            <w:tcW w:w="1140" w:type="dxa"/>
            <w:vAlign w:val="bottom"/>
            <w:tcBorders>
              <w:bottom w:val="single" w:sz="8" w:color="auto"/>
            </w:tcBorders>
            <w:shd w:val="clear" w:color="auto" w:fill="D6F3E8"/>
          </w:tcPr>
          <w:p>
            <w:pPr>
              <w:jc w:val="right"/>
              <w:ind w:right="94"/>
              <w:spacing w:after="0"/>
              <w:rPr>
                <w:sz w:val="20"/>
                <w:szCs w:val="20"/>
                <w:color w:val="auto"/>
              </w:rPr>
            </w:pPr>
            <w:r>
              <w:rPr>
                <w:rFonts w:ascii="Arial" w:cs="Arial" w:eastAsia="Arial" w:hAnsi="Arial"/>
                <w:sz w:val="18"/>
                <w:szCs w:val="18"/>
                <w:color w:val="auto"/>
              </w:rPr>
              <w:t>2,624</w:t>
            </w:r>
          </w:p>
        </w:tc>
        <w:tc>
          <w:tcPr>
            <w:tcW w:w="340" w:type="dxa"/>
            <w:vAlign w:val="bottom"/>
            <w:tcBorders>
              <w:bottom w:val="single" w:sz="8" w:color="auto"/>
            </w:tcBorders>
            <w:shd w:val="clear" w:color="auto" w:fill="D6F3E8"/>
          </w:tcPr>
          <w:p>
            <w:pPr>
              <w:spacing w:after="0"/>
              <w:rPr>
                <w:sz w:val="18"/>
                <w:szCs w:val="18"/>
                <w:color w:val="auto"/>
              </w:rPr>
            </w:pPr>
          </w:p>
        </w:tc>
        <w:tc>
          <w:tcPr>
            <w:tcW w:w="1240" w:type="dxa"/>
            <w:vAlign w:val="bottom"/>
            <w:tcBorders>
              <w:bottom w:val="single" w:sz="8" w:color="auto"/>
            </w:tcBorders>
            <w:shd w:val="clear" w:color="auto" w:fill="D6F3E8"/>
          </w:tcPr>
          <w:p>
            <w:pPr>
              <w:jc w:val="right"/>
              <w:ind w:right="38"/>
              <w:spacing w:after="0"/>
              <w:rPr>
                <w:sz w:val="20"/>
                <w:szCs w:val="20"/>
                <w:color w:val="auto"/>
              </w:rPr>
            </w:pPr>
            <w:r>
              <w:rPr>
                <w:rFonts w:ascii="Arial" w:cs="Arial" w:eastAsia="Arial" w:hAnsi="Arial"/>
                <w:sz w:val="18"/>
                <w:szCs w:val="18"/>
                <w:color w:val="auto"/>
              </w:rPr>
              <w:t>(28,971)</w:t>
            </w:r>
          </w:p>
        </w:tc>
        <w:tc>
          <w:tcPr>
            <w:tcW w:w="420" w:type="dxa"/>
            <w:vAlign w:val="bottom"/>
            <w:tcBorders>
              <w:bottom w:val="single" w:sz="8" w:color="auto"/>
            </w:tcBorders>
            <w:shd w:val="clear" w:color="auto" w:fill="D6F3E8"/>
          </w:tcPr>
          <w:p>
            <w:pPr>
              <w:spacing w:after="0"/>
              <w:rPr>
                <w:sz w:val="18"/>
                <w:szCs w:val="18"/>
                <w:color w:val="auto"/>
              </w:rPr>
            </w:pPr>
          </w:p>
        </w:tc>
        <w:tc>
          <w:tcPr>
            <w:tcW w:w="1080" w:type="dxa"/>
            <w:vAlign w:val="bottom"/>
            <w:tcBorders>
              <w:bottom w:val="single" w:sz="8" w:color="auto"/>
            </w:tcBorders>
            <w:shd w:val="clear" w:color="auto" w:fill="D6F3E8"/>
          </w:tcPr>
          <w:p>
            <w:pPr>
              <w:jc w:val="right"/>
              <w:ind w:right="17"/>
              <w:spacing w:after="0"/>
              <w:rPr>
                <w:sz w:val="20"/>
                <w:szCs w:val="20"/>
                <w:color w:val="auto"/>
              </w:rPr>
            </w:pPr>
            <w:r>
              <w:rPr>
                <w:rFonts w:ascii="Arial" w:cs="Arial" w:eastAsia="Arial" w:hAnsi="Arial"/>
                <w:sz w:val="18"/>
                <w:szCs w:val="18"/>
                <w:color w:val="auto"/>
              </w:rPr>
              <w:t>40,433</w:t>
            </w:r>
          </w:p>
        </w:tc>
        <w:tc>
          <w:tcPr>
            <w:tcW w:w="0" w:type="dxa"/>
            <w:vAlign w:val="bottom"/>
          </w:tcPr>
          <w:p>
            <w:pPr>
              <w:spacing w:after="0"/>
              <w:rPr>
                <w:sz w:val="1"/>
                <w:szCs w:val="1"/>
                <w:color w:val="auto"/>
              </w:rPr>
            </w:pPr>
          </w:p>
        </w:tc>
      </w:tr>
      <w:tr>
        <w:trPr>
          <w:trHeight w:val="350"/>
        </w:trPr>
        <w:tc>
          <w:tcPr>
            <w:tcW w:w="504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40" w:type="dxa"/>
            <w:vAlign w:val="bottom"/>
          </w:tcPr>
          <w:p>
            <w:pPr>
              <w:ind w:left="320"/>
              <w:spacing w:after="0"/>
              <w:rPr>
                <w:sz w:val="20"/>
                <w:szCs w:val="20"/>
                <w:color w:val="auto"/>
              </w:rPr>
            </w:pPr>
            <w:r>
              <w:rPr>
                <w:rFonts w:ascii="Arial" w:cs="Arial" w:eastAsia="Arial" w:hAnsi="Arial"/>
                <w:sz w:val="18"/>
                <w:szCs w:val="18"/>
                <w:color w:val="auto"/>
              </w:rPr>
              <w:t>Selling</w:t>
            </w:r>
          </w:p>
        </w:tc>
        <w:tc>
          <w:tcPr>
            <w:tcW w:w="3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116"/>
              <w:spacing w:after="0"/>
              <w:rPr>
                <w:sz w:val="20"/>
                <w:szCs w:val="20"/>
                <w:color w:val="auto"/>
              </w:rPr>
            </w:pPr>
            <w:r>
              <w:rPr>
                <w:rFonts w:ascii="Arial" w:cs="Arial" w:eastAsia="Arial" w:hAnsi="Arial"/>
                <w:sz w:val="18"/>
                <w:szCs w:val="18"/>
                <w:color w:val="auto"/>
              </w:rPr>
              <w:t>3,083</w:t>
            </w:r>
          </w:p>
        </w:tc>
        <w:tc>
          <w:tcPr>
            <w:tcW w:w="460" w:type="dxa"/>
            <w:vAlign w:val="bottom"/>
          </w:tcPr>
          <w:p>
            <w:pPr>
              <w:spacing w:after="0"/>
              <w:rPr>
                <w:sz w:val="19"/>
                <w:szCs w:val="19"/>
                <w:color w:val="auto"/>
              </w:rPr>
            </w:pP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5,085</w:t>
            </w:r>
          </w:p>
        </w:tc>
        <w:tc>
          <w:tcPr>
            <w:tcW w:w="340" w:type="dxa"/>
            <w:vAlign w:val="bottom"/>
          </w:tcPr>
          <w:p>
            <w:pPr>
              <w:spacing w:after="0"/>
              <w:rPr>
                <w:sz w:val="19"/>
                <w:szCs w:val="19"/>
                <w:color w:val="auto"/>
              </w:rPr>
            </w:pPr>
          </w:p>
        </w:tc>
        <w:tc>
          <w:tcPr>
            <w:tcW w:w="1240" w:type="dxa"/>
            <w:vAlign w:val="bottom"/>
          </w:tcPr>
          <w:p>
            <w:pPr>
              <w:jc w:val="right"/>
              <w:ind w:right="98"/>
              <w:spacing w:after="0"/>
              <w:rPr>
                <w:sz w:val="20"/>
                <w:szCs w:val="20"/>
                <w:color w:val="auto"/>
              </w:rPr>
            </w:pPr>
            <w:r>
              <w:rPr>
                <w:rFonts w:ascii="Arial" w:cs="Arial" w:eastAsia="Arial" w:hAnsi="Arial"/>
                <w:sz w:val="18"/>
                <w:szCs w:val="18"/>
                <w:color w:val="auto"/>
              </w:rPr>
              <w:t>9,564</w:t>
            </w:r>
          </w:p>
        </w:tc>
        <w:tc>
          <w:tcPr>
            <w:tcW w:w="420" w:type="dxa"/>
            <w:vAlign w:val="bottom"/>
          </w:tcPr>
          <w:p>
            <w:pPr>
              <w:spacing w:after="0"/>
              <w:rPr>
                <w:sz w:val="19"/>
                <w:szCs w:val="19"/>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14,948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gridSpan w:val="2"/>
            <w:shd w:val="clear" w:color="auto" w:fill="D6F3E8"/>
          </w:tcPr>
          <w:p>
            <w:pPr>
              <w:ind w:left="3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D6F3E8"/>
          </w:tcPr>
          <w:p>
            <w:pPr>
              <w:spacing w:after="0"/>
              <w:rPr>
                <w:sz w:val="18"/>
                <w:szCs w:val="18"/>
                <w:color w:val="auto"/>
              </w:rPr>
            </w:pPr>
          </w:p>
        </w:tc>
        <w:tc>
          <w:tcPr>
            <w:tcW w:w="240" w:type="dxa"/>
            <w:vAlign w:val="bottom"/>
            <w:tcBorders>
              <w:bottom w:val="single" w:sz="8" w:color="auto"/>
            </w:tcBorders>
            <w:shd w:val="clear" w:color="auto" w:fill="D6F3E8"/>
          </w:tcPr>
          <w:p>
            <w:pPr>
              <w:spacing w:after="0"/>
              <w:rPr>
                <w:sz w:val="18"/>
                <w:szCs w:val="18"/>
                <w:color w:val="auto"/>
              </w:rPr>
            </w:pPr>
          </w:p>
        </w:tc>
        <w:tc>
          <w:tcPr>
            <w:tcW w:w="1220" w:type="dxa"/>
            <w:vAlign w:val="bottom"/>
            <w:tcBorders>
              <w:bottom w:val="single" w:sz="8" w:color="auto"/>
            </w:tcBorders>
            <w:shd w:val="clear" w:color="auto" w:fill="D6F3E8"/>
          </w:tcPr>
          <w:p>
            <w:pPr>
              <w:jc w:val="right"/>
              <w:ind w:right="116"/>
              <w:spacing w:after="0"/>
              <w:rPr>
                <w:sz w:val="20"/>
                <w:szCs w:val="20"/>
                <w:color w:val="auto"/>
              </w:rPr>
            </w:pPr>
            <w:r>
              <w:rPr>
                <w:rFonts w:ascii="Arial" w:cs="Arial" w:eastAsia="Arial" w:hAnsi="Arial"/>
                <w:sz w:val="18"/>
                <w:szCs w:val="18"/>
                <w:color w:val="auto"/>
              </w:rPr>
              <w:t>3,414</w:t>
            </w:r>
          </w:p>
        </w:tc>
        <w:tc>
          <w:tcPr>
            <w:tcW w:w="460" w:type="dxa"/>
            <w:vAlign w:val="bottom"/>
            <w:tcBorders>
              <w:bottom w:val="single" w:sz="8" w:color="auto"/>
            </w:tcBorders>
            <w:shd w:val="clear" w:color="auto" w:fill="D6F3E8"/>
          </w:tcPr>
          <w:p>
            <w:pPr>
              <w:spacing w:after="0"/>
              <w:rPr>
                <w:sz w:val="18"/>
                <w:szCs w:val="18"/>
                <w:color w:val="auto"/>
              </w:rPr>
            </w:pPr>
          </w:p>
        </w:tc>
        <w:tc>
          <w:tcPr>
            <w:tcW w:w="1140" w:type="dxa"/>
            <w:vAlign w:val="bottom"/>
            <w:tcBorders>
              <w:bottom w:val="single" w:sz="8" w:color="auto"/>
            </w:tcBorders>
            <w:shd w:val="clear" w:color="auto" w:fill="D6F3E8"/>
          </w:tcPr>
          <w:p>
            <w:pPr>
              <w:jc w:val="right"/>
              <w:ind w:right="94"/>
              <w:spacing w:after="0"/>
              <w:rPr>
                <w:sz w:val="20"/>
                <w:szCs w:val="20"/>
                <w:color w:val="auto"/>
              </w:rPr>
            </w:pPr>
            <w:r>
              <w:rPr>
                <w:rFonts w:ascii="Arial" w:cs="Arial" w:eastAsia="Arial" w:hAnsi="Arial"/>
                <w:sz w:val="18"/>
                <w:szCs w:val="18"/>
                <w:color w:val="auto"/>
              </w:rPr>
              <w:t>4,442</w:t>
            </w:r>
          </w:p>
        </w:tc>
        <w:tc>
          <w:tcPr>
            <w:tcW w:w="340" w:type="dxa"/>
            <w:vAlign w:val="bottom"/>
            <w:tcBorders>
              <w:bottom w:val="single" w:sz="8" w:color="auto"/>
            </w:tcBorders>
            <w:shd w:val="clear" w:color="auto" w:fill="D6F3E8"/>
          </w:tcPr>
          <w:p>
            <w:pPr>
              <w:spacing w:after="0"/>
              <w:rPr>
                <w:sz w:val="18"/>
                <w:szCs w:val="18"/>
                <w:color w:val="auto"/>
              </w:rPr>
            </w:pPr>
          </w:p>
        </w:tc>
        <w:tc>
          <w:tcPr>
            <w:tcW w:w="1240" w:type="dxa"/>
            <w:vAlign w:val="bottom"/>
            <w:tcBorders>
              <w:bottom w:val="single" w:sz="8" w:color="auto"/>
            </w:tcBorders>
            <w:shd w:val="clear" w:color="auto" w:fill="D6F3E8"/>
          </w:tcPr>
          <w:p>
            <w:pPr>
              <w:jc w:val="right"/>
              <w:ind w:right="98"/>
              <w:spacing w:after="0"/>
              <w:rPr>
                <w:sz w:val="20"/>
                <w:szCs w:val="20"/>
                <w:color w:val="auto"/>
              </w:rPr>
            </w:pPr>
            <w:r>
              <w:rPr>
                <w:rFonts w:ascii="Arial" w:cs="Arial" w:eastAsia="Arial" w:hAnsi="Arial"/>
                <w:sz w:val="18"/>
                <w:szCs w:val="18"/>
                <w:color w:val="auto"/>
              </w:rPr>
              <w:t>11,748</w:t>
            </w:r>
          </w:p>
        </w:tc>
        <w:tc>
          <w:tcPr>
            <w:tcW w:w="420" w:type="dxa"/>
            <w:vAlign w:val="bottom"/>
            <w:tcBorders>
              <w:bottom w:val="single" w:sz="8" w:color="auto"/>
            </w:tcBorders>
            <w:shd w:val="clear" w:color="auto" w:fill="D6F3E8"/>
          </w:tcPr>
          <w:p>
            <w:pPr>
              <w:spacing w:after="0"/>
              <w:rPr>
                <w:sz w:val="18"/>
                <w:szCs w:val="18"/>
                <w:color w:val="auto"/>
              </w:rPr>
            </w:pPr>
          </w:p>
        </w:tc>
        <w:tc>
          <w:tcPr>
            <w:tcW w:w="1080" w:type="dxa"/>
            <w:vAlign w:val="bottom"/>
            <w:tcBorders>
              <w:bottom w:val="single" w:sz="8" w:color="auto"/>
            </w:tcBorders>
            <w:shd w:val="clear" w:color="auto" w:fill="D6F3E8"/>
          </w:tcPr>
          <w:p>
            <w:pPr>
              <w:jc w:val="right"/>
              <w:ind w:right="17"/>
              <w:spacing w:after="0"/>
              <w:rPr>
                <w:sz w:val="20"/>
                <w:szCs w:val="20"/>
                <w:color w:val="auto"/>
              </w:rPr>
            </w:pPr>
            <w:r>
              <w:rPr>
                <w:rFonts w:ascii="Arial" w:cs="Arial" w:eastAsia="Arial" w:hAnsi="Arial"/>
                <w:sz w:val="18"/>
                <w:szCs w:val="18"/>
                <w:color w:val="auto"/>
              </w:rPr>
              <w:t>16,350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gridSpan w:val="2"/>
          </w:tcPr>
          <w:p>
            <w:pPr>
              <w:ind w:left="640"/>
              <w:spacing w:after="0" w:line="202" w:lineRule="exact"/>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6,497</w:t>
            </w: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9,527</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color w:val="auto"/>
              </w:rPr>
              <w:t>21,312</w:t>
            </w: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31,298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24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Operating (loss) income</w:t>
            </w:r>
          </w:p>
        </w:tc>
        <w:tc>
          <w:tcPr>
            <w:tcW w:w="2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220" w:type="dxa"/>
            <w:vAlign w:val="bottom"/>
            <w:shd w:val="clear" w:color="auto" w:fill="D6F3E8"/>
          </w:tcPr>
          <w:p>
            <w:pPr>
              <w:jc w:val="right"/>
              <w:ind w:right="56"/>
              <w:spacing w:after="0"/>
              <w:rPr>
                <w:sz w:val="20"/>
                <w:szCs w:val="20"/>
                <w:color w:val="auto"/>
              </w:rPr>
            </w:pPr>
            <w:r>
              <w:rPr>
                <w:rFonts w:ascii="Arial" w:cs="Arial" w:eastAsia="Arial" w:hAnsi="Arial"/>
                <w:sz w:val="18"/>
                <w:szCs w:val="18"/>
                <w:color w:val="auto"/>
              </w:rPr>
              <w:t>(14,782)</w:t>
            </w:r>
          </w:p>
        </w:tc>
        <w:tc>
          <w:tcPr>
            <w:tcW w:w="460" w:type="dxa"/>
            <w:vAlign w:val="bottom"/>
            <w:shd w:val="clear" w:color="auto" w:fill="D6F3E8"/>
          </w:tcPr>
          <w:p>
            <w:pPr>
              <w:spacing w:after="0"/>
              <w:rPr>
                <w:sz w:val="18"/>
                <w:szCs w:val="18"/>
                <w:color w:val="auto"/>
              </w:rPr>
            </w:pPr>
          </w:p>
        </w:tc>
        <w:tc>
          <w:tcPr>
            <w:tcW w:w="1140" w:type="dxa"/>
            <w:vAlign w:val="bottom"/>
            <w:shd w:val="clear" w:color="auto" w:fill="D6F3E8"/>
          </w:tcPr>
          <w:p>
            <w:pPr>
              <w:jc w:val="right"/>
              <w:ind w:right="34"/>
              <w:spacing w:after="0"/>
              <w:rPr>
                <w:sz w:val="20"/>
                <w:szCs w:val="20"/>
                <w:color w:val="auto"/>
              </w:rPr>
            </w:pPr>
            <w:r>
              <w:rPr>
                <w:rFonts w:ascii="Arial" w:cs="Arial" w:eastAsia="Arial" w:hAnsi="Arial"/>
                <w:sz w:val="18"/>
                <w:szCs w:val="18"/>
                <w:color w:val="auto"/>
              </w:rPr>
              <w:t>(6,903)</w:t>
            </w:r>
          </w:p>
        </w:tc>
        <w:tc>
          <w:tcPr>
            <w:tcW w:w="340" w:type="dxa"/>
            <w:vAlign w:val="bottom"/>
            <w:shd w:val="clear" w:color="auto" w:fill="D6F3E8"/>
          </w:tcPr>
          <w:p>
            <w:pPr>
              <w:spacing w:after="0"/>
              <w:rPr>
                <w:sz w:val="18"/>
                <w:szCs w:val="18"/>
                <w:color w:val="auto"/>
              </w:rPr>
            </w:pPr>
          </w:p>
        </w:tc>
        <w:tc>
          <w:tcPr>
            <w:tcW w:w="1240" w:type="dxa"/>
            <w:vAlign w:val="bottom"/>
            <w:shd w:val="clear" w:color="auto" w:fill="D6F3E8"/>
          </w:tcPr>
          <w:p>
            <w:pPr>
              <w:jc w:val="right"/>
              <w:ind w:right="38"/>
              <w:spacing w:after="0"/>
              <w:rPr>
                <w:sz w:val="20"/>
                <w:szCs w:val="20"/>
                <w:color w:val="auto"/>
              </w:rPr>
            </w:pPr>
            <w:r>
              <w:rPr>
                <w:rFonts w:ascii="Arial" w:cs="Arial" w:eastAsia="Arial" w:hAnsi="Arial"/>
                <w:sz w:val="18"/>
                <w:szCs w:val="18"/>
                <w:color w:val="auto"/>
              </w:rPr>
              <w:t>(50,283)</w:t>
            </w:r>
          </w:p>
        </w:tc>
        <w:tc>
          <w:tcPr>
            <w:tcW w:w="420" w:type="dxa"/>
            <w:vAlign w:val="bottom"/>
            <w:shd w:val="clear" w:color="auto" w:fill="D6F3E8"/>
          </w:tcPr>
          <w:p>
            <w:pPr>
              <w:spacing w:after="0"/>
              <w:rPr>
                <w:sz w:val="18"/>
                <w:szCs w:val="18"/>
                <w:color w:val="auto"/>
              </w:rPr>
            </w:pPr>
          </w:p>
        </w:tc>
        <w:tc>
          <w:tcPr>
            <w:tcW w:w="1080" w:type="dxa"/>
            <w:vAlign w:val="bottom"/>
            <w:shd w:val="clear" w:color="auto" w:fill="D6F3E8"/>
          </w:tcPr>
          <w:p>
            <w:pPr>
              <w:jc w:val="right"/>
              <w:ind w:right="17"/>
              <w:spacing w:after="0"/>
              <w:rPr>
                <w:sz w:val="20"/>
                <w:szCs w:val="20"/>
                <w:color w:val="auto"/>
              </w:rPr>
            </w:pPr>
            <w:r>
              <w:rPr>
                <w:rFonts w:ascii="Arial" w:cs="Arial" w:eastAsia="Arial" w:hAnsi="Arial"/>
                <w:sz w:val="18"/>
                <w:szCs w:val="18"/>
                <w:color w:val="auto"/>
              </w:rPr>
              <w:t>9,135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Borders>
              <w:bottom w:val="single" w:sz="8" w:color="D6F3E8"/>
            </w:tcBorders>
          </w:tcPr>
          <w:p>
            <w:pPr>
              <w:spacing w:after="0"/>
              <w:rPr>
                <w:sz w:val="20"/>
                <w:szCs w:val="20"/>
                <w:color w:val="auto"/>
              </w:rPr>
            </w:pPr>
            <w:r>
              <w:rPr>
                <w:rFonts w:ascii="Arial" w:cs="Arial" w:eastAsia="Arial" w:hAnsi="Arial"/>
                <w:sz w:val="18"/>
                <w:szCs w:val="18"/>
                <w:color w:val="auto"/>
                <w:w w:val="90"/>
              </w:rPr>
              <w:t>Financial income</w:t>
            </w:r>
          </w:p>
        </w:tc>
        <w:tc>
          <w:tcPr>
            <w:tcW w:w="3780" w:type="dxa"/>
            <w:vAlign w:val="bottom"/>
            <w:tcBorders>
              <w:bottom w:val="single" w:sz="8" w:color="D6F3E8"/>
            </w:tcBorders>
          </w:tcPr>
          <w:p>
            <w:pPr>
              <w:spacing w:after="0"/>
              <w:rPr>
                <w:sz w:val="18"/>
                <w:szCs w:val="18"/>
                <w:color w:val="auto"/>
              </w:rPr>
            </w:pPr>
          </w:p>
        </w:tc>
        <w:tc>
          <w:tcPr>
            <w:tcW w:w="240" w:type="dxa"/>
            <w:vAlign w:val="bottom"/>
            <w:tcBorders>
              <w:bottom w:val="single" w:sz="8" w:color="D6F3E8"/>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209</w:t>
            </w: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1,053</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color w:val="auto"/>
              </w:rPr>
              <w:t>1,366</w:t>
            </w: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3,529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gridSpan w:val="2"/>
            <w:shd w:val="clear" w:color="auto" w:fill="D6F3E8"/>
          </w:tcPr>
          <w:p>
            <w:pPr>
              <w:spacing w:after="0" w:line="202" w:lineRule="exact"/>
              <w:rPr>
                <w:sz w:val="20"/>
                <w:szCs w:val="20"/>
                <w:color w:val="auto"/>
              </w:rPr>
            </w:pPr>
            <w:r>
              <w:rPr>
                <w:rFonts w:ascii="Arial" w:cs="Arial" w:eastAsia="Arial" w:hAnsi="Arial"/>
                <w:sz w:val="18"/>
                <w:szCs w:val="18"/>
                <w:color w:val="auto"/>
              </w:rPr>
              <w:t>(Loss) income before income taxes</w:t>
            </w:r>
          </w:p>
        </w:tc>
        <w:tc>
          <w:tcPr>
            <w:tcW w:w="2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220" w:type="dxa"/>
            <w:vAlign w:val="bottom"/>
            <w:shd w:val="clear" w:color="auto" w:fill="D6F3E8"/>
          </w:tcPr>
          <w:p>
            <w:pPr>
              <w:jc w:val="right"/>
              <w:ind w:right="56"/>
              <w:spacing w:after="0"/>
              <w:rPr>
                <w:sz w:val="20"/>
                <w:szCs w:val="20"/>
                <w:color w:val="auto"/>
              </w:rPr>
            </w:pPr>
            <w:r>
              <w:rPr>
                <w:rFonts w:ascii="Arial" w:cs="Arial" w:eastAsia="Arial" w:hAnsi="Arial"/>
                <w:sz w:val="18"/>
                <w:szCs w:val="18"/>
                <w:color w:val="auto"/>
              </w:rPr>
              <w:t>(14,573)</w:t>
            </w:r>
          </w:p>
        </w:tc>
        <w:tc>
          <w:tcPr>
            <w:tcW w:w="460" w:type="dxa"/>
            <w:vAlign w:val="bottom"/>
            <w:shd w:val="clear" w:color="auto" w:fill="D6F3E8"/>
          </w:tcPr>
          <w:p>
            <w:pPr>
              <w:spacing w:after="0"/>
              <w:rPr>
                <w:sz w:val="18"/>
                <w:szCs w:val="18"/>
                <w:color w:val="auto"/>
              </w:rPr>
            </w:pPr>
          </w:p>
        </w:tc>
        <w:tc>
          <w:tcPr>
            <w:tcW w:w="1140" w:type="dxa"/>
            <w:vAlign w:val="bottom"/>
            <w:shd w:val="clear" w:color="auto" w:fill="D6F3E8"/>
          </w:tcPr>
          <w:p>
            <w:pPr>
              <w:jc w:val="right"/>
              <w:ind w:right="34"/>
              <w:spacing w:after="0"/>
              <w:rPr>
                <w:sz w:val="20"/>
                <w:szCs w:val="20"/>
                <w:color w:val="auto"/>
              </w:rPr>
            </w:pPr>
            <w:r>
              <w:rPr>
                <w:rFonts w:ascii="Arial" w:cs="Arial" w:eastAsia="Arial" w:hAnsi="Arial"/>
                <w:sz w:val="18"/>
                <w:szCs w:val="18"/>
                <w:color w:val="auto"/>
              </w:rPr>
              <w:t>(5,850)</w:t>
            </w:r>
          </w:p>
        </w:tc>
        <w:tc>
          <w:tcPr>
            <w:tcW w:w="340" w:type="dxa"/>
            <w:vAlign w:val="bottom"/>
            <w:shd w:val="clear" w:color="auto" w:fill="D6F3E8"/>
          </w:tcPr>
          <w:p>
            <w:pPr>
              <w:spacing w:after="0"/>
              <w:rPr>
                <w:sz w:val="18"/>
                <w:szCs w:val="18"/>
                <w:color w:val="auto"/>
              </w:rPr>
            </w:pPr>
          </w:p>
        </w:tc>
        <w:tc>
          <w:tcPr>
            <w:tcW w:w="1240" w:type="dxa"/>
            <w:vAlign w:val="bottom"/>
            <w:shd w:val="clear" w:color="auto" w:fill="D6F3E8"/>
          </w:tcPr>
          <w:p>
            <w:pPr>
              <w:jc w:val="right"/>
              <w:ind w:right="38"/>
              <w:spacing w:after="0"/>
              <w:rPr>
                <w:sz w:val="20"/>
                <w:szCs w:val="20"/>
                <w:color w:val="auto"/>
              </w:rPr>
            </w:pPr>
            <w:r>
              <w:rPr>
                <w:rFonts w:ascii="Arial" w:cs="Arial" w:eastAsia="Arial" w:hAnsi="Arial"/>
                <w:sz w:val="18"/>
                <w:szCs w:val="18"/>
                <w:color w:val="auto"/>
              </w:rPr>
              <w:t>(48,917)</w:t>
            </w:r>
          </w:p>
        </w:tc>
        <w:tc>
          <w:tcPr>
            <w:tcW w:w="420" w:type="dxa"/>
            <w:vAlign w:val="bottom"/>
            <w:shd w:val="clear" w:color="auto" w:fill="D6F3E8"/>
          </w:tcPr>
          <w:p>
            <w:pPr>
              <w:spacing w:after="0"/>
              <w:rPr>
                <w:sz w:val="18"/>
                <w:szCs w:val="18"/>
                <w:color w:val="auto"/>
              </w:rPr>
            </w:pPr>
          </w:p>
        </w:tc>
        <w:tc>
          <w:tcPr>
            <w:tcW w:w="1080" w:type="dxa"/>
            <w:vAlign w:val="bottom"/>
            <w:shd w:val="clear" w:color="auto" w:fill="D6F3E8"/>
          </w:tcPr>
          <w:p>
            <w:pPr>
              <w:jc w:val="right"/>
              <w:ind w:right="17"/>
              <w:spacing w:after="0"/>
              <w:rPr>
                <w:sz w:val="20"/>
                <w:szCs w:val="20"/>
                <w:color w:val="auto"/>
              </w:rPr>
            </w:pPr>
            <w:r>
              <w:rPr>
                <w:rFonts w:ascii="Arial" w:cs="Arial" w:eastAsia="Arial" w:hAnsi="Arial"/>
                <w:sz w:val="18"/>
                <w:szCs w:val="18"/>
                <w:color w:val="auto"/>
              </w:rPr>
              <w:t>12,664</w:t>
            </w:r>
          </w:p>
        </w:tc>
        <w:tc>
          <w:tcPr>
            <w:tcW w:w="0" w:type="dxa"/>
            <w:vAlign w:val="bottom"/>
          </w:tcPr>
          <w:p>
            <w:pPr>
              <w:spacing w:after="0"/>
              <w:rPr>
                <w:sz w:val="1"/>
                <w:szCs w:val="1"/>
                <w:color w:val="auto"/>
              </w:rPr>
            </w:pPr>
          </w:p>
        </w:tc>
      </w:tr>
      <w:tr>
        <w:trPr>
          <w:trHeight w:val="363"/>
        </w:trPr>
        <w:tc>
          <w:tcPr>
            <w:tcW w:w="1260" w:type="dxa"/>
            <w:vAlign w:val="bottom"/>
            <w:gridSpan w:val="2"/>
          </w:tcPr>
          <w:p>
            <w:pPr>
              <w:spacing w:after="0"/>
              <w:rPr>
                <w:sz w:val="20"/>
                <w:szCs w:val="20"/>
                <w:color w:val="auto"/>
              </w:rPr>
            </w:pPr>
            <w:r>
              <w:rPr>
                <w:rFonts w:ascii="Arial" w:cs="Arial" w:eastAsia="Arial" w:hAnsi="Arial"/>
                <w:sz w:val="18"/>
                <w:szCs w:val="18"/>
                <w:color w:val="auto"/>
                <w:w w:val="95"/>
              </w:rPr>
              <w:t>Benefit for taxes</w:t>
            </w:r>
          </w:p>
        </w:tc>
        <w:tc>
          <w:tcPr>
            <w:tcW w:w="3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56"/>
              <w:spacing w:after="0"/>
              <w:rPr>
                <w:sz w:val="20"/>
                <w:szCs w:val="20"/>
                <w:color w:val="auto"/>
              </w:rPr>
            </w:pPr>
            <w:r>
              <w:rPr>
                <w:rFonts w:ascii="Arial" w:cs="Arial" w:eastAsia="Arial" w:hAnsi="Arial"/>
                <w:sz w:val="18"/>
                <w:szCs w:val="18"/>
                <w:color w:val="auto"/>
              </w:rPr>
              <w:t>(6,020)</w:t>
            </w:r>
          </w:p>
        </w:tc>
        <w:tc>
          <w:tcPr>
            <w:tcW w:w="460" w:type="dxa"/>
            <w:vAlign w:val="bottom"/>
          </w:tcPr>
          <w:p>
            <w:pPr>
              <w:spacing w:after="0"/>
              <w:rPr>
                <w:sz w:val="24"/>
                <w:szCs w:val="24"/>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(8,850)</w:t>
            </w:r>
          </w:p>
        </w:tc>
        <w:tc>
          <w:tcPr>
            <w:tcW w:w="340" w:type="dxa"/>
            <w:vAlign w:val="bottom"/>
          </w:tcPr>
          <w:p>
            <w:pPr>
              <w:spacing w:after="0"/>
              <w:rPr>
                <w:sz w:val="24"/>
                <w:szCs w:val="24"/>
                <w:color w:val="auto"/>
              </w:rPr>
            </w:pP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(20,387)</w:t>
            </w:r>
          </w:p>
        </w:tc>
        <w:tc>
          <w:tcPr>
            <w:tcW w:w="4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(2,815)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40" w:type="dxa"/>
            <w:vAlign w:val="bottom"/>
            <w:tcBorders>
              <w:top w:val="single" w:sz="8" w:color="D6F3E8"/>
              <w:bottom w:val="single" w:sz="8" w:color="D6F3E8"/>
            </w:tcBorders>
            <w:shd w:val="clear" w:color="auto" w:fill="D6F3E8"/>
          </w:tcPr>
          <w:p>
            <w:pPr>
              <w:spacing w:after="0" w:line="205" w:lineRule="exact"/>
              <w:rPr>
                <w:sz w:val="20"/>
                <w:szCs w:val="20"/>
                <w:color w:val="auto"/>
              </w:rPr>
            </w:pPr>
            <w:r>
              <w:rPr>
                <w:rFonts w:ascii="Arial" w:cs="Arial" w:eastAsia="Arial" w:hAnsi="Arial"/>
                <w:sz w:val="18"/>
                <w:szCs w:val="18"/>
                <w:color w:val="auto"/>
                <w:w w:val="87"/>
              </w:rPr>
              <w:t>Net (loss) income</w:t>
            </w:r>
          </w:p>
        </w:tc>
        <w:tc>
          <w:tcPr>
            <w:tcW w:w="3780" w:type="dxa"/>
            <w:vAlign w:val="bottom"/>
            <w:tcBorders>
              <w:top w:val="single" w:sz="8" w:color="D6F3E8"/>
              <w:bottom w:val="single" w:sz="8" w:color="D6F3E8"/>
            </w:tcBorders>
            <w:shd w:val="clear" w:color="auto" w:fill="D6F3E8"/>
          </w:tcPr>
          <w:p>
            <w:pPr>
              <w:spacing w:after="0"/>
              <w:rPr>
                <w:sz w:val="18"/>
                <w:szCs w:val="18"/>
                <w:color w:val="auto"/>
              </w:rPr>
            </w:pPr>
          </w:p>
        </w:tc>
        <w:tc>
          <w:tcPr>
            <w:tcW w:w="240" w:type="dxa"/>
            <w:vAlign w:val="bottom"/>
            <w:tcBorders>
              <w:top w:val="single" w:sz="8" w:color="D6F3E8"/>
              <w:bottom w:val="single" w:sz="8" w:color="D6F3E8"/>
            </w:tcBorders>
            <w:shd w:val="clear" w:color="auto" w:fill="D6F3E8"/>
          </w:tcPr>
          <w:p>
            <w:pPr>
              <w:spacing w:after="0"/>
              <w:rPr>
                <w:sz w:val="18"/>
                <w:szCs w:val="18"/>
                <w:color w:val="auto"/>
              </w:rPr>
            </w:pPr>
          </w:p>
        </w:tc>
        <w:tc>
          <w:tcPr>
            <w:tcW w:w="240" w:type="dxa"/>
            <w:vAlign w:val="bottom"/>
            <w:tcBorders>
              <w:top w:val="single" w:sz="8" w:color="auto"/>
              <w:bottom w:val="single" w:sz="8" w:color="auto"/>
            </w:tcBorders>
            <w:shd w:val="clear" w:color="auto" w:fill="D6F3E8"/>
          </w:tcPr>
          <w:p>
            <w:pPr>
              <w:jc w:val="right"/>
              <w:ind w:right="83"/>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D6F3E8"/>
          </w:tcPr>
          <w:p>
            <w:pPr>
              <w:jc w:val="right"/>
              <w:ind w:right="56"/>
              <w:spacing w:after="0"/>
              <w:rPr>
                <w:sz w:val="20"/>
                <w:szCs w:val="20"/>
                <w:color w:val="auto"/>
              </w:rPr>
            </w:pPr>
            <w:r>
              <w:rPr>
                <w:rFonts w:ascii="Arial" w:cs="Arial" w:eastAsia="Arial" w:hAnsi="Arial"/>
                <w:sz w:val="18"/>
                <w:szCs w:val="18"/>
                <w:color w:val="auto"/>
              </w:rPr>
              <w:t>(8,553)</w:t>
            </w:r>
          </w:p>
        </w:tc>
        <w:tc>
          <w:tcPr>
            <w:tcW w:w="460" w:type="dxa"/>
            <w:vAlign w:val="bottom"/>
            <w:tcBorders>
              <w:top w:val="single" w:sz="8" w:color="auto"/>
              <w:bottom w:val="single" w:sz="8" w:color="auto"/>
            </w:tcBorders>
            <w:shd w:val="clear" w:color="auto" w:fill="D6F3E8"/>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D6F3E8"/>
          </w:tcPr>
          <w:p>
            <w:pPr>
              <w:jc w:val="right"/>
              <w:ind w:right="94"/>
              <w:spacing w:after="0"/>
              <w:rPr>
                <w:sz w:val="20"/>
                <w:szCs w:val="20"/>
                <w:color w:val="auto"/>
              </w:rPr>
            </w:pPr>
            <w:r>
              <w:rPr>
                <w:rFonts w:ascii="Arial" w:cs="Arial" w:eastAsia="Arial" w:hAnsi="Arial"/>
                <w:sz w:val="18"/>
                <w:szCs w:val="18"/>
                <w:color w:val="auto"/>
              </w:rPr>
              <w:t>3,000</w:t>
            </w:r>
          </w:p>
        </w:tc>
        <w:tc>
          <w:tcPr>
            <w:tcW w:w="340" w:type="dxa"/>
            <w:vAlign w:val="bottom"/>
            <w:tcBorders>
              <w:top w:val="single" w:sz="8" w:color="auto"/>
              <w:bottom w:val="single" w:sz="8" w:color="auto"/>
            </w:tcBorders>
            <w:shd w:val="clear" w:color="auto" w:fill="D6F3E8"/>
          </w:tcPr>
          <w:p>
            <w:pPr>
              <w:jc w:val="right"/>
              <w:ind w:right="12"/>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shd w:val="clear" w:color="auto" w:fill="D6F3E8"/>
          </w:tcPr>
          <w:p>
            <w:pPr>
              <w:jc w:val="right"/>
              <w:ind w:right="38"/>
              <w:spacing w:after="0"/>
              <w:rPr>
                <w:sz w:val="20"/>
                <w:szCs w:val="20"/>
                <w:color w:val="auto"/>
              </w:rPr>
            </w:pPr>
            <w:r>
              <w:rPr>
                <w:rFonts w:ascii="Arial" w:cs="Arial" w:eastAsia="Arial" w:hAnsi="Arial"/>
                <w:sz w:val="18"/>
                <w:szCs w:val="18"/>
                <w:color w:val="auto"/>
              </w:rPr>
              <w:t>(28,530)</w:t>
            </w:r>
          </w:p>
        </w:tc>
        <w:tc>
          <w:tcPr>
            <w:tcW w:w="420" w:type="dxa"/>
            <w:vAlign w:val="bottom"/>
            <w:tcBorders>
              <w:top w:val="single" w:sz="8" w:color="auto"/>
              <w:bottom w:val="single" w:sz="8" w:color="auto"/>
            </w:tcBorders>
            <w:shd w:val="clear" w:color="auto" w:fill="D6F3E8"/>
          </w:tcPr>
          <w:p>
            <w:pPr>
              <w:jc w:val="right"/>
              <w:ind w:right="92"/>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D6F3E8"/>
          </w:tcPr>
          <w:p>
            <w:pPr>
              <w:jc w:val="right"/>
              <w:ind w:right="17"/>
              <w:spacing w:after="0"/>
              <w:rPr>
                <w:sz w:val="20"/>
                <w:szCs w:val="20"/>
                <w:color w:val="auto"/>
              </w:rPr>
            </w:pPr>
            <w:r>
              <w:rPr>
                <w:rFonts w:ascii="Arial" w:cs="Arial" w:eastAsia="Arial" w:hAnsi="Arial"/>
                <w:sz w:val="18"/>
                <w:szCs w:val="18"/>
                <w:color w:val="auto"/>
              </w:rPr>
              <w:t>15,479</w:t>
            </w: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spacing w:after="0"/>
              <w:rPr>
                <w:sz w:val="20"/>
                <w:szCs w:val="20"/>
                <w:color w:val="auto"/>
              </w:rPr>
            </w:pPr>
            <w:r>
              <w:rPr>
                <w:rFonts w:ascii="Arial" w:cs="Arial" w:eastAsia="Arial" w:hAnsi="Arial"/>
                <w:sz w:val="18"/>
                <w:szCs w:val="18"/>
                <w:color w:val="auto"/>
              </w:rPr>
              <w:t>(Loss) income per common share:</w:t>
            </w: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504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240" w:type="dxa"/>
            <w:vAlign w:val="bottom"/>
          </w:tcPr>
          <w:p>
            <w:pPr>
              <w:ind w:left="320"/>
              <w:spacing w:after="0"/>
              <w:rPr>
                <w:sz w:val="20"/>
                <w:szCs w:val="20"/>
                <w:color w:val="auto"/>
              </w:rPr>
            </w:pPr>
            <w:r>
              <w:rPr>
                <w:rFonts w:ascii="Arial" w:cs="Arial" w:eastAsia="Arial" w:hAnsi="Arial"/>
                <w:sz w:val="18"/>
                <w:szCs w:val="18"/>
                <w:color w:val="auto"/>
              </w:rPr>
              <w:t>Basic</w:t>
            </w:r>
          </w:p>
        </w:tc>
        <w:tc>
          <w:tcPr>
            <w:tcW w:w="3780" w:type="dxa"/>
            <w:vAlign w:val="bottom"/>
          </w:tcPr>
          <w:p>
            <w:pPr>
              <w:spacing w:after="0"/>
              <w:rPr>
                <w:sz w:val="22"/>
                <w:szCs w:val="22"/>
                <w:color w:val="auto"/>
              </w:rPr>
            </w:pPr>
          </w:p>
        </w:tc>
        <w:tc>
          <w:tcPr>
            <w:tcW w:w="48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6"/>
              <w:spacing w:after="0"/>
              <w:rPr>
                <w:sz w:val="20"/>
                <w:szCs w:val="20"/>
                <w:color w:val="auto"/>
              </w:rPr>
            </w:pPr>
            <w:r>
              <w:rPr>
                <w:rFonts w:ascii="Arial" w:cs="Arial" w:eastAsia="Arial" w:hAnsi="Arial"/>
                <w:sz w:val="18"/>
                <w:szCs w:val="18"/>
                <w:color w:val="auto"/>
              </w:rPr>
              <w:t>(0.29)</w:t>
            </w:r>
          </w:p>
        </w:tc>
        <w:tc>
          <w:tcPr>
            <w:tcW w:w="4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0.10</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(0.98)</w:t>
            </w:r>
          </w:p>
        </w:tc>
        <w:tc>
          <w:tcPr>
            <w:tcW w:w="4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240" w:type="dxa"/>
            <w:vAlign w:val="bottom"/>
            <w:tcBorders>
              <w:top w:val="single" w:sz="8" w:color="D6F3E8"/>
              <w:bottom w:val="single" w:sz="8" w:color="D6F3E8"/>
            </w:tcBorders>
            <w:shd w:val="clear" w:color="auto" w:fill="D6F3E8"/>
          </w:tcPr>
          <w:p>
            <w:pPr>
              <w:ind w:left="320"/>
              <w:spacing w:after="0" w:line="182" w:lineRule="exact"/>
              <w:rPr>
                <w:sz w:val="20"/>
                <w:szCs w:val="20"/>
                <w:color w:val="auto"/>
              </w:rPr>
            </w:pPr>
            <w:r>
              <w:rPr>
                <w:rFonts w:ascii="Arial" w:cs="Arial" w:eastAsia="Arial" w:hAnsi="Arial"/>
                <w:sz w:val="18"/>
                <w:szCs w:val="18"/>
                <w:color w:val="auto"/>
              </w:rPr>
              <w:t>Diluted</w:t>
            </w:r>
          </w:p>
        </w:tc>
        <w:tc>
          <w:tcPr>
            <w:tcW w:w="3780" w:type="dxa"/>
            <w:vAlign w:val="bottom"/>
            <w:tcBorders>
              <w:top w:val="single" w:sz="8" w:color="D6F3E8"/>
              <w:bottom w:val="single" w:sz="8" w:color="D6F3E8"/>
            </w:tcBorders>
            <w:shd w:val="clear" w:color="auto" w:fill="D6F3E8"/>
          </w:tcPr>
          <w:p>
            <w:pPr>
              <w:spacing w:after="0"/>
              <w:rPr>
                <w:sz w:val="17"/>
                <w:szCs w:val="17"/>
                <w:color w:val="auto"/>
              </w:rPr>
            </w:pPr>
          </w:p>
        </w:tc>
        <w:tc>
          <w:tcPr>
            <w:tcW w:w="240" w:type="dxa"/>
            <w:vAlign w:val="bottom"/>
            <w:tcBorders>
              <w:top w:val="single" w:sz="8" w:color="D6F3E8"/>
              <w:bottom w:val="single" w:sz="8" w:color="D6F3E8"/>
            </w:tcBorders>
            <w:shd w:val="clear" w:color="auto" w:fill="D6F3E8"/>
          </w:tcPr>
          <w:p>
            <w:pPr>
              <w:spacing w:after="0"/>
              <w:rPr>
                <w:sz w:val="17"/>
                <w:szCs w:val="17"/>
                <w:color w:val="auto"/>
              </w:rPr>
            </w:pPr>
          </w:p>
        </w:tc>
        <w:tc>
          <w:tcPr>
            <w:tcW w:w="240" w:type="dxa"/>
            <w:vAlign w:val="bottom"/>
            <w:tcBorders>
              <w:top w:val="single" w:sz="8" w:color="auto"/>
              <w:bottom w:val="single" w:sz="8" w:color="auto"/>
            </w:tcBorders>
            <w:shd w:val="clear" w:color="auto" w:fill="D6F3E8"/>
          </w:tcPr>
          <w:p>
            <w:pPr>
              <w:jc w:val="right"/>
              <w:ind w:right="83"/>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D6F3E8"/>
          </w:tcPr>
          <w:p>
            <w:pPr>
              <w:jc w:val="right"/>
              <w:ind w:right="56"/>
              <w:spacing w:after="0" w:line="198" w:lineRule="exact"/>
              <w:rPr>
                <w:sz w:val="20"/>
                <w:szCs w:val="20"/>
                <w:color w:val="auto"/>
              </w:rPr>
            </w:pPr>
            <w:r>
              <w:rPr>
                <w:rFonts w:ascii="Arial" w:cs="Arial" w:eastAsia="Arial" w:hAnsi="Arial"/>
                <w:sz w:val="18"/>
                <w:szCs w:val="18"/>
                <w:color w:val="auto"/>
              </w:rPr>
              <w:t>(0.29)</w:t>
            </w:r>
          </w:p>
        </w:tc>
        <w:tc>
          <w:tcPr>
            <w:tcW w:w="460" w:type="dxa"/>
            <w:vAlign w:val="bottom"/>
            <w:tcBorders>
              <w:top w:val="single" w:sz="8" w:color="auto"/>
              <w:bottom w:val="single" w:sz="8" w:color="auto"/>
            </w:tcBorders>
            <w:shd w:val="clear" w:color="auto" w:fill="D6F3E8"/>
          </w:tcPr>
          <w:p>
            <w:pPr>
              <w:jc w:val="right"/>
              <w:ind w:right="132"/>
              <w:spacing w:after="0" w:line="198"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D6F3E8"/>
          </w:tcPr>
          <w:p>
            <w:pPr>
              <w:jc w:val="right"/>
              <w:ind w:right="94"/>
              <w:spacing w:after="0" w:line="198" w:lineRule="exact"/>
              <w:rPr>
                <w:sz w:val="20"/>
                <w:szCs w:val="20"/>
                <w:color w:val="auto"/>
              </w:rPr>
            </w:pPr>
            <w:r>
              <w:rPr>
                <w:rFonts w:ascii="Arial" w:cs="Arial" w:eastAsia="Arial" w:hAnsi="Arial"/>
                <w:sz w:val="18"/>
                <w:szCs w:val="18"/>
                <w:color w:val="auto"/>
              </w:rPr>
              <w:t>0.10</w:t>
            </w:r>
          </w:p>
        </w:tc>
        <w:tc>
          <w:tcPr>
            <w:tcW w:w="340" w:type="dxa"/>
            <w:vAlign w:val="bottom"/>
            <w:tcBorders>
              <w:top w:val="single" w:sz="8" w:color="auto"/>
              <w:bottom w:val="single" w:sz="8" w:color="auto"/>
            </w:tcBorders>
            <w:shd w:val="clear" w:color="auto" w:fill="D6F3E8"/>
          </w:tcPr>
          <w:p>
            <w:pPr>
              <w:jc w:val="right"/>
              <w:ind w:right="12"/>
              <w:spacing w:after="0" w:line="198" w:lineRule="exact"/>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shd w:val="clear" w:color="auto" w:fill="D6F3E8"/>
          </w:tcPr>
          <w:p>
            <w:pPr>
              <w:jc w:val="right"/>
              <w:ind w:right="38"/>
              <w:spacing w:after="0" w:line="198" w:lineRule="exact"/>
              <w:rPr>
                <w:sz w:val="20"/>
                <w:szCs w:val="20"/>
                <w:color w:val="auto"/>
              </w:rPr>
            </w:pPr>
            <w:r>
              <w:rPr>
                <w:rFonts w:ascii="Arial" w:cs="Arial" w:eastAsia="Arial" w:hAnsi="Arial"/>
                <w:sz w:val="18"/>
                <w:szCs w:val="18"/>
                <w:color w:val="auto"/>
              </w:rPr>
              <w:t>(0.98)</w:t>
            </w:r>
          </w:p>
        </w:tc>
        <w:tc>
          <w:tcPr>
            <w:tcW w:w="420" w:type="dxa"/>
            <w:vAlign w:val="bottom"/>
            <w:tcBorders>
              <w:top w:val="single" w:sz="8" w:color="auto"/>
              <w:bottom w:val="single" w:sz="8" w:color="auto"/>
            </w:tcBorders>
            <w:shd w:val="clear" w:color="auto" w:fill="D6F3E8"/>
          </w:tcPr>
          <w:p>
            <w:pPr>
              <w:jc w:val="right"/>
              <w:ind w:right="92"/>
              <w:spacing w:after="0" w:line="198"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D6F3E8"/>
          </w:tcPr>
          <w:p>
            <w:pPr>
              <w:jc w:val="right"/>
              <w:ind w:right="17"/>
              <w:spacing w:after="0" w:line="198" w:lineRule="exact"/>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504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40" w:type="dxa"/>
            <w:vAlign w:val="bottom"/>
          </w:tcPr>
          <w:p>
            <w:pPr>
              <w:ind w:left="320"/>
              <w:spacing w:after="0"/>
              <w:rPr>
                <w:sz w:val="20"/>
                <w:szCs w:val="20"/>
                <w:color w:val="auto"/>
              </w:rPr>
            </w:pPr>
            <w:r>
              <w:rPr>
                <w:rFonts w:ascii="Arial" w:cs="Arial" w:eastAsia="Arial" w:hAnsi="Arial"/>
                <w:sz w:val="18"/>
                <w:szCs w:val="18"/>
                <w:color w:val="auto"/>
              </w:rPr>
              <w:t>Basic</w:t>
            </w:r>
          </w:p>
        </w:tc>
        <w:tc>
          <w:tcPr>
            <w:tcW w:w="3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116"/>
              <w:spacing w:after="0"/>
              <w:rPr>
                <w:sz w:val="20"/>
                <w:szCs w:val="20"/>
                <w:color w:val="auto"/>
              </w:rPr>
            </w:pPr>
            <w:r>
              <w:rPr>
                <w:rFonts w:ascii="Arial" w:cs="Arial" w:eastAsia="Arial" w:hAnsi="Arial"/>
                <w:sz w:val="18"/>
                <w:szCs w:val="18"/>
                <w:color w:val="auto"/>
              </w:rPr>
              <w:t>29,045</w:t>
            </w:r>
          </w:p>
        </w:tc>
        <w:tc>
          <w:tcPr>
            <w:tcW w:w="460" w:type="dxa"/>
            <w:vAlign w:val="bottom"/>
          </w:tcPr>
          <w:p>
            <w:pPr>
              <w:spacing w:after="0"/>
              <w:rPr>
                <w:sz w:val="19"/>
                <w:szCs w:val="19"/>
                <w:color w:val="auto"/>
              </w:rPr>
            </w:pP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29,013</w:t>
            </w:r>
          </w:p>
        </w:tc>
        <w:tc>
          <w:tcPr>
            <w:tcW w:w="340" w:type="dxa"/>
            <w:vAlign w:val="bottom"/>
          </w:tcPr>
          <w:p>
            <w:pPr>
              <w:spacing w:after="0"/>
              <w:rPr>
                <w:sz w:val="19"/>
                <w:szCs w:val="19"/>
                <w:color w:val="auto"/>
              </w:rPr>
            </w:pPr>
          </w:p>
        </w:tc>
        <w:tc>
          <w:tcPr>
            <w:tcW w:w="1240" w:type="dxa"/>
            <w:vAlign w:val="bottom"/>
          </w:tcPr>
          <w:p>
            <w:pPr>
              <w:jc w:val="right"/>
              <w:ind w:right="98"/>
              <w:spacing w:after="0"/>
              <w:rPr>
                <w:sz w:val="20"/>
                <w:szCs w:val="20"/>
                <w:color w:val="auto"/>
              </w:rPr>
            </w:pPr>
            <w:r>
              <w:rPr>
                <w:rFonts w:ascii="Arial" w:cs="Arial" w:eastAsia="Arial" w:hAnsi="Arial"/>
                <w:sz w:val="18"/>
                <w:szCs w:val="18"/>
                <w:color w:val="auto"/>
              </w:rPr>
              <w:t>29,036</w:t>
            </w:r>
          </w:p>
        </w:tc>
        <w:tc>
          <w:tcPr>
            <w:tcW w:w="420" w:type="dxa"/>
            <w:vAlign w:val="bottom"/>
          </w:tcPr>
          <w:p>
            <w:pPr>
              <w:spacing w:after="0"/>
              <w:rPr>
                <w:sz w:val="19"/>
                <w:szCs w:val="19"/>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29,116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40" w:type="dxa"/>
            <w:vAlign w:val="bottom"/>
            <w:shd w:val="clear" w:color="auto" w:fill="D6F3E8"/>
          </w:tcPr>
          <w:p>
            <w:pPr>
              <w:ind w:left="320"/>
              <w:spacing w:after="0"/>
              <w:rPr>
                <w:sz w:val="20"/>
                <w:szCs w:val="20"/>
                <w:color w:val="auto"/>
              </w:rPr>
            </w:pPr>
            <w:r>
              <w:rPr>
                <w:rFonts w:ascii="Arial" w:cs="Arial" w:eastAsia="Arial" w:hAnsi="Arial"/>
                <w:sz w:val="18"/>
                <w:szCs w:val="18"/>
                <w:color w:val="auto"/>
              </w:rPr>
              <w:t>Diluted</w:t>
            </w:r>
          </w:p>
        </w:tc>
        <w:tc>
          <w:tcPr>
            <w:tcW w:w="378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220" w:type="dxa"/>
            <w:vAlign w:val="bottom"/>
            <w:shd w:val="clear" w:color="auto" w:fill="D6F3E8"/>
          </w:tcPr>
          <w:p>
            <w:pPr>
              <w:jc w:val="right"/>
              <w:ind w:right="116"/>
              <w:spacing w:after="0"/>
              <w:rPr>
                <w:sz w:val="20"/>
                <w:szCs w:val="20"/>
                <w:color w:val="auto"/>
              </w:rPr>
            </w:pPr>
            <w:r>
              <w:rPr>
                <w:rFonts w:ascii="Arial" w:cs="Arial" w:eastAsia="Arial" w:hAnsi="Arial"/>
                <w:sz w:val="18"/>
                <w:szCs w:val="18"/>
                <w:color w:val="auto"/>
              </w:rPr>
              <w:t>29,056</w:t>
            </w:r>
          </w:p>
        </w:tc>
        <w:tc>
          <w:tcPr>
            <w:tcW w:w="460" w:type="dxa"/>
            <w:vAlign w:val="bottom"/>
            <w:shd w:val="clear" w:color="auto" w:fill="D6F3E8"/>
          </w:tcPr>
          <w:p>
            <w:pPr>
              <w:spacing w:after="0"/>
              <w:rPr>
                <w:sz w:val="18"/>
                <w:szCs w:val="18"/>
                <w:color w:val="auto"/>
              </w:rPr>
            </w:pPr>
          </w:p>
        </w:tc>
        <w:tc>
          <w:tcPr>
            <w:tcW w:w="1140" w:type="dxa"/>
            <w:vAlign w:val="bottom"/>
            <w:shd w:val="clear" w:color="auto" w:fill="D6F3E8"/>
          </w:tcPr>
          <w:p>
            <w:pPr>
              <w:jc w:val="right"/>
              <w:ind w:right="94"/>
              <w:spacing w:after="0"/>
              <w:rPr>
                <w:sz w:val="20"/>
                <w:szCs w:val="20"/>
                <w:color w:val="auto"/>
              </w:rPr>
            </w:pPr>
            <w:r>
              <w:rPr>
                <w:rFonts w:ascii="Arial" w:cs="Arial" w:eastAsia="Arial" w:hAnsi="Arial"/>
                <w:sz w:val="18"/>
                <w:szCs w:val="18"/>
                <w:color w:val="auto"/>
              </w:rPr>
              <w:t>29,048</w:t>
            </w:r>
          </w:p>
        </w:tc>
        <w:tc>
          <w:tcPr>
            <w:tcW w:w="340" w:type="dxa"/>
            <w:vAlign w:val="bottom"/>
            <w:shd w:val="clear" w:color="auto" w:fill="D6F3E8"/>
          </w:tcPr>
          <w:p>
            <w:pPr>
              <w:spacing w:after="0"/>
              <w:rPr>
                <w:sz w:val="18"/>
                <w:szCs w:val="18"/>
                <w:color w:val="auto"/>
              </w:rPr>
            </w:pPr>
          </w:p>
        </w:tc>
        <w:tc>
          <w:tcPr>
            <w:tcW w:w="1240" w:type="dxa"/>
            <w:vAlign w:val="bottom"/>
            <w:shd w:val="clear" w:color="auto" w:fill="D6F3E8"/>
          </w:tcPr>
          <w:p>
            <w:pPr>
              <w:jc w:val="right"/>
              <w:ind w:right="98"/>
              <w:spacing w:after="0"/>
              <w:rPr>
                <w:sz w:val="20"/>
                <w:szCs w:val="20"/>
                <w:color w:val="auto"/>
              </w:rPr>
            </w:pPr>
            <w:r>
              <w:rPr>
                <w:rFonts w:ascii="Arial" w:cs="Arial" w:eastAsia="Arial" w:hAnsi="Arial"/>
                <w:sz w:val="18"/>
                <w:szCs w:val="18"/>
                <w:color w:val="auto"/>
              </w:rPr>
              <w:t>29,046</w:t>
            </w:r>
          </w:p>
        </w:tc>
        <w:tc>
          <w:tcPr>
            <w:tcW w:w="420" w:type="dxa"/>
            <w:vAlign w:val="bottom"/>
            <w:shd w:val="clear" w:color="auto" w:fill="D6F3E8"/>
          </w:tcPr>
          <w:p>
            <w:pPr>
              <w:spacing w:after="0"/>
              <w:rPr>
                <w:sz w:val="18"/>
                <w:szCs w:val="18"/>
                <w:color w:val="auto"/>
              </w:rPr>
            </w:pPr>
          </w:p>
        </w:tc>
        <w:tc>
          <w:tcPr>
            <w:tcW w:w="1080" w:type="dxa"/>
            <w:vAlign w:val="bottom"/>
            <w:shd w:val="clear" w:color="auto" w:fill="D6F3E8"/>
          </w:tcPr>
          <w:p>
            <w:pPr>
              <w:jc w:val="right"/>
              <w:ind w:right="17"/>
              <w:spacing w:after="0"/>
              <w:rPr>
                <w:sz w:val="20"/>
                <w:szCs w:val="20"/>
                <w:color w:val="auto"/>
              </w:rPr>
            </w:pPr>
            <w:r>
              <w:rPr>
                <w:rFonts w:ascii="Arial" w:cs="Arial" w:eastAsia="Arial" w:hAnsi="Arial"/>
                <w:sz w:val="18"/>
                <w:szCs w:val="18"/>
                <w:color w:val="auto"/>
              </w:rPr>
              <w:t>29,183</w:t>
            </w:r>
          </w:p>
        </w:tc>
        <w:tc>
          <w:tcPr>
            <w:tcW w:w="0" w:type="dxa"/>
            <w:vAlign w:val="bottom"/>
          </w:tcPr>
          <w:p>
            <w:pPr>
              <w:spacing w:after="0"/>
              <w:rPr>
                <w:sz w:val="1"/>
                <w:szCs w:val="1"/>
                <w:color w:val="auto"/>
              </w:rPr>
            </w:pPr>
          </w:p>
        </w:tc>
      </w:tr>
      <w:tr>
        <w:trPr>
          <w:trHeight w:val="363"/>
        </w:trPr>
        <w:tc>
          <w:tcPr>
            <w:tcW w:w="5040" w:type="dxa"/>
            <w:vAlign w:val="bottom"/>
            <w:gridSpan w:val="3"/>
          </w:tcPr>
          <w:p>
            <w:pPr>
              <w:spacing w:after="0"/>
              <w:rPr>
                <w:sz w:val="20"/>
                <w:szCs w:val="20"/>
                <w:color w:val="auto"/>
              </w:rPr>
            </w:pPr>
            <w:r>
              <w:rPr>
                <w:rFonts w:ascii="Arial" w:cs="Arial" w:eastAsia="Arial" w:hAnsi="Arial"/>
                <w:sz w:val="18"/>
                <w:szCs w:val="18"/>
                <w:color w:val="auto"/>
              </w:rPr>
              <w:t>Dividends paid per common share</w:t>
            </w:r>
          </w:p>
        </w:tc>
        <w:tc>
          <w:tcPr>
            <w:tcW w:w="48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0.12</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8"/>
              <w:spacing w:after="0"/>
              <w:rPr>
                <w:sz w:val="20"/>
                <w:szCs w:val="20"/>
                <w:color w:val="auto"/>
              </w:rPr>
            </w:pPr>
            <w:r>
              <w:rPr>
                <w:rFonts w:ascii="Arial" w:cs="Arial" w:eastAsia="Arial" w:hAnsi="Arial"/>
                <w:sz w:val="18"/>
                <w:szCs w:val="18"/>
                <w:color w:val="auto"/>
              </w:rPr>
              <w:t>0.12</w:t>
            </w:r>
          </w:p>
        </w:tc>
        <w:tc>
          <w:tcPr>
            <w:tcW w:w="4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432"/>
        </w:trPr>
        <w:tc>
          <w:tcPr>
            <w:tcW w:w="5040" w:type="dxa"/>
            <w:vAlign w:val="bottom"/>
            <w:gridSpan w:val="3"/>
          </w:tcPr>
          <w:p>
            <w:pPr>
              <w:spacing w:after="0"/>
              <w:rPr>
                <w:sz w:val="20"/>
                <w:szCs w:val="20"/>
                <w:color w:val="auto"/>
              </w:rPr>
            </w:pPr>
            <w:r>
              <w:rPr>
                <w:rFonts w:ascii="Arial" w:cs="Arial" w:eastAsia="Arial" w:hAnsi="Arial"/>
                <w:sz w:val="18"/>
                <w:szCs w:val="18"/>
                <w:i w:val="1"/>
                <w:iCs w:val="1"/>
                <w:color w:val="auto"/>
                <w:w w:val="90"/>
              </w:rPr>
              <w:t>See unaudited notes to condensed consolidated financial statements.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896"/>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1260" w:type="dxa"/>
            <w:vAlign w:val="bottom"/>
            <w:tcBorders>
              <w:bottom w:val="single" w:sz="8" w:color="808080"/>
            </w:tcBorders>
            <w:gridSpan w:val="2"/>
          </w:tcPr>
          <w:p>
            <w:pPr>
              <w:spacing w:after="0"/>
              <w:rPr>
                <w:sz w:val="24"/>
                <w:szCs w:val="24"/>
                <w:color w:val="auto"/>
              </w:rPr>
            </w:pPr>
          </w:p>
        </w:tc>
        <w:tc>
          <w:tcPr>
            <w:tcW w:w="37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12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1">
              <w:r>
                <w:rPr>
                  <w:rFonts w:ascii="Arial" w:cs="Arial" w:eastAsia="Arial" w:hAnsi="Arial"/>
                  <w:sz w:val="18"/>
                  <w:szCs w:val="18"/>
                  <w:color w:val="0000EE"/>
                  <w:w w:val="87"/>
                </w:rPr>
                <w:t>Table of Contents</w:t>
              </w:r>
            </w:hyperlink>
          </w:p>
        </w:tc>
        <w:tc>
          <w:tcPr>
            <w:tcW w:w="3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5040" w:type="dxa"/>
            <w:vAlign w:val="bottom"/>
            <w:gridSpan w:val="3"/>
          </w:tcPr>
          <w:p>
            <w:pPr>
              <w:spacing w:after="0"/>
              <w:rPr>
                <w:sz w:val="20"/>
                <w:szCs w:val="20"/>
                <w:color w:val="auto"/>
              </w:rPr>
            </w:pPr>
            <w:r>
              <w:rPr>
                <w:rFonts w:ascii="Arial" w:cs="Arial" w:eastAsia="Arial" w:hAnsi="Arial"/>
                <w:sz w:val="18"/>
                <w:szCs w:val="18"/>
                <w:b w:val="1"/>
                <w:bCs w:val="1"/>
                <w:color w:val="auto"/>
              </w:rPr>
              <w:t>Winnebago Industries, Inc.</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040" w:type="dxa"/>
            <w:vAlign w:val="bottom"/>
            <w:gridSpan w:val="3"/>
          </w:tcPr>
          <w:p>
            <w:pPr>
              <w:spacing w:after="0"/>
              <w:rPr>
                <w:sz w:val="20"/>
                <w:szCs w:val="20"/>
                <w:color w:val="auto"/>
              </w:rPr>
            </w:pPr>
            <w:r>
              <w:rPr>
                <w:rFonts w:ascii="Arial" w:cs="Arial" w:eastAsia="Arial" w:hAnsi="Arial"/>
                <w:sz w:val="18"/>
                <w:szCs w:val="18"/>
                <w:b w:val="1"/>
                <w:bCs w:val="1"/>
                <w:color w:val="auto"/>
              </w:rPr>
              <w:t>Unaudited Consolidated Balance Sheets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jc w:val="center"/>
              <w:ind w:right="338"/>
              <w:spacing w:after="0"/>
              <w:rPr>
                <w:sz w:val="20"/>
                <w:szCs w:val="20"/>
                <w:color w:val="auto"/>
              </w:rPr>
            </w:pPr>
            <w:r>
              <w:rPr>
                <w:rFonts w:ascii="Arial" w:cs="Arial" w:eastAsia="Arial" w:hAnsi="Arial"/>
                <w:sz w:val="14"/>
                <w:szCs w:val="14"/>
                <w:b w:val="1"/>
                <w:bCs w:val="1"/>
                <w:color w:val="auto"/>
                <w:w w:val="90"/>
              </w:rPr>
              <w:t>May 30,</w:t>
            </w:r>
          </w:p>
        </w:tc>
        <w:tc>
          <w:tcPr>
            <w:tcW w:w="420" w:type="dxa"/>
            <w:vAlign w:val="bottom"/>
          </w:tcPr>
          <w:p>
            <w:pPr>
              <w:spacing w:after="0"/>
              <w:rPr>
                <w:sz w:val="24"/>
                <w:szCs w:val="24"/>
                <w:color w:val="auto"/>
              </w:rPr>
            </w:pPr>
          </w:p>
        </w:tc>
        <w:tc>
          <w:tcPr>
            <w:tcW w:w="1080" w:type="dxa"/>
            <w:vAlign w:val="bottom"/>
          </w:tcPr>
          <w:p>
            <w:pPr>
              <w:jc w:val="center"/>
              <w:ind w:right="297"/>
              <w:spacing w:after="0"/>
              <w:rPr>
                <w:sz w:val="20"/>
                <w:szCs w:val="20"/>
                <w:color w:val="auto"/>
              </w:rPr>
            </w:pPr>
            <w:r>
              <w:rPr>
                <w:rFonts w:ascii="Arial" w:cs="Arial" w:eastAsia="Arial" w:hAnsi="Arial"/>
                <w:sz w:val="14"/>
                <w:szCs w:val="14"/>
                <w:b w:val="1"/>
                <w:bCs w:val="1"/>
                <w:color w:val="auto"/>
                <w:w w:val="86"/>
              </w:rPr>
              <w:t>August 30,</w:t>
            </w:r>
          </w:p>
        </w:tc>
        <w:tc>
          <w:tcPr>
            <w:tcW w:w="0" w:type="dxa"/>
            <w:vAlign w:val="bottom"/>
          </w:tcPr>
          <w:p>
            <w:pPr>
              <w:spacing w:after="0"/>
              <w:rPr>
                <w:sz w:val="1"/>
                <w:szCs w:val="1"/>
                <w:color w:val="auto"/>
              </w:rPr>
            </w:pPr>
          </w:p>
        </w:tc>
      </w:tr>
      <w:tr>
        <w:trPr>
          <w:trHeight w:val="168"/>
        </w:trPr>
        <w:tc>
          <w:tcPr>
            <w:tcW w:w="50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318"/>
              <w:spacing w:after="0"/>
              <w:rPr>
                <w:sz w:val="20"/>
                <w:szCs w:val="20"/>
                <w:color w:val="auto"/>
              </w:rPr>
            </w:pPr>
            <w:r>
              <w:rPr>
                <w:rFonts w:ascii="Arial" w:cs="Arial" w:eastAsia="Arial" w:hAnsi="Arial"/>
                <w:sz w:val="14"/>
                <w:szCs w:val="14"/>
                <w:b w:val="1"/>
                <w:bCs w:val="1"/>
                <w:color w:val="auto"/>
                <w:w w:val="89"/>
              </w:rPr>
              <w:t>2009</w:t>
            </w:r>
          </w:p>
        </w:tc>
        <w:tc>
          <w:tcPr>
            <w:tcW w:w="4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297"/>
              <w:spacing w:after="0"/>
              <w:rPr>
                <w:sz w:val="20"/>
                <w:szCs w:val="20"/>
                <w:color w:val="auto"/>
              </w:rPr>
            </w:pPr>
            <w:r>
              <w:rPr>
                <w:rFonts w:ascii="Arial" w:cs="Arial" w:eastAsia="Arial" w:hAnsi="Arial"/>
                <w:sz w:val="14"/>
                <w:szCs w:val="14"/>
                <w:b w:val="1"/>
                <w:bCs w:val="1"/>
                <w:color w:val="auto"/>
                <w:w w:val="83"/>
              </w:rPr>
              <w:t>2008</w:t>
            </w:r>
          </w:p>
        </w:tc>
        <w:tc>
          <w:tcPr>
            <w:tcW w:w="0" w:type="dxa"/>
            <w:vAlign w:val="bottom"/>
          </w:tcPr>
          <w:p>
            <w:pPr>
              <w:spacing w:after="0"/>
              <w:rPr>
                <w:sz w:val="1"/>
                <w:szCs w:val="1"/>
                <w:color w:val="auto"/>
              </w:rPr>
            </w:pPr>
          </w:p>
        </w:tc>
      </w:tr>
      <w:tr>
        <w:trPr>
          <w:trHeight w:val="356"/>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3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gridSpan w:val="2"/>
            <w:shd w:val="clear" w:color="auto" w:fill="D6F3E8"/>
          </w:tcPr>
          <w:p>
            <w:pPr>
              <w:ind w:left="3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22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1140" w:type="dxa"/>
            <w:vAlign w:val="bottom"/>
            <w:shd w:val="clear" w:color="auto" w:fill="D6F3E8"/>
          </w:tcPr>
          <w:p>
            <w:pPr>
              <w:spacing w:after="0"/>
              <w:rPr>
                <w:sz w:val="18"/>
                <w:szCs w:val="18"/>
                <w:color w:val="auto"/>
              </w:rPr>
            </w:pPr>
          </w:p>
        </w:tc>
        <w:tc>
          <w:tcPr>
            <w:tcW w:w="34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shd w:val="clear" w:color="auto" w:fill="D6F3E8"/>
          </w:tcPr>
          <w:p>
            <w:pPr>
              <w:jc w:val="right"/>
              <w:ind w:right="98"/>
              <w:spacing w:after="0"/>
              <w:rPr>
                <w:sz w:val="20"/>
                <w:szCs w:val="20"/>
                <w:color w:val="auto"/>
              </w:rPr>
            </w:pPr>
            <w:r>
              <w:rPr>
                <w:rFonts w:ascii="Arial" w:cs="Arial" w:eastAsia="Arial" w:hAnsi="Arial"/>
                <w:sz w:val="18"/>
                <w:szCs w:val="18"/>
                <w:color w:val="auto"/>
              </w:rPr>
              <w:t>41,308</w:t>
            </w:r>
          </w:p>
        </w:tc>
        <w:tc>
          <w:tcPr>
            <w:tcW w:w="42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rPr>
              <w:t>$</w:t>
            </w:r>
          </w:p>
        </w:tc>
        <w:tc>
          <w:tcPr>
            <w:tcW w:w="1080" w:type="dxa"/>
            <w:vAlign w:val="bottom"/>
            <w:shd w:val="clear" w:color="auto" w:fill="D6F3E8"/>
          </w:tcPr>
          <w:p>
            <w:pPr>
              <w:jc w:val="right"/>
              <w:ind w:right="17"/>
              <w:spacing w:after="0"/>
              <w:rPr>
                <w:sz w:val="20"/>
                <w:szCs w:val="20"/>
                <w:color w:val="auto"/>
              </w:rPr>
            </w:pPr>
            <w:r>
              <w:rPr>
                <w:rFonts w:ascii="Arial" w:cs="Arial" w:eastAsia="Arial" w:hAnsi="Arial"/>
                <w:sz w:val="18"/>
                <w:szCs w:val="18"/>
                <w:color w:val="auto"/>
              </w:rPr>
              <w:t>17,851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-1562100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-1562100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22"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3"/>
        </w:trPr>
        <w:tc>
          <w:tcPr>
            <w:tcW w:w="8460" w:type="dxa"/>
            <w:vAlign w:val="bottom"/>
            <w:gridSpan w:val="2"/>
          </w:tcPr>
          <w:p>
            <w:pPr>
              <w:ind w:left="34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19"/>
                <w:szCs w:val="19"/>
                <w:color w:val="auto"/>
              </w:rPr>
            </w:pP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400</w:t>
            </w:r>
          </w:p>
        </w:tc>
        <w:tc>
          <w:tcPr>
            <w:tcW w:w="440" w:type="dxa"/>
            <w:vAlign w:val="bottom"/>
          </w:tcPr>
          <w:p>
            <w:pPr>
              <w:spacing w:after="0"/>
              <w:rPr>
                <w:sz w:val="19"/>
                <w:szCs w:val="19"/>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3,100</w:t>
            </w:r>
          </w:p>
        </w:tc>
        <w:tc>
          <w:tcPr>
            <w:tcW w:w="0" w:type="dxa"/>
            <w:vAlign w:val="bottom"/>
          </w:tcPr>
          <w:p>
            <w:pPr>
              <w:spacing w:after="0"/>
              <w:rPr>
                <w:sz w:val="1"/>
                <w:szCs w:val="1"/>
                <w:color w:val="auto"/>
              </w:rPr>
            </w:pPr>
          </w:p>
        </w:tc>
      </w:tr>
      <w:tr>
        <w:trPr>
          <w:trHeight w:val="217"/>
        </w:trPr>
        <w:tc>
          <w:tcPr>
            <w:tcW w:w="8460" w:type="dxa"/>
            <w:vAlign w:val="bottom"/>
            <w:gridSpan w:val="2"/>
            <w:shd w:val="clear" w:color="auto" w:fill="D6F3E8"/>
          </w:tcPr>
          <w:p>
            <w:pPr>
              <w:ind w:left="340"/>
              <w:spacing w:after="0"/>
              <w:rPr>
                <w:sz w:val="20"/>
                <w:szCs w:val="20"/>
                <w:color w:val="auto"/>
              </w:rPr>
            </w:pPr>
            <w:r>
              <w:rPr>
                <w:rFonts w:ascii="Arial" w:cs="Arial" w:eastAsia="Arial" w:hAnsi="Arial"/>
                <w:sz w:val="18"/>
                <w:szCs w:val="18"/>
                <w:color w:val="auto"/>
              </w:rPr>
              <w:t>Receivables, less allowance for doubtful accounts ($186 and $177, respectively)</w:t>
            </w:r>
          </w:p>
        </w:tc>
        <w:tc>
          <w:tcPr>
            <w:tcW w:w="200" w:type="dxa"/>
            <w:vAlign w:val="bottom"/>
            <w:shd w:val="clear" w:color="auto" w:fill="D6F3E8"/>
          </w:tcPr>
          <w:p>
            <w:pPr>
              <w:spacing w:after="0"/>
              <w:rPr>
                <w:sz w:val="18"/>
                <w:szCs w:val="18"/>
                <w:color w:val="auto"/>
              </w:rPr>
            </w:pPr>
          </w:p>
        </w:tc>
        <w:tc>
          <w:tcPr>
            <w:tcW w:w="1260" w:type="dxa"/>
            <w:vAlign w:val="bottom"/>
            <w:shd w:val="clear" w:color="auto" w:fill="D6F3E8"/>
          </w:tcPr>
          <w:p>
            <w:pPr>
              <w:jc w:val="right"/>
              <w:ind w:right="94"/>
              <w:spacing w:after="0"/>
              <w:rPr>
                <w:sz w:val="20"/>
                <w:szCs w:val="20"/>
                <w:color w:val="auto"/>
              </w:rPr>
            </w:pPr>
            <w:r>
              <w:rPr>
                <w:rFonts w:ascii="Arial" w:cs="Arial" w:eastAsia="Arial" w:hAnsi="Arial"/>
                <w:sz w:val="18"/>
                <w:szCs w:val="18"/>
                <w:color w:val="auto"/>
              </w:rPr>
              <w:t>7,890</w:t>
            </w:r>
          </w:p>
        </w:tc>
        <w:tc>
          <w:tcPr>
            <w:tcW w:w="440" w:type="dxa"/>
            <w:vAlign w:val="bottom"/>
            <w:shd w:val="clear" w:color="auto" w:fill="D6F3E8"/>
          </w:tcPr>
          <w:p>
            <w:pPr>
              <w:spacing w:after="0"/>
              <w:rPr>
                <w:sz w:val="18"/>
                <w:szCs w:val="18"/>
                <w:color w:val="auto"/>
              </w:rPr>
            </w:pPr>
          </w:p>
        </w:tc>
        <w:tc>
          <w:tcPr>
            <w:tcW w:w="1060" w:type="dxa"/>
            <w:vAlign w:val="bottom"/>
            <w:shd w:val="clear" w:color="auto" w:fill="D6F3E8"/>
          </w:tcPr>
          <w:p>
            <w:pPr>
              <w:jc w:val="right"/>
              <w:ind w:right="13"/>
              <w:spacing w:after="0"/>
              <w:rPr>
                <w:sz w:val="20"/>
                <w:szCs w:val="20"/>
                <w:color w:val="auto"/>
              </w:rPr>
            </w:pPr>
            <w:r>
              <w:rPr>
                <w:rFonts w:ascii="Arial" w:cs="Arial" w:eastAsia="Arial" w:hAnsi="Arial"/>
                <w:sz w:val="18"/>
                <w:szCs w:val="18"/>
                <w:color w:val="auto"/>
              </w:rPr>
              <w:t>9,426</w:t>
            </w:r>
          </w:p>
        </w:tc>
        <w:tc>
          <w:tcPr>
            <w:tcW w:w="0" w:type="dxa"/>
            <w:vAlign w:val="bottom"/>
          </w:tcPr>
          <w:p>
            <w:pPr>
              <w:spacing w:after="0"/>
              <w:rPr>
                <w:sz w:val="1"/>
                <w:szCs w:val="1"/>
                <w:color w:val="auto"/>
              </w:rPr>
            </w:pPr>
          </w:p>
        </w:tc>
      </w:tr>
      <w:tr>
        <w:trPr>
          <w:trHeight w:val="216"/>
        </w:trPr>
        <w:tc>
          <w:tcPr>
            <w:tcW w:w="8460" w:type="dxa"/>
            <w:vAlign w:val="bottom"/>
            <w:gridSpan w:val="2"/>
          </w:tcPr>
          <w:p>
            <w:pPr>
              <w:ind w:left="34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53,230</w:t>
            </w:r>
          </w:p>
        </w:tc>
        <w:tc>
          <w:tcPr>
            <w:tcW w:w="44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110,596</w:t>
            </w: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D6F3E8"/>
          </w:tcPr>
          <w:p>
            <w:pPr>
              <w:ind w:left="34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shd w:val="clear" w:color="auto" w:fill="D6F3E8"/>
          </w:tcPr>
          <w:p>
            <w:pPr>
              <w:spacing w:after="0"/>
              <w:rPr>
                <w:sz w:val="18"/>
                <w:szCs w:val="18"/>
                <w:color w:val="auto"/>
              </w:rPr>
            </w:pPr>
          </w:p>
        </w:tc>
        <w:tc>
          <w:tcPr>
            <w:tcW w:w="1260" w:type="dxa"/>
            <w:vAlign w:val="bottom"/>
            <w:shd w:val="clear" w:color="auto" w:fill="D6F3E8"/>
          </w:tcPr>
          <w:p>
            <w:pPr>
              <w:jc w:val="right"/>
              <w:ind w:right="94"/>
              <w:spacing w:after="0"/>
              <w:rPr>
                <w:sz w:val="20"/>
                <w:szCs w:val="20"/>
                <w:color w:val="auto"/>
              </w:rPr>
            </w:pPr>
            <w:r>
              <w:rPr>
                <w:rFonts w:ascii="Arial" w:cs="Arial" w:eastAsia="Arial" w:hAnsi="Arial"/>
                <w:sz w:val="18"/>
                <w:szCs w:val="18"/>
                <w:color w:val="auto"/>
              </w:rPr>
              <w:t>3,029</w:t>
            </w:r>
          </w:p>
        </w:tc>
        <w:tc>
          <w:tcPr>
            <w:tcW w:w="440" w:type="dxa"/>
            <w:vAlign w:val="bottom"/>
            <w:shd w:val="clear" w:color="auto" w:fill="D6F3E8"/>
          </w:tcPr>
          <w:p>
            <w:pPr>
              <w:spacing w:after="0"/>
              <w:rPr>
                <w:sz w:val="18"/>
                <w:szCs w:val="18"/>
                <w:color w:val="auto"/>
              </w:rPr>
            </w:pPr>
          </w:p>
        </w:tc>
        <w:tc>
          <w:tcPr>
            <w:tcW w:w="1060" w:type="dxa"/>
            <w:vAlign w:val="bottom"/>
            <w:shd w:val="clear" w:color="auto" w:fill="D6F3E8"/>
          </w:tcPr>
          <w:p>
            <w:pPr>
              <w:jc w:val="right"/>
              <w:ind w:right="13"/>
              <w:spacing w:after="0"/>
              <w:rPr>
                <w:sz w:val="20"/>
                <w:szCs w:val="20"/>
                <w:color w:val="auto"/>
              </w:rPr>
            </w:pPr>
            <w:r>
              <w:rPr>
                <w:rFonts w:ascii="Arial" w:cs="Arial" w:eastAsia="Arial" w:hAnsi="Arial"/>
                <w:sz w:val="18"/>
                <w:szCs w:val="18"/>
                <w:color w:val="auto"/>
              </w:rPr>
              <w:t>3,715</w:t>
            </w:r>
          </w:p>
        </w:tc>
        <w:tc>
          <w:tcPr>
            <w:tcW w:w="0" w:type="dxa"/>
            <w:vAlign w:val="bottom"/>
          </w:tcPr>
          <w:p>
            <w:pPr>
              <w:spacing w:after="0"/>
              <w:rPr>
                <w:sz w:val="1"/>
                <w:szCs w:val="1"/>
                <w:color w:val="auto"/>
              </w:rPr>
            </w:pPr>
          </w:p>
        </w:tc>
      </w:tr>
      <w:tr>
        <w:trPr>
          <w:trHeight w:val="216"/>
        </w:trPr>
        <w:tc>
          <w:tcPr>
            <w:tcW w:w="8460" w:type="dxa"/>
            <w:vAlign w:val="bottom"/>
            <w:gridSpan w:val="2"/>
          </w:tcPr>
          <w:p>
            <w:pPr>
              <w:ind w:left="34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9,378</w:t>
            </w:r>
          </w:p>
        </w:tc>
        <w:tc>
          <w:tcPr>
            <w:tcW w:w="44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11,575</w:t>
            </w: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D6F3E8"/>
          </w:tcPr>
          <w:p>
            <w:pPr>
              <w:ind w:left="340"/>
              <w:spacing w:after="0"/>
              <w:rPr>
                <w:sz w:val="20"/>
                <w:szCs w:val="20"/>
                <w:color w:val="auto"/>
              </w:rPr>
            </w:pPr>
            <w:r>
              <w:rPr>
                <w:rFonts w:ascii="Arial" w:cs="Arial" w:eastAsia="Arial" w:hAnsi="Arial"/>
                <w:sz w:val="18"/>
                <w:szCs w:val="18"/>
                <w:color w:val="auto"/>
              </w:rPr>
              <w:t>Income taxes receivable</w:t>
            </w:r>
          </w:p>
        </w:tc>
        <w:tc>
          <w:tcPr>
            <w:tcW w:w="200" w:type="dxa"/>
            <w:vAlign w:val="bottom"/>
            <w:tcBorders>
              <w:bottom w:val="single" w:sz="8" w:color="auto"/>
            </w:tcBorders>
            <w:shd w:val="clear" w:color="auto" w:fill="D6F3E8"/>
          </w:tcPr>
          <w:p>
            <w:pPr>
              <w:spacing w:after="0"/>
              <w:rPr>
                <w:sz w:val="18"/>
                <w:szCs w:val="18"/>
                <w:color w:val="auto"/>
              </w:rPr>
            </w:pPr>
          </w:p>
        </w:tc>
        <w:tc>
          <w:tcPr>
            <w:tcW w:w="1260" w:type="dxa"/>
            <w:vAlign w:val="bottom"/>
            <w:tcBorders>
              <w:bottom w:val="single" w:sz="8" w:color="auto"/>
            </w:tcBorders>
            <w:shd w:val="clear" w:color="auto" w:fill="D6F3E8"/>
          </w:tcPr>
          <w:p>
            <w:pPr>
              <w:jc w:val="right"/>
              <w:ind w:right="94"/>
              <w:spacing w:after="0"/>
              <w:rPr>
                <w:sz w:val="20"/>
                <w:szCs w:val="20"/>
                <w:color w:val="auto"/>
              </w:rPr>
            </w:pPr>
            <w:r>
              <w:rPr>
                <w:rFonts w:ascii="Arial" w:cs="Arial" w:eastAsia="Arial" w:hAnsi="Arial"/>
                <w:sz w:val="18"/>
                <w:szCs w:val="18"/>
                <w:color w:val="auto"/>
              </w:rPr>
              <w:t>19,127</w:t>
            </w:r>
          </w:p>
        </w:tc>
        <w:tc>
          <w:tcPr>
            <w:tcW w:w="440" w:type="dxa"/>
            <w:vAlign w:val="bottom"/>
            <w:tcBorders>
              <w:bottom w:val="single" w:sz="8" w:color="auto"/>
            </w:tcBorders>
            <w:shd w:val="clear" w:color="auto" w:fill="D6F3E8"/>
          </w:tcPr>
          <w:p>
            <w:pPr>
              <w:spacing w:after="0"/>
              <w:rPr>
                <w:sz w:val="18"/>
                <w:szCs w:val="18"/>
                <w:color w:val="auto"/>
              </w:rPr>
            </w:pPr>
          </w:p>
        </w:tc>
        <w:tc>
          <w:tcPr>
            <w:tcW w:w="1060" w:type="dxa"/>
            <w:vAlign w:val="bottom"/>
            <w:tcBorders>
              <w:bottom w:val="single" w:sz="8" w:color="auto"/>
            </w:tcBorders>
            <w:shd w:val="clear" w:color="auto" w:fill="D6F3E8"/>
          </w:tcPr>
          <w:p>
            <w:pPr>
              <w:jc w:val="right"/>
              <w:ind w:right="13"/>
              <w:spacing w:after="0"/>
              <w:rPr>
                <w:sz w:val="20"/>
                <w:szCs w:val="20"/>
                <w:color w:val="auto"/>
              </w:rPr>
            </w:pPr>
            <w:r>
              <w:rPr>
                <w:rFonts w:ascii="Arial" w:cs="Arial" w:eastAsia="Arial" w:hAnsi="Arial"/>
                <w:sz w:val="18"/>
                <w:szCs w:val="18"/>
                <w:color w:val="auto"/>
              </w:rPr>
              <w:t>6,618</w:t>
            </w:r>
          </w:p>
        </w:tc>
        <w:tc>
          <w:tcPr>
            <w:tcW w:w="0" w:type="dxa"/>
            <w:vAlign w:val="bottom"/>
          </w:tcPr>
          <w:p>
            <w:pPr>
              <w:spacing w:after="0"/>
              <w:rPr>
                <w:sz w:val="1"/>
                <w:szCs w:val="1"/>
                <w:color w:val="auto"/>
              </w:rPr>
            </w:pPr>
          </w:p>
        </w:tc>
      </w:tr>
      <w:tr>
        <w:trPr>
          <w:trHeight w:val="210"/>
        </w:trPr>
        <w:tc>
          <w:tcPr>
            <w:tcW w:w="846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134,362</w:t>
            </w:r>
          </w:p>
        </w:tc>
        <w:tc>
          <w:tcPr>
            <w:tcW w:w="44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162,881</w:t>
            </w: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shd w:val="clear" w:color="auto" w:fill="D6F3E8"/>
          </w:tcPr>
          <w:p>
            <w:pPr>
              <w:spacing w:after="0"/>
              <w:rPr>
                <w:sz w:val="18"/>
                <w:szCs w:val="18"/>
                <w:color w:val="auto"/>
              </w:rPr>
            </w:pPr>
          </w:p>
        </w:tc>
        <w:tc>
          <w:tcPr>
            <w:tcW w:w="1260" w:type="dxa"/>
            <w:vAlign w:val="bottom"/>
            <w:shd w:val="clear" w:color="auto" w:fill="D6F3E8"/>
          </w:tcPr>
          <w:p>
            <w:pPr>
              <w:jc w:val="right"/>
              <w:ind w:right="94"/>
              <w:spacing w:after="0"/>
              <w:rPr>
                <w:sz w:val="20"/>
                <w:szCs w:val="20"/>
                <w:color w:val="auto"/>
              </w:rPr>
            </w:pPr>
            <w:r>
              <w:rPr>
                <w:rFonts w:ascii="Arial" w:cs="Arial" w:eastAsia="Arial" w:hAnsi="Arial"/>
                <w:sz w:val="18"/>
                <w:szCs w:val="18"/>
                <w:color w:val="auto"/>
              </w:rPr>
              <w:t>34,077</w:t>
            </w:r>
          </w:p>
        </w:tc>
        <w:tc>
          <w:tcPr>
            <w:tcW w:w="440" w:type="dxa"/>
            <w:vAlign w:val="bottom"/>
            <w:shd w:val="clear" w:color="auto" w:fill="D6F3E8"/>
          </w:tcPr>
          <w:p>
            <w:pPr>
              <w:spacing w:after="0"/>
              <w:rPr>
                <w:sz w:val="18"/>
                <w:szCs w:val="18"/>
                <w:color w:val="auto"/>
              </w:rPr>
            </w:pPr>
          </w:p>
        </w:tc>
        <w:tc>
          <w:tcPr>
            <w:tcW w:w="1060" w:type="dxa"/>
            <w:vAlign w:val="bottom"/>
            <w:shd w:val="clear" w:color="auto" w:fill="D6F3E8"/>
          </w:tcPr>
          <w:p>
            <w:pPr>
              <w:jc w:val="right"/>
              <w:ind w:right="13"/>
              <w:spacing w:after="0"/>
              <w:rPr>
                <w:sz w:val="20"/>
                <w:szCs w:val="20"/>
                <w:color w:val="auto"/>
              </w:rPr>
            </w:pPr>
            <w:r>
              <w:rPr>
                <w:rFonts w:ascii="Arial" w:cs="Arial" w:eastAsia="Arial" w:hAnsi="Arial"/>
                <w:sz w:val="18"/>
                <w:szCs w:val="18"/>
                <w:color w:val="auto"/>
              </w:rPr>
              <w:t>40,097</w:t>
            </w:r>
          </w:p>
        </w:tc>
        <w:tc>
          <w:tcPr>
            <w:tcW w:w="0" w:type="dxa"/>
            <w:vAlign w:val="bottom"/>
          </w:tcPr>
          <w:p>
            <w:pPr>
              <w:spacing w:after="0"/>
              <w:rPr>
                <w:sz w:val="1"/>
                <w:szCs w:val="1"/>
                <w:color w:val="auto"/>
              </w:rPr>
            </w:pP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Long-term investments</w:t>
            </w:r>
          </w:p>
        </w:tc>
        <w:tc>
          <w:tcPr>
            <w:tcW w:w="200" w:type="dxa"/>
            <w:vAlign w:val="bottom"/>
          </w:tcPr>
          <w:p>
            <w:pPr>
              <w:spacing w:after="0"/>
              <w:rPr>
                <w:sz w:val="18"/>
                <w:szCs w:val="18"/>
                <w:color w:val="auto"/>
              </w:rPr>
            </w:pP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33,120</w:t>
            </w:r>
          </w:p>
        </w:tc>
        <w:tc>
          <w:tcPr>
            <w:tcW w:w="44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37,538</w:t>
            </w: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Investment in life insurance</w:t>
            </w:r>
          </w:p>
        </w:tc>
        <w:tc>
          <w:tcPr>
            <w:tcW w:w="200" w:type="dxa"/>
            <w:vAlign w:val="bottom"/>
            <w:shd w:val="clear" w:color="auto" w:fill="D6F3E8"/>
          </w:tcPr>
          <w:p>
            <w:pPr>
              <w:spacing w:after="0"/>
              <w:rPr>
                <w:sz w:val="18"/>
                <w:szCs w:val="18"/>
                <w:color w:val="auto"/>
              </w:rPr>
            </w:pPr>
          </w:p>
        </w:tc>
        <w:tc>
          <w:tcPr>
            <w:tcW w:w="1260" w:type="dxa"/>
            <w:vAlign w:val="bottom"/>
            <w:shd w:val="clear" w:color="auto" w:fill="D6F3E8"/>
          </w:tcPr>
          <w:p>
            <w:pPr>
              <w:jc w:val="right"/>
              <w:ind w:right="94"/>
              <w:spacing w:after="0"/>
              <w:rPr>
                <w:sz w:val="20"/>
                <w:szCs w:val="20"/>
                <w:color w:val="auto"/>
              </w:rPr>
            </w:pPr>
            <w:r>
              <w:rPr>
                <w:rFonts w:ascii="Arial" w:cs="Arial" w:eastAsia="Arial" w:hAnsi="Arial"/>
                <w:sz w:val="18"/>
                <w:szCs w:val="18"/>
                <w:color w:val="auto"/>
              </w:rPr>
              <w:t>22,476</w:t>
            </w:r>
          </w:p>
        </w:tc>
        <w:tc>
          <w:tcPr>
            <w:tcW w:w="440" w:type="dxa"/>
            <w:vAlign w:val="bottom"/>
            <w:shd w:val="clear" w:color="auto" w:fill="D6F3E8"/>
          </w:tcPr>
          <w:p>
            <w:pPr>
              <w:spacing w:after="0"/>
              <w:rPr>
                <w:sz w:val="18"/>
                <w:szCs w:val="18"/>
                <w:color w:val="auto"/>
              </w:rPr>
            </w:pPr>
          </w:p>
        </w:tc>
        <w:tc>
          <w:tcPr>
            <w:tcW w:w="1060" w:type="dxa"/>
            <w:vAlign w:val="bottom"/>
            <w:shd w:val="clear" w:color="auto" w:fill="D6F3E8"/>
          </w:tcPr>
          <w:p>
            <w:pPr>
              <w:jc w:val="right"/>
              <w:ind w:right="13"/>
              <w:spacing w:after="0"/>
              <w:rPr>
                <w:sz w:val="20"/>
                <w:szCs w:val="20"/>
                <w:color w:val="auto"/>
              </w:rPr>
            </w:pPr>
            <w:r>
              <w:rPr>
                <w:rFonts w:ascii="Arial" w:cs="Arial" w:eastAsia="Arial" w:hAnsi="Arial"/>
                <w:sz w:val="18"/>
                <w:szCs w:val="18"/>
                <w:color w:val="auto"/>
              </w:rPr>
              <w:t>22,123</w:t>
            </w:r>
          </w:p>
        </w:tc>
        <w:tc>
          <w:tcPr>
            <w:tcW w:w="0" w:type="dxa"/>
            <w:vAlign w:val="bottom"/>
          </w:tcPr>
          <w:p>
            <w:pPr>
              <w:spacing w:after="0"/>
              <w:rPr>
                <w:sz w:val="1"/>
                <w:szCs w:val="1"/>
                <w:color w:val="auto"/>
              </w:rPr>
            </w:pP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28,660</w:t>
            </w:r>
          </w:p>
        </w:tc>
        <w:tc>
          <w:tcPr>
            <w:tcW w:w="44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26,862</w:t>
            </w: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D6F3E8"/>
          </w:tcPr>
          <w:p>
            <w:pPr>
              <w:spacing w:after="0"/>
              <w:rPr>
                <w:sz w:val="18"/>
                <w:szCs w:val="18"/>
                <w:color w:val="auto"/>
              </w:rPr>
            </w:pPr>
          </w:p>
        </w:tc>
        <w:tc>
          <w:tcPr>
            <w:tcW w:w="1260" w:type="dxa"/>
            <w:vAlign w:val="bottom"/>
            <w:shd w:val="clear" w:color="auto" w:fill="D6F3E8"/>
          </w:tcPr>
          <w:p>
            <w:pPr>
              <w:jc w:val="right"/>
              <w:ind w:right="94"/>
              <w:spacing w:after="0"/>
              <w:rPr>
                <w:sz w:val="20"/>
                <w:szCs w:val="20"/>
                <w:color w:val="auto"/>
              </w:rPr>
            </w:pPr>
            <w:r>
              <w:rPr>
                <w:rFonts w:ascii="Arial" w:cs="Arial" w:eastAsia="Arial" w:hAnsi="Arial"/>
                <w:sz w:val="18"/>
                <w:szCs w:val="18"/>
                <w:color w:val="auto"/>
              </w:rPr>
              <w:t>13,156</w:t>
            </w:r>
          </w:p>
        </w:tc>
        <w:tc>
          <w:tcPr>
            <w:tcW w:w="440" w:type="dxa"/>
            <w:vAlign w:val="bottom"/>
            <w:shd w:val="clear" w:color="auto" w:fill="D6F3E8"/>
          </w:tcPr>
          <w:p>
            <w:pPr>
              <w:spacing w:after="0"/>
              <w:rPr>
                <w:sz w:val="18"/>
                <w:szCs w:val="18"/>
                <w:color w:val="auto"/>
              </w:rPr>
            </w:pPr>
          </w:p>
        </w:tc>
        <w:tc>
          <w:tcPr>
            <w:tcW w:w="1060" w:type="dxa"/>
            <w:vAlign w:val="bottom"/>
            <w:shd w:val="clear" w:color="auto" w:fill="D6F3E8"/>
          </w:tcPr>
          <w:p>
            <w:pPr>
              <w:jc w:val="right"/>
              <w:ind w:right="13"/>
              <w:spacing w:after="0"/>
              <w:rPr>
                <w:sz w:val="20"/>
                <w:szCs w:val="20"/>
                <w:color w:val="auto"/>
              </w:rPr>
            </w:pPr>
            <w:r>
              <w:rPr>
                <w:rFonts w:ascii="Arial" w:cs="Arial" w:eastAsia="Arial" w:hAnsi="Arial"/>
                <w:sz w:val="18"/>
                <w:szCs w:val="18"/>
                <w:color w:val="auto"/>
              </w:rPr>
              <w:t>15,954</w:t>
            </w:r>
          </w:p>
        </w:tc>
        <w:tc>
          <w:tcPr>
            <w:tcW w:w="0" w:type="dxa"/>
            <w:vAlign w:val="bottom"/>
          </w:tcPr>
          <w:p>
            <w:pPr>
              <w:spacing w:after="0"/>
              <w:rPr>
                <w:sz w:val="1"/>
                <w:szCs w:val="1"/>
                <w:color w:val="auto"/>
              </w:rPr>
            </w:pPr>
          </w:p>
        </w:tc>
      </w:tr>
      <w:tr>
        <w:trPr>
          <w:trHeight w:val="216"/>
        </w:trPr>
        <w:tc>
          <w:tcPr>
            <w:tcW w:w="8460" w:type="dxa"/>
            <w:vAlign w:val="bottom"/>
            <w:tcBorders>
              <w:bottom w:val="single" w:sz="8" w:color="D6F3E8"/>
            </w:tcBorders>
            <w:gridSpan w:val="2"/>
          </w:tcPr>
          <w:p>
            <w:pPr>
              <w:spacing w:after="0"/>
              <w:rPr>
                <w:sz w:val="20"/>
                <w:szCs w:val="20"/>
                <w:color w:val="auto"/>
              </w:rPr>
            </w:pPr>
            <w:r>
              <w:rPr>
                <w:rFonts w:ascii="Arial" w:cs="Arial" w:eastAsia="Arial" w:hAnsi="Arial"/>
                <w:sz w:val="18"/>
                <w:szCs w:val="18"/>
                <w:color w:val="auto"/>
              </w:rPr>
              <w:t>Assets held for sale</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2,276</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460" w:type="dxa"/>
            <w:vAlign w:val="bottom"/>
            <w:tcBorders>
              <w:bottom w:val="single" w:sz="8" w:color="D6F3E8"/>
            </w:tcBorders>
            <w:gridSpan w:val="2"/>
            <w:shd w:val="clear" w:color="auto" w:fill="D6F3E8"/>
          </w:tcPr>
          <w:p>
            <w:pPr>
              <w:ind w:left="340"/>
              <w:spacing w:after="0" w:line="202" w:lineRule="exact"/>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D6F3E8"/>
          </w:tcPr>
          <w:p>
            <w:pPr>
              <w:jc w:val="right"/>
              <w:ind w:right="1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D6F3E8"/>
          </w:tcPr>
          <w:p>
            <w:pPr>
              <w:jc w:val="right"/>
              <w:ind w:right="94"/>
              <w:spacing w:after="0"/>
              <w:rPr>
                <w:sz w:val="20"/>
                <w:szCs w:val="20"/>
                <w:color w:val="auto"/>
              </w:rPr>
            </w:pPr>
            <w:r>
              <w:rPr>
                <w:rFonts w:ascii="Arial" w:cs="Arial" w:eastAsia="Arial" w:hAnsi="Arial"/>
                <w:sz w:val="18"/>
                <w:szCs w:val="18"/>
                <w:color w:val="auto"/>
              </w:rPr>
              <w:t>268,127</w:t>
            </w:r>
          </w:p>
        </w:tc>
        <w:tc>
          <w:tcPr>
            <w:tcW w:w="440" w:type="dxa"/>
            <w:vAlign w:val="bottom"/>
            <w:tcBorders>
              <w:bottom w:val="single" w:sz="8" w:color="auto"/>
            </w:tcBorders>
            <w:shd w:val="clear" w:color="auto" w:fill="D6F3E8"/>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6F3E8"/>
          </w:tcPr>
          <w:p>
            <w:pPr>
              <w:jc w:val="right"/>
              <w:ind w:right="13"/>
              <w:spacing w:after="0"/>
              <w:rPr>
                <w:sz w:val="20"/>
                <w:szCs w:val="20"/>
                <w:color w:val="auto"/>
              </w:rPr>
            </w:pPr>
            <w:r>
              <w:rPr>
                <w:rFonts w:ascii="Arial" w:cs="Arial" w:eastAsia="Arial" w:hAnsi="Arial"/>
                <w:sz w:val="18"/>
                <w:szCs w:val="18"/>
                <w:color w:val="auto"/>
              </w:rPr>
              <w:t>305,455</w:t>
            </w: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84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60" w:type="dxa"/>
            <w:vAlign w:val="bottom"/>
            <w:gridSpan w:val="2"/>
          </w:tcPr>
          <w:p>
            <w:pPr>
              <w:ind w:left="34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9,806</w:t>
            </w:r>
          </w:p>
        </w:tc>
        <w:tc>
          <w:tcPr>
            <w:tcW w:w="4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15,631</w:t>
            </w:r>
          </w:p>
        </w:tc>
        <w:tc>
          <w:tcPr>
            <w:tcW w:w="0" w:type="dxa"/>
            <w:vAlign w:val="bottom"/>
          </w:tcPr>
          <w:p>
            <w:pPr>
              <w:spacing w:after="0"/>
              <w:rPr>
                <w:sz w:val="1"/>
                <w:szCs w:val="1"/>
                <w:color w:val="auto"/>
              </w:rPr>
            </w:pPr>
          </w:p>
        </w:tc>
      </w:tr>
      <w:tr>
        <w:trPr>
          <w:trHeight w:val="217"/>
        </w:trPr>
        <w:tc>
          <w:tcPr>
            <w:tcW w:w="8460" w:type="dxa"/>
            <w:vAlign w:val="bottom"/>
            <w:gridSpan w:val="2"/>
            <w:shd w:val="clear" w:color="auto" w:fill="D6F3E8"/>
          </w:tcPr>
          <w:p>
            <w:pPr>
              <w:ind w:left="340"/>
              <w:spacing w:after="0"/>
              <w:rPr>
                <w:sz w:val="20"/>
                <w:szCs w:val="20"/>
                <w:color w:val="auto"/>
              </w:rPr>
            </w:pPr>
            <w:r>
              <w:rPr>
                <w:rFonts w:ascii="Arial" w:cs="Arial" w:eastAsia="Arial" w:hAnsi="Arial"/>
                <w:sz w:val="18"/>
                <w:szCs w:val="18"/>
                <w:color w:val="auto"/>
              </w:rPr>
              <w:t>Short-term ARS borrowings</w:t>
            </w:r>
          </w:p>
        </w:tc>
        <w:tc>
          <w:tcPr>
            <w:tcW w:w="200" w:type="dxa"/>
            <w:vAlign w:val="bottom"/>
            <w:shd w:val="clear" w:color="auto" w:fill="D6F3E8"/>
          </w:tcPr>
          <w:p>
            <w:pPr>
              <w:spacing w:after="0"/>
              <w:rPr>
                <w:sz w:val="18"/>
                <w:szCs w:val="18"/>
                <w:color w:val="auto"/>
              </w:rPr>
            </w:pPr>
          </w:p>
        </w:tc>
        <w:tc>
          <w:tcPr>
            <w:tcW w:w="1260" w:type="dxa"/>
            <w:vAlign w:val="bottom"/>
            <w:shd w:val="clear" w:color="auto" w:fill="D6F3E8"/>
          </w:tcPr>
          <w:p>
            <w:pPr>
              <w:jc w:val="right"/>
              <w:ind w:right="94"/>
              <w:spacing w:after="0"/>
              <w:rPr>
                <w:sz w:val="20"/>
                <w:szCs w:val="20"/>
                <w:color w:val="auto"/>
              </w:rPr>
            </w:pPr>
            <w:r>
              <w:rPr>
                <w:rFonts w:ascii="Arial" w:cs="Arial" w:eastAsia="Arial" w:hAnsi="Arial"/>
                <w:sz w:val="18"/>
                <w:szCs w:val="18"/>
                <w:color w:val="auto"/>
              </w:rPr>
              <w:t>9,100</w:t>
            </w:r>
          </w:p>
        </w:tc>
        <w:tc>
          <w:tcPr>
            <w:tcW w:w="440" w:type="dxa"/>
            <w:vAlign w:val="bottom"/>
            <w:shd w:val="clear" w:color="auto" w:fill="D6F3E8"/>
          </w:tcPr>
          <w:p>
            <w:pPr>
              <w:spacing w:after="0"/>
              <w:rPr>
                <w:sz w:val="18"/>
                <w:szCs w:val="18"/>
                <w:color w:val="auto"/>
              </w:rPr>
            </w:pPr>
          </w:p>
        </w:tc>
        <w:tc>
          <w:tcPr>
            <w:tcW w:w="1060" w:type="dxa"/>
            <w:vAlign w:val="bottom"/>
            <w:shd w:val="clear" w:color="auto" w:fill="D6F3E8"/>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8460" w:type="dxa"/>
            <w:vAlign w:val="bottom"/>
            <w:gridSpan w:val="2"/>
          </w:tcPr>
          <w:p>
            <w:pPr>
              <w:ind w:left="340"/>
              <w:spacing w:after="0"/>
              <w:rPr>
                <w:sz w:val="20"/>
                <w:szCs w:val="20"/>
                <w:color w:val="auto"/>
              </w:rPr>
            </w:pPr>
            <w:r>
              <w:rPr>
                <w:rFonts w:ascii="Arial" w:cs="Arial" w:eastAsia="Arial" w:hAnsi="Arial"/>
                <w:sz w:val="18"/>
                <w:szCs w:val="18"/>
                <w:color w:val="auto"/>
              </w:rPr>
              <w:t>Income taxes payable</w:t>
            </w:r>
          </w:p>
        </w:tc>
        <w:tc>
          <w:tcPr>
            <w:tcW w:w="200" w:type="dxa"/>
            <w:vAlign w:val="bottom"/>
          </w:tcPr>
          <w:p>
            <w:pPr>
              <w:spacing w:after="0"/>
              <w:rPr>
                <w:sz w:val="18"/>
                <w:szCs w:val="18"/>
                <w:color w:val="auto"/>
              </w:rPr>
            </w:pP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91</w:t>
            </w:r>
          </w:p>
        </w:tc>
        <w:tc>
          <w:tcPr>
            <w:tcW w:w="44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8460" w:type="dxa"/>
            <w:vAlign w:val="bottom"/>
            <w:gridSpan w:val="2"/>
          </w:tcPr>
          <w:p>
            <w:pPr>
              <w:ind w:left="34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460" w:type="dxa"/>
            <w:vAlign w:val="bottom"/>
            <w:gridSpan w:val="2"/>
            <w:shd w:val="clear" w:color="auto" w:fill="D6F3E8"/>
          </w:tcPr>
          <w:p>
            <w:pPr>
              <w:ind w:left="660"/>
              <w:spacing w:after="0"/>
              <w:rPr>
                <w:sz w:val="20"/>
                <w:szCs w:val="20"/>
                <w:color w:val="auto"/>
              </w:rPr>
            </w:pPr>
            <w:r>
              <w:rPr>
                <w:rFonts w:ascii="Arial" w:cs="Arial" w:eastAsia="Arial" w:hAnsi="Arial"/>
                <w:sz w:val="18"/>
                <w:szCs w:val="18"/>
                <w:color w:val="auto"/>
              </w:rPr>
              <w:t>Accrued compensation</w:t>
            </w:r>
          </w:p>
        </w:tc>
        <w:tc>
          <w:tcPr>
            <w:tcW w:w="200" w:type="dxa"/>
            <w:vAlign w:val="bottom"/>
            <w:shd w:val="clear" w:color="auto" w:fill="D6F3E8"/>
          </w:tcPr>
          <w:p>
            <w:pPr>
              <w:spacing w:after="0"/>
              <w:rPr>
                <w:sz w:val="18"/>
                <w:szCs w:val="18"/>
                <w:color w:val="auto"/>
              </w:rPr>
            </w:pPr>
          </w:p>
        </w:tc>
        <w:tc>
          <w:tcPr>
            <w:tcW w:w="1260" w:type="dxa"/>
            <w:vAlign w:val="bottom"/>
            <w:shd w:val="clear" w:color="auto" w:fill="D6F3E8"/>
          </w:tcPr>
          <w:p>
            <w:pPr>
              <w:jc w:val="right"/>
              <w:ind w:right="94"/>
              <w:spacing w:after="0"/>
              <w:rPr>
                <w:sz w:val="20"/>
                <w:szCs w:val="20"/>
                <w:color w:val="auto"/>
              </w:rPr>
            </w:pPr>
            <w:r>
              <w:rPr>
                <w:rFonts w:ascii="Arial" w:cs="Arial" w:eastAsia="Arial" w:hAnsi="Arial"/>
                <w:sz w:val="18"/>
                <w:szCs w:val="18"/>
                <w:color w:val="auto"/>
              </w:rPr>
              <w:t>9,749</w:t>
            </w:r>
          </w:p>
        </w:tc>
        <w:tc>
          <w:tcPr>
            <w:tcW w:w="440" w:type="dxa"/>
            <w:vAlign w:val="bottom"/>
            <w:shd w:val="clear" w:color="auto" w:fill="D6F3E8"/>
          </w:tcPr>
          <w:p>
            <w:pPr>
              <w:spacing w:after="0"/>
              <w:rPr>
                <w:sz w:val="18"/>
                <w:szCs w:val="18"/>
                <w:color w:val="auto"/>
              </w:rPr>
            </w:pPr>
          </w:p>
        </w:tc>
        <w:tc>
          <w:tcPr>
            <w:tcW w:w="1060" w:type="dxa"/>
            <w:vAlign w:val="bottom"/>
            <w:shd w:val="clear" w:color="auto" w:fill="D6F3E8"/>
          </w:tcPr>
          <w:p>
            <w:pPr>
              <w:jc w:val="right"/>
              <w:ind w:right="13"/>
              <w:spacing w:after="0"/>
              <w:rPr>
                <w:sz w:val="20"/>
                <w:szCs w:val="20"/>
                <w:color w:val="auto"/>
              </w:rPr>
            </w:pPr>
            <w:r>
              <w:rPr>
                <w:rFonts w:ascii="Arial" w:cs="Arial" w:eastAsia="Arial" w:hAnsi="Arial"/>
                <w:sz w:val="18"/>
                <w:szCs w:val="18"/>
                <w:color w:val="auto"/>
              </w:rPr>
              <w:t>10,070</w:t>
            </w:r>
          </w:p>
        </w:tc>
        <w:tc>
          <w:tcPr>
            <w:tcW w:w="0" w:type="dxa"/>
            <w:vAlign w:val="bottom"/>
          </w:tcPr>
          <w:p>
            <w:pPr>
              <w:spacing w:after="0"/>
              <w:rPr>
                <w:sz w:val="1"/>
                <w:szCs w:val="1"/>
                <w:color w:val="auto"/>
              </w:rPr>
            </w:pPr>
          </w:p>
        </w:tc>
      </w:tr>
      <w:tr>
        <w:trPr>
          <w:trHeight w:val="216"/>
        </w:trPr>
        <w:tc>
          <w:tcPr>
            <w:tcW w:w="8460" w:type="dxa"/>
            <w:vAlign w:val="bottom"/>
            <w:gridSpan w:val="2"/>
          </w:tcPr>
          <w:p>
            <w:pPr>
              <w:ind w:left="660"/>
              <w:spacing w:after="0"/>
              <w:rPr>
                <w:sz w:val="20"/>
                <w:szCs w:val="20"/>
                <w:color w:val="auto"/>
              </w:rPr>
            </w:pPr>
            <w:r>
              <w:rPr>
                <w:rFonts w:ascii="Arial" w:cs="Arial" w:eastAsia="Arial" w:hAnsi="Arial"/>
                <w:sz w:val="18"/>
                <w:szCs w:val="18"/>
                <w:color w:val="auto"/>
              </w:rPr>
              <w:t>Product warranties</w:t>
            </w:r>
          </w:p>
        </w:tc>
        <w:tc>
          <w:tcPr>
            <w:tcW w:w="200" w:type="dxa"/>
            <w:vAlign w:val="bottom"/>
          </w:tcPr>
          <w:p>
            <w:pPr>
              <w:spacing w:after="0"/>
              <w:rPr>
                <w:sz w:val="18"/>
                <w:szCs w:val="18"/>
                <w:color w:val="auto"/>
              </w:rPr>
            </w:pP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6,836</w:t>
            </w:r>
          </w:p>
        </w:tc>
        <w:tc>
          <w:tcPr>
            <w:tcW w:w="44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9,859</w:t>
            </w: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D6F3E8"/>
          </w:tcPr>
          <w:p>
            <w:pPr>
              <w:ind w:left="660"/>
              <w:spacing w:after="0"/>
              <w:rPr>
                <w:sz w:val="20"/>
                <w:szCs w:val="20"/>
                <w:color w:val="auto"/>
              </w:rPr>
            </w:pPr>
            <w:r>
              <w:rPr>
                <w:rFonts w:ascii="Arial" w:cs="Arial" w:eastAsia="Arial" w:hAnsi="Arial"/>
                <w:sz w:val="18"/>
                <w:szCs w:val="18"/>
                <w:color w:val="auto"/>
              </w:rPr>
              <w:t>Self-insurance</w:t>
            </w:r>
          </w:p>
        </w:tc>
        <w:tc>
          <w:tcPr>
            <w:tcW w:w="200" w:type="dxa"/>
            <w:vAlign w:val="bottom"/>
            <w:shd w:val="clear" w:color="auto" w:fill="D6F3E8"/>
          </w:tcPr>
          <w:p>
            <w:pPr>
              <w:spacing w:after="0"/>
              <w:rPr>
                <w:sz w:val="18"/>
                <w:szCs w:val="18"/>
                <w:color w:val="auto"/>
              </w:rPr>
            </w:pPr>
          </w:p>
        </w:tc>
        <w:tc>
          <w:tcPr>
            <w:tcW w:w="1260" w:type="dxa"/>
            <w:vAlign w:val="bottom"/>
            <w:shd w:val="clear" w:color="auto" w:fill="D6F3E8"/>
          </w:tcPr>
          <w:p>
            <w:pPr>
              <w:jc w:val="right"/>
              <w:ind w:right="94"/>
              <w:spacing w:after="0"/>
              <w:rPr>
                <w:sz w:val="20"/>
                <w:szCs w:val="20"/>
                <w:color w:val="auto"/>
              </w:rPr>
            </w:pPr>
            <w:r>
              <w:rPr>
                <w:rFonts w:ascii="Arial" w:cs="Arial" w:eastAsia="Arial" w:hAnsi="Arial"/>
                <w:sz w:val="18"/>
                <w:szCs w:val="18"/>
                <w:color w:val="auto"/>
              </w:rPr>
              <w:t>5,419</w:t>
            </w:r>
          </w:p>
        </w:tc>
        <w:tc>
          <w:tcPr>
            <w:tcW w:w="440" w:type="dxa"/>
            <w:vAlign w:val="bottom"/>
            <w:shd w:val="clear" w:color="auto" w:fill="D6F3E8"/>
          </w:tcPr>
          <w:p>
            <w:pPr>
              <w:spacing w:after="0"/>
              <w:rPr>
                <w:sz w:val="18"/>
                <w:szCs w:val="18"/>
                <w:color w:val="auto"/>
              </w:rPr>
            </w:pPr>
          </w:p>
        </w:tc>
        <w:tc>
          <w:tcPr>
            <w:tcW w:w="1060" w:type="dxa"/>
            <w:vAlign w:val="bottom"/>
            <w:shd w:val="clear" w:color="auto" w:fill="D6F3E8"/>
          </w:tcPr>
          <w:p>
            <w:pPr>
              <w:jc w:val="right"/>
              <w:ind w:right="13"/>
              <w:spacing w:after="0"/>
              <w:rPr>
                <w:sz w:val="20"/>
                <w:szCs w:val="20"/>
                <w:color w:val="auto"/>
              </w:rPr>
            </w:pPr>
            <w:r>
              <w:rPr>
                <w:rFonts w:ascii="Arial" w:cs="Arial" w:eastAsia="Arial" w:hAnsi="Arial"/>
                <w:sz w:val="18"/>
                <w:szCs w:val="18"/>
                <w:color w:val="auto"/>
              </w:rPr>
              <w:t>6,630</w:t>
            </w:r>
          </w:p>
        </w:tc>
        <w:tc>
          <w:tcPr>
            <w:tcW w:w="0" w:type="dxa"/>
            <w:vAlign w:val="bottom"/>
          </w:tcPr>
          <w:p>
            <w:pPr>
              <w:spacing w:after="0"/>
              <w:rPr>
                <w:sz w:val="1"/>
                <w:szCs w:val="1"/>
                <w:color w:val="auto"/>
              </w:rPr>
            </w:pPr>
          </w:p>
        </w:tc>
      </w:tr>
      <w:tr>
        <w:trPr>
          <w:trHeight w:val="216"/>
        </w:trPr>
        <w:tc>
          <w:tcPr>
            <w:tcW w:w="8460" w:type="dxa"/>
            <w:vAlign w:val="bottom"/>
            <w:gridSpan w:val="2"/>
          </w:tcPr>
          <w:p>
            <w:pPr>
              <w:ind w:left="660"/>
              <w:spacing w:after="0"/>
              <w:rPr>
                <w:sz w:val="20"/>
                <w:szCs w:val="20"/>
                <w:color w:val="auto"/>
              </w:rPr>
            </w:pPr>
            <w:r>
              <w:rPr>
                <w:rFonts w:ascii="Arial" w:cs="Arial" w:eastAsia="Arial" w:hAnsi="Arial"/>
                <w:sz w:val="18"/>
                <w:szCs w:val="18"/>
                <w:color w:val="auto"/>
              </w:rPr>
              <w:t>Promotional</w:t>
            </w:r>
          </w:p>
        </w:tc>
        <w:tc>
          <w:tcPr>
            <w:tcW w:w="200" w:type="dxa"/>
            <w:vAlign w:val="bottom"/>
          </w:tcPr>
          <w:p>
            <w:pPr>
              <w:spacing w:after="0"/>
              <w:rPr>
                <w:sz w:val="18"/>
                <w:szCs w:val="18"/>
                <w:color w:val="auto"/>
              </w:rPr>
            </w:pP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1,883</w:t>
            </w:r>
          </w:p>
        </w:tc>
        <w:tc>
          <w:tcPr>
            <w:tcW w:w="44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2,642</w:t>
            </w: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D6F3E8"/>
          </w:tcPr>
          <w:p>
            <w:pPr>
              <w:ind w:left="660"/>
              <w:spacing w:after="0"/>
              <w:rPr>
                <w:sz w:val="20"/>
                <w:szCs w:val="20"/>
                <w:color w:val="auto"/>
              </w:rPr>
            </w:pPr>
            <w:r>
              <w:rPr>
                <w:rFonts w:ascii="Arial" w:cs="Arial" w:eastAsia="Arial" w:hAnsi="Arial"/>
                <w:sz w:val="18"/>
                <w:szCs w:val="18"/>
                <w:color w:val="auto"/>
              </w:rPr>
              <w:t>Accrued loss on repurchases</w:t>
            </w:r>
          </w:p>
        </w:tc>
        <w:tc>
          <w:tcPr>
            <w:tcW w:w="200" w:type="dxa"/>
            <w:vAlign w:val="bottom"/>
            <w:shd w:val="clear" w:color="auto" w:fill="D6F3E8"/>
          </w:tcPr>
          <w:p>
            <w:pPr>
              <w:spacing w:after="0"/>
              <w:rPr>
                <w:sz w:val="18"/>
                <w:szCs w:val="18"/>
                <w:color w:val="auto"/>
              </w:rPr>
            </w:pPr>
          </w:p>
        </w:tc>
        <w:tc>
          <w:tcPr>
            <w:tcW w:w="1260" w:type="dxa"/>
            <w:vAlign w:val="bottom"/>
            <w:shd w:val="clear" w:color="auto" w:fill="D6F3E8"/>
          </w:tcPr>
          <w:p>
            <w:pPr>
              <w:jc w:val="right"/>
              <w:ind w:right="94"/>
              <w:spacing w:after="0"/>
              <w:rPr>
                <w:sz w:val="20"/>
                <w:szCs w:val="20"/>
                <w:color w:val="auto"/>
              </w:rPr>
            </w:pPr>
            <w:r>
              <w:rPr>
                <w:rFonts w:ascii="Arial" w:cs="Arial" w:eastAsia="Arial" w:hAnsi="Arial"/>
                <w:sz w:val="18"/>
                <w:szCs w:val="18"/>
                <w:color w:val="auto"/>
              </w:rPr>
              <w:t>1,803</w:t>
            </w:r>
          </w:p>
        </w:tc>
        <w:tc>
          <w:tcPr>
            <w:tcW w:w="440" w:type="dxa"/>
            <w:vAlign w:val="bottom"/>
            <w:shd w:val="clear" w:color="auto" w:fill="D6F3E8"/>
          </w:tcPr>
          <w:p>
            <w:pPr>
              <w:spacing w:after="0"/>
              <w:rPr>
                <w:sz w:val="18"/>
                <w:szCs w:val="18"/>
                <w:color w:val="auto"/>
              </w:rPr>
            </w:pPr>
          </w:p>
        </w:tc>
        <w:tc>
          <w:tcPr>
            <w:tcW w:w="1060" w:type="dxa"/>
            <w:vAlign w:val="bottom"/>
            <w:shd w:val="clear" w:color="auto" w:fill="D6F3E8"/>
          </w:tcPr>
          <w:p>
            <w:pPr>
              <w:jc w:val="right"/>
              <w:ind w:right="13"/>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16"/>
        </w:trPr>
        <w:tc>
          <w:tcPr>
            <w:tcW w:w="8460" w:type="dxa"/>
            <w:vAlign w:val="bottom"/>
            <w:gridSpan w:val="2"/>
          </w:tcPr>
          <w:p>
            <w:pPr>
              <w:ind w:left="660"/>
              <w:spacing w:after="0"/>
              <w:rPr>
                <w:sz w:val="20"/>
                <w:szCs w:val="20"/>
                <w:color w:val="auto"/>
              </w:rPr>
            </w:pPr>
            <w:r>
              <w:rPr>
                <w:rFonts w:ascii="Arial" w:cs="Arial" w:eastAsia="Arial" w:hAnsi="Arial"/>
                <w:sz w:val="18"/>
                <w:szCs w:val="18"/>
                <w:color w:val="auto"/>
              </w:rPr>
              <w:t>Accrued dividends</w:t>
            </w:r>
          </w:p>
        </w:tc>
        <w:tc>
          <w:tcPr>
            <w:tcW w:w="200" w:type="dxa"/>
            <w:vAlign w:val="bottom"/>
          </w:tcPr>
          <w:p>
            <w:pPr>
              <w:spacing w:after="0"/>
              <w:rPr>
                <w:sz w:val="18"/>
                <w:szCs w:val="18"/>
                <w:color w:val="auto"/>
              </w:rPr>
            </w:pP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3,489</w:t>
            </w: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D6F3E8"/>
          </w:tcPr>
          <w:p>
            <w:pPr>
              <w:ind w:left="6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D6F3E8"/>
          </w:tcPr>
          <w:p>
            <w:pPr>
              <w:spacing w:after="0"/>
              <w:rPr>
                <w:sz w:val="18"/>
                <w:szCs w:val="18"/>
                <w:color w:val="auto"/>
              </w:rPr>
            </w:pPr>
          </w:p>
        </w:tc>
        <w:tc>
          <w:tcPr>
            <w:tcW w:w="1260" w:type="dxa"/>
            <w:vAlign w:val="bottom"/>
            <w:tcBorders>
              <w:bottom w:val="single" w:sz="8" w:color="auto"/>
            </w:tcBorders>
            <w:shd w:val="clear" w:color="auto" w:fill="D6F3E8"/>
          </w:tcPr>
          <w:p>
            <w:pPr>
              <w:jc w:val="right"/>
              <w:ind w:right="94"/>
              <w:spacing w:after="0"/>
              <w:rPr>
                <w:sz w:val="20"/>
                <w:szCs w:val="20"/>
                <w:color w:val="auto"/>
              </w:rPr>
            </w:pPr>
            <w:r>
              <w:rPr>
                <w:rFonts w:ascii="Arial" w:cs="Arial" w:eastAsia="Arial" w:hAnsi="Arial"/>
                <w:sz w:val="18"/>
                <w:szCs w:val="18"/>
                <w:color w:val="auto"/>
              </w:rPr>
              <w:t>4,752</w:t>
            </w:r>
          </w:p>
        </w:tc>
        <w:tc>
          <w:tcPr>
            <w:tcW w:w="440" w:type="dxa"/>
            <w:vAlign w:val="bottom"/>
            <w:tcBorders>
              <w:bottom w:val="single" w:sz="8" w:color="auto"/>
            </w:tcBorders>
            <w:shd w:val="clear" w:color="auto" w:fill="D6F3E8"/>
          </w:tcPr>
          <w:p>
            <w:pPr>
              <w:spacing w:after="0"/>
              <w:rPr>
                <w:sz w:val="18"/>
                <w:szCs w:val="18"/>
                <w:color w:val="auto"/>
              </w:rPr>
            </w:pPr>
          </w:p>
        </w:tc>
        <w:tc>
          <w:tcPr>
            <w:tcW w:w="1060" w:type="dxa"/>
            <w:vAlign w:val="bottom"/>
            <w:tcBorders>
              <w:bottom w:val="single" w:sz="8" w:color="auto"/>
            </w:tcBorders>
            <w:shd w:val="clear" w:color="auto" w:fill="D6F3E8"/>
          </w:tcPr>
          <w:p>
            <w:pPr>
              <w:jc w:val="right"/>
              <w:ind w:right="13"/>
              <w:spacing w:after="0"/>
              <w:rPr>
                <w:sz w:val="20"/>
                <w:szCs w:val="20"/>
                <w:color w:val="auto"/>
              </w:rPr>
            </w:pPr>
            <w:r>
              <w:rPr>
                <w:rFonts w:ascii="Arial" w:cs="Arial" w:eastAsia="Arial" w:hAnsi="Arial"/>
                <w:sz w:val="18"/>
                <w:szCs w:val="18"/>
                <w:color w:val="auto"/>
              </w:rPr>
              <w:t>5,275</w:t>
            </w:r>
          </w:p>
        </w:tc>
        <w:tc>
          <w:tcPr>
            <w:tcW w:w="0" w:type="dxa"/>
            <w:vAlign w:val="bottom"/>
          </w:tcPr>
          <w:p>
            <w:pPr>
              <w:spacing w:after="0"/>
              <w:rPr>
                <w:sz w:val="1"/>
                <w:szCs w:val="1"/>
                <w:color w:val="auto"/>
              </w:rPr>
            </w:pPr>
          </w:p>
        </w:tc>
      </w:tr>
      <w:tr>
        <w:trPr>
          <w:trHeight w:val="210"/>
        </w:trPr>
        <w:tc>
          <w:tcPr>
            <w:tcW w:w="846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49,439</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54,333</w:t>
            </w:r>
          </w:p>
        </w:tc>
        <w:tc>
          <w:tcPr>
            <w:tcW w:w="0" w:type="dxa"/>
            <w:vAlign w:val="bottom"/>
          </w:tcPr>
          <w:p>
            <w:pPr>
              <w:spacing w:after="0"/>
              <w:rPr>
                <w:sz w:val="1"/>
                <w:szCs w:val="1"/>
                <w:color w:val="auto"/>
              </w:rPr>
            </w:pPr>
          </w:p>
        </w:tc>
      </w:tr>
      <w:tr>
        <w:trPr>
          <w:trHeight w:val="196"/>
        </w:trPr>
        <w:tc>
          <w:tcPr>
            <w:tcW w:w="8460" w:type="dxa"/>
            <w:vAlign w:val="bottom"/>
            <w:gridSpan w:val="2"/>
          </w:tcPr>
          <w:p>
            <w:pPr>
              <w:spacing w:after="0" w:line="196" w:lineRule="exact"/>
              <w:rPr>
                <w:sz w:val="20"/>
                <w:szCs w:val="20"/>
                <w:color w:val="auto"/>
              </w:rPr>
            </w:pPr>
            <w:r>
              <w:rPr>
                <w:rFonts w:ascii="Arial" w:cs="Arial" w:eastAsia="Arial" w:hAnsi="Arial"/>
                <w:sz w:val="18"/>
                <w:szCs w:val="18"/>
                <w:color w:val="auto"/>
              </w:rPr>
              <w:t>Long-term liabilities:</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D6F3E8"/>
          </w:tcPr>
          <w:p>
            <w:pPr>
              <w:ind w:left="340"/>
              <w:spacing w:after="0"/>
              <w:rPr>
                <w:sz w:val="20"/>
                <w:szCs w:val="20"/>
                <w:color w:val="auto"/>
              </w:rPr>
            </w:pPr>
            <w:r>
              <w:rPr>
                <w:rFonts w:ascii="Arial" w:cs="Arial" w:eastAsia="Arial" w:hAnsi="Arial"/>
                <w:sz w:val="18"/>
                <w:szCs w:val="18"/>
                <w:color w:val="auto"/>
              </w:rPr>
              <w:t>Unrecognized tax benefits</w:t>
            </w:r>
          </w:p>
        </w:tc>
        <w:tc>
          <w:tcPr>
            <w:tcW w:w="200" w:type="dxa"/>
            <w:vAlign w:val="bottom"/>
            <w:shd w:val="clear" w:color="auto" w:fill="D6F3E8"/>
          </w:tcPr>
          <w:p>
            <w:pPr>
              <w:spacing w:after="0"/>
              <w:rPr>
                <w:sz w:val="18"/>
                <w:szCs w:val="18"/>
                <w:color w:val="auto"/>
              </w:rPr>
            </w:pPr>
          </w:p>
        </w:tc>
        <w:tc>
          <w:tcPr>
            <w:tcW w:w="1260" w:type="dxa"/>
            <w:vAlign w:val="bottom"/>
            <w:shd w:val="clear" w:color="auto" w:fill="D6F3E8"/>
          </w:tcPr>
          <w:p>
            <w:pPr>
              <w:jc w:val="right"/>
              <w:ind w:right="94"/>
              <w:spacing w:after="0"/>
              <w:rPr>
                <w:sz w:val="20"/>
                <w:szCs w:val="20"/>
                <w:color w:val="auto"/>
              </w:rPr>
            </w:pPr>
            <w:r>
              <w:rPr>
                <w:rFonts w:ascii="Arial" w:cs="Arial" w:eastAsia="Arial" w:hAnsi="Arial"/>
                <w:sz w:val="18"/>
                <w:szCs w:val="18"/>
                <w:color w:val="auto"/>
              </w:rPr>
              <w:t>9,031</w:t>
            </w:r>
          </w:p>
        </w:tc>
        <w:tc>
          <w:tcPr>
            <w:tcW w:w="440" w:type="dxa"/>
            <w:vAlign w:val="bottom"/>
            <w:shd w:val="clear" w:color="auto" w:fill="D6F3E8"/>
          </w:tcPr>
          <w:p>
            <w:pPr>
              <w:spacing w:after="0"/>
              <w:rPr>
                <w:sz w:val="18"/>
                <w:szCs w:val="18"/>
                <w:color w:val="auto"/>
              </w:rPr>
            </w:pPr>
          </w:p>
        </w:tc>
        <w:tc>
          <w:tcPr>
            <w:tcW w:w="1060" w:type="dxa"/>
            <w:vAlign w:val="bottom"/>
            <w:shd w:val="clear" w:color="auto" w:fill="D6F3E8"/>
          </w:tcPr>
          <w:p>
            <w:pPr>
              <w:jc w:val="right"/>
              <w:ind w:right="13"/>
              <w:spacing w:after="0"/>
              <w:rPr>
                <w:sz w:val="20"/>
                <w:szCs w:val="20"/>
                <w:color w:val="auto"/>
              </w:rPr>
            </w:pPr>
            <w:r>
              <w:rPr>
                <w:rFonts w:ascii="Arial" w:cs="Arial" w:eastAsia="Arial" w:hAnsi="Arial"/>
                <w:sz w:val="18"/>
                <w:szCs w:val="18"/>
                <w:color w:val="auto"/>
              </w:rPr>
              <w:t>9,469</w:t>
            </w:r>
          </w:p>
        </w:tc>
        <w:tc>
          <w:tcPr>
            <w:tcW w:w="0" w:type="dxa"/>
            <w:vAlign w:val="bottom"/>
          </w:tcPr>
          <w:p>
            <w:pPr>
              <w:spacing w:after="0"/>
              <w:rPr>
                <w:sz w:val="1"/>
                <w:szCs w:val="1"/>
                <w:color w:val="auto"/>
              </w:rPr>
            </w:pPr>
          </w:p>
        </w:tc>
      </w:tr>
      <w:tr>
        <w:trPr>
          <w:trHeight w:val="216"/>
        </w:trPr>
        <w:tc>
          <w:tcPr>
            <w:tcW w:w="8460" w:type="dxa"/>
            <w:vAlign w:val="bottom"/>
            <w:tcBorders>
              <w:bottom w:val="single" w:sz="8" w:color="D6F3E8"/>
            </w:tcBorders>
            <w:gridSpan w:val="2"/>
          </w:tcPr>
          <w:p>
            <w:pPr>
              <w:ind w:left="340"/>
              <w:spacing w:after="0"/>
              <w:rPr>
                <w:sz w:val="20"/>
                <w:szCs w:val="20"/>
                <w:color w:val="auto"/>
              </w:rPr>
            </w:pPr>
            <w:r>
              <w:rPr>
                <w:rFonts w:ascii="Arial" w:cs="Arial" w:eastAsia="Arial" w:hAnsi="Arial"/>
                <w:sz w:val="18"/>
                <w:szCs w:val="18"/>
                <w:color w:val="auto"/>
              </w:rPr>
              <w:t>Postretirement health care and deferred compensation benefits</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64,767</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67,729</w:t>
            </w:r>
          </w:p>
        </w:tc>
        <w:tc>
          <w:tcPr>
            <w:tcW w:w="0" w:type="dxa"/>
            <w:vAlign w:val="bottom"/>
          </w:tcPr>
          <w:p>
            <w:pPr>
              <w:spacing w:after="0"/>
              <w:rPr>
                <w:sz w:val="1"/>
                <w:szCs w:val="1"/>
                <w:color w:val="auto"/>
              </w:rPr>
            </w:pPr>
          </w:p>
        </w:tc>
      </w:tr>
      <w:tr>
        <w:trPr>
          <w:trHeight w:val="210"/>
        </w:trPr>
        <w:tc>
          <w:tcPr>
            <w:tcW w:w="8460" w:type="dxa"/>
            <w:vAlign w:val="bottom"/>
            <w:gridSpan w:val="2"/>
            <w:shd w:val="clear" w:color="auto" w:fill="D6F3E8"/>
          </w:tcPr>
          <w:p>
            <w:pPr>
              <w:ind w:left="660"/>
              <w:spacing w:after="0" w:line="202" w:lineRule="exact"/>
              <w:rPr>
                <w:sz w:val="20"/>
                <w:szCs w:val="20"/>
                <w:color w:val="auto"/>
              </w:rPr>
            </w:pPr>
            <w:r>
              <w:rPr>
                <w:rFonts w:ascii="Arial" w:cs="Arial" w:eastAsia="Arial" w:hAnsi="Arial"/>
                <w:sz w:val="18"/>
                <w:szCs w:val="18"/>
                <w:color w:val="auto"/>
              </w:rPr>
              <w:t>Total long-term liabilities</w:t>
            </w:r>
          </w:p>
        </w:tc>
        <w:tc>
          <w:tcPr>
            <w:tcW w:w="200" w:type="dxa"/>
            <w:vAlign w:val="bottom"/>
            <w:tcBorders>
              <w:bottom w:val="single" w:sz="8" w:color="auto"/>
            </w:tcBorders>
            <w:shd w:val="clear" w:color="auto" w:fill="D6F3E8"/>
          </w:tcPr>
          <w:p>
            <w:pPr>
              <w:spacing w:after="0"/>
              <w:rPr>
                <w:sz w:val="18"/>
                <w:szCs w:val="18"/>
                <w:color w:val="auto"/>
              </w:rPr>
            </w:pPr>
          </w:p>
        </w:tc>
        <w:tc>
          <w:tcPr>
            <w:tcW w:w="1260" w:type="dxa"/>
            <w:vAlign w:val="bottom"/>
            <w:tcBorders>
              <w:bottom w:val="single" w:sz="8" w:color="auto"/>
            </w:tcBorders>
            <w:shd w:val="clear" w:color="auto" w:fill="D6F3E8"/>
          </w:tcPr>
          <w:p>
            <w:pPr>
              <w:jc w:val="right"/>
              <w:ind w:right="94"/>
              <w:spacing w:after="0"/>
              <w:rPr>
                <w:sz w:val="20"/>
                <w:szCs w:val="20"/>
                <w:color w:val="auto"/>
              </w:rPr>
            </w:pPr>
            <w:r>
              <w:rPr>
                <w:rFonts w:ascii="Arial" w:cs="Arial" w:eastAsia="Arial" w:hAnsi="Arial"/>
                <w:sz w:val="18"/>
                <w:szCs w:val="18"/>
                <w:color w:val="auto"/>
              </w:rPr>
              <w:t>73,798</w:t>
            </w:r>
          </w:p>
        </w:tc>
        <w:tc>
          <w:tcPr>
            <w:tcW w:w="440" w:type="dxa"/>
            <w:vAlign w:val="bottom"/>
            <w:tcBorders>
              <w:bottom w:val="single" w:sz="8" w:color="auto"/>
            </w:tcBorders>
            <w:shd w:val="clear" w:color="auto" w:fill="D6F3E8"/>
          </w:tcPr>
          <w:p>
            <w:pPr>
              <w:spacing w:after="0"/>
              <w:rPr>
                <w:sz w:val="18"/>
                <w:szCs w:val="18"/>
                <w:color w:val="auto"/>
              </w:rPr>
            </w:pPr>
          </w:p>
        </w:tc>
        <w:tc>
          <w:tcPr>
            <w:tcW w:w="1060" w:type="dxa"/>
            <w:vAlign w:val="bottom"/>
            <w:tcBorders>
              <w:bottom w:val="single" w:sz="8" w:color="auto"/>
            </w:tcBorders>
            <w:shd w:val="clear" w:color="auto" w:fill="D6F3E8"/>
          </w:tcPr>
          <w:p>
            <w:pPr>
              <w:jc w:val="right"/>
              <w:ind w:right="13"/>
              <w:spacing w:after="0"/>
              <w:rPr>
                <w:sz w:val="20"/>
                <w:szCs w:val="20"/>
                <w:color w:val="auto"/>
              </w:rPr>
            </w:pPr>
            <w:r>
              <w:rPr>
                <w:rFonts w:ascii="Arial" w:cs="Arial" w:eastAsia="Arial" w:hAnsi="Arial"/>
                <w:sz w:val="18"/>
                <w:szCs w:val="18"/>
                <w:color w:val="auto"/>
              </w:rPr>
              <w:t>77,198</w:t>
            </w:r>
          </w:p>
        </w:tc>
        <w:tc>
          <w:tcPr>
            <w:tcW w:w="0" w:type="dxa"/>
            <w:vAlign w:val="bottom"/>
          </w:tcPr>
          <w:p>
            <w:pPr>
              <w:spacing w:after="0"/>
              <w:rPr>
                <w:sz w:val="1"/>
                <w:szCs w:val="1"/>
                <w:color w:val="auto"/>
              </w:rPr>
            </w:pPr>
          </w:p>
        </w:tc>
      </w:tr>
      <w:tr>
        <w:trPr>
          <w:trHeight w:val="188"/>
        </w:trPr>
        <w:tc>
          <w:tcPr>
            <w:tcW w:w="8460" w:type="dxa"/>
            <w:vAlign w:val="bottom"/>
            <w:gridSpan w:val="2"/>
          </w:tcPr>
          <w:p>
            <w:pPr>
              <w:spacing w:after="0" w:line="188" w:lineRule="exact"/>
              <w:rPr>
                <w:sz w:val="20"/>
                <w:szCs w:val="20"/>
                <w:color w:val="auto"/>
              </w:rPr>
            </w:pPr>
            <w:r>
              <w:rPr>
                <w:rFonts w:ascii="Arial" w:cs="Arial" w:eastAsia="Arial" w:hAnsi="Arial"/>
                <w:sz w:val="18"/>
                <w:szCs w:val="18"/>
                <w:color w:val="auto"/>
              </w:rPr>
              <w:t>Contingent liabilities and commitments</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60" w:type="dxa"/>
            <w:vAlign w:val="bottom"/>
            <w:gridSpan w:val="2"/>
          </w:tcPr>
          <w:p>
            <w:pPr>
              <w:ind w:left="260"/>
              <w:spacing w:after="0"/>
              <w:rPr>
                <w:sz w:val="20"/>
                <w:szCs w:val="20"/>
                <w:color w:val="auto"/>
              </w:rPr>
            </w:pPr>
            <w:r>
              <w:rPr>
                <w:rFonts w:ascii="Arial" w:cs="Arial" w:eastAsia="Arial" w:hAnsi="Arial"/>
                <w:sz w:val="18"/>
                <w:szCs w:val="18"/>
                <w:color w:val="auto"/>
              </w:rPr>
              <w:t>Capital stock common, par value $0.50; authorized 60,000 shares, issued 51,776 shares</w:t>
            </w:r>
          </w:p>
        </w:tc>
        <w:tc>
          <w:tcPr>
            <w:tcW w:w="200" w:type="dxa"/>
            <w:vAlign w:val="bottom"/>
          </w:tcPr>
          <w:p>
            <w:pPr>
              <w:spacing w:after="0"/>
              <w:rPr>
                <w:sz w:val="19"/>
                <w:szCs w:val="19"/>
                <w:color w:val="auto"/>
              </w:rPr>
            </w:pP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25,888</w:t>
            </w:r>
          </w:p>
        </w:tc>
        <w:tc>
          <w:tcPr>
            <w:tcW w:w="440" w:type="dxa"/>
            <w:vAlign w:val="bottom"/>
          </w:tcPr>
          <w:p>
            <w:pPr>
              <w:spacing w:after="0"/>
              <w:rPr>
                <w:sz w:val="19"/>
                <w:szCs w:val="19"/>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25,888</w:t>
            </w:r>
          </w:p>
        </w:tc>
        <w:tc>
          <w:tcPr>
            <w:tcW w:w="0" w:type="dxa"/>
            <w:vAlign w:val="bottom"/>
          </w:tcPr>
          <w:p>
            <w:pPr>
              <w:spacing w:after="0"/>
              <w:rPr>
                <w:sz w:val="1"/>
                <w:szCs w:val="1"/>
                <w:color w:val="auto"/>
              </w:rPr>
            </w:pPr>
          </w:p>
        </w:tc>
      </w:tr>
      <w:tr>
        <w:trPr>
          <w:trHeight w:val="217"/>
        </w:trPr>
        <w:tc>
          <w:tcPr>
            <w:tcW w:w="8460" w:type="dxa"/>
            <w:vAlign w:val="bottom"/>
            <w:gridSpan w:val="2"/>
            <w:shd w:val="clear" w:color="auto" w:fill="D6F3E8"/>
          </w:tcPr>
          <w:p>
            <w:pPr>
              <w:ind w:left="26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D6F3E8"/>
          </w:tcPr>
          <w:p>
            <w:pPr>
              <w:spacing w:after="0"/>
              <w:rPr>
                <w:sz w:val="18"/>
                <w:szCs w:val="18"/>
                <w:color w:val="auto"/>
              </w:rPr>
            </w:pPr>
          </w:p>
        </w:tc>
        <w:tc>
          <w:tcPr>
            <w:tcW w:w="1260" w:type="dxa"/>
            <w:vAlign w:val="bottom"/>
            <w:shd w:val="clear" w:color="auto" w:fill="D6F3E8"/>
          </w:tcPr>
          <w:p>
            <w:pPr>
              <w:jc w:val="right"/>
              <w:ind w:right="94"/>
              <w:spacing w:after="0"/>
              <w:rPr>
                <w:sz w:val="20"/>
                <w:szCs w:val="20"/>
                <w:color w:val="auto"/>
              </w:rPr>
            </w:pPr>
            <w:r>
              <w:rPr>
                <w:rFonts w:ascii="Arial" w:cs="Arial" w:eastAsia="Arial" w:hAnsi="Arial"/>
                <w:sz w:val="18"/>
                <w:szCs w:val="18"/>
                <w:color w:val="auto"/>
              </w:rPr>
              <w:t>29,585</w:t>
            </w:r>
          </w:p>
        </w:tc>
        <w:tc>
          <w:tcPr>
            <w:tcW w:w="440" w:type="dxa"/>
            <w:vAlign w:val="bottom"/>
            <w:shd w:val="clear" w:color="auto" w:fill="D6F3E8"/>
          </w:tcPr>
          <w:p>
            <w:pPr>
              <w:spacing w:after="0"/>
              <w:rPr>
                <w:sz w:val="18"/>
                <w:szCs w:val="18"/>
                <w:color w:val="auto"/>
              </w:rPr>
            </w:pPr>
          </w:p>
        </w:tc>
        <w:tc>
          <w:tcPr>
            <w:tcW w:w="1060" w:type="dxa"/>
            <w:vAlign w:val="bottom"/>
            <w:shd w:val="clear" w:color="auto" w:fill="D6F3E8"/>
          </w:tcPr>
          <w:p>
            <w:pPr>
              <w:jc w:val="right"/>
              <w:ind w:right="13"/>
              <w:spacing w:after="0"/>
              <w:rPr>
                <w:sz w:val="20"/>
                <w:szCs w:val="20"/>
                <w:color w:val="auto"/>
              </w:rPr>
            </w:pPr>
            <w:r>
              <w:rPr>
                <w:rFonts w:ascii="Arial" w:cs="Arial" w:eastAsia="Arial" w:hAnsi="Arial"/>
                <w:sz w:val="18"/>
                <w:szCs w:val="18"/>
                <w:color w:val="auto"/>
              </w:rPr>
              <w:t>29,632</w:t>
            </w:r>
          </w:p>
        </w:tc>
        <w:tc>
          <w:tcPr>
            <w:tcW w:w="0" w:type="dxa"/>
            <w:vAlign w:val="bottom"/>
          </w:tcPr>
          <w:p>
            <w:pPr>
              <w:spacing w:after="0"/>
              <w:rPr>
                <w:sz w:val="1"/>
                <w:szCs w:val="1"/>
                <w:color w:val="auto"/>
              </w:rPr>
            </w:pPr>
          </w:p>
        </w:tc>
      </w:tr>
      <w:tr>
        <w:trPr>
          <w:trHeight w:val="216"/>
        </w:trPr>
        <w:tc>
          <w:tcPr>
            <w:tcW w:w="8460" w:type="dxa"/>
            <w:vAlign w:val="bottom"/>
            <w:gridSpan w:val="2"/>
          </w:tcPr>
          <w:p>
            <w:pPr>
              <w:ind w:left="26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8"/>
                <w:szCs w:val="18"/>
                <w:color w:val="auto"/>
              </w:rPr>
            </w:pP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460,664</w:t>
            </w:r>
          </w:p>
        </w:tc>
        <w:tc>
          <w:tcPr>
            <w:tcW w:w="44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489,194</w:t>
            </w: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D6F3E8"/>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shd w:val="clear" w:color="auto" w:fill="D6F3E8"/>
          </w:tcPr>
          <w:p>
            <w:pPr>
              <w:spacing w:after="0"/>
              <w:rPr>
                <w:sz w:val="18"/>
                <w:szCs w:val="18"/>
                <w:color w:val="auto"/>
              </w:rPr>
            </w:pPr>
          </w:p>
        </w:tc>
        <w:tc>
          <w:tcPr>
            <w:tcW w:w="1260" w:type="dxa"/>
            <w:vAlign w:val="bottom"/>
            <w:shd w:val="clear" w:color="auto" w:fill="D6F3E8"/>
          </w:tcPr>
          <w:p>
            <w:pPr>
              <w:jc w:val="right"/>
              <w:ind w:right="94"/>
              <w:spacing w:after="0"/>
              <w:rPr>
                <w:sz w:val="20"/>
                <w:szCs w:val="20"/>
                <w:color w:val="auto"/>
              </w:rPr>
            </w:pPr>
            <w:r>
              <w:rPr>
                <w:rFonts w:ascii="Arial" w:cs="Arial" w:eastAsia="Arial" w:hAnsi="Arial"/>
                <w:sz w:val="18"/>
                <w:szCs w:val="18"/>
                <w:color w:val="auto"/>
              </w:rPr>
              <w:t>9,123</w:t>
            </w:r>
          </w:p>
        </w:tc>
        <w:tc>
          <w:tcPr>
            <w:tcW w:w="440" w:type="dxa"/>
            <w:vAlign w:val="bottom"/>
            <w:shd w:val="clear" w:color="auto" w:fill="D6F3E8"/>
          </w:tcPr>
          <w:p>
            <w:pPr>
              <w:spacing w:after="0"/>
              <w:rPr>
                <w:sz w:val="18"/>
                <w:szCs w:val="18"/>
                <w:color w:val="auto"/>
              </w:rPr>
            </w:pPr>
          </w:p>
        </w:tc>
        <w:tc>
          <w:tcPr>
            <w:tcW w:w="1060" w:type="dxa"/>
            <w:vAlign w:val="bottom"/>
            <w:shd w:val="clear" w:color="auto" w:fill="D6F3E8"/>
          </w:tcPr>
          <w:p>
            <w:pPr>
              <w:jc w:val="right"/>
              <w:ind w:right="13"/>
              <w:spacing w:after="0"/>
              <w:rPr>
                <w:sz w:val="20"/>
                <w:szCs w:val="20"/>
                <w:color w:val="auto"/>
              </w:rPr>
            </w:pPr>
            <w:r>
              <w:rPr>
                <w:rFonts w:ascii="Arial" w:cs="Arial" w:eastAsia="Arial" w:hAnsi="Arial"/>
                <w:sz w:val="18"/>
                <w:szCs w:val="18"/>
                <w:color w:val="auto"/>
              </w:rPr>
              <w:t>9,813</w:t>
            </w:r>
          </w:p>
        </w:tc>
        <w:tc>
          <w:tcPr>
            <w:tcW w:w="0" w:type="dxa"/>
            <w:vAlign w:val="bottom"/>
          </w:tcPr>
          <w:p>
            <w:pPr>
              <w:spacing w:after="0"/>
              <w:rPr>
                <w:sz w:val="1"/>
                <w:szCs w:val="1"/>
                <w:color w:val="auto"/>
              </w:rPr>
            </w:pPr>
          </w:p>
        </w:tc>
      </w:tr>
      <w:tr>
        <w:trPr>
          <w:trHeight w:val="216"/>
        </w:trPr>
        <w:tc>
          <w:tcPr>
            <w:tcW w:w="8460" w:type="dxa"/>
            <w:vAlign w:val="bottom"/>
            <w:tcBorders>
              <w:bottom w:val="single" w:sz="8" w:color="D6F3E8"/>
            </w:tcBorders>
            <w:gridSpan w:val="2"/>
          </w:tcPr>
          <w:p>
            <w:pPr>
              <w:ind w:left="260"/>
              <w:spacing w:after="0"/>
              <w:rPr>
                <w:sz w:val="20"/>
                <w:szCs w:val="20"/>
                <w:color w:val="auto"/>
              </w:rPr>
            </w:pPr>
            <w:r>
              <w:rPr>
                <w:rFonts w:ascii="Arial" w:cs="Arial" w:eastAsia="Arial" w:hAnsi="Arial"/>
                <w:sz w:val="18"/>
                <w:szCs w:val="18"/>
                <w:color w:val="auto"/>
              </w:rPr>
              <w:t>Treasury stock, at cost (22,697 and 22,706 shares, respectively)</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(380,370)</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(380,603)</w:t>
            </w:r>
          </w:p>
        </w:tc>
        <w:tc>
          <w:tcPr>
            <w:tcW w:w="0" w:type="dxa"/>
            <w:vAlign w:val="bottom"/>
          </w:tcPr>
          <w:p>
            <w:pPr>
              <w:spacing w:after="0"/>
              <w:rPr>
                <w:sz w:val="1"/>
                <w:szCs w:val="1"/>
                <w:color w:val="auto"/>
              </w:rPr>
            </w:pPr>
          </w:p>
        </w:tc>
      </w:tr>
      <w:tr>
        <w:trPr>
          <w:trHeight w:val="210"/>
        </w:trPr>
        <w:tc>
          <w:tcPr>
            <w:tcW w:w="8460" w:type="dxa"/>
            <w:vAlign w:val="bottom"/>
            <w:gridSpan w:val="2"/>
            <w:shd w:val="clear" w:color="auto" w:fill="D6F3E8"/>
          </w:tcPr>
          <w:p>
            <w:pPr>
              <w:ind w:left="260"/>
              <w:spacing w:after="0" w:line="202" w:lineRule="exact"/>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shd w:val="clear" w:color="auto" w:fill="D6F3E8"/>
          </w:tcPr>
          <w:p>
            <w:pPr>
              <w:spacing w:after="0"/>
              <w:rPr>
                <w:sz w:val="18"/>
                <w:szCs w:val="18"/>
                <w:color w:val="auto"/>
              </w:rPr>
            </w:pPr>
          </w:p>
        </w:tc>
        <w:tc>
          <w:tcPr>
            <w:tcW w:w="1260" w:type="dxa"/>
            <w:vAlign w:val="bottom"/>
            <w:tcBorders>
              <w:bottom w:val="single" w:sz="8" w:color="auto"/>
            </w:tcBorders>
            <w:shd w:val="clear" w:color="auto" w:fill="D6F3E8"/>
          </w:tcPr>
          <w:p>
            <w:pPr>
              <w:jc w:val="right"/>
              <w:ind w:right="94"/>
              <w:spacing w:after="0"/>
              <w:rPr>
                <w:sz w:val="20"/>
                <w:szCs w:val="20"/>
                <w:color w:val="auto"/>
              </w:rPr>
            </w:pPr>
            <w:r>
              <w:rPr>
                <w:rFonts w:ascii="Arial" w:cs="Arial" w:eastAsia="Arial" w:hAnsi="Arial"/>
                <w:sz w:val="18"/>
                <w:szCs w:val="18"/>
                <w:color w:val="auto"/>
              </w:rPr>
              <w:t>144,890</w:t>
            </w:r>
          </w:p>
        </w:tc>
        <w:tc>
          <w:tcPr>
            <w:tcW w:w="440" w:type="dxa"/>
            <w:vAlign w:val="bottom"/>
            <w:tcBorders>
              <w:bottom w:val="single" w:sz="8" w:color="auto"/>
            </w:tcBorders>
            <w:shd w:val="clear" w:color="auto" w:fill="D6F3E8"/>
          </w:tcPr>
          <w:p>
            <w:pPr>
              <w:spacing w:after="0"/>
              <w:rPr>
                <w:sz w:val="18"/>
                <w:szCs w:val="18"/>
                <w:color w:val="auto"/>
              </w:rPr>
            </w:pPr>
          </w:p>
        </w:tc>
        <w:tc>
          <w:tcPr>
            <w:tcW w:w="1060" w:type="dxa"/>
            <w:vAlign w:val="bottom"/>
            <w:tcBorders>
              <w:bottom w:val="single" w:sz="8" w:color="auto"/>
            </w:tcBorders>
            <w:shd w:val="clear" w:color="auto" w:fill="D6F3E8"/>
          </w:tcPr>
          <w:p>
            <w:pPr>
              <w:jc w:val="right"/>
              <w:ind w:right="13"/>
              <w:spacing w:after="0"/>
              <w:rPr>
                <w:sz w:val="20"/>
                <w:szCs w:val="20"/>
                <w:color w:val="auto"/>
              </w:rPr>
            </w:pPr>
            <w:r>
              <w:rPr>
                <w:rFonts w:ascii="Arial" w:cs="Arial" w:eastAsia="Arial" w:hAnsi="Arial"/>
                <w:sz w:val="18"/>
                <w:szCs w:val="18"/>
                <w:color w:val="auto"/>
              </w:rPr>
              <w:t>173,924</w:t>
            </w:r>
          </w:p>
        </w:tc>
        <w:tc>
          <w:tcPr>
            <w:tcW w:w="0" w:type="dxa"/>
            <w:vAlign w:val="bottom"/>
          </w:tcPr>
          <w:p>
            <w:pPr>
              <w:spacing w:after="0"/>
              <w:rPr>
                <w:sz w:val="1"/>
                <w:szCs w:val="1"/>
                <w:color w:val="auto"/>
              </w:rPr>
            </w:pPr>
          </w:p>
        </w:tc>
      </w:tr>
      <w:tr>
        <w:trPr>
          <w:trHeight w:val="210"/>
        </w:trPr>
        <w:tc>
          <w:tcPr>
            <w:tcW w:w="846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268,127</w:t>
            </w:r>
          </w:p>
        </w:tc>
        <w:tc>
          <w:tcPr>
            <w:tcW w:w="4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305,455</w:t>
            </w: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See unaudited notes to condensed consolidated financial statements.</w:t>
            </w: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84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60" w:type="dxa"/>
            <w:vAlign w:val="bottom"/>
            <w:gridSpan w:val="2"/>
          </w:tcPr>
          <w:p>
            <w:pPr>
              <w:ind w:left="568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1260" w:type="dxa"/>
            <w:vAlign w:val="bottom"/>
            <w:tcBorders>
              <w:bottom w:val="single" w:sz="8" w:color="808080"/>
            </w:tcBorders>
          </w:tcPr>
          <w:p>
            <w:pPr>
              <w:spacing w:after="0"/>
              <w:rPr>
                <w:sz w:val="24"/>
                <w:szCs w:val="24"/>
                <w:color w:val="auto"/>
              </w:rPr>
            </w:pPr>
          </w:p>
        </w:tc>
        <w:tc>
          <w:tcPr>
            <w:tcW w:w="72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1">
              <w:r>
                <w:rPr>
                  <w:rFonts w:ascii="Arial" w:cs="Arial" w:eastAsia="Arial" w:hAnsi="Arial"/>
                  <w:sz w:val="18"/>
                  <w:szCs w:val="18"/>
                  <w:color w:val="0000EE"/>
                  <w:w w:val="87"/>
                </w:rPr>
                <w:t>Table of Contents</w:t>
              </w:r>
            </w:hyperlink>
          </w:p>
        </w:tc>
        <w:tc>
          <w:tcPr>
            <w:tcW w:w="7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Winnebago Industries, Inc.</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Unaudited Consolidated Statements of Cash Flows</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126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center"/>
              <w:ind w:right="294"/>
              <w:spacing w:after="0"/>
              <w:rPr>
                <w:sz w:val="20"/>
                <w:szCs w:val="20"/>
                <w:color w:val="auto"/>
              </w:rPr>
            </w:pPr>
            <w:r>
              <w:rPr>
                <w:rFonts w:ascii="Arial" w:cs="Arial" w:eastAsia="Arial" w:hAnsi="Arial"/>
                <w:sz w:val="14"/>
                <w:szCs w:val="14"/>
                <w:b w:val="1"/>
                <w:bCs w:val="1"/>
                <w:color w:val="auto"/>
                <w:w w:val="91"/>
              </w:rPr>
              <w:t>Thirty-Nine</w:t>
            </w:r>
          </w:p>
        </w:tc>
        <w:tc>
          <w:tcPr>
            <w:tcW w:w="440" w:type="dxa"/>
            <w:vAlign w:val="bottom"/>
          </w:tcPr>
          <w:p>
            <w:pPr>
              <w:spacing w:after="0"/>
              <w:rPr>
                <w:sz w:val="24"/>
                <w:szCs w:val="24"/>
                <w:color w:val="auto"/>
              </w:rPr>
            </w:pPr>
          </w:p>
        </w:tc>
        <w:tc>
          <w:tcPr>
            <w:tcW w:w="1060" w:type="dxa"/>
            <w:vAlign w:val="bottom"/>
          </w:tcPr>
          <w:p>
            <w:pPr>
              <w:jc w:val="center"/>
              <w:ind w:right="313"/>
              <w:spacing w:after="0"/>
              <w:rPr>
                <w:sz w:val="20"/>
                <w:szCs w:val="20"/>
                <w:color w:val="auto"/>
              </w:rPr>
            </w:pPr>
            <w:r>
              <w:rPr>
                <w:rFonts w:ascii="Arial" w:cs="Arial" w:eastAsia="Arial" w:hAnsi="Arial"/>
                <w:sz w:val="14"/>
                <w:szCs w:val="14"/>
                <w:b w:val="1"/>
                <w:bCs w:val="1"/>
                <w:color w:val="auto"/>
                <w:w w:val="97"/>
              </w:rPr>
              <w:t>Forty</w:t>
            </w:r>
          </w:p>
        </w:tc>
        <w:tc>
          <w:tcPr>
            <w:tcW w:w="0" w:type="dxa"/>
            <w:vAlign w:val="bottom"/>
          </w:tcPr>
          <w:p>
            <w:pPr>
              <w:spacing w:after="0"/>
              <w:rPr>
                <w:sz w:val="1"/>
                <w:szCs w:val="1"/>
                <w:color w:val="auto"/>
              </w:rPr>
            </w:pPr>
          </w:p>
        </w:tc>
      </w:tr>
      <w:tr>
        <w:trPr>
          <w:trHeight w:val="168"/>
        </w:trPr>
        <w:tc>
          <w:tcPr>
            <w:tcW w:w="126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Weeks Ended</w:t>
            </w: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260" w:type="dxa"/>
            <w:vAlign w:val="bottom"/>
          </w:tcPr>
          <w:p>
            <w:pPr>
              <w:spacing w:after="0"/>
              <w:rPr>
                <w:sz w:val="11"/>
                <w:szCs w:val="11"/>
                <w:color w:val="auto"/>
              </w:rPr>
            </w:pPr>
          </w:p>
        </w:tc>
        <w:tc>
          <w:tcPr>
            <w:tcW w:w="7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jc w:val="center"/>
              <w:ind w:right="314"/>
              <w:spacing w:after="0" w:line="136" w:lineRule="exact"/>
              <w:rPr>
                <w:sz w:val="20"/>
                <w:szCs w:val="20"/>
                <w:color w:val="auto"/>
              </w:rPr>
            </w:pPr>
            <w:r>
              <w:rPr>
                <w:rFonts w:ascii="Arial" w:cs="Arial" w:eastAsia="Arial" w:hAnsi="Arial"/>
                <w:sz w:val="14"/>
                <w:szCs w:val="14"/>
                <w:b w:val="1"/>
                <w:bCs w:val="1"/>
                <w:color w:val="auto"/>
                <w:w w:val="90"/>
              </w:rPr>
              <w:t>May 30,</w:t>
            </w:r>
          </w:p>
        </w:tc>
        <w:tc>
          <w:tcPr>
            <w:tcW w:w="440" w:type="dxa"/>
            <w:vAlign w:val="bottom"/>
          </w:tcPr>
          <w:p>
            <w:pPr>
              <w:spacing w:after="0"/>
              <w:rPr>
                <w:sz w:val="11"/>
                <w:szCs w:val="11"/>
                <w:color w:val="auto"/>
              </w:rPr>
            </w:pPr>
          </w:p>
        </w:tc>
        <w:tc>
          <w:tcPr>
            <w:tcW w:w="1060" w:type="dxa"/>
            <w:vAlign w:val="bottom"/>
          </w:tcPr>
          <w:p>
            <w:pPr>
              <w:jc w:val="center"/>
              <w:ind w:right="313"/>
              <w:spacing w:after="0" w:line="136" w:lineRule="exact"/>
              <w:rPr>
                <w:sz w:val="20"/>
                <w:szCs w:val="20"/>
                <w:color w:val="auto"/>
              </w:rPr>
            </w:pPr>
            <w:r>
              <w:rPr>
                <w:rFonts w:ascii="Arial" w:cs="Arial" w:eastAsia="Arial" w:hAnsi="Arial"/>
                <w:sz w:val="14"/>
                <w:szCs w:val="14"/>
                <w:b w:val="1"/>
                <w:bCs w:val="1"/>
                <w:color w:val="auto"/>
                <w:w w:val="90"/>
              </w:rPr>
              <w:t>May 31,</w:t>
            </w:r>
          </w:p>
        </w:tc>
        <w:tc>
          <w:tcPr>
            <w:tcW w:w="0" w:type="dxa"/>
            <w:vAlign w:val="bottom"/>
          </w:tcPr>
          <w:p>
            <w:pPr>
              <w:spacing w:after="0"/>
              <w:rPr>
                <w:sz w:val="1"/>
                <w:szCs w:val="1"/>
                <w:color w:val="auto"/>
              </w:rPr>
            </w:pPr>
          </w:p>
        </w:tc>
      </w:tr>
      <w:tr>
        <w:trPr>
          <w:trHeight w:val="168"/>
        </w:trPr>
        <w:tc>
          <w:tcPr>
            <w:tcW w:w="8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294"/>
              <w:spacing w:after="0"/>
              <w:rPr>
                <w:sz w:val="20"/>
                <w:szCs w:val="20"/>
                <w:color w:val="auto"/>
              </w:rPr>
            </w:pPr>
            <w:r>
              <w:rPr>
                <w:rFonts w:ascii="Arial" w:cs="Arial" w:eastAsia="Arial" w:hAnsi="Arial"/>
                <w:sz w:val="14"/>
                <w:szCs w:val="14"/>
                <w:b w:val="1"/>
                <w:bCs w:val="1"/>
                <w:color w:val="auto"/>
                <w:w w:val="89"/>
              </w:rPr>
              <w:t>2009</w:t>
            </w: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13"/>
              <w:spacing w:after="0"/>
              <w:rPr>
                <w:sz w:val="20"/>
                <w:szCs w:val="20"/>
                <w:color w:val="auto"/>
              </w:rPr>
            </w:pPr>
            <w:r>
              <w:rPr>
                <w:rFonts w:ascii="Arial" w:cs="Arial" w:eastAsia="Arial" w:hAnsi="Arial"/>
                <w:sz w:val="14"/>
                <w:szCs w:val="14"/>
                <w:b w:val="1"/>
                <w:bCs w:val="1"/>
                <w:color w:val="auto"/>
                <w:w w:val="83"/>
              </w:rPr>
              <w:t>2008</w:t>
            </w:r>
          </w:p>
        </w:tc>
        <w:tc>
          <w:tcPr>
            <w:tcW w:w="0" w:type="dxa"/>
            <w:vAlign w:val="bottom"/>
          </w:tcPr>
          <w:p>
            <w:pPr>
              <w:spacing w:after="0"/>
              <w:rPr>
                <w:sz w:val="1"/>
                <w:szCs w:val="1"/>
                <w:color w:val="auto"/>
              </w:rPr>
            </w:pPr>
          </w:p>
        </w:tc>
      </w:tr>
      <w:tr>
        <w:trPr>
          <w:trHeight w:val="364"/>
        </w:trPr>
        <w:tc>
          <w:tcPr>
            <w:tcW w:w="846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460" w:type="dxa"/>
            <w:vAlign w:val="bottom"/>
            <w:gridSpan w:val="2"/>
            <w:shd w:val="clear" w:color="auto" w:fill="D6F3E8"/>
          </w:tcPr>
          <w:p>
            <w:pPr>
              <w:ind w:left="340"/>
              <w:spacing w:after="0"/>
              <w:rPr>
                <w:sz w:val="20"/>
                <w:szCs w:val="20"/>
                <w:color w:val="auto"/>
              </w:rPr>
            </w:pPr>
            <w:r>
              <w:rPr>
                <w:rFonts w:ascii="Arial" w:cs="Arial" w:eastAsia="Arial" w:hAnsi="Arial"/>
                <w:sz w:val="18"/>
                <w:szCs w:val="18"/>
                <w:color w:val="auto"/>
              </w:rPr>
              <w:t>Net (loss) income</w:t>
            </w:r>
          </w:p>
        </w:tc>
        <w:tc>
          <w:tcPr>
            <w:tcW w:w="20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D6F3E8"/>
          </w:tcPr>
          <w:p>
            <w:pPr>
              <w:jc w:val="right"/>
              <w:ind w:right="34"/>
              <w:spacing w:after="0"/>
              <w:rPr>
                <w:sz w:val="20"/>
                <w:szCs w:val="20"/>
                <w:color w:val="auto"/>
              </w:rPr>
            </w:pPr>
            <w:r>
              <w:rPr>
                <w:rFonts w:ascii="Arial" w:cs="Arial" w:eastAsia="Arial" w:hAnsi="Arial"/>
                <w:sz w:val="18"/>
                <w:szCs w:val="18"/>
                <w:color w:val="auto"/>
              </w:rPr>
              <w:t>(28,530)</w:t>
            </w:r>
          </w:p>
        </w:tc>
        <w:tc>
          <w:tcPr>
            <w:tcW w:w="440" w:type="dxa"/>
            <w:vAlign w:val="bottom"/>
            <w:shd w:val="clear" w:color="auto" w:fill="D6F3E8"/>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shd w:val="clear" w:color="auto" w:fill="D6F3E8"/>
          </w:tcPr>
          <w:p>
            <w:pPr>
              <w:jc w:val="right"/>
              <w:ind w:right="13"/>
              <w:spacing w:after="0"/>
              <w:rPr>
                <w:sz w:val="20"/>
                <w:szCs w:val="20"/>
                <w:color w:val="auto"/>
              </w:rPr>
            </w:pPr>
            <w:r>
              <w:rPr>
                <w:rFonts w:ascii="Arial" w:cs="Arial" w:eastAsia="Arial" w:hAnsi="Arial"/>
                <w:sz w:val="18"/>
                <w:szCs w:val="18"/>
                <w:color w:val="auto"/>
              </w:rPr>
              <w:t>15,479</w:t>
            </w:r>
          </w:p>
        </w:tc>
        <w:tc>
          <w:tcPr>
            <w:tcW w:w="0" w:type="dxa"/>
            <w:vAlign w:val="bottom"/>
          </w:tcPr>
          <w:p>
            <w:pPr>
              <w:spacing w:after="0"/>
              <w:rPr>
                <w:sz w:val="1"/>
                <w:szCs w:val="1"/>
                <w:color w:val="auto"/>
              </w:rPr>
            </w:pPr>
          </w:p>
        </w:tc>
      </w:tr>
      <w:tr>
        <w:trPr>
          <w:trHeight w:val="208"/>
        </w:trPr>
        <w:tc>
          <w:tcPr>
            <w:tcW w:w="8460" w:type="dxa"/>
            <w:vAlign w:val="bottom"/>
            <w:gridSpan w:val="2"/>
          </w:tcPr>
          <w:p>
            <w:pPr>
              <w:spacing w:after="0"/>
              <w:rPr>
                <w:sz w:val="20"/>
                <w:szCs w:val="20"/>
                <w:color w:val="auto"/>
              </w:rPr>
            </w:pPr>
            <w:r>
              <w:rPr>
                <w:rFonts w:ascii="Arial" w:cs="Arial" w:eastAsia="Arial" w:hAnsi="Arial"/>
                <w:sz w:val="18"/>
                <w:szCs w:val="18"/>
                <w:color w:val="auto"/>
              </w:rPr>
              <w:t>Adjustments to reconcile net (loss) income to net cash used in operating activities: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60" w:type="dxa"/>
            <w:vAlign w:val="bottom"/>
            <w:gridSpan w:val="2"/>
          </w:tcPr>
          <w:p>
            <w:pPr>
              <w:ind w:left="34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9"/>
                <w:szCs w:val="19"/>
                <w:color w:val="auto"/>
              </w:rPr>
            </w:pP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6,015</w:t>
            </w:r>
          </w:p>
        </w:tc>
        <w:tc>
          <w:tcPr>
            <w:tcW w:w="440" w:type="dxa"/>
            <w:vAlign w:val="bottom"/>
          </w:tcPr>
          <w:p>
            <w:pPr>
              <w:spacing w:after="0"/>
              <w:rPr>
                <w:sz w:val="19"/>
                <w:szCs w:val="19"/>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7,583</w:t>
            </w:r>
          </w:p>
        </w:tc>
        <w:tc>
          <w:tcPr>
            <w:tcW w:w="0" w:type="dxa"/>
            <w:vAlign w:val="bottom"/>
          </w:tcPr>
          <w:p>
            <w:pPr>
              <w:spacing w:after="0"/>
              <w:rPr>
                <w:sz w:val="1"/>
                <w:szCs w:val="1"/>
                <w:color w:val="auto"/>
              </w:rPr>
            </w:pPr>
          </w:p>
        </w:tc>
      </w:tr>
      <w:tr>
        <w:trPr>
          <w:trHeight w:val="217"/>
        </w:trPr>
        <w:tc>
          <w:tcPr>
            <w:tcW w:w="8460" w:type="dxa"/>
            <w:vAlign w:val="bottom"/>
            <w:gridSpan w:val="2"/>
            <w:shd w:val="clear" w:color="auto" w:fill="D6F3E8"/>
          </w:tcPr>
          <w:p>
            <w:pPr>
              <w:ind w:left="340"/>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D6F3E8"/>
          </w:tcPr>
          <w:p>
            <w:pPr>
              <w:spacing w:after="0"/>
              <w:rPr>
                <w:sz w:val="18"/>
                <w:szCs w:val="18"/>
                <w:color w:val="auto"/>
              </w:rPr>
            </w:pPr>
          </w:p>
        </w:tc>
        <w:tc>
          <w:tcPr>
            <w:tcW w:w="1260" w:type="dxa"/>
            <w:vAlign w:val="bottom"/>
            <w:shd w:val="clear" w:color="auto" w:fill="D6F3E8"/>
          </w:tcPr>
          <w:p>
            <w:pPr>
              <w:jc w:val="right"/>
              <w:ind w:right="94"/>
              <w:spacing w:after="0"/>
              <w:rPr>
                <w:sz w:val="20"/>
                <w:szCs w:val="20"/>
                <w:color w:val="auto"/>
              </w:rPr>
            </w:pPr>
            <w:r>
              <w:rPr>
                <w:rFonts w:ascii="Arial" w:cs="Arial" w:eastAsia="Arial" w:hAnsi="Arial"/>
                <w:sz w:val="18"/>
                <w:szCs w:val="18"/>
                <w:color w:val="auto"/>
              </w:rPr>
              <w:t>760</w:t>
            </w:r>
          </w:p>
        </w:tc>
        <w:tc>
          <w:tcPr>
            <w:tcW w:w="440" w:type="dxa"/>
            <w:vAlign w:val="bottom"/>
            <w:shd w:val="clear" w:color="auto" w:fill="D6F3E8"/>
          </w:tcPr>
          <w:p>
            <w:pPr>
              <w:spacing w:after="0"/>
              <w:rPr>
                <w:sz w:val="18"/>
                <w:szCs w:val="18"/>
                <w:color w:val="auto"/>
              </w:rPr>
            </w:pPr>
          </w:p>
        </w:tc>
        <w:tc>
          <w:tcPr>
            <w:tcW w:w="1060" w:type="dxa"/>
            <w:vAlign w:val="bottom"/>
            <w:shd w:val="clear" w:color="auto" w:fill="D6F3E8"/>
          </w:tcPr>
          <w:p>
            <w:pPr>
              <w:jc w:val="right"/>
              <w:ind w:right="13"/>
              <w:spacing w:after="0"/>
              <w:rPr>
                <w:sz w:val="20"/>
                <w:szCs w:val="20"/>
                <w:color w:val="auto"/>
              </w:rPr>
            </w:pPr>
            <w:r>
              <w:rPr>
                <w:rFonts w:ascii="Arial" w:cs="Arial" w:eastAsia="Arial" w:hAnsi="Arial"/>
                <w:sz w:val="18"/>
                <w:szCs w:val="18"/>
                <w:color w:val="auto"/>
              </w:rPr>
              <w:t>3,617</w:t>
            </w:r>
          </w:p>
        </w:tc>
        <w:tc>
          <w:tcPr>
            <w:tcW w:w="0" w:type="dxa"/>
            <w:vAlign w:val="bottom"/>
          </w:tcPr>
          <w:p>
            <w:pPr>
              <w:spacing w:after="0"/>
              <w:rPr>
                <w:sz w:val="1"/>
                <w:szCs w:val="1"/>
                <w:color w:val="auto"/>
              </w:rPr>
            </w:pPr>
          </w:p>
        </w:tc>
      </w:tr>
      <w:tr>
        <w:trPr>
          <w:trHeight w:val="216"/>
        </w:trPr>
        <w:tc>
          <w:tcPr>
            <w:tcW w:w="8460" w:type="dxa"/>
            <w:vAlign w:val="bottom"/>
            <w:gridSpan w:val="2"/>
          </w:tcPr>
          <w:p>
            <w:pPr>
              <w:ind w:left="340"/>
              <w:spacing w:after="0"/>
              <w:rPr>
                <w:sz w:val="20"/>
                <w:szCs w:val="20"/>
                <w:color w:val="auto"/>
              </w:rPr>
            </w:pPr>
            <w:r>
              <w:rPr>
                <w:rFonts w:ascii="Arial" w:cs="Arial" w:eastAsia="Arial" w:hAnsi="Arial"/>
                <w:sz w:val="18"/>
                <w:szCs w:val="18"/>
                <w:color w:val="auto"/>
              </w:rPr>
              <w:t>Postretirement benefit income and deferred compensation expense</w:t>
            </w:r>
          </w:p>
        </w:tc>
        <w:tc>
          <w:tcPr>
            <w:tcW w:w="200" w:type="dxa"/>
            <w:vAlign w:val="bottom"/>
          </w:tcPr>
          <w:p>
            <w:pPr>
              <w:spacing w:after="0"/>
              <w:rPr>
                <w:sz w:val="18"/>
                <w:szCs w:val="18"/>
                <w:color w:val="auto"/>
              </w:rPr>
            </w:pP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1,030</w:t>
            </w:r>
          </w:p>
        </w:tc>
        <w:tc>
          <w:tcPr>
            <w:tcW w:w="44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D6F3E8"/>
          </w:tcPr>
          <w:p>
            <w:pPr>
              <w:ind w:left="340"/>
              <w:spacing w:after="0"/>
              <w:rPr>
                <w:sz w:val="20"/>
                <w:szCs w:val="20"/>
                <w:color w:val="auto"/>
              </w:rPr>
            </w:pPr>
            <w:r>
              <w:rPr>
                <w:rFonts w:ascii="Arial" w:cs="Arial" w:eastAsia="Arial" w:hAnsi="Arial"/>
                <w:sz w:val="18"/>
                <w:szCs w:val="18"/>
                <w:color w:val="auto"/>
              </w:rPr>
              <w:t>Provision for doubtful accounts</w:t>
            </w:r>
          </w:p>
        </w:tc>
        <w:tc>
          <w:tcPr>
            <w:tcW w:w="200" w:type="dxa"/>
            <w:vAlign w:val="bottom"/>
            <w:shd w:val="clear" w:color="auto" w:fill="D6F3E8"/>
          </w:tcPr>
          <w:p>
            <w:pPr>
              <w:spacing w:after="0"/>
              <w:rPr>
                <w:sz w:val="18"/>
                <w:szCs w:val="18"/>
                <w:color w:val="auto"/>
              </w:rPr>
            </w:pPr>
          </w:p>
        </w:tc>
        <w:tc>
          <w:tcPr>
            <w:tcW w:w="1260" w:type="dxa"/>
            <w:vAlign w:val="bottom"/>
            <w:shd w:val="clear" w:color="auto" w:fill="D6F3E8"/>
          </w:tcPr>
          <w:p>
            <w:pPr>
              <w:jc w:val="right"/>
              <w:ind w:right="94"/>
              <w:spacing w:after="0"/>
              <w:rPr>
                <w:sz w:val="20"/>
                <w:szCs w:val="20"/>
                <w:color w:val="auto"/>
              </w:rPr>
            </w:pPr>
            <w:r>
              <w:rPr>
                <w:rFonts w:ascii="Arial" w:cs="Arial" w:eastAsia="Arial" w:hAnsi="Arial"/>
                <w:sz w:val="18"/>
                <w:szCs w:val="18"/>
                <w:color w:val="auto"/>
              </w:rPr>
              <w:t>58</w:t>
            </w:r>
          </w:p>
        </w:tc>
        <w:tc>
          <w:tcPr>
            <w:tcW w:w="440" w:type="dxa"/>
            <w:vAlign w:val="bottom"/>
            <w:shd w:val="clear" w:color="auto" w:fill="D6F3E8"/>
          </w:tcPr>
          <w:p>
            <w:pPr>
              <w:spacing w:after="0"/>
              <w:rPr>
                <w:sz w:val="18"/>
                <w:szCs w:val="18"/>
                <w:color w:val="auto"/>
              </w:rPr>
            </w:pPr>
          </w:p>
        </w:tc>
        <w:tc>
          <w:tcPr>
            <w:tcW w:w="1060" w:type="dxa"/>
            <w:vAlign w:val="bottom"/>
            <w:shd w:val="clear" w:color="auto" w:fill="D6F3E8"/>
          </w:tcPr>
          <w:p>
            <w:pPr>
              <w:jc w:val="right"/>
              <w:ind w:right="13"/>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8460" w:type="dxa"/>
            <w:vAlign w:val="bottom"/>
            <w:gridSpan w:val="2"/>
          </w:tcPr>
          <w:p>
            <w:pPr>
              <w:ind w:left="34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(463)</w:t>
            </w:r>
          </w:p>
        </w:tc>
        <w:tc>
          <w:tcPr>
            <w:tcW w:w="44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4,070</w:t>
            </w: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D6F3E8"/>
          </w:tcPr>
          <w:p>
            <w:pPr>
              <w:ind w:left="340"/>
              <w:spacing w:after="0"/>
              <w:rPr>
                <w:sz w:val="20"/>
                <w:szCs w:val="20"/>
                <w:color w:val="auto"/>
              </w:rPr>
            </w:pPr>
            <w:r>
              <w:rPr>
                <w:rFonts w:ascii="Arial" w:cs="Arial" w:eastAsia="Arial" w:hAnsi="Arial"/>
                <w:sz w:val="18"/>
                <w:szCs w:val="18"/>
                <w:color w:val="auto"/>
              </w:rPr>
              <w:t>Excess tax benefit of stock-based compensation</w:t>
            </w:r>
          </w:p>
        </w:tc>
        <w:tc>
          <w:tcPr>
            <w:tcW w:w="200" w:type="dxa"/>
            <w:vAlign w:val="bottom"/>
            <w:shd w:val="clear" w:color="auto" w:fill="D6F3E8"/>
          </w:tcPr>
          <w:p>
            <w:pPr>
              <w:spacing w:after="0"/>
              <w:rPr>
                <w:sz w:val="18"/>
                <w:szCs w:val="18"/>
                <w:color w:val="auto"/>
              </w:rPr>
            </w:pPr>
          </w:p>
        </w:tc>
        <w:tc>
          <w:tcPr>
            <w:tcW w:w="1260" w:type="dxa"/>
            <w:vAlign w:val="bottom"/>
            <w:shd w:val="clear" w:color="auto" w:fill="D6F3E8"/>
          </w:tcPr>
          <w:p>
            <w:pPr>
              <w:jc w:val="right"/>
              <w:ind w:right="94"/>
              <w:spacing w:after="0"/>
              <w:rPr>
                <w:sz w:val="20"/>
                <w:szCs w:val="20"/>
                <w:color w:val="auto"/>
              </w:rPr>
            </w:pPr>
            <w:r>
              <w:rPr>
                <w:rFonts w:ascii="Arial" w:cs="Arial" w:eastAsia="Arial" w:hAnsi="Arial"/>
                <w:sz w:val="18"/>
                <w:szCs w:val="18"/>
                <w:color w:val="auto"/>
              </w:rPr>
              <w:t>—</w:t>
            </w:r>
          </w:p>
        </w:tc>
        <w:tc>
          <w:tcPr>
            <w:tcW w:w="440" w:type="dxa"/>
            <w:vAlign w:val="bottom"/>
            <w:shd w:val="clear" w:color="auto" w:fill="D6F3E8"/>
          </w:tcPr>
          <w:p>
            <w:pPr>
              <w:spacing w:after="0"/>
              <w:rPr>
                <w:sz w:val="18"/>
                <w:szCs w:val="18"/>
                <w:color w:val="auto"/>
              </w:rPr>
            </w:pP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8460" w:type="dxa"/>
            <w:vAlign w:val="bottom"/>
            <w:gridSpan w:val="2"/>
          </w:tcPr>
          <w:p>
            <w:pPr>
              <w:ind w:left="340"/>
              <w:spacing w:after="0"/>
              <w:rPr>
                <w:sz w:val="20"/>
                <w:szCs w:val="20"/>
                <w:color w:val="auto"/>
              </w:rPr>
            </w:pPr>
            <w:r>
              <w:rPr>
                <w:rFonts w:ascii="Arial" w:cs="Arial" w:eastAsia="Arial" w:hAnsi="Arial"/>
                <w:sz w:val="18"/>
                <w:szCs w:val="18"/>
                <w:color w:val="auto"/>
              </w:rPr>
              <w:t>Increase in cash surrender value of life insurance policies</w:t>
            </w:r>
          </w:p>
        </w:tc>
        <w:tc>
          <w:tcPr>
            <w:tcW w:w="200" w:type="dxa"/>
            <w:vAlign w:val="bottom"/>
          </w:tcPr>
          <w:p>
            <w:pPr>
              <w:spacing w:after="0"/>
              <w:rPr>
                <w:sz w:val="18"/>
                <w:szCs w:val="18"/>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(865)</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D6F3E8"/>
          </w:tcPr>
          <w:p>
            <w:pPr>
              <w:ind w:left="340"/>
              <w:spacing w:after="0"/>
              <w:rPr>
                <w:sz w:val="20"/>
                <w:szCs w:val="20"/>
                <w:color w:val="auto"/>
              </w:rPr>
            </w:pPr>
            <w:r>
              <w:rPr>
                <w:rFonts w:ascii="Arial" w:cs="Arial" w:eastAsia="Arial" w:hAnsi="Arial"/>
                <w:sz w:val="18"/>
                <w:szCs w:val="18"/>
                <w:color w:val="auto"/>
              </w:rPr>
              <w:t>Loss on disposal of property</w:t>
            </w:r>
          </w:p>
        </w:tc>
        <w:tc>
          <w:tcPr>
            <w:tcW w:w="200" w:type="dxa"/>
            <w:vAlign w:val="bottom"/>
            <w:shd w:val="clear" w:color="auto" w:fill="D6F3E8"/>
          </w:tcPr>
          <w:p>
            <w:pPr>
              <w:spacing w:after="0"/>
              <w:rPr>
                <w:sz w:val="18"/>
                <w:szCs w:val="18"/>
                <w:color w:val="auto"/>
              </w:rPr>
            </w:pPr>
          </w:p>
        </w:tc>
        <w:tc>
          <w:tcPr>
            <w:tcW w:w="1260" w:type="dxa"/>
            <w:vAlign w:val="bottom"/>
            <w:shd w:val="clear" w:color="auto" w:fill="D6F3E8"/>
          </w:tcPr>
          <w:p>
            <w:pPr>
              <w:jc w:val="right"/>
              <w:ind w:right="94"/>
              <w:spacing w:after="0"/>
              <w:rPr>
                <w:sz w:val="20"/>
                <w:szCs w:val="20"/>
                <w:color w:val="auto"/>
              </w:rPr>
            </w:pPr>
            <w:r>
              <w:rPr>
                <w:rFonts w:ascii="Arial" w:cs="Arial" w:eastAsia="Arial" w:hAnsi="Arial"/>
                <w:sz w:val="18"/>
                <w:szCs w:val="18"/>
                <w:color w:val="auto"/>
              </w:rPr>
              <w:t>70</w:t>
            </w:r>
          </w:p>
        </w:tc>
        <w:tc>
          <w:tcPr>
            <w:tcW w:w="440" w:type="dxa"/>
            <w:vAlign w:val="bottom"/>
            <w:shd w:val="clear" w:color="auto" w:fill="D6F3E8"/>
          </w:tcPr>
          <w:p>
            <w:pPr>
              <w:spacing w:after="0"/>
              <w:rPr>
                <w:sz w:val="18"/>
                <w:szCs w:val="18"/>
                <w:color w:val="auto"/>
              </w:rPr>
            </w:pPr>
          </w:p>
        </w:tc>
        <w:tc>
          <w:tcPr>
            <w:tcW w:w="1060" w:type="dxa"/>
            <w:vAlign w:val="bottom"/>
            <w:shd w:val="clear" w:color="auto" w:fill="D6F3E8"/>
          </w:tcPr>
          <w:p>
            <w:pPr>
              <w:jc w:val="right"/>
              <w:ind w:right="13"/>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8"/>
        </w:trPr>
        <w:tc>
          <w:tcPr>
            <w:tcW w:w="846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176</w:t>
            </w:r>
          </w:p>
        </w:tc>
        <w:tc>
          <w:tcPr>
            <w:tcW w:w="44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8460" w:type="dxa"/>
            <w:vAlign w:val="bottom"/>
            <w:gridSpan w:val="2"/>
          </w:tcPr>
          <w:p>
            <w:pPr>
              <w:spacing w:after="0"/>
              <w:rPr>
                <w:sz w:val="20"/>
                <w:szCs w:val="20"/>
                <w:color w:val="auto"/>
              </w:rPr>
            </w:pPr>
            <w:r>
              <w:rPr>
                <w:rFonts w:ascii="Arial" w:cs="Arial" w:eastAsia="Arial" w:hAnsi="Arial"/>
                <w:sz w:val="18"/>
                <w:szCs w:val="18"/>
                <w:color w:val="auto"/>
              </w:rPr>
              <w:t>Change in assets and liabilities:</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460" w:type="dxa"/>
            <w:vAlign w:val="bottom"/>
            <w:gridSpan w:val="2"/>
            <w:shd w:val="clear" w:color="auto" w:fill="D6F3E8"/>
          </w:tcPr>
          <w:p>
            <w:pPr>
              <w:ind w:left="34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D6F3E8"/>
          </w:tcPr>
          <w:p>
            <w:pPr>
              <w:spacing w:after="0"/>
              <w:rPr>
                <w:sz w:val="18"/>
                <w:szCs w:val="18"/>
                <w:color w:val="auto"/>
              </w:rPr>
            </w:pPr>
          </w:p>
        </w:tc>
        <w:tc>
          <w:tcPr>
            <w:tcW w:w="1260" w:type="dxa"/>
            <w:vAlign w:val="bottom"/>
            <w:shd w:val="clear" w:color="auto" w:fill="D6F3E8"/>
          </w:tcPr>
          <w:p>
            <w:pPr>
              <w:jc w:val="right"/>
              <w:ind w:right="94"/>
              <w:spacing w:after="0"/>
              <w:rPr>
                <w:sz w:val="20"/>
                <w:szCs w:val="20"/>
                <w:color w:val="auto"/>
              </w:rPr>
            </w:pPr>
            <w:r>
              <w:rPr>
                <w:rFonts w:ascii="Arial" w:cs="Arial" w:eastAsia="Arial" w:hAnsi="Arial"/>
                <w:sz w:val="18"/>
                <w:szCs w:val="18"/>
                <w:color w:val="auto"/>
              </w:rPr>
              <w:t>57,366</w:t>
            </w:r>
          </w:p>
        </w:tc>
        <w:tc>
          <w:tcPr>
            <w:tcW w:w="440" w:type="dxa"/>
            <w:vAlign w:val="bottom"/>
            <w:shd w:val="clear" w:color="auto" w:fill="D6F3E8"/>
          </w:tcPr>
          <w:p>
            <w:pPr>
              <w:spacing w:after="0"/>
              <w:rPr>
                <w:sz w:val="18"/>
                <w:szCs w:val="18"/>
                <w:color w:val="auto"/>
              </w:rPr>
            </w:pP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(9,752)</w:t>
            </w:r>
          </w:p>
        </w:tc>
        <w:tc>
          <w:tcPr>
            <w:tcW w:w="0" w:type="dxa"/>
            <w:vAlign w:val="bottom"/>
          </w:tcPr>
          <w:p>
            <w:pPr>
              <w:spacing w:after="0"/>
              <w:rPr>
                <w:sz w:val="1"/>
                <w:szCs w:val="1"/>
                <w:color w:val="auto"/>
              </w:rPr>
            </w:pPr>
          </w:p>
        </w:tc>
      </w:tr>
      <w:tr>
        <w:trPr>
          <w:trHeight w:val="216"/>
        </w:trPr>
        <w:tc>
          <w:tcPr>
            <w:tcW w:w="8460" w:type="dxa"/>
            <w:vAlign w:val="bottom"/>
            <w:gridSpan w:val="2"/>
          </w:tcPr>
          <w:p>
            <w:pPr>
              <w:ind w:left="340"/>
              <w:spacing w:after="0"/>
              <w:rPr>
                <w:sz w:val="20"/>
                <w:szCs w:val="20"/>
                <w:color w:val="auto"/>
              </w:rPr>
            </w:pPr>
            <w:r>
              <w:rPr>
                <w:rFonts w:ascii="Arial" w:cs="Arial" w:eastAsia="Arial" w:hAnsi="Arial"/>
                <w:sz w:val="18"/>
                <w:szCs w:val="18"/>
                <w:color w:val="auto"/>
              </w:rPr>
              <w:t>Receivables and prepaid assets</w:t>
            </w:r>
          </w:p>
        </w:tc>
        <w:tc>
          <w:tcPr>
            <w:tcW w:w="200" w:type="dxa"/>
            <w:vAlign w:val="bottom"/>
          </w:tcPr>
          <w:p>
            <w:pPr>
              <w:spacing w:after="0"/>
              <w:rPr>
                <w:sz w:val="18"/>
                <w:szCs w:val="18"/>
                <w:color w:val="auto"/>
              </w:rPr>
            </w:pP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2,164</w:t>
            </w:r>
          </w:p>
        </w:tc>
        <w:tc>
          <w:tcPr>
            <w:tcW w:w="44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20,812</w:t>
            </w: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D6F3E8"/>
          </w:tcPr>
          <w:p>
            <w:pPr>
              <w:ind w:left="34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shd w:val="clear" w:color="auto" w:fill="D6F3E8"/>
          </w:tcPr>
          <w:p>
            <w:pPr>
              <w:spacing w:after="0"/>
              <w:rPr>
                <w:sz w:val="18"/>
                <w:szCs w:val="18"/>
                <w:color w:val="auto"/>
              </w:rPr>
            </w:pPr>
          </w:p>
        </w:tc>
        <w:tc>
          <w:tcPr>
            <w:tcW w:w="1260" w:type="dxa"/>
            <w:vAlign w:val="bottom"/>
            <w:shd w:val="clear" w:color="auto" w:fill="D6F3E8"/>
          </w:tcPr>
          <w:p>
            <w:pPr>
              <w:jc w:val="right"/>
              <w:ind w:right="34"/>
              <w:spacing w:after="0"/>
              <w:rPr>
                <w:sz w:val="20"/>
                <w:szCs w:val="20"/>
                <w:color w:val="auto"/>
              </w:rPr>
            </w:pPr>
            <w:r>
              <w:rPr>
                <w:rFonts w:ascii="Arial" w:cs="Arial" w:eastAsia="Arial" w:hAnsi="Arial"/>
                <w:sz w:val="18"/>
                <w:szCs w:val="18"/>
                <w:color w:val="auto"/>
              </w:rPr>
              <w:t>(11,034)</w:t>
            </w:r>
          </w:p>
        </w:tc>
        <w:tc>
          <w:tcPr>
            <w:tcW w:w="440" w:type="dxa"/>
            <w:vAlign w:val="bottom"/>
            <w:shd w:val="clear" w:color="auto" w:fill="D6F3E8"/>
          </w:tcPr>
          <w:p>
            <w:pPr>
              <w:spacing w:after="0"/>
              <w:rPr>
                <w:sz w:val="18"/>
                <w:szCs w:val="18"/>
                <w:color w:val="auto"/>
              </w:rPr>
            </w:pP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(21,868)</w:t>
            </w:r>
          </w:p>
        </w:tc>
        <w:tc>
          <w:tcPr>
            <w:tcW w:w="0" w:type="dxa"/>
            <w:vAlign w:val="bottom"/>
          </w:tcPr>
          <w:p>
            <w:pPr>
              <w:spacing w:after="0"/>
              <w:rPr>
                <w:sz w:val="1"/>
                <w:szCs w:val="1"/>
                <w:color w:val="auto"/>
              </w:rPr>
            </w:pPr>
          </w:p>
        </w:tc>
      </w:tr>
      <w:tr>
        <w:trPr>
          <w:trHeight w:val="216"/>
        </w:trPr>
        <w:tc>
          <w:tcPr>
            <w:tcW w:w="8460" w:type="dxa"/>
            <w:vAlign w:val="bottom"/>
            <w:gridSpan w:val="2"/>
          </w:tcPr>
          <w:p>
            <w:pPr>
              <w:ind w:left="340"/>
              <w:spacing w:after="0"/>
              <w:rPr>
                <w:sz w:val="20"/>
                <w:szCs w:val="20"/>
                <w:color w:val="auto"/>
              </w:rPr>
            </w:pPr>
            <w:r>
              <w:rPr>
                <w:rFonts w:ascii="Arial" w:cs="Arial" w:eastAsia="Arial" w:hAnsi="Arial"/>
                <w:sz w:val="18"/>
                <w:szCs w:val="18"/>
                <w:color w:val="auto"/>
              </w:rPr>
              <w:t>Income taxes receivable and unrecognized tax benefits</w:t>
            </w:r>
          </w:p>
        </w:tc>
        <w:tc>
          <w:tcPr>
            <w:tcW w:w="200" w:type="dxa"/>
            <w:vAlign w:val="bottom"/>
          </w:tcPr>
          <w:p>
            <w:pPr>
              <w:spacing w:after="0"/>
              <w:rPr>
                <w:sz w:val="18"/>
                <w:szCs w:val="18"/>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(11,929)</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(8,871)</w:t>
            </w: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D6F3E8"/>
          </w:tcPr>
          <w:p>
            <w:pPr>
              <w:ind w:left="340"/>
              <w:spacing w:after="0"/>
              <w:rPr>
                <w:sz w:val="20"/>
                <w:szCs w:val="20"/>
                <w:color w:val="auto"/>
              </w:rPr>
            </w:pPr>
            <w:r>
              <w:rPr>
                <w:rFonts w:ascii="Arial" w:cs="Arial" w:eastAsia="Arial" w:hAnsi="Arial"/>
                <w:sz w:val="18"/>
                <w:szCs w:val="18"/>
                <w:color w:val="auto"/>
              </w:rPr>
              <w:t>Postretirement and deferred compensation benefits</w:t>
            </w:r>
          </w:p>
        </w:tc>
        <w:tc>
          <w:tcPr>
            <w:tcW w:w="200" w:type="dxa"/>
            <w:vAlign w:val="bottom"/>
            <w:tcBorders>
              <w:bottom w:val="single" w:sz="8" w:color="auto"/>
            </w:tcBorders>
            <w:shd w:val="clear" w:color="auto" w:fill="D6F3E8"/>
          </w:tcPr>
          <w:p>
            <w:pPr>
              <w:spacing w:after="0"/>
              <w:rPr>
                <w:sz w:val="18"/>
                <w:szCs w:val="18"/>
                <w:color w:val="auto"/>
              </w:rPr>
            </w:pPr>
          </w:p>
        </w:tc>
        <w:tc>
          <w:tcPr>
            <w:tcW w:w="1260" w:type="dxa"/>
            <w:vAlign w:val="bottom"/>
            <w:tcBorders>
              <w:bottom w:val="single" w:sz="8" w:color="auto"/>
            </w:tcBorders>
            <w:shd w:val="clear" w:color="auto" w:fill="D6F3E8"/>
          </w:tcPr>
          <w:p>
            <w:pPr>
              <w:jc w:val="right"/>
              <w:ind w:right="34"/>
              <w:spacing w:after="0"/>
              <w:rPr>
                <w:sz w:val="20"/>
                <w:szCs w:val="20"/>
                <w:color w:val="auto"/>
              </w:rPr>
            </w:pPr>
            <w:r>
              <w:rPr>
                <w:rFonts w:ascii="Arial" w:cs="Arial" w:eastAsia="Arial" w:hAnsi="Arial"/>
                <w:sz w:val="18"/>
                <w:szCs w:val="18"/>
                <w:color w:val="auto"/>
              </w:rPr>
              <w:t>(2,344)</w:t>
            </w:r>
          </w:p>
        </w:tc>
        <w:tc>
          <w:tcPr>
            <w:tcW w:w="440" w:type="dxa"/>
            <w:vAlign w:val="bottom"/>
            <w:tcBorders>
              <w:bottom w:val="single" w:sz="8" w:color="auto"/>
            </w:tcBorders>
            <w:shd w:val="clear" w:color="auto" w:fill="D6F3E8"/>
          </w:tcPr>
          <w:p>
            <w:pPr>
              <w:spacing w:after="0"/>
              <w:rPr>
                <w:sz w:val="18"/>
                <w:szCs w:val="18"/>
                <w:color w:val="auto"/>
              </w:rPr>
            </w:pPr>
          </w:p>
        </w:tc>
        <w:tc>
          <w:tcPr>
            <w:tcW w:w="10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-3834765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-3834765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45"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846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12,474</w:t>
            </w:r>
          </w:p>
        </w:tc>
        <w:tc>
          <w:tcPr>
            <w:tcW w:w="5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10,459</w:t>
            </w:r>
          </w:p>
        </w:tc>
        <w:tc>
          <w:tcPr>
            <w:tcW w:w="0" w:type="dxa"/>
            <w:vAlign w:val="bottom"/>
          </w:tcPr>
          <w:p>
            <w:pPr>
              <w:spacing w:after="0"/>
              <w:rPr>
                <w:sz w:val="1"/>
                <w:szCs w:val="1"/>
                <w:color w:val="auto"/>
              </w:rPr>
            </w:pPr>
          </w:p>
        </w:tc>
      </w:tr>
      <w:tr>
        <w:trPr>
          <w:trHeight w:val="357"/>
        </w:trPr>
        <w:tc>
          <w:tcPr>
            <w:tcW w:w="846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40" w:type="dxa"/>
            <w:vAlign w:val="bottom"/>
            <w:shd w:val="clear" w:color="auto" w:fill="D6F3E8"/>
          </w:tcPr>
          <w:p>
            <w:pPr>
              <w:ind w:left="320"/>
              <w:spacing w:after="0"/>
              <w:rPr>
                <w:sz w:val="20"/>
                <w:szCs w:val="20"/>
                <w:color w:val="auto"/>
              </w:rPr>
            </w:pPr>
            <w:r>
              <w:rPr>
                <w:rFonts w:ascii="Arial" w:cs="Arial" w:eastAsia="Arial" w:hAnsi="Arial"/>
                <w:sz w:val="18"/>
                <w:szCs w:val="18"/>
                <w:color w:val="auto"/>
              </w:rPr>
              <w:t>Purchases of investments</w:t>
            </w:r>
          </w:p>
        </w:tc>
        <w:tc>
          <w:tcPr>
            <w:tcW w:w="440" w:type="dxa"/>
            <w:vAlign w:val="bottom"/>
            <w:shd w:val="clear" w:color="auto" w:fill="D6F3E8"/>
          </w:tcPr>
          <w:p>
            <w:pPr>
              <w:spacing w:after="0"/>
              <w:rPr>
                <w:sz w:val="18"/>
                <w:szCs w:val="18"/>
                <w:color w:val="auto"/>
              </w:rPr>
            </w:pPr>
          </w:p>
        </w:tc>
        <w:tc>
          <w:tcPr>
            <w:tcW w:w="102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shd w:val="clear" w:color="auto" w:fill="D6F3E8"/>
          </w:tcPr>
          <w:p>
            <w:pPr>
              <w:spacing w:after="0"/>
              <w:rPr>
                <w:sz w:val="18"/>
                <w:szCs w:val="18"/>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(228,069)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Proceeds from the sale or maturity of investments</w:t>
            </w:r>
          </w:p>
        </w:tc>
        <w:tc>
          <w:tcPr>
            <w:tcW w:w="440" w:type="dxa"/>
            <w:vAlign w:val="bottom"/>
          </w:tcPr>
          <w:p>
            <w:pPr>
              <w:spacing w:after="0"/>
              <w:rPr>
                <w:sz w:val="18"/>
                <w:szCs w:val="18"/>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8,500</w:t>
            </w:r>
          </w:p>
        </w:tc>
        <w:tc>
          <w:tcPr>
            <w:tcW w:w="50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288,119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ind w:left="320"/>
              <w:spacing w:after="0"/>
              <w:rPr>
                <w:sz w:val="20"/>
                <w:szCs w:val="20"/>
                <w:color w:val="auto"/>
              </w:rPr>
            </w:pPr>
            <w:r>
              <w:rPr>
                <w:rFonts w:ascii="Arial" w:cs="Arial" w:eastAsia="Arial" w:hAnsi="Arial"/>
                <w:sz w:val="18"/>
                <w:szCs w:val="18"/>
                <w:color w:val="auto"/>
              </w:rPr>
              <w:t>Purchases of property and equipment</w:t>
            </w:r>
          </w:p>
        </w:tc>
        <w:tc>
          <w:tcPr>
            <w:tcW w:w="440" w:type="dxa"/>
            <w:vAlign w:val="bottom"/>
            <w:shd w:val="clear" w:color="auto" w:fill="D6F3E8"/>
          </w:tcPr>
          <w:p>
            <w:pPr>
              <w:spacing w:after="0"/>
              <w:rPr>
                <w:sz w:val="18"/>
                <w:szCs w:val="18"/>
                <w:color w:val="auto"/>
              </w:rPr>
            </w:pPr>
          </w:p>
        </w:tc>
        <w:tc>
          <w:tcPr>
            <w:tcW w:w="102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(2,522)</w:t>
            </w:r>
          </w:p>
        </w:tc>
        <w:tc>
          <w:tcPr>
            <w:tcW w:w="500" w:type="dxa"/>
            <w:vAlign w:val="bottom"/>
            <w:shd w:val="clear" w:color="auto" w:fill="D6F3E8"/>
          </w:tcPr>
          <w:p>
            <w:pPr>
              <w:spacing w:after="0"/>
              <w:rPr>
                <w:sz w:val="18"/>
                <w:szCs w:val="18"/>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Proceeds from the sale of property</w:t>
            </w:r>
          </w:p>
        </w:tc>
        <w:tc>
          <w:tcPr>
            <w:tcW w:w="440" w:type="dxa"/>
            <w:vAlign w:val="bottom"/>
          </w:tcPr>
          <w:p>
            <w:pPr>
              <w:spacing w:after="0"/>
              <w:rPr>
                <w:sz w:val="18"/>
                <w:szCs w:val="18"/>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294</w:t>
            </w:r>
          </w:p>
        </w:tc>
        <w:tc>
          <w:tcPr>
            <w:tcW w:w="50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ind w:left="32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D6F3E8"/>
          </w:tcPr>
          <w:p>
            <w:pPr>
              <w:spacing w:after="0"/>
              <w:rPr>
                <w:sz w:val="18"/>
                <w:szCs w:val="18"/>
                <w:color w:val="auto"/>
              </w:rPr>
            </w:pPr>
          </w:p>
        </w:tc>
        <w:tc>
          <w:tcPr>
            <w:tcW w:w="1020" w:type="dxa"/>
            <w:vAlign w:val="bottom"/>
            <w:tcBorders>
              <w:bottom w:val="single" w:sz="8" w:color="auto"/>
            </w:tcBorders>
            <w:shd w:val="clear" w:color="auto" w:fill="D6F3E8"/>
          </w:tcPr>
          <w:p>
            <w:pPr>
              <w:jc w:val="right"/>
              <w:ind w:right="32"/>
              <w:spacing w:after="0"/>
              <w:rPr>
                <w:sz w:val="20"/>
                <w:szCs w:val="20"/>
                <w:color w:val="auto"/>
              </w:rPr>
            </w:pPr>
            <w:r>
              <w:rPr>
                <w:rFonts w:ascii="Arial" w:cs="Arial" w:eastAsia="Arial" w:hAnsi="Arial"/>
                <w:sz w:val="18"/>
                <w:szCs w:val="18"/>
                <w:color w:val="auto"/>
              </w:rPr>
              <w:t>(736)</w:t>
            </w:r>
          </w:p>
        </w:tc>
        <w:tc>
          <w:tcPr>
            <w:tcW w:w="500" w:type="dxa"/>
            <w:vAlign w:val="bottom"/>
            <w:tcBorders>
              <w:bottom w:val="single" w:sz="8" w:color="auto"/>
            </w:tcBorders>
            <w:shd w:val="clear" w:color="auto" w:fill="D6F3E8"/>
          </w:tcPr>
          <w:p>
            <w:pPr>
              <w:spacing w:after="0"/>
              <w:rPr>
                <w:sz w:val="18"/>
                <w:szCs w:val="18"/>
                <w:color w:val="auto"/>
              </w:rPr>
            </w:pPr>
          </w:p>
        </w:tc>
        <w:tc>
          <w:tcPr>
            <w:tcW w:w="10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line="202" w:lineRule="exact"/>
              <w:rPr>
                <w:sz w:val="20"/>
                <w:szCs w:val="20"/>
                <w:color w:val="auto"/>
              </w:rPr>
            </w:pPr>
            <w:r>
              <w:rPr>
                <w:rFonts w:ascii="Arial" w:cs="Arial" w:eastAsia="Arial" w:hAnsi="Arial"/>
                <w:sz w:val="18"/>
                <w:szCs w:val="18"/>
                <w:color w:val="auto"/>
              </w:rPr>
              <w:t>Net cash provided by investing activities</w:t>
            </w: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5,536</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56,406</w:t>
            </w:r>
          </w:p>
        </w:tc>
        <w:tc>
          <w:tcPr>
            <w:tcW w:w="0" w:type="dxa"/>
            <w:vAlign w:val="bottom"/>
          </w:tcPr>
          <w:p>
            <w:pPr>
              <w:spacing w:after="0"/>
              <w:rPr>
                <w:sz w:val="1"/>
                <w:szCs w:val="1"/>
                <w:color w:val="auto"/>
              </w:rPr>
            </w:pPr>
          </w:p>
        </w:tc>
      </w:tr>
      <w:tr>
        <w:trPr>
          <w:trHeight w:val="357"/>
        </w:trPr>
        <w:tc>
          <w:tcPr>
            <w:tcW w:w="846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40" w:type="dxa"/>
            <w:vAlign w:val="bottom"/>
            <w:shd w:val="clear" w:color="auto" w:fill="D6F3E8"/>
          </w:tcPr>
          <w:p>
            <w:pPr>
              <w:ind w:left="320"/>
              <w:spacing w:after="0"/>
              <w:rPr>
                <w:sz w:val="20"/>
                <w:szCs w:val="20"/>
                <w:color w:val="auto"/>
              </w:rPr>
            </w:pPr>
            <w:r>
              <w:rPr>
                <w:rFonts w:ascii="Arial" w:cs="Arial" w:eastAsia="Arial" w:hAnsi="Arial"/>
                <w:sz w:val="18"/>
                <w:szCs w:val="18"/>
                <w:color w:val="auto"/>
              </w:rPr>
              <w:t>Payments for purchase of common stock</w:t>
            </w:r>
          </w:p>
        </w:tc>
        <w:tc>
          <w:tcPr>
            <w:tcW w:w="440" w:type="dxa"/>
            <w:vAlign w:val="bottom"/>
            <w:shd w:val="clear" w:color="auto" w:fill="D6F3E8"/>
          </w:tcPr>
          <w:p>
            <w:pPr>
              <w:spacing w:after="0"/>
              <w:rPr>
                <w:sz w:val="18"/>
                <w:szCs w:val="18"/>
                <w:color w:val="auto"/>
              </w:rPr>
            </w:pPr>
          </w:p>
        </w:tc>
        <w:tc>
          <w:tcPr>
            <w:tcW w:w="102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(164)</w:t>
            </w:r>
          </w:p>
        </w:tc>
        <w:tc>
          <w:tcPr>
            <w:tcW w:w="500" w:type="dxa"/>
            <w:vAlign w:val="bottom"/>
            <w:shd w:val="clear" w:color="auto" w:fill="D6F3E8"/>
          </w:tcPr>
          <w:p>
            <w:pPr>
              <w:spacing w:after="0"/>
              <w:rPr>
                <w:sz w:val="18"/>
                <w:szCs w:val="18"/>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(17,767)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Payments of cash dividends</w:t>
            </w:r>
          </w:p>
        </w:tc>
        <w:tc>
          <w:tcPr>
            <w:tcW w:w="44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(3,489)</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ind w:left="320"/>
              <w:spacing w:after="0"/>
              <w:rPr>
                <w:sz w:val="20"/>
                <w:szCs w:val="20"/>
                <w:color w:val="auto"/>
              </w:rPr>
            </w:pPr>
            <w:r>
              <w:rPr>
                <w:rFonts w:ascii="Arial" w:cs="Arial" w:eastAsia="Arial" w:hAnsi="Arial"/>
                <w:sz w:val="18"/>
                <w:szCs w:val="18"/>
                <w:color w:val="auto"/>
              </w:rPr>
              <w:t>Borrowings on ARS portfolio</w:t>
            </w:r>
          </w:p>
        </w:tc>
        <w:tc>
          <w:tcPr>
            <w:tcW w:w="440" w:type="dxa"/>
            <w:vAlign w:val="bottom"/>
            <w:shd w:val="clear" w:color="auto" w:fill="D6F3E8"/>
          </w:tcPr>
          <w:p>
            <w:pPr>
              <w:spacing w:after="0"/>
              <w:rPr>
                <w:sz w:val="18"/>
                <w:szCs w:val="18"/>
                <w:color w:val="auto"/>
              </w:rPr>
            </w:pPr>
          </w:p>
        </w:tc>
        <w:tc>
          <w:tcPr>
            <w:tcW w:w="102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rPr>
              <w:t>9,100</w:t>
            </w:r>
          </w:p>
        </w:tc>
        <w:tc>
          <w:tcPr>
            <w:tcW w:w="50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Proceeds from issuance of treasury stock</w:t>
            </w:r>
          </w:p>
        </w:tc>
        <w:tc>
          <w:tcPr>
            <w:tcW w:w="440" w:type="dxa"/>
            <w:vAlign w:val="bottom"/>
          </w:tcPr>
          <w:p>
            <w:pPr>
              <w:spacing w:after="0"/>
              <w:rPr>
                <w:sz w:val="18"/>
                <w:szCs w:val="18"/>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ind w:left="320"/>
              <w:spacing w:after="0"/>
              <w:rPr>
                <w:sz w:val="20"/>
                <w:szCs w:val="20"/>
                <w:color w:val="auto"/>
              </w:rPr>
            </w:pPr>
            <w:r>
              <w:rPr>
                <w:rFonts w:ascii="Arial" w:cs="Arial" w:eastAsia="Arial" w:hAnsi="Arial"/>
                <w:sz w:val="18"/>
                <w:szCs w:val="18"/>
                <w:color w:val="auto"/>
              </w:rPr>
              <w:t>Excess tax benefit of stock-based compensation</w:t>
            </w:r>
          </w:p>
        </w:tc>
        <w:tc>
          <w:tcPr>
            <w:tcW w:w="440" w:type="dxa"/>
            <w:vAlign w:val="bottom"/>
            <w:tcBorders>
              <w:bottom w:val="single" w:sz="8" w:color="auto"/>
            </w:tcBorders>
            <w:shd w:val="clear" w:color="auto" w:fill="D6F3E8"/>
          </w:tcPr>
          <w:p>
            <w:pPr>
              <w:spacing w:after="0"/>
              <w:rPr>
                <w:sz w:val="18"/>
                <w:szCs w:val="18"/>
                <w:color w:val="auto"/>
              </w:rPr>
            </w:pPr>
          </w:p>
        </w:tc>
        <w:tc>
          <w:tcPr>
            <w:tcW w:w="1020" w:type="dxa"/>
            <w:vAlign w:val="bottom"/>
            <w:tcBorders>
              <w:bottom w:val="single" w:sz="8" w:color="auto"/>
            </w:tcBorders>
            <w:shd w:val="clear" w:color="auto" w:fill="D6F3E8"/>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D6F3E8"/>
          </w:tcPr>
          <w:p>
            <w:pPr>
              <w:spacing w:after="0"/>
              <w:rPr>
                <w:sz w:val="18"/>
                <w:szCs w:val="18"/>
                <w:color w:val="auto"/>
              </w:rPr>
            </w:pPr>
          </w:p>
        </w:tc>
        <w:tc>
          <w:tcPr>
            <w:tcW w:w="1000" w:type="dxa"/>
            <w:vAlign w:val="bottom"/>
            <w:tcBorders>
              <w:bottom w:val="single" w:sz="8" w:color="auto"/>
            </w:tcBorders>
            <w:shd w:val="clear" w:color="auto" w:fill="D6F3E8"/>
          </w:tcPr>
          <w:p>
            <w:pPr>
              <w:jc w:val="right"/>
              <w:ind w:right="12"/>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line="202" w:lineRule="exact"/>
              <w:rPr>
                <w:sz w:val="20"/>
                <w:szCs w:val="20"/>
                <w:color w:val="auto"/>
              </w:rPr>
            </w:pPr>
            <w:r>
              <w:rPr>
                <w:rFonts w:ascii="Arial" w:cs="Arial" w:eastAsia="Arial" w:hAnsi="Arial"/>
                <w:sz w:val="18"/>
                <w:szCs w:val="18"/>
                <w:color w:val="auto"/>
              </w:rPr>
              <w:t>Net cash provided by (used in) financing activities</w:t>
            </w: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5,447</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D6F3E8"/>
          </w:tcPr>
          <w:p>
            <w:pPr>
              <w:spacing w:after="0"/>
              <w:rPr>
                <w:sz w:val="20"/>
                <w:szCs w:val="20"/>
                <w:color w:val="auto"/>
              </w:rPr>
            </w:pPr>
            <w:r>
              <w:rPr>
                <w:rFonts w:ascii="Arial" w:cs="Arial" w:eastAsia="Arial" w:hAnsi="Arial"/>
                <w:sz w:val="18"/>
                <w:szCs w:val="18"/>
                <w:color w:val="auto"/>
              </w:rPr>
              <w:t>Net increase in cash and cash equivalents</w:t>
            </w:r>
          </w:p>
        </w:tc>
        <w:tc>
          <w:tcPr>
            <w:tcW w:w="440" w:type="dxa"/>
            <w:vAlign w:val="bottom"/>
            <w:shd w:val="clear" w:color="auto" w:fill="D6F3E8"/>
          </w:tcPr>
          <w:p>
            <w:pPr>
              <w:spacing w:after="0"/>
              <w:rPr>
                <w:sz w:val="18"/>
                <w:szCs w:val="18"/>
                <w:color w:val="auto"/>
              </w:rPr>
            </w:pPr>
          </w:p>
        </w:tc>
        <w:tc>
          <w:tcPr>
            <w:tcW w:w="102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rPr>
              <w:t>23,457</w:t>
            </w:r>
          </w:p>
        </w:tc>
        <w:tc>
          <w:tcPr>
            <w:tcW w:w="50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39,311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Borders>
              <w:bottom w:val="single" w:sz="8" w:color="D6F3E8"/>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17,851</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6,889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D6F3E8"/>
            </w:tcBorders>
            <w:shd w:val="clear" w:color="auto" w:fill="D6F3E8"/>
          </w:tcPr>
          <w:p>
            <w:pPr>
              <w:spacing w:after="0" w:line="202" w:lineRule="exact"/>
              <w:rPr>
                <w:sz w:val="20"/>
                <w:szCs w:val="20"/>
                <w:color w:val="auto"/>
              </w:rPr>
            </w:pPr>
            <w:r>
              <w:rPr>
                <w:rFonts w:ascii="Arial" w:cs="Arial" w:eastAsia="Arial" w:hAnsi="Arial"/>
                <w:sz w:val="18"/>
                <w:szCs w:val="18"/>
                <w:color w:val="auto"/>
              </w:rPr>
              <w:t>Cash and cash equivalents at end of period</w:t>
            </w:r>
          </w:p>
        </w:tc>
        <w:tc>
          <w:tcPr>
            <w:tcW w:w="440" w:type="dxa"/>
            <w:vAlign w:val="bottom"/>
            <w:tcBorders>
              <w:bottom w:val="single" w:sz="8" w:color="auto"/>
            </w:tcBorders>
            <w:shd w:val="clear" w:color="auto" w:fill="D6F3E8"/>
          </w:tcPr>
          <w:p>
            <w:pPr>
              <w:jc w:val="right"/>
              <w:ind w:right="25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D6F3E8"/>
          </w:tcPr>
          <w:p>
            <w:pPr>
              <w:jc w:val="right"/>
              <w:ind w:right="92"/>
              <w:spacing w:after="0"/>
              <w:rPr>
                <w:sz w:val="20"/>
                <w:szCs w:val="20"/>
                <w:color w:val="auto"/>
              </w:rPr>
            </w:pPr>
            <w:r>
              <w:rPr>
                <w:rFonts w:ascii="Arial" w:cs="Arial" w:eastAsia="Arial" w:hAnsi="Arial"/>
                <w:sz w:val="18"/>
                <w:szCs w:val="18"/>
                <w:color w:val="auto"/>
              </w:rPr>
              <w:t>41,308</w:t>
            </w:r>
          </w:p>
        </w:tc>
        <w:tc>
          <w:tcPr>
            <w:tcW w:w="500" w:type="dxa"/>
            <w:vAlign w:val="bottom"/>
            <w:tcBorders>
              <w:bottom w:val="single" w:sz="8" w:color="auto"/>
            </w:tcBorders>
            <w:shd w:val="clear" w:color="auto" w:fill="D6F3E8"/>
          </w:tcPr>
          <w:p>
            <w:pPr>
              <w:jc w:val="right"/>
              <w:ind w:right="17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D6F3E8"/>
          </w:tcPr>
          <w:p>
            <w:pPr>
              <w:jc w:val="right"/>
              <w:ind w:right="12"/>
              <w:spacing w:after="0"/>
              <w:rPr>
                <w:sz w:val="20"/>
                <w:szCs w:val="20"/>
                <w:color w:val="auto"/>
              </w:rPr>
            </w:pPr>
            <w:r>
              <w:rPr>
                <w:rFonts w:ascii="Arial" w:cs="Arial" w:eastAsia="Arial" w:hAnsi="Arial"/>
                <w:sz w:val="18"/>
                <w:szCs w:val="18"/>
                <w:color w:val="auto"/>
              </w:rPr>
              <w:t>46,200</w:t>
            </w: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 disclosure:</w:t>
            </w: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846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Income taxes paid</w:t>
            </w:r>
          </w:p>
        </w:tc>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168</w:t>
            </w:r>
          </w:p>
        </w:tc>
        <w:tc>
          <w:tcPr>
            <w:tcW w:w="5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unaudited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Condensed Consolidated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“Company,” “we,” “our” and “us” are used interchangeably to refer to Winnebago Industries, Inc. At May 30, 2009, we had no subsidiaries.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3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our opinion, the accompanying unaudited condensed consolidated financial statements contain all adjustments, consisting of normal recurring accruals, necessary to present fairly the consolidated financial position as of May 30, 2009 and the consolidated results of operations for the thirteen and thirty-nine weeks ended May 30, 2009 and the thirteen and forty weeks ended May 31, 2008 and consolidated cash flows for the thirty-nine weeks ended May 30, 2009 and the forty weeks ended May 31, 2008. The consolidated statement of operations for the thirty-nine weeks ended May 30, 2009 is not necessarily indicative of the results to be expected for the full year. The balance sheet data as of August 30, 2008 was derived from audited financial statements, but does not include all of the information and footnotes required by generally accepted accounting principles for complete financial statements. These interim consolidated financial statements should be read in conjunction with the audited financial statements and notes thereto appearing in our Annual Report to Shareholders for the year ended August 30, 2008.</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New Accounting Pronouncements</w:t>
      </w:r>
    </w:p>
    <w:p>
      <w:pPr>
        <w:spacing w:after="0" w:line="23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In June 2008, the Financial Accounting Standards Board (FASB) issued a FASB Staff Position (FSP) on the FASB’s Emerging Issues Task Force (EITF) Issue No. 03-06-1, </w:t>
      </w:r>
      <w:r>
        <w:rPr>
          <w:rFonts w:ascii="Arial" w:cs="Arial" w:eastAsia="Arial" w:hAnsi="Arial"/>
          <w:sz w:val="16"/>
          <w:szCs w:val="16"/>
          <w:i w:val="1"/>
          <w:iCs w:val="1"/>
          <w:color w:val="auto"/>
        </w:rPr>
        <w:t>Determining Whether Instruments Granted in Share-Based Payment Transactions Are Participating Securities</w:t>
      </w:r>
      <w:r>
        <w:rPr>
          <w:rFonts w:ascii="Arial" w:cs="Arial" w:eastAsia="Arial" w:hAnsi="Arial"/>
          <w:sz w:val="16"/>
          <w:szCs w:val="16"/>
          <w:color w:val="auto"/>
        </w:rPr>
        <w:t>, (FSP EITF 03-06-1). This FSP addresses whether instruments granted in share-based payment transactions are participating securities prior to vesting and, therefore, need to be included in the earnings allocation in computing earnings per share (EPS) under the two-class method described in Statement of Financial Accounting Standards (SFAS) No. 128, Earnings Per Share. It affects entities that accrue or pay nonforfeitable cash dividends on share-based payment awards during the service period of the award. FSP EITF 03-06-1 is effective for fiscal years beginning after December 15, 2008 (our Fiscal 2010) and interim periods within those fiscal years and will require a retrospective adjustment to all prior period EPS. We are currently evaluating the impact this FSP will have on our calculation and presentation of EPS.</w:t>
      </w:r>
    </w:p>
    <w:p>
      <w:pPr>
        <w:spacing w:after="0" w:line="17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 xml:space="preserve">In April 2009, FASB issued FSP Financial Accounting Standard (FAS) 157-4, </w:t>
      </w:r>
      <w:r>
        <w:rPr>
          <w:rFonts w:ascii="Arial" w:cs="Arial" w:eastAsia="Arial" w:hAnsi="Arial"/>
          <w:sz w:val="16"/>
          <w:szCs w:val="16"/>
          <w:i w:val="1"/>
          <w:iCs w:val="1"/>
          <w:color w:val="auto"/>
        </w:rPr>
        <w:t>Determining Fair Value When the Volume and Level of Activity for the Asset 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Liability Have Significantly Decreased and Identifying Transactions That Are Not Orderly </w:t>
      </w:r>
      <w:r>
        <w:rPr>
          <w:rFonts w:ascii="Arial" w:cs="Arial" w:eastAsia="Arial" w:hAnsi="Arial"/>
          <w:sz w:val="16"/>
          <w:szCs w:val="16"/>
          <w:color w:val="auto"/>
        </w:rPr>
        <w:t>(“FSP FAS 157-4”). FSP FAS 157-4 amends FAS No. 157,</w:t>
      </w:r>
      <w:r>
        <w:rPr>
          <w:rFonts w:ascii="Arial" w:cs="Arial" w:eastAsia="Arial" w:hAnsi="Arial"/>
          <w:sz w:val="16"/>
          <w:szCs w:val="16"/>
          <w:i w:val="1"/>
          <w:iCs w:val="1"/>
          <w:color w:val="auto"/>
        </w:rPr>
        <w:t xml:space="preserve"> Fair Value Measurements</w:t>
      </w:r>
      <w:r>
        <w:rPr>
          <w:rFonts w:ascii="Arial" w:cs="Arial" w:eastAsia="Arial" w:hAnsi="Arial"/>
          <w:sz w:val="16"/>
          <w:szCs w:val="16"/>
          <w:color w:val="auto"/>
        </w:rPr>
        <w:t>, and provides additional guidance for estimating fair value when the volume and level of activity for the asset or liability have significantly</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decreased and also includes guidance on identifying circumstances that indicate a transaction is not orderly for fair value measurements. FSP FAS 157-4 shall be applied prospectively with retrospective application not permitted. This FSP is effective for interim and annual periods ending after June 15, 2009 (our Fiscal 2009 year end). We are currently evaluating the impact of this FSP on our consolidated financial statements.</w:t>
      </w:r>
    </w:p>
    <w:p>
      <w:pPr>
        <w:spacing w:after="0" w:line="174" w:lineRule="exact"/>
        <w:rPr>
          <w:sz w:val="20"/>
          <w:szCs w:val="20"/>
          <w:color w:val="auto"/>
        </w:rPr>
      </w:pPr>
    </w:p>
    <w:p>
      <w:pPr>
        <w:ind w:right="140"/>
        <w:spacing w:after="0" w:line="312" w:lineRule="auto"/>
        <w:rPr>
          <w:sz w:val="20"/>
          <w:szCs w:val="20"/>
          <w:color w:val="auto"/>
        </w:rPr>
      </w:pPr>
      <w:r>
        <w:rPr>
          <w:rFonts w:ascii="Arial" w:cs="Arial" w:eastAsia="Arial" w:hAnsi="Arial"/>
          <w:sz w:val="15"/>
          <w:szCs w:val="15"/>
          <w:color w:val="auto"/>
        </w:rPr>
        <w:t xml:space="preserve">In April 2009, FASB issued FSP FAS 115-2 and FAS 124-2, </w:t>
      </w:r>
      <w:r>
        <w:rPr>
          <w:rFonts w:ascii="Arial" w:cs="Arial" w:eastAsia="Arial" w:hAnsi="Arial"/>
          <w:sz w:val="15"/>
          <w:szCs w:val="15"/>
          <w:i w:val="1"/>
          <w:iCs w:val="1"/>
          <w:color w:val="auto"/>
        </w:rPr>
        <w:t>Recognition and Presentation of Other-Than-Temporary Impairments</w:t>
      </w:r>
      <w:r>
        <w:rPr>
          <w:rFonts w:ascii="Arial" w:cs="Arial" w:eastAsia="Arial" w:hAnsi="Arial"/>
          <w:sz w:val="15"/>
          <w:szCs w:val="15"/>
          <w:color w:val="auto"/>
        </w:rPr>
        <w:t xml:space="preserve"> (“FSP FAS 115-2 and FAS 124-2”). This FSP amends FAS 115 and FAS No. 124, </w:t>
      </w:r>
      <w:r>
        <w:rPr>
          <w:rFonts w:ascii="Arial" w:cs="Arial" w:eastAsia="Arial" w:hAnsi="Arial"/>
          <w:sz w:val="15"/>
          <w:szCs w:val="15"/>
          <w:i w:val="1"/>
          <w:iCs w:val="1"/>
          <w:color w:val="auto"/>
        </w:rPr>
        <w:t>Accounting for Certain Investments Held by Not-for-Profit Organizations</w:t>
      </w:r>
      <w:r>
        <w:rPr>
          <w:rFonts w:ascii="Arial" w:cs="Arial" w:eastAsia="Arial" w:hAnsi="Arial"/>
          <w:sz w:val="15"/>
          <w:szCs w:val="15"/>
          <w:color w:val="auto"/>
        </w:rPr>
        <w:t xml:space="preserve"> and EITF Issue No. 99-20</w:t>
      </w:r>
      <w:r>
        <w:rPr>
          <w:rFonts w:ascii="Arial" w:cs="Arial" w:eastAsia="Arial" w:hAnsi="Arial"/>
          <w:sz w:val="15"/>
          <w:szCs w:val="15"/>
          <w:i w:val="1"/>
          <w:iCs w:val="1"/>
          <w:color w:val="auto"/>
        </w:rPr>
        <w:t>,</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Recognition of Interest Income and Impairment on Purchased Beneficial Interests and Beneficial Interests That Continue to Be Held by a Transferor in Securitized Financial Assets, </w:t>
      </w:r>
      <w:r>
        <w:rPr>
          <w:rFonts w:ascii="Arial" w:cs="Arial" w:eastAsia="Arial" w:hAnsi="Arial"/>
          <w:sz w:val="15"/>
          <w:szCs w:val="15"/>
          <w:color w:val="auto"/>
        </w:rPr>
        <w:t>to make the other-than-temporary impairments guidance more operational and to improve the presentation of other-than-temporary</w:t>
      </w:r>
      <w:r>
        <w:rPr>
          <w:rFonts w:ascii="Arial" w:cs="Arial" w:eastAsia="Arial" w:hAnsi="Arial"/>
          <w:sz w:val="15"/>
          <w:szCs w:val="15"/>
          <w:i w:val="1"/>
          <w:iCs w:val="1"/>
          <w:color w:val="auto"/>
        </w:rPr>
        <w:t xml:space="preserve"> </w:t>
      </w:r>
      <w:r>
        <w:rPr>
          <w:rFonts w:ascii="Arial" w:cs="Arial" w:eastAsia="Arial" w:hAnsi="Arial"/>
          <w:sz w:val="15"/>
          <w:szCs w:val="15"/>
          <w:color w:val="auto"/>
        </w:rPr>
        <w:t>impairments in the financial statements. This FSP will replace the existing requirement that the entity’s management assert it has both the intent and ability to hold an impaired debt security until recovery with a requirement that management assert it does not have the intent to sell the security before recovery of its cost basis. This FSP requires increased disclosure about the credit and noncredit components of impaired debt securities that are not expected to be sold, as well as</w:t>
      </w:r>
    </w:p>
    <w:p>
      <w:pPr>
        <w:sectPr>
          <w:pgSz w:w="11900" w:h="16838" w:orient="portrait"/>
          <w:cols w:equalWidth="0" w:num="1">
            <w:col w:w="11420"/>
          </w:cols>
          <w:pgMar w:left="240" w:top="133" w:right="239" w:bottom="0" w:gutter="0" w:footer="0" w:header="0"/>
        </w:sectPr>
      </w:pPr>
    </w:p>
    <w:bookmarkStart w:id="4" w:name="page5"/>
    <w:bookmarkEnd w:id="4"/>
    <w:p>
      <w:pPr>
        <w:spacing w:after="0" w:line="259" w:lineRule="auto"/>
        <w:rPr>
          <w:sz w:val="20"/>
          <w:szCs w:val="20"/>
          <w:color w:val="auto"/>
        </w:rPr>
      </w:pPr>
      <w:r>
        <w:rPr>
          <w:rFonts w:ascii="Arial" w:cs="Arial" w:eastAsia="Arial" w:hAnsi="Arial"/>
          <w:sz w:val="18"/>
          <w:szCs w:val="18"/>
          <w:color w:val="auto"/>
        </w:rPr>
        <w:t>increased disclosures regarding expected cash flows, credit losses and an aging of securities with unrealized losses. FSP 115-2 and FSP 124-2 are effective for interim and annual periods ending after June 15, 2009 (our Fiscal 2009 year end). We are currently evaluating the impact of this FSP on our consolidated financial statements.</w:t>
      </w:r>
    </w:p>
    <w:p>
      <w:pPr>
        <w:spacing w:after="0" w:line="19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 xml:space="preserve">In April 2009, FASB issued FSP FAS 107-1 and Accounting Principles Board (APB) 28-1, </w:t>
      </w:r>
      <w:r>
        <w:rPr>
          <w:rFonts w:ascii="Arial" w:cs="Arial" w:eastAsia="Arial" w:hAnsi="Arial"/>
          <w:sz w:val="16"/>
          <w:szCs w:val="16"/>
          <w:i w:val="1"/>
          <w:iCs w:val="1"/>
          <w:color w:val="auto"/>
        </w:rPr>
        <w:t>Interim Disclosures About Fair Value of Financial Instruments</w:t>
      </w:r>
      <w:r>
        <w:rPr>
          <w:rFonts w:ascii="Arial" w:cs="Arial" w:eastAsia="Arial" w:hAnsi="Arial"/>
          <w:sz w:val="16"/>
          <w:szCs w:val="16"/>
          <w:color w:val="auto"/>
        </w:rPr>
        <w:t xml:space="preserve"> (“FSP FAS 107-1 and APB 28-1”). FSP FAS 107-1 and APB 28-1 amend FAS No. 107, </w:t>
      </w:r>
      <w:r>
        <w:rPr>
          <w:rFonts w:ascii="Arial" w:cs="Arial" w:eastAsia="Arial" w:hAnsi="Arial"/>
          <w:sz w:val="16"/>
          <w:szCs w:val="16"/>
          <w:i w:val="1"/>
          <w:iCs w:val="1"/>
          <w:color w:val="auto"/>
        </w:rPr>
        <w:t>Disclosures About Fair Value of Financial Instruments</w:t>
      </w:r>
      <w:r>
        <w:rPr>
          <w:rFonts w:ascii="Arial" w:cs="Arial" w:eastAsia="Arial" w:hAnsi="Arial"/>
          <w:sz w:val="16"/>
          <w:szCs w:val="16"/>
          <w:color w:val="auto"/>
        </w:rPr>
        <w:t xml:space="preserve">, to require disclosures about fair value of financial instruments for interim reporting periods as well as in annual financial statements. This FSP also amends APB Opinion No. 28, </w:t>
      </w:r>
      <w:r>
        <w:rPr>
          <w:rFonts w:ascii="Arial" w:cs="Arial" w:eastAsia="Arial" w:hAnsi="Arial"/>
          <w:sz w:val="16"/>
          <w:szCs w:val="16"/>
          <w:i w:val="1"/>
          <w:iCs w:val="1"/>
          <w:color w:val="auto"/>
        </w:rPr>
        <w:t>Interim Financial Reporting</w:t>
      </w:r>
      <w:r>
        <w:rPr>
          <w:rFonts w:ascii="Arial" w:cs="Arial" w:eastAsia="Arial" w:hAnsi="Arial"/>
          <w:sz w:val="16"/>
          <w:szCs w:val="16"/>
          <w:color w:val="auto"/>
        </w:rPr>
        <w:t>, to require those disclosures in summarized financial information at interim reporting periods. FSP 107-1 and APB 28-1, are</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for interim periods ending after June 15, 2009 (our Fiscal 2010). We do not anticipate a material impact on our consolidated financial statements of this FSP as our current disclosures meet these requirements.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231"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We adopted SFAS No. 157 on August 31, 2008. This standard defines fair value, establishes a framework for measuring fair value and expands disclosure requirements about fair value measurements. SFAS No. 157 defines fair value as the price that would be received to sell an asset or paid to transfer a liability (an exit price) in the principal or most advantageous market for the asset or liability in an orderly transaction between market participants on the measurement date. The fair value hierarchy prescribed by SFAS No. 157 contains three levels as follows: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Unadjusted quoted prices that are available in active markets for the identical assets or liabilities at the measurement date.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Other observable inputs available at the measurement date, other than quoted prices included in Level 1, either directly or indirectly, including:</w:t>
      </w:r>
    </w:p>
    <w:p>
      <w:pPr>
        <w:spacing w:after="0" w:line="235" w:lineRule="exact"/>
        <w:rPr>
          <w:sz w:val="20"/>
          <w:szCs w:val="20"/>
          <w:color w:val="auto"/>
        </w:rPr>
      </w:pPr>
    </w:p>
    <w:p>
      <w:pPr>
        <w:ind w:left="440" w:hanging="216"/>
        <w:spacing w:after="0"/>
        <w:tabs>
          <w:tab w:leader="none" w:pos="440" w:val="left"/>
        </w:tabs>
        <w:numPr>
          <w:ilvl w:val="0"/>
          <w:numId w:val="3"/>
        </w:numPr>
        <w:rPr>
          <w:rFonts w:ascii="Arial" w:cs="Arial" w:eastAsia="Arial" w:hAnsi="Arial"/>
          <w:sz w:val="24"/>
          <w:szCs w:val="24"/>
          <w:b w:val="1"/>
          <w:bCs w:val="1"/>
          <w:color w:val="auto"/>
        </w:rPr>
      </w:pPr>
      <w:r>
        <w:rPr>
          <w:rFonts w:ascii="Arial" w:cs="Arial" w:eastAsia="Arial" w:hAnsi="Arial"/>
          <w:sz w:val="18"/>
          <w:szCs w:val="18"/>
          <w:color w:val="auto"/>
        </w:rPr>
        <w:t>Quoted prices for similar assets or liabilities in active markets;</w:t>
      </w:r>
    </w:p>
    <w:p>
      <w:pPr>
        <w:spacing w:after="0" w:line="33" w:lineRule="exact"/>
        <w:rPr>
          <w:rFonts w:ascii="Arial" w:cs="Arial" w:eastAsia="Arial" w:hAnsi="Arial"/>
          <w:sz w:val="24"/>
          <w:szCs w:val="24"/>
          <w:b w:val="1"/>
          <w:bCs w:val="1"/>
          <w:color w:val="auto"/>
        </w:rPr>
      </w:pPr>
    </w:p>
    <w:p>
      <w:pPr>
        <w:ind w:left="440" w:hanging="216"/>
        <w:spacing w:after="0" w:line="217" w:lineRule="auto"/>
        <w:tabs>
          <w:tab w:leader="none" w:pos="440" w:val="left"/>
        </w:tabs>
        <w:numPr>
          <w:ilvl w:val="0"/>
          <w:numId w:val="3"/>
        </w:numPr>
        <w:rPr>
          <w:rFonts w:ascii="Arial" w:cs="Arial" w:eastAsia="Arial" w:hAnsi="Arial"/>
          <w:sz w:val="24"/>
          <w:szCs w:val="24"/>
          <w:b w:val="1"/>
          <w:bCs w:val="1"/>
          <w:color w:val="auto"/>
        </w:rPr>
      </w:pPr>
      <w:r>
        <w:rPr>
          <w:rFonts w:ascii="Arial" w:cs="Arial" w:eastAsia="Arial" w:hAnsi="Arial"/>
          <w:sz w:val="18"/>
          <w:szCs w:val="18"/>
          <w:color w:val="auto"/>
        </w:rPr>
        <w:t>Quoted prices for identical or similar assets in nonactive markets;</w:t>
      </w:r>
    </w:p>
    <w:p>
      <w:pPr>
        <w:spacing w:after="0" w:line="34" w:lineRule="exact"/>
        <w:rPr>
          <w:rFonts w:ascii="Arial" w:cs="Arial" w:eastAsia="Arial" w:hAnsi="Arial"/>
          <w:sz w:val="24"/>
          <w:szCs w:val="24"/>
          <w:b w:val="1"/>
          <w:bCs w:val="1"/>
          <w:color w:val="auto"/>
        </w:rPr>
      </w:pPr>
    </w:p>
    <w:p>
      <w:pPr>
        <w:ind w:left="440" w:hanging="216"/>
        <w:spacing w:after="0" w:line="217" w:lineRule="auto"/>
        <w:tabs>
          <w:tab w:leader="none" w:pos="440" w:val="left"/>
        </w:tabs>
        <w:numPr>
          <w:ilvl w:val="0"/>
          <w:numId w:val="3"/>
        </w:numPr>
        <w:rPr>
          <w:rFonts w:ascii="Arial" w:cs="Arial" w:eastAsia="Arial" w:hAnsi="Arial"/>
          <w:sz w:val="24"/>
          <w:szCs w:val="24"/>
          <w:b w:val="1"/>
          <w:bCs w:val="1"/>
          <w:color w:val="auto"/>
        </w:rPr>
      </w:pPr>
      <w:r>
        <w:rPr>
          <w:rFonts w:ascii="Arial" w:cs="Arial" w:eastAsia="Arial" w:hAnsi="Arial"/>
          <w:sz w:val="18"/>
          <w:szCs w:val="18"/>
          <w:color w:val="auto"/>
        </w:rPr>
        <w:t>Inputs other than quoted prices that are observable for the asset or liability; and</w:t>
      </w:r>
    </w:p>
    <w:p>
      <w:pPr>
        <w:spacing w:after="0" w:line="34" w:lineRule="exact"/>
        <w:rPr>
          <w:rFonts w:ascii="Arial" w:cs="Arial" w:eastAsia="Arial" w:hAnsi="Arial"/>
          <w:sz w:val="24"/>
          <w:szCs w:val="24"/>
          <w:b w:val="1"/>
          <w:bCs w:val="1"/>
          <w:color w:val="auto"/>
        </w:rPr>
      </w:pPr>
    </w:p>
    <w:p>
      <w:pPr>
        <w:ind w:left="440" w:hanging="216"/>
        <w:spacing w:after="0" w:line="217" w:lineRule="auto"/>
        <w:tabs>
          <w:tab w:leader="none" w:pos="440" w:val="left"/>
        </w:tabs>
        <w:numPr>
          <w:ilvl w:val="0"/>
          <w:numId w:val="3"/>
        </w:numPr>
        <w:rPr>
          <w:rFonts w:ascii="Arial" w:cs="Arial" w:eastAsia="Arial" w:hAnsi="Arial"/>
          <w:sz w:val="24"/>
          <w:szCs w:val="24"/>
          <w:b w:val="1"/>
          <w:bCs w:val="1"/>
          <w:color w:val="auto"/>
        </w:rPr>
      </w:pPr>
      <w:r>
        <w:rPr>
          <w:rFonts w:ascii="Arial" w:cs="Arial" w:eastAsia="Arial" w:hAnsi="Arial"/>
          <w:sz w:val="18"/>
          <w:szCs w:val="18"/>
          <w:color w:val="auto"/>
        </w:rPr>
        <w:t>Inputs that are derived principally from or corroborated by other observable market data.</w:t>
      </w:r>
    </w:p>
    <w:p>
      <w:pPr>
        <w:spacing w:after="0" w:line="17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Unobservable inputs that cannot be corroborated by observable market data and reflect the use of significant management judgment. These values are</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determined using pricing models for which the assumptions utilize management’s estimates of market participant assumptions.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that are Measured at Fair Value on a Recurring Basis</w:t>
      </w:r>
    </w:p>
    <w:p>
      <w:pPr>
        <w:spacing w:after="0" w:line="22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fair value hierarchy requires the use of observable market data when available. In instances in which the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 The following table sets forth by level within the fair value hierarchy our financial assets that were accounted for at fair value on a recurring basis at May 30, 2009, according to the valuation techniques we used to determine their fair values: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87"/>
              </w:rPr>
              <w:t>Fair Value Measurements</w:t>
            </w:r>
          </w:p>
        </w:tc>
        <w:tc>
          <w:tcPr>
            <w:tcW w:w="142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60" w:type="dxa"/>
            <w:vAlign w:val="bottom"/>
          </w:tcPr>
          <w:p>
            <w:pPr>
              <w:jc w:val="right"/>
              <w:ind w:right="559"/>
              <w:spacing w:after="0" w:line="141" w:lineRule="exact"/>
              <w:rPr>
                <w:sz w:val="20"/>
                <w:szCs w:val="20"/>
                <w:color w:val="auto"/>
              </w:rPr>
            </w:pPr>
            <w:r>
              <w:rPr>
                <w:rFonts w:ascii="Arial" w:cs="Arial" w:eastAsia="Arial" w:hAnsi="Arial"/>
                <w:sz w:val="14"/>
                <w:szCs w:val="14"/>
                <w:b w:val="1"/>
                <w:bCs w:val="1"/>
                <w:color w:val="auto"/>
                <w:w w:val="96"/>
              </w:rPr>
              <w:t>Fair Value at</w:t>
            </w: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6"/>
              </w:rPr>
              <w:t>Using Inputs Considered As</w:t>
            </w:r>
          </w:p>
        </w:tc>
        <w:tc>
          <w:tcPr>
            <w:tcW w:w="1420" w:type="dxa"/>
            <w:vAlign w:val="bottom"/>
            <w:tcBorders>
              <w:bottom w:val="single" w:sz="8" w:color="auto"/>
            </w:tcBorders>
          </w:tcPr>
          <w:p>
            <w:pPr>
              <w:spacing w:after="0"/>
              <w:rPr>
                <w:sz w:val="14"/>
                <w:szCs w:val="14"/>
                <w:color w:val="auto"/>
              </w:rPr>
            </w:pPr>
          </w:p>
        </w:tc>
      </w:tr>
      <w:tr>
        <w:trPr>
          <w:trHeight w:val="156"/>
        </w:trPr>
        <w:tc>
          <w:tcPr>
            <w:tcW w:w="42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3"/>
                <w:szCs w:val="13"/>
                <w:color w:val="auto"/>
              </w:rPr>
            </w:pPr>
          </w:p>
        </w:tc>
        <w:tc>
          <w:tcPr>
            <w:tcW w:w="1460" w:type="dxa"/>
            <w:vAlign w:val="bottom"/>
          </w:tcPr>
          <w:p>
            <w:pPr>
              <w:jc w:val="right"/>
              <w:ind w:right="519"/>
              <w:spacing w:after="0" w:line="149" w:lineRule="exact"/>
              <w:rPr>
                <w:sz w:val="20"/>
                <w:szCs w:val="20"/>
                <w:color w:val="auto"/>
              </w:rPr>
            </w:pPr>
            <w:r>
              <w:rPr>
                <w:rFonts w:ascii="Arial" w:cs="Arial" w:eastAsia="Arial" w:hAnsi="Arial"/>
                <w:sz w:val="14"/>
                <w:szCs w:val="14"/>
                <w:b w:val="1"/>
                <w:bCs w:val="1"/>
                <w:color w:val="auto"/>
                <w:w w:val="98"/>
              </w:rPr>
              <w:t>May 30, 2009</w:t>
            </w:r>
          </w:p>
        </w:tc>
        <w:tc>
          <w:tcPr>
            <w:tcW w:w="240" w:type="dxa"/>
            <w:vAlign w:val="bottom"/>
          </w:tcPr>
          <w:p>
            <w:pPr>
              <w:spacing w:after="0"/>
              <w:rPr>
                <w:sz w:val="13"/>
                <w:szCs w:val="13"/>
                <w:color w:val="auto"/>
              </w:rPr>
            </w:pPr>
          </w:p>
        </w:tc>
        <w:tc>
          <w:tcPr>
            <w:tcW w:w="1080" w:type="dxa"/>
            <w:vAlign w:val="bottom"/>
          </w:tcPr>
          <w:p>
            <w:pPr>
              <w:jc w:val="right"/>
              <w:ind w:right="399"/>
              <w:spacing w:after="0" w:line="149" w:lineRule="exact"/>
              <w:rPr>
                <w:sz w:val="20"/>
                <w:szCs w:val="20"/>
                <w:color w:val="auto"/>
              </w:rPr>
            </w:pPr>
            <w:r>
              <w:rPr>
                <w:rFonts w:ascii="Arial" w:cs="Arial" w:eastAsia="Arial" w:hAnsi="Arial"/>
                <w:sz w:val="14"/>
                <w:szCs w:val="14"/>
                <w:b w:val="1"/>
                <w:bCs w:val="1"/>
                <w:color w:val="auto"/>
              </w:rPr>
              <w:t>Level 1</w:t>
            </w:r>
          </w:p>
        </w:tc>
        <w:tc>
          <w:tcPr>
            <w:tcW w:w="1780" w:type="dxa"/>
            <w:vAlign w:val="bottom"/>
          </w:tcPr>
          <w:p>
            <w:pPr>
              <w:jc w:val="right"/>
              <w:ind w:right="604"/>
              <w:spacing w:after="0" w:line="149" w:lineRule="exact"/>
              <w:rPr>
                <w:sz w:val="20"/>
                <w:szCs w:val="20"/>
                <w:color w:val="auto"/>
              </w:rPr>
            </w:pPr>
            <w:r>
              <w:rPr>
                <w:rFonts w:ascii="Arial" w:cs="Arial" w:eastAsia="Arial" w:hAnsi="Arial"/>
                <w:sz w:val="14"/>
                <w:szCs w:val="14"/>
                <w:b w:val="1"/>
                <w:bCs w:val="1"/>
                <w:color w:val="auto"/>
              </w:rPr>
              <w:t>Level 2</w:t>
            </w:r>
          </w:p>
        </w:tc>
        <w:tc>
          <w:tcPr>
            <w:tcW w:w="1420" w:type="dxa"/>
            <w:vAlign w:val="bottom"/>
          </w:tcPr>
          <w:p>
            <w:pPr>
              <w:jc w:val="right"/>
              <w:ind w:right="439"/>
              <w:spacing w:after="0" w:line="149" w:lineRule="exact"/>
              <w:rPr>
                <w:sz w:val="20"/>
                <w:szCs w:val="20"/>
                <w:color w:val="auto"/>
              </w:rPr>
            </w:pPr>
            <w:r>
              <w:rPr>
                <w:rFonts w:ascii="Arial" w:cs="Arial" w:eastAsia="Arial" w:hAnsi="Arial"/>
                <w:sz w:val="14"/>
                <w:szCs w:val="14"/>
                <w:b w:val="1"/>
                <w:bCs w:val="1"/>
                <w:color w:val="auto"/>
              </w:rPr>
              <w:t>Level 3</w:t>
            </w:r>
          </w:p>
        </w:tc>
      </w:tr>
      <w:tr>
        <w:trPr>
          <w:trHeight w:val="216"/>
        </w:trPr>
        <w:tc>
          <w:tcPr>
            <w:tcW w:w="20" w:type="dxa"/>
            <w:vAlign w:val="bottom"/>
          </w:tcPr>
          <w:p>
            <w:pPr>
              <w:spacing w:after="0"/>
              <w:rPr>
                <w:sz w:val="18"/>
                <w:szCs w:val="18"/>
                <w:color w:val="auto"/>
              </w:rPr>
            </w:pPr>
          </w:p>
        </w:tc>
        <w:tc>
          <w:tcPr>
            <w:tcW w:w="4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1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Cash and cash equivalents</w:t>
            </w:r>
          </w:p>
        </w:tc>
        <w:tc>
          <w:tcPr>
            <w:tcW w:w="11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D6F3E8"/>
          </w:tcPr>
          <w:p>
            <w:pPr>
              <w:jc w:val="right"/>
              <w:ind w:right="279"/>
              <w:spacing w:after="0"/>
              <w:rPr>
                <w:sz w:val="20"/>
                <w:szCs w:val="20"/>
                <w:color w:val="auto"/>
              </w:rPr>
            </w:pPr>
            <w:r>
              <w:rPr>
                <w:rFonts w:ascii="Arial" w:cs="Arial" w:eastAsia="Arial" w:hAnsi="Arial"/>
                <w:sz w:val="18"/>
                <w:szCs w:val="18"/>
                <w:color w:val="auto"/>
              </w:rPr>
              <w:t>41,308</w:t>
            </w:r>
          </w:p>
        </w:tc>
        <w:tc>
          <w:tcPr>
            <w:tcW w:w="240" w:type="dxa"/>
            <w:vAlign w:val="bottom"/>
            <w:shd w:val="clear" w:color="auto" w:fill="D6F3E8"/>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41,308</w:t>
            </w:r>
          </w:p>
        </w:tc>
        <w:tc>
          <w:tcPr>
            <w:tcW w:w="1780" w:type="dxa"/>
            <w:vAlign w:val="bottom"/>
            <w:shd w:val="clear" w:color="auto" w:fill="D6F3E8"/>
          </w:tcPr>
          <w:p>
            <w:pPr>
              <w:jc w:val="right"/>
              <w:ind w:right="1344"/>
              <w:spacing w:after="0"/>
              <w:rPr>
                <w:sz w:val="20"/>
                <w:szCs w:val="20"/>
                <w:color w:val="auto"/>
              </w:rPr>
            </w:pPr>
            <w:r>
              <w:rPr>
                <w:rFonts w:ascii="Arial" w:cs="Arial" w:eastAsia="Arial" w:hAnsi="Arial"/>
                <w:sz w:val="18"/>
                <w:szCs w:val="18"/>
                <w:color w:val="auto"/>
              </w:rPr>
              <w:t>$</w:t>
            </w:r>
          </w:p>
        </w:tc>
        <w:tc>
          <w:tcPr>
            <w:tcW w:w="1420" w:type="dxa"/>
            <w:vAlign w:val="bottom"/>
            <w:shd w:val="clear" w:color="auto" w:fill="D6F3E8"/>
          </w:tcPr>
          <w:p>
            <w:pPr>
              <w:jc w:val="right"/>
              <w:ind w:right="1179"/>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40" w:type="dxa"/>
            <w:vAlign w:val="bottom"/>
          </w:tcPr>
          <w:p>
            <w:pPr>
              <w:ind w:left="140"/>
              <w:spacing w:after="0"/>
              <w:rPr>
                <w:sz w:val="20"/>
                <w:szCs w:val="20"/>
                <w:color w:val="auto"/>
              </w:rPr>
            </w:pPr>
            <w:r>
              <w:rPr>
                <w:rFonts w:ascii="Arial" w:cs="Arial" w:eastAsia="Arial" w:hAnsi="Arial"/>
                <w:sz w:val="18"/>
                <w:szCs w:val="18"/>
                <w:color w:val="auto"/>
              </w:rPr>
              <w:t>Short-term investments</w:t>
            </w:r>
          </w:p>
        </w:tc>
        <w:tc>
          <w:tcPr>
            <w:tcW w:w="1180" w:type="dxa"/>
            <w:vAlign w:val="bottom"/>
          </w:tcPr>
          <w:p>
            <w:pPr>
              <w:spacing w:after="0"/>
              <w:rPr>
                <w:sz w:val="18"/>
                <w:szCs w:val="18"/>
                <w:color w:val="auto"/>
              </w:rPr>
            </w:pPr>
          </w:p>
        </w:tc>
        <w:tc>
          <w:tcPr>
            <w:tcW w:w="1460" w:type="dxa"/>
            <w:vAlign w:val="bottom"/>
          </w:tcPr>
          <w:p>
            <w:pPr>
              <w:jc w:val="right"/>
              <w:ind w:right="279"/>
              <w:spacing w:after="0"/>
              <w:rPr>
                <w:sz w:val="20"/>
                <w:szCs w:val="20"/>
                <w:color w:val="auto"/>
              </w:rPr>
            </w:pPr>
            <w:r>
              <w:rPr>
                <w:rFonts w:ascii="Arial" w:cs="Arial" w:eastAsia="Arial" w:hAnsi="Arial"/>
                <w:sz w:val="18"/>
                <w:szCs w:val="18"/>
                <w:color w:val="auto"/>
              </w:rPr>
              <w:t>400</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80" w:type="dxa"/>
            <w:vAlign w:val="bottom"/>
          </w:tcPr>
          <w:p>
            <w:pPr>
              <w:jc w:val="right"/>
              <w:ind w:right="184"/>
              <w:spacing w:after="0"/>
              <w:rPr>
                <w:sz w:val="20"/>
                <w:szCs w:val="20"/>
                <w:color w:val="auto"/>
              </w:rPr>
            </w:pPr>
            <w:r>
              <w:rPr>
                <w:rFonts w:ascii="Arial" w:cs="Arial" w:eastAsia="Arial" w:hAnsi="Arial"/>
                <w:sz w:val="18"/>
                <w:szCs w:val="18"/>
                <w:color w:val="auto"/>
              </w:rPr>
              <w:t>400</w:t>
            </w:r>
          </w:p>
        </w:tc>
        <w:tc>
          <w:tcPr>
            <w:tcW w:w="14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Long-term investments (includes put rights)</w:t>
            </w:r>
          </w:p>
        </w:tc>
        <w:tc>
          <w:tcPr>
            <w:tcW w:w="1180" w:type="dxa"/>
            <w:vAlign w:val="bottom"/>
            <w:shd w:val="clear" w:color="auto" w:fill="D6F3E8"/>
          </w:tcPr>
          <w:p>
            <w:pPr>
              <w:spacing w:after="0"/>
              <w:rPr>
                <w:sz w:val="18"/>
                <w:szCs w:val="18"/>
                <w:color w:val="auto"/>
              </w:rPr>
            </w:pPr>
          </w:p>
        </w:tc>
        <w:tc>
          <w:tcPr>
            <w:tcW w:w="1460" w:type="dxa"/>
            <w:vAlign w:val="bottom"/>
            <w:shd w:val="clear" w:color="auto" w:fill="D6F3E8"/>
          </w:tcPr>
          <w:p>
            <w:pPr>
              <w:jc w:val="right"/>
              <w:ind w:right="279"/>
              <w:spacing w:after="0"/>
              <w:rPr>
                <w:sz w:val="20"/>
                <w:szCs w:val="20"/>
                <w:color w:val="auto"/>
              </w:rPr>
            </w:pPr>
            <w:r>
              <w:rPr>
                <w:rFonts w:ascii="Arial" w:cs="Arial" w:eastAsia="Arial" w:hAnsi="Arial"/>
                <w:sz w:val="18"/>
                <w:szCs w:val="18"/>
                <w:color w:val="auto"/>
              </w:rPr>
              <w:t>33,120</w:t>
            </w:r>
          </w:p>
        </w:tc>
        <w:tc>
          <w:tcPr>
            <w:tcW w:w="240" w:type="dxa"/>
            <w:vAlign w:val="bottom"/>
            <w:shd w:val="clear" w:color="auto" w:fill="D6F3E8"/>
          </w:tcPr>
          <w:p>
            <w:pPr>
              <w:spacing w:after="0"/>
              <w:rPr>
                <w:sz w:val="18"/>
                <w:szCs w:val="18"/>
                <w:color w:val="auto"/>
              </w:rPr>
            </w:pPr>
          </w:p>
        </w:tc>
        <w:tc>
          <w:tcPr>
            <w:tcW w:w="1080" w:type="dxa"/>
            <w:vAlign w:val="bottom"/>
            <w:shd w:val="clear" w:color="auto" w:fill="D6F3E8"/>
          </w:tcPr>
          <w:p>
            <w:pPr>
              <w:spacing w:after="0"/>
              <w:rPr>
                <w:sz w:val="18"/>
                <w:szCs w:val="18"/>
                <w:color w:val="auto"/>
              </w:rPr>
            </w:pPr>
          </w:p>
        </w:tc>
        <w:tc>
          <w:tcPr>
            <w:tcW w:w="1780" w:type="dxa"/>
            <w:vAlign w:val="bottom"/>
            <w:shd w:val="clear" w:color="auto" w:fill="D6F3E8"/>
          </w:tcPr>
          <w:p>
            <w:pPr>
              <w:spacing w:after="0"/>
              <w:rPr>
                <w:sz w:val="18"/>
                <w:szCs w:val="18"/>
                <w:color w:val="auto"/>
              </w:rPr>
            </w:pPr>
          </w:p>
        </w:tc>
        <w:tc>
          <w:tcPr>
            <w:tcW w:w="1420" w:type="dxa"/>
            <w:vAlign w:val="bottom"/>
            <w:shd w:val="clear" w:color="auto" w:fill="D6F3E8"/>
          </w:tcPr>
          <w:p>
            <w:pPr>
              <w:jc w:val="right"/>
              <w:ind w:right="19"/>
              <w:spacing w:after="0"/>
              <w:rPr>
                <w:sz w:val="20"/>
                <w:szCs w:val="20"/>
                <w:color w:val="auto"/>
              </w:rPr>
            </w:pPr>
            <w:r>
              <w:rPr>
                <w:rFonts w:ascii="Arial" w:cs="Arial" w:eastAsia="Arial" w:hAnsi="Arial"/>
                <w:sz w:val="18"/>
                <w:szCs w:val="18"/>
                <w:color w:val="auto"/>
              </w:rPr>
              <w:t>33,120</w:t>
            </w:r>
          </w:p>
        </w:tc>
      </w:tr>
      <w:tr>
        <w:trPr>
          <w:trHeight w:val="222"/>
        </w:trPr>
        <w:tc>
          <w:tcPr>
            <w:tcW w:w="20" w:type="dxa"/>
            <w:vAlign w:val="bottom"/>
          </w:tcPr>
          <w:p>
            <w:pPr>
              <w:spacing w:after="0"/>
              <w:rPr>
                <w:sz w:val="19"/>
                <w:szCs w:val="19"/>
                <w:color w:val="auto"/>
              </w:rPr>
            </w:pPr>
          </w:p>
        </w:tc>
        <w:tc>
          <w:tcPr>
            <w:tcW w:w="4240" w:type="dxa"/>
            <w:vAlign w:val="bottom"/>
          </w:tcPr>
          <w:p>
            <w:pPr>
              <w:ind w:left="140"/>
              <w:spacing w:after="0"/>
              <w:rPr>
                <w:sz w:val="20"/>
                <w:szCs w:val="20"/>
                <w:color w:val="auto"/>
              </w:rPr>
            </w:pPr>
            <w:r>
              <w:rPr>
                <w:rFonts w:ascii="Arial" w:cs="Arial" w:eastAsia="Arial" w:hAnsi="Arial"/>
                <w:sz w:val="18"/>
                <w:szCs w:val="18"/>
                <w:color w:val="auto"/>
              </w:rPr>
              <w:t>Assets that fund deferred compensation</w:t>
            </w:r>
          </w:p>
        </w:tc>
        <w:tc>
          <w:tcPr>
            <w:tcW w:w="1180" w:type="dxa"/>
            <w:vAlign w:val="bottom"/>
          </w:tcPr>
          <w:p>
            <w:pPr>
              <w:spacing w:after="0"/>
              <w:rPr>
                <w:sz w:val="19"/>
                <w:szCs w:val="19"/>
                <w:color w:val="auto"/>
              </w:rPr>
            </w:pPr>
          </w:p>
        </w:tc>
        <w:tc>
          <w:tcPr>
            <w:tcW w:w="1460" w:type="dxa"/>
            <w:vAlign w:val="bottom"/>
          </w:tcPr>
          <w:p>
            <w:pPr>
              <w:jc w:val="right"/>
              <w:ind w:right="279"/>
              <w:spacing w:after="0"/>
              <w:rPr>
                <w:sz w:val="20"/>
                <w:szCs w:val="20"/>
                <w:color w:val="auto"/>
              </w:rPr>
            </w:pPr>
            <w:r>
              <w:rPr>
                <w:rFonts w:ascii="Arial" w:cs="Arial" w:eastAsia="Arial" w:hAnsi="Arial"/>
                <w:sz w:val="18"/>
                <w:szCs w:val="18"/>
                <w:color w:val="auto"/>
              </w:rPr>
              <w:t>9,788</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9,788</w:t>
            </w:r>
          </w:p>
        </w:tc>
        <w:tc>
          <w:tcPr>
            <w:tcW w:w="1780" w:type="dxa"/>
            <w:vAlign w:val="bottom"/>
          </w:tcPr>
          <w:p>
            <w:pPr>
              <w:spacing w:after="0"/>
              <w:rPr>
                <w:sz w:val="19"/>
                <w:szCs w:val="19"/>
                <w:color w:val="auto"/>
              </w:rPr>
            </w:pPr>
          </w:p>
        </w:tc>
        <w:tc>
          <w:tcPr>
            <w:tcW w:w="1420" w:type="dxa"/>
            <w:vAlign w:val="bottom"/>
          </w:tcPr>
          <w:p>
            <w:pPr>
              <w:spacing w:after="0"/>
              <w:rPr>
                <w:sz w:val="19"/>
                <w:szCs w:val="19"/>
                <w:color w:val="auto"/>
              </w:rPr>
            </w:pPr>
          </w:p>
        </w:tc>
      </w:tr>
    </w:tbl>
    <w:p>
      <w:pPr>
        <w:spacing w:after="0" w:line="20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following table provides a reconciliation between the beginning and ending balances of items measured at fair value on a recurring basis in the table above that used significant unobservable inputs (Level 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ind w:right="459"/>
              <w:spacing w:after="0"/>
              <w:rPr>
                <w:sz w:val="20"/>
                <w:szCs w:val="20"/>
                <w:color w:val="auto"/>
              </w:rPr>
            </w:pPr>
            <w:r>
              <w:rPr>
                <w:rFonts w:ascii="Arial" w:cs="Arial" w:eastAsia="Arial" w:hAnsi="Arial"/>
                <w:sz w:val="14"/>
                <w:szCs w:val="14"/>
                <w:b w:val="1"/>
                <w:bCs w:val="1"/>
                <w:color w:val="auto"/>
              </w:rPr>
              <w:t>Thirteen</w:t>
            </w:r>
          </w:p>
        </w:tc>
        <w:tc>
          <w:tcPr>
            <w:tcW w:w="260" w:type="dxa"/>
            <w:vAlign w:val="bottom"/>
          </w:tcPr>
          <w:p>
            <w:pPr>
              <w:spacing w:after="0"/>
              <w:rPr>
                <w:sz w:val="14"/>
                <w:szCs w:val="14"/>
                <w:color w:val="auto"/>
              </w:rPr>
            </w:pPr>
          </w:p>
        </w:tc>
        <w:tc>
          <w:tcPr>
            <w:tcW w:w="1100" w:type="dxa"/>
            <w:vAlign w:val="bottom"/>
          </w:tcPr>
          <w:p>
            <w:pPr>
              <w:jc w:val="right"/>
              <w:ind w:right="218"/>
              <w:spacing w:after="0"/>
              <w:rPr>
                <w:sz w:val="20"/>
                <w:szCs w:val="20"/>
                <w:color w:val="auto"/>
              </w:rPr>
            </w:pPr>
            <w:r>
              <w:rPr>
                <w:rFonts w:ascii="Arial" w:cs="Arial" w:eastAsia="Arial" w:hAnsi="Arial"/>
                <w:sz w:val="14"/>
                <w:szCs w:val="14"/>
                <w:b w:val="1"/>
                <w:bCs w:val="1"/>
                <w:color w:val="auto"/>
              </w:rPr>
              <w:t>Thirty-Nine</w:t>
            </w:r>
          </w:p>
        </w:tc>
      </w:tr>
      <w:tr>
        <w:trPr>
          <w:trHeight w:val="168"/>
        </w:trPr>
        <w:tc>
          <w:tcPr>
            <w:tcW w:w="5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w w:val="90"/>
              </w:rPr>
              <w:t>Weeks Ended</w:t>
            </w: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w w:val="90"/>
              </w:rPr>
              <w:t>Weeks Ended</w:t>
            </w:r>
          </w:p>
        </w:tc>
      </w:tr>
      <w:tr>
        <w:trPr>
          <w:trHeight w:val="156"/>
        </w:trPr>
        <w:tc>
          <w:tcPr>
            <w:tcW w:w="52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3"/>
          </w:tcPr>
          <w:p>
            <w:pPr>
              <w:jc w:val="right"/>
              <w:ind w:right="938"/>
              <w:spacing w:after="0" w:line="149" w:lineRule="exact"/>
              <w:rPr>
                <w:sz w:val="20"/>
                <w:szCs w:val="20"/>
                <w:color w:val="auto"/>
              </w:rPr>
            </w:pPr>
            <w:r>
              <w:rPr>
                <w:rFonts w:ascii="Arial" w:cs="Arial" w:eastAsia="Arial" w:hAnsi="Arial"/>
                <w:sz w:val="14"/>
                <w:szCs w:val="14"/>
                <w:b w:val="1"/>
                <w:bCs w:val="1"/>
                <w:color w:val="auto"/>
              </w:rPr>
              <w:t>May 30, 2009</w:t>
            </w:r>
          </w:p>
        </w:tc>
      </w:tr>
      <w:tr>
        <w:trPr>
          <w:trHeight w:val="216"/>
        </w:trPr>
        <w:tc>
          <w:tcPr>
            <w:tcW w:w="5260" w:type="dxa"/>
            <w:vAlign w:val="bottom"/>
            <w:shd w:val="clear" w:color="auto" w:fill="D6F3E8"/>
          </w:tcPr>
          <w:p>
            <w:pPr>
              <w:spacing w:after="0"/>
              <w:rPr>
                <w:sz w:val="20"/>
                <w:szCs w:val="20"/>
                <w:color w:val="auto"/>
              </w:rPr>
            </w:pPr>
            <w:r>
              <w:rPr>
                <w:rFonts w:ascii="Arial" w:cs="Arial" w:eastAsia="Arial" w:hAnsi="Arial"/>
                <w:sz w:val="18"/>
                <w:szCs w:val="18"/>
                <w:color w:val="auto"/>
              </w:rPr>
              <w:t>Balance at beginning of period</w:t>
            </w:r>
          </w:p>
        </w:tc>
        <w:tc>
          <w:tcPr>
            <w:tcW w:w="14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D6F3E8"/>
          </w:tcPr>
          <w:p>
            <w:pPr>
              <w:jc w:val="right"/>
              <w:ind w:right="119"/>
              <w:spacing w:after="0"/>
              <w:rPr>
                <w:sz w:val="20"/>
                <w:szCs w:val="20"/>
                <w:color w:val="auto"/>
              </w:rPr>
            </w:pPr>
            <w:r>
              <w:rPr>
                <w:rFonts w:ascii="Arial" w:cs="Arial" w:eastAsia="Arial" w:hAnsi="Arial"/>
                <w:sz w:val="18"/>
                <w:szCs w:val="18"/>
                <w:color w:val="auto"/>
              </w:rPr>
              <w:t>33,476</w:t>
            </w:r>
          </w:p>
        </w:tc>
        <w:tc>
          <w:tcPr>
            <w:tcW w:w="2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37,538</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Net realized loss included in earnings</w:t>
            </w:r>
          </w:p>
        </w:tc>
        <w:tc>
          <w:tcPr>
            <w:tcW w:w="14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8"/>
                <w:szCs w:val="18"/>
                <w:color w:val="auto"/>
              </w:rPr>
              <w:t>(81)</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5260" w:type="dxa"/>
            <w:vAlign w:val="bottom"/>
            <w:shd w:val="clear" w:color="auto" w:fill="D6F3E8"/>
          </w:tcPr>
          <w:p>
            <w:pPr>
              <w:spacing w:after="0"/>
              <w:rPr>
                <w:sz w:val="20"/>
                <w:szCs w:val="20"/>
                <w:color w:val="auto"/>
              </w:rPr>
            </w:pPr>
            <w:r>
              <w:rPr>
                <w:rFonts w:ascii="Arial" w:cs="Arial" w:eastAsia="Arial" w:hAnsi="Arial"/>
                <w:sz w:val="18"/>
                <w:szCs w:val="18"/>
                <w:color w:val="auto"/>
              </w:rPr>
              <w:t>Net change included in other comprehensive income</w:t>
            </w:r>
          </w:p>
        </w:tc>
        <w:tc>
          <w:tcPr>
            <w:tcW w:w="140" w:type="dxa"/>
            <w:vAlign w:val="bottom"/>
            <w:shd w:val="clear" w:color="auto" w:fill="D6F3E8"/>
          </w:tcPr>
          <w:p>
            <w:pPr>
              <w:spacing w:after="0"/>
              <w:rPr>
                <w:sz w:val="18"/>
                <w:szCs w:val="18"/>
                <w:color w:val="auto"/>
              </w:rPr>
            </w:pPr>
          </w:p>
        </w:tc>
        <w:tc>
          <w:tcPr>
            <w:tcW w:w="1220" w:type="dxa"/>
            <w:vAlign w:val="bottom"/>
            <w:shd w:val="clear" w:color="auto" w:fill="D6F3E8"/>
          </w:tcPr>
          <w:p>
            <w:pPr>
              <w:jc w:val="right"/>
              <w:ind w:right="119"/>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1,491</w:t>
            </w:r>
          </w:p>
        </w:tc>
      </w:tr>
      <w:tr>
        <w:trPr>
          <w:trHeight w:val="216"/>
        </w:trPr>
        <w:tc>
          <w:tcPr>
            <w:tcW w:w="5260" w:type="dxa"/>
            <w:vAlign w:val="bottom"/>
            <w:tcBorders>
              <w:bottom w:val="single" w:sz="8" w:color="D6F3E8"/>
            </w:tcBorders>
          </w:tcPr>
          <w:p>
            <w:pPr>
              <w:spacing w:after="0"/>
              <w:rPr>
                <w:sz w:val="20"/>
                <w:szCs w:val="20"/>
                <w:color w:val="auto"/>
              </w:rPr>
            </w:pPr>
            <w:r>
              <w:rPr>
                <w:rFonts w:ascii="Arial" w:cs="Arial" w:eastAsia="Arial" w:hAnsi="Arial"/>
                <w:sz w:val="18"/>
                <w:szCs w:val="18"/>
                <w:color w:val="auto"/>
              </w:rPr>
              <w:t>Transfer out of Level 3</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(400)</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(5,800)</w:t>
            </w:r>
          </w:p>
        </w:tc>
      </w:tr>
      <w:tr>
        <w:trPr>
          <w:trHeight w:val="210"/>
        </w:trPr>
        <w:tc>
          <w:tcPr>
            <w:tcW w:w="5260" w:type="dxa"/>
            <w:vAlign w:val="bottom"/>
            <w:tcBorders>
              <w:bottom w:val="single" w:sz="8" w:color="D6F3E8"/>
            </w:tcBorders>
            <w:shd w:val="clear" w:color="auto" w:fill="D6F3E8"/>
          </w:tcPr>
          <w:p>
            <w:pPr>
              <w:spacing w:after="0" w:line="202" w:lineRule="exact"/>
              <w:rPr>
                <w:sz w:val="20"/>
                <w:szCs w:val="20"/>
                <w:color w:val="auto"/>
              </w:rPr>
            </w:pPr>
            <w:r>
              <w:rPr>
                <w:rFonts w:ascii="Arial" w:cs="Arial" w:eastAsia="Arial" w:hAnsi="Arial"/>
                <w:sz w:val="18"/>
                <w:szCs w:val="18"/>
                <w:color w:val="auto"/>
              </w:rPr>
              <w:t>Balance at end of period</w:t>
            </w:r>
          </w:p>
        </w:tc>
        <w:tc>
          <w:tcPr>
            <w:tcW w:w="1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D6F3E8"/>
          </w:tcPr>
          <w:p>
            <w:pPr>
              <w:jc w:val="right"/>
              <w:ind w:right="119"/>
              <w:spacing w:after="0"/>
              <w:rPr>
                <w:sz w:val="20"/>
                <w:szCs w:val="20"/>
                <w:color w:val="auto"/>
              </w:rPr>
            </w:pPr>
            <w:r>
              <w:rPr>
                <w:rFonts w:ascii="Arial" w:cs="Arial" w:eastAsia="Arial" w:hAnsi="Arial"/>
                <w:sz w:val="18"/>
                <w:szCs w:val="18"/>
                <w:color w:val="auto"/>
              </w:rPr>
              <w:t>33,120</w:t>
            </w:r>
          </w:p>
        </w:tc>
        <w:tc>
          <w:tcPr>
            <w:tcW w:w="2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33,120</w:t>
            </w:r>
          </w:p>
        </w:tc>
      </w:tr>
      <w:tr>
        <w:trPr>
          <w:trHeight w:val="20"/>
        </w:trPr>
        <w:tc>
          <w:tcPr>
            <w:tcW w:w="5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627"/>
        </w:trPr>
        <w:tc>
          <w:tcPr>
            <w:tcW w:w="5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779"/>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The carrying value of cash equivalents approximates fair value as maturities are less than three months. Our cash equivalents are</w:t>
      </w:r>
      <w:r>
        <w:rPr>
          <w:rFonts w:ascii="Arial" w:cs="Arial" w:eastAsia="Arial" w:hAnsi="Arial"/>
          <w:sz w:val="18"/>
          <w:szCs w:val="18"/>
          <w:i w:val="1"/>
          <w:iCs w:val="1"/>
          <w:color w:val="auto"/>
        </w:rPr>
        <w:t xml:space="preserve"> </w:t>
      </w:r>
      <w:r>
        <w:rPr>
          <w:rFonts w:ascii="Arial" w:cs="Arial" w:eastAsia="Arial" w:hAnsi="Arial"/>
          <w:sz w:val="18"/>
          <w:szCs w:val="18"/>
          <w:color w:val="auto"/>
        </w:rPr>
        <w:t>comprised of money market funds traded in an active market with no restrictions and are classified as Level 1.</w:t>
      </w:r>
    </w:p>
    <w:p>
      <w:pPr>
        <w:sectPr>
          <w:pgSz w:w="11900" w:h="16838" w:orient="portrait"/>
          <w:cols w:equalWidth="0" w:num="1">
            <w:col w:w="11420"/>
          </w:cols>
          <w:pgMar w:left="240" w:top="131" w:right="239" w:bottom="0" w:gutter="0" w:footer="0" w:header="0"/>
        </w:sectPr>
      </w:pPr>
    </w:p>
    <w:bookmarkStart w:id="5" w:name="page6"/>
    <w:bookmarkEnd w:id="5"/>
    <w:p>
      <w:pPr>
        <w:ind w:right="40"/>
        <w:spacing w:after="0" w:line="290" w:lineRule="auto"/>
        <w:rPr>
          <w:sz w:val="20"/>
          <w:szCs w:val="20"/>
          <w:color w:val="auto"/>
        </w:rPr>
      </w:pPr>
      <w:r>
        <w:rPr>
          <w:rFonts w:ascii="Arial" w:cs="Arial" w:eastAsia="Arial" w:hAnsi="Arial"/>
          <w:sz w:val="16"/>
          <w:szCs w:val="16"/>
          <w:i w:val="1"/>
          <w:iCs w:val="1"/>
          <w:color w:val="auto"/>
        </w:rPr>
        <w:t xml:space="preserve">Short-term and long-term investments. </w:t>
      </w:r>
      <w:r>
        <w:rPr>
          <w:rFonts w:ascii="Arial" w:cs="Arial" w:eastAsia="Arial" w:hAnsi="Arial"/>
          <w:sz w:val="16"/>
          <w:szCs w:val="16"/>
          <w:color w:val="auto"/>
        </w:rPr>
        <w:t>Our debt securities are comprised of Auction Rate Securities (ARSs) and Put Rights as described in Note 4. Our long-term</w:t>
      </w:r>
      <w:r>
        <w:rPr>
          <w:rFonts w:ascii="Arial" w:cs="Arial" w:eastAsia="Arial" w:hAnsi="Arial"/>
          <w:sz w:val="16"/>
          <w:szCs w:val="16"/>
          <w:i w:val="1"/>
          <w:iCs w:val="1"/>
          <w:color w:val="auto"/>
        </w:rPr>
        <w:t xml:space="preserve"> </w:t>
      </w:r>
      <w:r>
        <w:rPr>
          <w:rFonts w:ascii="Arial" w:cs="Arial" w:eastAsia="Arial" w:hAnsi="Arial"/>
          <w:sz w:val="16"/>
          <w:szCs w:val="16"/>
          <w:color w:val="auto"/>
        </w:rPr>
        <w:t>ARS related investments are classified as Level 3 as quoted prices were unavailable due to events described in Note 4. Due to limited market information, we utilized a discounted cash flow (“DCF”) model to derive an estimate of fair value at May 30, 2009. The assumptions used in preparing the DCF model included estimates with respect to the amount and timing of future interest and principal payments, forward projections of the interest rate benchmarks, the probability of full repayment of the principal considering the credit quality and guarantees in place, and the rate of return required by investors to own such securities given the current liquidity risk associated with ARS. Our short-term ARS portfolio is classified as Level 2 as it is also in a nonactive market but inputs other than quoted prices were observable and used to value the securities.</w:t>
      </w:r>
    </w:p>
    <w:p>
      <w:pPr>
        <w:spacing w:after="0" w:line="172"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Assets that fund deferred compensation</w:t>
      </w:r>
      <w:r>
        <w:rPr>
          <w:rFonts w:ascii="Arial" w:cs="Arial" w:eastAsia="Arial" w:hAnsi="Arial"/>
          <w:sz w:val="18"/>
          <w:szCs w:val="18"/>
          <w:color w:val="auto"/>
        </w:rPr>
        <w:t>. Our assets that fund deferred compensation are marketable equity securities measured at fair value using quoted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prices and primarily consist of equity-based mutual funds. They are classified as Level 1 as they are traded in an active market for which closing stock prices are readily available. These securities fund the Executive Share Option Plan, a deferred compensation program, and are presented as other assets in the accompanying consolidated balance sheets.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Investments</w:t>
      </w:r>
    </w:p>
    <w:p>
      <w:pPr>
        <w:spacing w:after="0" w:line="23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 xml:space="preserve">We own investments in marketable securities that have been designated as “available for sale” or “trading securities” in accordance with SFAS No. 115, </w:t>
      </w:r>
      <w:r>
        <w:rPr>
          <w:rFonts w:ascii="Arial" w:cs="Arial" w:eastAsia="Arial" w:hAnsi="Arial"/>
          <w:sz w:val="18"/>
          <w:szCs w:val="18"/>
          <w:i w:val="1"/>
          <w:iCs w:val="1"/>
          <w:color w:val="auto"/>
        </w:rPr>
        <w:t>Accounting for Certain Investments in Debt and Equity Securities</w:t>
      </w:r>
      <w:r>
        <w:rPr>
          <w:rFonts w:ascii="Arial" w:cs="Arial" w:eastAsia="Arial" w:hAnsi="Arial"/>
          <w:sz w:val="18"/>
          <w:szCs w:val="18"/>
          <w:color w:val="auto"/>
        </w:rPr>
        <w:t>. Available for sale securities are carried at fair value with the unrealized gains and losses</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in “Accumulated Other Comprehensive Income,” a component of stockholders’ equity. Trading securities are carried at fair value with unrealized gains and losses reported in financial income/expense.</w:t>
      </w:r>
    </w:p>
    <w:p>
      <w:pPr>
        <w:spacing w:after="0" w:line="19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At May 30, 2009, we held $34.1 million (par value) of investments comprised of tax-exempt ARSs, which are variable-rate debt securities and have a long-term maturity with the interest rate being reset through Dutch auctions that are typically held every 7, 28 or 35 days. The securities have historically traded at par and are callable at par at the option of the issuer. Interest is typically paid at the end of each auction period or semiannually. As of July 7, 2009 and at the end of the fiscal quarter, the vast majority of the long-term ARSs we hold are AAA/Aaa rated with most collateralized by student loans guaranteed by the U.S. Government under the Federal Family Education Loan Program.</w:t>
      </w:r>
    </w:p>
    <w:p>
      <w:pPr>
        <w:spacing w:after="0" w:line="19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Since February 2008, most ARS auctions have failed for these securities and there is no assurance that future auctions will succeed and, as a result, our ability to liquidate our investment and fully recover the par value in the near term may be limited or nonexistent. We have no reason to believe that any of the underlying issuers of our ARSs are presently at risk of default. Through July 7, 2009, we have continued to receive interest payments on the ARSs in accordance with their terms. We believe we will ultimately be able to liquidate our ARS related investments without significant loss primarily due to the collateral securing ARSs and the legal settlement agreement we have entered into with UBS AG (“UBS”). As noted below, our UBS settlement allows for a portion of our ARS to be redeemed at par as early as June 30, 2010. However, the remaining portfolio could take until final maturity of the ARSs (up to 32 years) to realize the par value of our investments. Due to the changes and uncertainty in the ARS market, we believe the recovery period for these investments is likely to be longer than 12 months and as a result, we have classified these investments as long-term as of May 30, 2009. Our short-term ARS investments of $400,000 were redeemed by the issuer at par in June 2009.</w:t>
      </w:r>
    </w:p>
    <w:p>
      <w:pPr>
        <w:spacing w:after="0" w:line="174"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In November 2008, we elected to participate in a rights offering by UBS, one of our brokers, which provide us with rights (the “Put Rights”) to sell to them $13.5 million at par value of our ARS portfolio, purchased through UBS, at any time during a two-year sale period beginning June 30, 2010.</w:t>
      </w:r>
    </w:p>
    <w:p>
      <w:pPr>
        <w:spacing w:after="0" w:line="13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By electing to participate in the rights offering, we granted UBS the right, exercisable at any time prior to June 30, 2010 or during the two-year sale period, to purchase or cause the sale of our ARSs (the “Call Right”). UBS has stated that it will only exercise the Call Right for the purpose of restructurings, dispositions or other solutions that will provide their clients with par value for their ARS. UBS has agreed to pay their clients the par value of their ARS within one day of settlement of any Call Right transaction. Notwithstanding the Call Right, we are permitted to sell ARSs to parties other than UBS, in which case the Put Rights attached to the ARSs that are sold would be extinguished. The terms of the legal settlement agreement also allowed us to borrow on a portion of our portfolio at “no net cost” and as a result, we borrowed $9.1 million under this arrangement, which is presented as short-term ARS borrowings on our balance sheet. We have the ability to maintain the “no net cost” loans until the securities are liquidated or they reach the June 2010 put date.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On August 31, 2008, we elected to adopt SFAS No. 159 on the Put Rights and to treat this portion of our ARS portfolio as trading securities. As such, during Fiscal 2009, we have recorded a benefit of $375,000 related to the Put Rights provided by the settlement and an other-than-temporary impairment of $484,000 on the $13.5 million (par value) portion of our ARS portfolio as we may decide not to hold until final maturity with the opportunity provided by the Put Rights.</w:t>
      </w:r>
    </w:p>
    <w:p>
      <w:pPr>
        <w:spacing w:after="0" w:line="93"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At May 30, 2009, there was insufficient observable ARS market information available to determine the fair value of our ARS investments, including the Put Rights. Therefore, we estimated fair value by incorporating assumptions that market participants would use in their estimates of fair value. Some of these assumptions included credit quality, final stated maturities, estimates on the probability of the issue being called prior to final maturity, impact due to extended periods of maximum auction rates and broker quotes from independent evaluators. Based on this analysis, we recorded a temporary impairment of $471,000 related to our long-term ARS investments of $20.2 million (par value) that were not part of the UBS settlement as of May 30, 2009. These same assumptions were used to estimate the fair value of our UBS ARS portfolio described above, including the Put Rights.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16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Inventories are valued at the lower of cost or market, with cost being determined under the last-in, first-out (LIFO) method and market defined as net realizable value.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18"/>
              <w:spacing w:after="0"/>
              <w:rPr>
                <w:sz w:val="20"/>
                <w:szCs w:val="20"/>
                <w:color w:val="auto"/>
              </w:rPr>
            </w:pPr>
            <w:r>
              <w:rPr>
                <w:rFonts w:ascii="Arial" w:cs="Arial" w:eastAsia="Arial" w:hAnsi="Arial"/>
                <w:sz w:val="14"/>
                <w:szCs w:val="14"/>
                <w:b w:val="1"/>
                <w:bCs w:val="1"/>
                <w:color w:val="auto"/>
              </w:rPr>
              <w:t>May 30,</w:t>
            </w:r>
          </w:p>
        </w:tc>
        <w:tc>
          <w:tcPr>
            <w:tcW w:w="220" w:type="dxa"/>
            <w:vAlign w:val="bottom"/>
          </w:tcPr>
          <w:p>
            <w:pPr>
              <w:spacing w:after="0"/>
              <w:rPr>
                <w:sz w:val="14"/>
                <w:szCs w:val="14"/>
                <w:color w:val="auto"/>
              </w:rPr>
            </w:pPr>
          </w:p>
        </w:tc>
        <w:tc>
          <w:tcPr>
            <w:tcW w:w="900" w:type="dxa"/>
            <w:vAlign w:val="bottom"/>
          </w:tcPr>
          <w:p>
            <w:pPr>
              <w:jc w:val="right"/>
              <w:ind w:right="158"/>
              <w:spacing w:after="0"/>
              <w:rPr>
                <w:sz w:val="20"/>
                <w:szCs w:val="20"/>
                <w:color w:val="auto"/>
              </w:rPr>
            </w:pPr>
            <w:r>
              <w:rPr>
                <w:rFonts w:ascii="Arial" w:cs="Arial" w:eastAsia="Arial" w:hAnsi="Arial"/>
                <w:sz w:val="14"/>
                <w:szCs w:val="14"/>
                <w:b w:val="1"/>
                <w:bCs w:val="1"/>
                <w:color w:val="auto"/>
                <w:w w:val="89"/>
              </w:rPr>
              <w:t>August 30,</w:t>
            </w:r>
          </w:p>
        </w:tc>
      </w:tr>
      <w:tr>
        <w:trPr>
          <w:trHeight w:val="168"/>
        </w:trPr>
        <w:tc>
          <w:tcPr>
            <w:tcW w:w="5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2009</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2008</w:t>
            </w:r>
          </w:p>
        </w:tc>
      </w:tr>
      <w:tr>
        <w:trPr>
          <w:trHeight w:val="216"/>
        </w:trPr>
        <w:tc>
          <w:tcPr>
            <w:tcW w:w="5740" w:type="dxa"/>
            <w:vAlign w:val="bottom"/>
            <w:shd w:val="clear" w:color="auto" w:fill="D6F3E8"/>
          </w:tcPr>
          <w:p>
            <w:pPr>
              <w:spacing w:after="0"/>
              <w:rPr>
                <w:sz w:val="20"/>
                <w:szCs w:val="20"/>
                <w:color w:val="auto"/>
              </w:rPr>
            </w:pPr>
            <w:r>
              <w:rPr>
                <w:rFonts w:ascii="Arial" w:cs="Arial" w:eastAsia="Arial" w:hAnsi="Arial"/>
                <w:sz w:val="18"/>
                <w:szCs w:val="18"/>
                <w:color w:val="auto"/>
              </w:rPr>
              <w:t>Finished goods</w:t>
            </w: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D6F3E8"/>
          </w:tcPr>
          <w:p>
            <w:pPr>
              <w:jc w:val="right"/>
              <w:ind w:right="58"/>
              <w:spacing w:after="0"/>
              <w:rPr>
                <w:sz w:val="20"/>
                <w:szCs w:val="20"/>
                <w:color w:val="auto"/>
              </w:rPr>
            </w:pPr>
            <w:r>
              <w:rPr>
                <w:rFonts w:ascii="Arial" w:cs="Arial" w:eastAsia="Arial" w:hAnsi="Arial"/>
                <w:sz w:val="18"/>
                <w:szCs w:val="18"/>
                <w:color w:val="auto"/>
              </w:rPr>
              <w:t>23,315</w:t>
            </w:r>
          </w:p>
        </w:tc>
        <w:tc>
          <w:tcPr>
            <w:tcW w:w="2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41,716</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Work-in-process</w:t>
            </w:r>
          </w:p>
        </w:tc>
        <w:tc>
          <w:tcPr>
            <w:tcW w:w="180" w:type="dxa"/>
            <w:vAlign w:val="bottom"/>
          </w:tcPr>
          <w:p>
            <w:pPr>
              <w:spacing w:after="0"/>
              <w:rPr>
                <w:sz w:val="18"/>
                <w:szCs w:val="18"/>
                <w:color w:val="auto"/>
              </w:rPr>
            </w:pPr>
          </w:p>
        </w:tc>
        <w:tc>
          <w:tcPr>
            <w:tcW w:w="940" w:type="dxa"/>
            <w:vAlign w:val="bottom"/>
          </w:tcPr>
          <w:p>
            <w:pPr>
              <w:jc w:val="right"/>
              <w:ind w:right="58"/>
              <w:spacing w:after="0"/>
              <w:rPr>
                <w:sz w:val="20"/>
                <w:szCs w:val="20"/>
                <w:color w:val="auto"/>
              </w:rPr>
            </w:pPr>
            <w:r>
              <w:rPr>
                <w:rFonts w:ascii="Arial" w:cs="Arial" w:eastAsia="Arial" w:hAnsi="Arial"/>
                <w:sz w:val="18"/>
                <w:szCs w:val="18"/>
                <w:color w:val="auto"/>
              </w:rPr>
              <w:t>20,636</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31,187</w:t>
            </w:r>
          </w:p>
        </w:tc>
      </w:tr>
      <w:tr>
        <w:trPr>
          <w:trHeight w:val="216"/>
        </w:trPr>
        <w:tc>
          <w:tcPr>
            <w:tcW w:w="5740" w:type="dxa"/>
            <w:vAlign w:val="bottom"/>
            <w:shd w:val="clear" w:color="auto" w:fill="D6F3E8"/>
          </w:tcPr>
          <w:p>
            <w:pPr>
              <w:spacing w:after="0"/>
              <w:rPr>
                <w:sz w:val="20"/>
                <w:szCs w:val="20"/>
                <w:color w:val="auto"/>
              </w:rPr>
            </w:pPr>
            <w:r>
              <w:rPr>
                <w:rFonts w:ascii="Arial" w:cs="Arial" w:eastAsia="Arial" w:hAnsi="Arial"/>
                <w:sz w:val="18"/>
                <w:szCs w:val="18"/>
                <w:color w:val="auto"/>
              </w:rPr>
              <w:t>Raw materials</w:t>
            </w:r>
          </w:p>
        </w:tc>
        <w:tc>
          <w:tcPr>
            <w:tcW w:w="180" w:type="dxa"/>
            <w:vAlign w:val="bottom"/>
            <w:tcBorders>
              <w:bottom w:val="single" w:sz="8" w:color="auto"/>
            </w:tcBorders>
            <w:shd w:val="clear" w:color="auto" w:fill="D6F3E8"/>
          </w:tcPr>
          <w:p>
            <w:pPr>
              <w:spacing w:after="0"/>
              <w:rPr>
                <w:sz w:val="18"/>
                <w:szCs w:val="18"/>
                <w:color w:val="auto"/>
              </w:rPr>
            </w:pPr>
          </w:p>
        </w:tc>
        <w:tc>
          <w:tcPr>
            <w:tcW w:w="940" w:type="dxa"/>
            <w:vAlign w:val="bottom"/>
            <w:tcBorders>
              <w:bottom w:val="single" w:sz="8" w:color="auto"/>
            </w:tcBorders>
            <w:shd w:val="clear" w:color="auto" w:fill="D6F3E8"/>
          </w:tcPr>
          <w:p>
            <w:pPr>
              <w:jc w:val="right"/>
              <w:ind w:right="58"/>
              <w:spacing w:after="0"/>
              <w:rPr>
                <w:sz w:val="20"/>
                <w:szCs w:val="20"/>
                <w:color w:val="auto"/>
              </w:rPr>
            </w:pPr>
            <w:r>
              <w:rPr>
                <w:rFonts w:ascii="Arial" w:cs="Arial" w:eastAsia="Arial" w:hAnsi="Arial"/>
                <w:sz w:val="18"/>
                <w:szCs w:val="18"/>
                <w:color w:val="auto"/>
              </w:rPr>
              <w:t>42,510</w:t>
            </w:r>
          </w:p>
        </w:tc>
        <w:tc>
          <w:tcPr>
            <w:tcW w:w="220" w:type="dxa"/>
            <w:vAlign w:val="bottom"/>
            <w:tcBorders>
              <w:bottom w:val="single" w:sz="8" w:color="auto"/>
            </w:tcBorders>
            <w:shd w:val="clear" w:color="auto" w:fill="D6F3E8"/>
          </w:tcPr>
          <w:p>
            <w:pPr>
              <w:spacing w:after="0"/>
              <w:rPr>
                <w:sz w:val="18"/>
                <w:szCs w:val="18"/>
                <w:color w:val="auto"/>
              </w:rPr>
            </w:pPr>
          </w:p>
        </w:tc>
        <w:tc>
          <w:tcPr>
            <w:tcW w:w="9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75,010</w:t>
            </w:r>
          </w:p>
        </w:tc>
      </w:tr>
      <w:tr>
        <w:trPr>
          <w:trHeight w:val="210"/>
        </w:trPr>
        <w:tc>
          <w:tcPr>
            <w:tcW w:w="5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58"/>
              <w:spacing w:after="0"/>
              <w:rPr>
                <w:sz w:val="20"/>
                <w:szCs w:val="20"/>
                <w:color w:val="auto"/>
              </w:rPr>
            </w:pPr>
            <w:r>
              <w:rPr>
                <w:rFonts w:ascii="Arial" w:cs="Arial" w:eastAsia="Arial" w:hAnsi="Arial"/>
                <w:sz w:val="18"/>
                <w:szCs w:val="18"/>
                <w:color w:val="auto"/>
              </w:rPr>
              <w:t>86,461</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147,913</w:t>
            </w:r>
          </w:p>
        </w:tc>
      </w:tr>
      <w:tr>
        <w:trPr>
          <w:trHeight w:val="216"/>
        </w:trPr>
        <w:tc>
          <w:tcPr>
            <w:tcW w:w="5740" w:type="dxa"/>
            <w:vAlign w:val="bottom"/>
            <w:shd w:val="clear" w:color="auto" w:fill="D6F3E8"/>
          </w:tcPr>
          <w:p>
            <w:pPr>
              <w:spacing w:after="0"/>
              <w:rPr>
                <w:sz w:val="20"/>
                <w:szCs w:val="20"/>
                <w:color w:val="auto"/>
              </w:rPr>
            </w:pPr>
            <w:r>
              <w:rPr>
                <w:rFonts w:ascii="Arial" w:cs="Arial" w:eastAsia="Arial" w:hAnsi="Arial"/>
                <w:sz w:val="18"/>
                <w:szCs w:val="18"/>
                <w:color w:val="auto"/>
              </w:rPr>
              <w:t>LIFO reserve</w:t>
            </w:r>
          </w:p>
        </w:tc>
        <w:tc>
          <w:tcPr>
            <w:tcW w:w="180" w:type="dxa"/>
            <w:vAlign w:val="bottom"/>
            <w:tcBorders>
              <w:bottom w:val="single" w:sz="8" w:color="auto"/>
            </w:tcBorders>
            <w:shd w:val="clear" w:color="auto" w:fill="D6F3E8"/>
          </w:tcPr>
          <w:p>
            <w:pPr>
              <w:spacing w:after="0"/>
              <w:rPr>
                <w:sz w:val="18"/>
                <w:szCs w:val="18"/>
                <w:color w:val="auto"/>
              </w:rPr>
            </w:pPr>
          </w:p>
        </w:tc>
        <w:tc>
          <w:tcPr>
            <w:tcW w:w="9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(33,231)</w:t>
            </w:r>
          </w:p>
        </w:tc>
        <w:tc>
          <w:tcPr>
            <w:tcW w:w="220" w:type="dxa"/>
            <w:vAlign w:val="bottom"/>
            <w:tcBorders>
              <w:bottom w:val="single" w:sz="8" w:color="auto"/>
            </w:tcBorders>
            <w:shd w:val="clear" w:color="auto" w:fill="D6F3E8"/>
          </w:tcPr>
          <w:p>
            <w:pPr>
              <w:spacing w:after="0"/>
              <w:rPr>
                <w:sz w:val="18"/>
                <w:szCs w:val="18"/>
                <w:color w:val="auto"/>
              </w:rPr>
            </w:pPr>
          </w:p>
        </w:tc>
        <w:tc>
          <w:tcPr>
            <w:tcW w:w="9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(37,317)</w:t>
            </w:r>
          </w:p>
        </w:tc>
      </w:tr>
    </w:tbl>
    <w:p>
      <w:pPr>
        <w:sectPr>
          <w:pgSz w:w="11900" w:h="16838" w:orient="portrait"/>
          <w:cols w:equalWidth="0" w:num="1">
            <w:col w:w="11420"/>
          </w:cols>
          <w:pgMar w:left="240" w:top="131" w:right="239" w:bottom="0" w:gutter="0" w:footer="0" w:header="0"/>
        </w:sectPr>
      </w:pPr>
    </w:p>
    <w:bookmarkStart w:id="6" w:name="page7"/>
    <w:bookmarkEnd w:id="6"/>
    <w:p>
      <w:pPr>
        <w:ind w:left="1720"/>
        <w:spacing w:after="0"/>
        <w:tabs>
          <w:tab w:leader="none" w:pos="7440" w:val="left"/>
          <w:tab w:leader="none" w:pos="7940" w:val="left"/>
          <w:tab w:leader="none" w:pos="8640" w:val="left"/>
          <w:tab w:leader="none" w:pos="9060" w:val="left"/>
        </w:tabs>
        <w:rPr>
          <w:sz w:val="20"/>
          <w:szCs w:val="20"/>
          <w:color w:val="auto"/>
        </w:rPr>
      </w:pPr>
      <w:r>
        <w:rPr>
          <w:rFonts w:ascii="Arial" w:cs="Arial" w:eastAsia="Arial" w:hAnsi="Arial"/>
          <w:sz w:val="18"/>
          <w:szCs w:val="18"/>
          <w:color w:val="auto"/>
        </w:rPr>
        <w:t>Total inventories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53,230</w:t>
        <w:tab/>
        <w:t>$</w:t>
      </w:r>
      <w:r>
        <w:rPr>
          <w:sz w:val="20"/>
          <w:szCs w:val="20"/>
          <w:color w:val="auto"/>
        </w:rPr>
        <w:tab/>
      </w:r>
      <w:r>
        <w:rPr>
          <w:rFonts w:ascii="Arial" w:cs="Arial" w:eastAsia="Arial" w:hAnsi="Arial"/>
          <w:sz w:val="15"/>
          <w:szCs w:val="15"/>
          <w:color w:val="auto"/>
        </w:rPr>
        <w:t>110,596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4739005</wp:posOffset>
            </wp:positionH>
            <wp:positionV relativeFrom="paragraph">
              <wp:posOffset>-125730</wp:posOffset>
            </wp:positionV>
            <wp:extent cx="14236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23670" cy="8890"/>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19685</wp:posOffset>
            </wp:positionV>
            <wp:extent cx="14236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23670" cy="8890"/>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36830</wp:posOffset>
            </wp:positionV>
            <wp:extent cx="14236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25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Due to a liquidation of LIFO inventory values as a result of a significant reduction of inventory levels in the thirty-nine weeks ended May 30, 2009, we recorded a reduction to LIFO reserves of approximately $4.1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Property, Plant and Equipment and Assets Held for Sale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is stated at cost, net of accumulated depreciation and consists of the following:</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17"/>
              <w:spacing w:after="0"/>
              <w:rPr>
                <w:sz w:val="20"/>
                <w:szCs w:val="20"/>
                <w:color w:val="auto"/>
              </w:rPr>
            </w:pPr>
            <w:r>
              <w:rPr>
                <w:rFonts w:ascii="Arial" w:cs="Arial" w:eastAsia="Arial" w:hAnsi="Arial"/>
                <w:sz w:val="14"/>
                <w:szCs w:val="14"/>
                <w:b w:val="1"/>
                <w:bCs w:val="1"/>
                <w:color w:val="auto"/>
              </w:rPr>
              <w:t>May 30,</w:t>
            </w:r>
          </w:p>
        </w:tc>
        <w:tc>
          <w:tcPr>
            <w:tcW w:w="220" w:type="dxa"/>
            <w:vAlign w:val="bottom"/>
          </w:tcPr>
          <w:p>
            <w:pPr>
              <w:spacing w:after="0"/>
              <w:rPr>
                <w:sz w:val="14"/>
                <w:szCs w:val="14"/>
                <w:color w:val="auto"/>
              </w:rPr>
            </w:pPr>
          </w:p>
        </w:tc>
        <w:tc>
          <w:tcPr>
            <w:tcW w:w="900" w:type="dxa"/>
            <w:vAlign w:val="bottom"/>
          </w:tcPr>
          <w:p>
            <w:pPr>
              <w:jc w:val="right"/>
              <w:ind w:right="157"/>
              <w:spacing w:after="0"/>
              <w:rPr>
                <w:sz w:val="20"/>
                <w:szCs w:val="20"/>
                <w:color w:val="auto"/>
              </w:rPr>
            </w:pPr>
            <w:r>
              <w:rPr>
                <w:rFonts w:ascii="Arial" w:cs="Arial" w:eastAsia="Arial" w:hAnsi="Arial"/>
                <w:sz w:val="14"/>
                <w:szCs w:val="14"/>
                <w:b w:val="1"/>
                <w:bCs w:val="1"/>
                <w:color w:val="auto"/>
                <w:w w:val="89"/>
              </w:rPr>
              <w:t>August 30,</w:t>
            </w:r>
          </w:p>
        </w:tc>
      </w:tr>
      <w:tr>
        <w:trPr>
          <w:trHeight w:val="168"/>
        </w:trPr>
        <w:tc>
          <w:tcPr>
            <w:tcW w:w="5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2009</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2008</w:t>
            </w:r>
          </w:p>
        </w:tc>
      </w:tr>
      <w:tr>
        <w:trPr>
          <w:trHeight w:val="216"/>
        </w:trPr>
        <w:tc>
          <w:tcPr>
            <w:tcW w:w="5740" w:type="dxa"/>
            <w:vAlign w:val="bottom"/>
            <w:shd w:val="clear" w:color="auto" w:fill="D6F3E8"/>
          </w:tcPr>
          <w:p>
            <w:pPr>
              <w:spacing w:after="0"/>
              <w:rPr>
                <w:sz w:val="20"/>
                <w:szCs w:val="20"/>
                <w:color w:val="auto"/>
              </w:rPr>
            </w:pPr>
            <w:r>
              <w:rPr>
                <w:rFonts w:ascii="Arial" w:cs="Arial" w:eastAsia="Arial" w:hAnsi="Arial"/>
                <w:sz w:val="18"/>
                <w:szCs w:val="18"/>
                <w:color w:val="auto"/>
              </w:rPr>
              <w:t>Land</w:t>
            </w: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D6F3E8"/>
          </w:tcPr>
          <w:p>
            <w:pPr>
              <w:jc w:val="right"/>
              <w:ind w:right="57"/>
              <w:spacing w:after="0"/>
              <w:rPr>
                <w:sz w:val="20"/>
                <w:szCs w:val="20"/>
                <w:color w:val="auto"/>
              </w:rPr>
            </w:pPr>
            <w:r>
              <w:rPr>
                <w:rFonts w:ascii="Arial" w:cs="Arial" w:eastAsia="Arial" w:hAnsi="Arial"/>
                <w:sz w:val="18"/>
                <w:szCs w:val="18"/>
                <w:color w:val="auto"/>
              </w:rPr>
              <w:t>848</w:t>
            </w:r>
          </w:p>
        </w:tc>
        <w:tc>
          <w:tcPr>
            <w:tcW w:w="2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934</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Buildings</w:t>
            </w:r>
          </w:p>
        </w:tc>
        <w:tc>
          <w:tcPr>
            <w:tcW w:w="180" w:type="dxa"/>
            <w:vAlign w:val="bottom"/>
          </w:tcPr>
          <w:p>
            <w:pPr>
              <w:spacing w:after="0"/>
              <w:rPr>
                <w:sz w:val="18"/>
                <w:szCs w:val="18"/>
                <w:color w:val="auto"/>
              </w:rPr>
            </w:pPr>
          </w:p>
        </w:tc>
        <w:tc>
          <w:tcPr>
            <w:tcW w:w="940" w:type="dxa"/>
            <w:vAlign w:val="bottom"/>
          </w:tcPr>
          <w:p>
            <w:pPr>
              <w:jc w:val="right"/>
              <w:ind w:right="57"/>
              <w:spacing w:after="0"/>
              <w:rPr>
                <w:sz w:val="20"/>
                <w:szCs w:val="20"/>
                <w:color w:val="auto"/>
              </w:rPr>
            </w:pPr>
            <w:r>
              <w:rPr>
                <w:rFonts w:ascii="Arial" w:cs="Arial" w:eastAsia="Arial" w:hAnsi="Arial"/>
                <w:sz w:val="18"/>
                <w:szCs w:val="18"/>
                <w:color w:val="auto"/>
              </w:rPr>
              <w:t>56,814</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55,977</w:t>
            </w:r>
          </w:p>
        </w:tc>
      </w:tr>
      <w:tr>
        <w:trPr>
          <w:trHeight w:val="216"/>
        </w:trPr>
        <w:tc>
          <w:tcPr>
            <w:tcW w:w="5740" w:type="dxa"/>
            <w:vAlign w:val="bottom"/>
            <w:shd w:val="clear" w:color="auto" w:fill="D6F3E8"/>
          </w:tcPr>
          <w:p>
            <w:pPr>
              <w:spacing w:after="0"/>
              <w:rPr>
                <w:sz w:val="20"/>
                <w:szCs w:val="20"/>
                <w:color w:val="auto"/>
              </w:rPr>
            </w:pPr>
            <w:r>
              <w:rPr>
                <w:rFonts w:ascii="Arial" w:cs="Arial" w:eastAsia="Arial" w:hAnsi="Arial"/>
                <w:sz w:val="18"/>
                <w:szCs w:val="18"/>
                <w:color w:val="auto"/>
              </w:rPr>
              <w:t>Machinery and equipment</w:t>
            </w:r>
          </w:p>
        </w:tc>
        <w:tc>
          <w:tcPr>
            <w:tcW w:w="180" w:type="dxa"/>
            <w:vAlign w:val="bottom"/>
            <w:shd w:val="clear" w:color="auto" w:fill="D6F3E8"/>
          </w:tcPr>
          <w:p>
            <w:pPr>
              <w:spacing w:after="0"/>
              <w:rPr>
                <w:sz w:val="18"/>
                <w:szCs w:val="18"/>
                <w:color w:val="auto"/>
              </w:rPr>
            </w:pPr>
          </w:p>
        </w:tc>
        <w:tc>
          <w:tcPr>
            <w:tcW w:w="940" w:type="dxa"/>
            <w:vAlign w:val="bottom"/>
            <w:shd w:val="clear" w:color="auto" w:fill="D6F3E8"/>
          </w:tcPr>
          <w:p>
            <w:pPr>
              <w:jc w:val="right"/>
              <w:ind w:right="57"/>
              <w:spacing w:after="0"/>
              <w:rPr>
                <w:sz w:val="20"/>
                <w:szCs w:val="20"/>
                <w:color w:val="auto"/>
              </w:rPr>
            </w:pPr>
            <w:r>
              <w:rPr>
                <w:rFonts w:ascii="Arial" w:cs="Arial" w:eastAsia="Arial" w:hAnsi="Arial"/>
                <w:sz w:val="18"/>
                <w:szCs w:val="18"/>
                <w:color w:val="auto"/>
              </w:rPr>
              <w:t>96,221</w:t>
            </w:r>
          </w:p>
        </w:tc>
        <w:tc>
          <w:tcPr>
            <w:tcW w:w="22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97,002</w:t>
            </w:r>
          </w:p>
        </w:tc>
      </w:tr>
      <w:tr>
        <w:trPr>
          <w:trHeight w:val="216"/>
        </w:trPr>
        <w:tc>
          <w:tcPr>
            <w:tcW w:w="5740" w:type="dxa"/>
            <w:vAlign w:val="bottom"/>
            <w:tcBorders>
              <w:bottom w:val="single" w:sz="8" w:color="D6F3E8"/>
            </w:tcBorders>
          </w:tcPr>
          <w:p>
            <w:pPr>
              <w:spacing w:after="0"/>
              <w:rPr>
                <w:sz w:val="20"/>
                <w:szCs w:val="20"/>
                <w:color w:val="auto"/>
              </w:rPr>
            </w:pPr>
            <w:r>
              <w:rPr>
                <w:rFonts w:ascii="Arial" w:cs="Arial" w:eastAsia="Arial" w:hAnsi="Arial"/>
                <w:sz w:val="18"/>
                <w:szCs w:val="18"/>
                <w:color w:val="auto"/>
              </w:rPr>
              <w:t>Transportation</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3,457</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9,455</w:t>
            </w:r>
          </w:p>
        </w:tc>
      </w:tr>
      <w:tr>
        <w:trPr>
          <w:trHeight w:val="210"/>
        </w:trPr>
        <w:tc>
          <w:tcPr>
            <w:tcW w:w="574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940" w:type="dxa"/>
            <w:vAlign w:val="bottom"/>
            <w:shd w:val="clear" w:color="auto" w:fill="D6F3E8"/>
          </w:tcPr>
          <w:p>
            <w:pPr>
              <w:jc w:val="right"/>
              <w:ind w:right="57"/>
              <w:spacing w:after="0"/>
              <w:rPr>
                <w:sz w:val="20"/>
                <w:szCs w:val="20"/>
                <w:color w:val="auto"/>
              </w:rPr>
            </w:pPr>
            <w:r>
              <w:rPr>
                <w:rFonts w:ascii="Arial" w:cs="Arial" w:eastAsia="Arial" w:hAnsi="Arial"/>
                <w:sz w:val="18"/>
                <w:szCs w:val="18"/>
                <w:color w:val="auto"/>
              </w:rPr>
              <w:t>157,340</w:t>
            </w:r>
          </w:p>
        </w:tc>
        <w:tc>
          <w:tcPr>
            <w:tcW w:w="22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163,368</w:t>
            </w:r>
          </w:p>
        </w:tc>
      </w:tr>
      <w:tr>
        <w:trPr>
          <w:trHeight w:val="216"/>
        </w:trPr>
        <w:tc>
          <w:tcPr>
            <w:tcW w:w="5740" w:type="dxa"/>
            <w:vAlign w:val="bottom"/>
            <w:tcBorders>
              <w:bottom w:val="single" w:sz="8" w:color="D6F3E8"/>
            </w:tcBorders>
          </w:tcPr>
          <w:p>
            <w:pPr>
              <w:spacing w:after="0"/>
              <w:rPr>
                <w:sz w:val="20"/>
                <w:szCs w:val="20"/>
                <w:color w:val="auto"/>
              </w:rPr>
            </w:pPr>
            <w:r>
              <w:rPr>
                <w:rFonts w:ascii="Arial" w:cs="Arial" w:eastAsia="Arial" w:hAnsi="Arial"/>
                <w:sz w:val="18"/>
                <w:szCs w:val="18"/>
                <w:color w:val="auto"/>
              </w:rPr>
              <w:t>Less accumulated depreciation</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(123,263)</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(123,271)</w:t>
            </w:r>
          </w:p>
        </w:tc>
      </w:tr>
      <w:tr>
        <w:trPr>
          <w:trHeight w:val="210"/>
        </w:trPr>
        <w:tc>
          <w:tcPr>
            <w:tcW w:w="5740" w:type="dxa"/>
            <w:vAlign w:val="bottom"/>
            <w:tcBorders>
              <w:bottom w:val="single" w:sz="8" w:color="D6F3E8"/>
            </w:tcBorders>
            <w:shd w:val="clear" w:color="auto" w:fill="D6F3E8"/>
          </w:tcPr>
          <w:p>
            <w:pPr>
              <w:spacing w:after="0" w:line="202" w:lineRule="exact"/>
              <w:rPr>
                <w:sz w:val="20"/>
                <w:szCs w:val="20"/>
                <w:color w:val="auto"/>
              </w:rPr>
            </w:pPr>
            <w:r>
              <w:rPr>
                <w:rFonts w:ascii="Arial" w:cs="Arial" w:eastAsia="Arial" w:hAnsi="Arial"/>
                <w:sz w:val="18"/>
                <w:szCs w:val="18"/>
                <w:color w:val="auto"/>
              </w:rPr>
              <w:t>Total property, plant and equipment, net</w:t>
            </w:r>
          </w:p>
        </w:tc>
        <w:tc>
          <w:tcPr>
            <w:tcW w:w="1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D6F3E8"/>
          </w:tcPr>
          <w:p>
            <w:pPr>
              <w:jc w:val="right"/>
              <w:ind w:right="57"/>
              <w:spacing w:after="0"/>
              <w:rPr>
                <w:sz w:val="20"/>
                <w:szCs w:val="20"/>
                <w:color w:val="auto"/>
              </w:rPr>
            </w:pPr>
            <w:r>
              <w:rPr>
                <w:rFonts w:ascii="Arial" w:cs="Arial" w:eastAsia="Arial" w:hAnsi="Arial"/>
                <w:sz w:val="18"/>
                <w:szCs w:val="18"/>
                <w:color w:val="auto"/>
              </w:rPr>
              <w:t>34,077</w:t>
            </w:r>
          </w:p>
        </w:tc>
        <w:tc>
          <w:tcPr>
            <w:tcW w:w="2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40,097</w:t>
            </w:r>
          </w:p>
        </w:tc>
      </w:tr>
      <w:tr>
        <w:trPr>
          <w:trHeight w:val="20"/>
        </w:trPr>
        <w:tc>
          <w:tcPr>
            <w:tcW w:w="5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Assets held for sale:</w:t>
      </w:r>
    </w:p>
    <w:p>
      <w:pPr>
        <w:spacing w:after="0" w:line="22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Due to the current economic conditions, we listed an airplane, owned by us, for immediate sale during the third quarter of Fiscal 2009. As a result, the cost of the aircraft of $5.7 million and accumulated depreciation of $3.4 million has been reclassified from Property, Plant and Equipment into Assets Held for Sale at May 30, 2009.</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Warranty</w:t>
      </w:r>
    </w:p>
    <w:p>
      <w:pPr>
        <w:spacing w:after="0" w:line="23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provide our motor home customers a comprehensive 12-month/15,000-mile warranty on the Class A, Class B and Class C coaches, and a 3-year/36,000-mile structural warranty on Class A and Class C sidewalls and floors. We have also incurred costs for certain warranty-type expenses which occurred after the normal warranty period. We have voluntarily agreed to pay such costs to help protect the reputation of our products and the goodwill of our customers. We record our warranty liabilities based on our estimate of the amounts necessary to settle future and existing claims on products sold as of the balance sheet date. We also incur costs as a result of additional service actions not covered by our warranties, including product recalls and customer satisfaction 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product warranty liability are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182"/>
              <w:spacing w:after="0"/>
              <w:rPr>
                <w:sz w:val="20"/>
                <w:szCs w:val="20"/>
                <w:color w:val="auto"/>
              </w:rPr>
            </w:pPr>
            <w:r>
              <w:rPr>
                <w:rFonts w:ascii="Arial" w:cs="Arial" w:eastAsia="Arial" w:hAnsi="Arial"/>
                <w:sz w:val="14"/>
                <w:szCs w:val="14"/>
                <w:b w:val="1"/>
                <w:bCs w:val="1"/>
                <w:color w:val="auto"/>
                <w:w w:val="94"/>
              </w:rPr>
              <w:t>Thirty-Nine</w:t>
            </w:r>
          </w:p>
        </w:tc>
        <w:tc>
          <w:tcPr>
            <w:tcW w:w="240" w:type="dxa"/>
            <w:vAlign w:val="bottom"/>
          </w:tcPr>
          <w:p>
            <w:pPr>
              <w:spacing w:after="0"/>
              <w:rPr>
                <w:sz w:val="14"/>
                <w:szCs w:val="14"/>
                <w:color w:val="auto"/>
              </w:rPr>
            </w:pPr>
          </w:p>
        </w:tc>
        <w:tc>
          <w:tcPr>
            <w:tcW w:w="880" w:type="dxa"/>
            <w:vAlign w:val="bottom"/>
          </w:tcPr>
          <w:p>
            <w:pPr>
              <w:jc w:val="center"/>
              <w:ind w:right="141"/>
              <w:spacing w:after="0"/>
              <w:rPr>
                <w:sz w:val="20"/>
                <w:szCs w:val="20"/>
                <w:color w:val="auto"/>
              </w:rPr>
            </w:pPr>
            <w:r>
              <w:rPr>
                <w:rFonts w:ascii="Arial" w:cs="Arial" w:eastAsia="Arial" w:hAnsi="Arial"/>
                <w:sz w:val="14"/>
                <w:szCs w:val="14"/>
                <w:b w:val="1"/>
                <w:bCs w:val="1"/>
                <w:color w:val="auto"/>
                <w:w w:val="97"/>
              </w:rPr>
              <w:t>Forty</w:t>
            </w:r>
          </w:p>
        </w:tc>
      </w:tr>
      <w:tr>
        <w:trPr>
          <w:trHeight w:val="168"/>
        </w:trPr>
        <w:tc>
          <w:tcPr>
            <w:tcW w:w="5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ind w:right="681"/>
              <w:spacing w:after="0"/>
              <w:rPr>
                <w:sz w:val="20"/>
                <w:szCs w:val="20"/>
                <w:color w:val="auto"/>
              </w:rPr>
            </w:pPr>
            <w:r>
              <w:rPr>
                <w:rFonts w:ascii="Arial" w:cs="Arial" w:eastAsia="Arial" w:hAnsi="Arial"/>
                <w:sz w:val="14"/>
                <w:szCs w:val="14"/>
                <w:b w:val="1"/>
                <w:bCs w:val="1"/>
                <w:color w:val="auto"/>
              </w:rPr>
              <w:t>Weeks Ended</w:t>
            </w:r>
          </w:p>
        </w:tc>
      </w:tr>
      <w:tr>
        <w:trPr>
          <w:trHeight w:val="136"/>
        </w:trPr>
        <w:tc>
          <w:tcPr>
            <w:tcW w:w="5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right="222"/>
              <w:spacing w:after="0" w:line="136" w:lineRule="exact"/>
              <w:rPr>
                <w:sz w:val="20"/>
                <w:szCs w:val="20"/>
                <w:color w:val="auto"/>
              </w:rPr>
            </w:pPr>
            <w:r>
              <w:rPr>
                <w:rFonts w:ascii="Arial" w:cs="Arial" w:eastAsia="Arial" w:hAnsi="Arial"/>
                <w:sz w:val="14"/>
                <w:szCs w:val="14"/>
                <w:b w:val="1"/>
                <w:bCs w:val="1"/>
                <w:color w:val="auto"/>
                <w:w w:val="90"/>
              </w:rPr>
              <w:t>May 30,</w:t>
            </w:r>
          </w:p>
        </w:tc>
        <w:tc>
          <w:tcPr>
            <w:tcW w:w="240" w:type="dxa"/>
            <w:vAlign w:val="bottom"/>
          </w:tcPr>
          <w:p>
            <w:pPr>
              <w:spacing w:after="0"/>
              <w:rPr>
                <w:sz w:val="11"/>
                <w:szCs w:val="11"/>
                <w:color w:val="auto"/>
              </w:rPr>
            </w:pPr>
          </w:p>
        </w:tc>
        <w:tc>
          <w:tcPr>
            <w:tcW w:w="880" w:type="dxa"/>
            <w:vAlign w:val="bottom"/>
          </w:tcPr>
          <w:p>
            <w:pPr>
              <w:jc w:val="center"/>
              <w:ind w:right="181"/>
              <w:spacing w:after="0" w:line="136" w:lineRule="exact"/>
              <w:rPr>
                <w:sz w:val="20"/>
                <w:szCs w:val="20"/>
                <w:color w:val="auto"/>
              </w:rPr>
            </w:pPr>
            <w:r>
              <w:rPr>
                <w:rFonts w:ascii="Arial" w:cs="Arial" w:eastAsia="Arial" w:hAnsi="Arial"/>
                <w:sz w:val="14"/>
                <w:szCs w:val="14"/>
                <w:b w:val="1"/>
                <w:bCs w:val="1"/>
                <w:color w:val="auto"/>
                <w:w w:val="90"/>
              </w:rPr>
              <w:t>May 31,</w:t>
            </w:r>
          </w:p>
        </w:tc>
      </w:tr>
      <w:tr>
        <w:trPr>
          <w:trHeight w:val="168"/>
        </w:trPr>
        <w:tc>
          <w:tcPr>
            <w:tcW w:w="5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83"/>
              </w:rPr>
              <w:t>2009</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83"/>
              </w:rPr>
              <w:t>2008</w:t>
            </w:r>
          </w:p>
        </w:tc>
      </w:tr>
      <w:tr>
        <w:trPr>
          <w:trHeight w:val="216"/>
        </w:trPr>
        <w:tc>
          <w:tcPr>
            <w:tcW w:w="5740" w:type="dxa"/>
            <w:vAlign w:val="bottom"/>
            <w:shd w:val="clear" w:color="auto" w:fill="D6F3E8"/>
          </w:tcPr>
          <w:p>
            <w:pPr>
              <w:spacing w:after="0"/>
              <w:rPr>
                <w:sz w:val="20"/>
                <w:szCs w:val="20"/>
                <w:color w:val="auto"/>
              </w:rPr>
            </w:pPr>
            <w:r>
              <w:rPr>
                <w:rFonts w:ascii="Arial" w:cs="Arial" w:eastAsia="Arial" w:hAnsi="Arial"/>
                <w:sz w:val="18"/>
                <w:szCs w:val="18"/>
                <w:color w:val="auto"/>
              </w:rPr>
              <w:t>Balance at beginning of period</w:t>
            </w:r>
          </w:p>
        </w:tc>
        <w:tc>
          <w:tcPr>
            <w:tcW w:w="12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D6F3E8"/>
          </w:tcPr>
          <w:p>
            <w:pPr>
              <w:jc w:val="right"/>
              <w:ind w:right="62"/>
              <w:spacing w:after="0"/>
              <w:rPr>
                <w:sz w:val="20"/>
                <w:szCs w:val="20"/>
                <w:color w:val="auto"/>
              </w:rPr>
            </w:pPr>
            <w:r>
              <w:rPr>
                <w:rFonts w:ascii="Arial" w:cs="Arial" w:eastAsia="Arial" w:hAnsi="Arial"/>
                <w:sz w:val="18"/>
                <w:szCs w:val="18"/>
                <w:color w:val="auto"/>
              </w:rPr>
              <w:t>9,859</w:t>
            </w:r>
          </w:p>
        </w:tc>
        <w:tc>
          <w:tcPr>
            <w:tcW w:w="2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11,259</w:t>
            </w:r>
          </w:p>
        </w:tc>
      </w:tr>
      <w:tr>
        <w:trPr>
          <w:trHeight w:val="216"/>
        </w:trPr>
        <w:tc>
          <w:tcPr>
            <w:tcW w:w="5740" w:type="dxa"/>
            <w:vAlign w:val="bottom"/>
          </w:tcPr>
          <w:p>
            <w:pPr>
              <w:ind w:left="240"/>
              <w:spacing w:after="0"/>
              <w:rPr>
                <w:sz w:val="20"/>
                <w:szCs w:val="20"/>
                <w:color w:val="auto"/>
              </w:rPr>
            </w:pPr>
            <w:r>
              <w:rPr>
                <w:rFonts w:ascii="Arial" w:cs="Arial" w:eastAsia="Arial" w:hAnsi="Arial"/>
                <w:sz w:val="18"/>
                <w:szCs w:val="18"/>
                <w:color w:val="auto"/>
              </w:rPr>
              <w:t>Provision</w:t>
            </w:r>
          </w:p>
        </w:tc>
        <w:tc>
          <w:tcPr>
            <w:tcW w:w="120" w:type="dxa"/>
            <w:vAlign w:val="bottom"/>
          </w:tcPr>
          <w:p>
            <w:pPr>
              <w:spacing w:after="0"/>
              <w:rPr>
                <w:sz w:val="18"/>
                <w:szCs w:val="18"/>
                <w:color w:val="auto"/>
              </w:rPr>
            </w:pPr>
          </w:p>
        </w:tc>
        <w:tc>
          <w:tcPr>
            <w:tcW w:w="1000" w:type="dxa"/>
            <w:vAlign w:val="bottom"/>
          </w:tcPr>
          <w:p>
            <w:pPr>
              <w:jc w:val="right"/>
              <w:ind w:right="62"/>
              <w:spacing w:after="0"/>
              <w:rPr>
                <w:sz w:val="20"/>
                <w:szCs w:val="20"/>
                <w:color w:val="auto"/>
              </w:rPr>
            </w:pPr>
            <w:r>
              <w:rPr>
                <w:rFonts w:ascii="Arial" w:cs="Arial" w:eastAsia="Arial" w:hAnsi="Arial"/>
                <w:sz w:val="18"/>
                <w:szCs w:val="18"/>
                <w:color w:val="auto"/>
              </w:rPr>
              <w:t>2,637</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9,231</w:t>
            </w:r>
          </w:p>
        </w:tc>
      </w:tr>
      <w:tr>
        <w:trPr>
          <w:trHeight w:val="216"/>
        </w:trPr>
        <w:tc>
          <w:tcPr>
            <w:tcW w:w="5740" w:type="dxa"/>
            <w:vAlign w:val="bottom"/>
            <w:shd w:val="clear" w:color="auto" w:fill="D6F3E8"/>
          </w:tcPr>
          <w:p>
            <w:pPr>
              <w:ind w:left="240"/>
              <w:spacing w:after="0"/>
              <w:rPr>
                <w:sz w:val="20"/>
                <w:szCs w:val="20"/>
                <w:color w:val="auto"/>
              </w:rPr>
            </w:pPr>
            <w:r>
              <w:rPr>
                <w:rFonts w:ascii="Arial" w:cs="Arial" w:eastAsia="Arial" w:hAnsi="Arial"/>
                <w:sz w:val="18"/>
                <w:szCs w:val="18"/>
                <w:color w:val="auto"/>
              </w:rPr>
              <w:t>Claims paid</w:t>
            </w:r>
          </w:p>
        </w:tc>
        <w:tc>
          <w:tcPr>
            <w:tcW w:w="120" w:type="dxa"/>
            <w:vAlign w:val="bottom"/>
            <w:tcBorders>
              <w:bottom w:val="single" w:sz="8" w:color="auto"/>
            </w:tcBorders>
            <w:shd w:val="clear" w:color="auto" w:fill="D6F3E8"/>
          </w:tcPr>
          <w:p>
            <w:pPr>
              <w:spacing w:after="0"/>
              <w:rPr>
                <w:sz w:val="18"/>
                <w:szCs w:val="18"/>
                <w:color w:val="auto"/>
              </w:rPr>
            </w:pPr>
          </w:p>
        </w:tc>
        <w:tc>
          <w:tcPr>
            <w:tcW w:w="1000" w:type="dxa"/>
            <w:vAlign w:val="bottom"/>
            <w:tcBorders>
              <w:bottom w:val="single" w:sz="8" w:color="auto"/>
            </w:tcBorders>
            <w:shd w:val="clear" w:color="auto" w:fill="D6F3E8"/>
          </w:tcPr>
          <w:p>
            <w:pPr>
              <w:jc w:val="right"/>
              <w:ind w:right="2"/>
              <w:spacing w:after="0"/>
              <w:rPr>
                <w:sz w:val="20"/>
                <w:szCs w:val="20"/>
                <w:color w:val="auto"/>
              </w:rPr>
            </w:pPr>
            <w:r>
              <w:rPr>
                <w:rFonts w:ascii="Arial" w:cs="Arial" w:eastAsia="Arial" w:hAnsi="Arial"/>
                <w:sz w:val="18"/>
                <w:szCs w:val="18"/>
                <w:color w:val="auto"/>
              </w:rPr>
              <w:t>(5,660)</w:t>
            </w:r>
          </w:p>
        </w:tc>
        <w:tc>
          <w:tcPr>
            <w:tcW w:w="240" w:type="dxa"/>
            <w:vAlign w:val="bottom"/>
            <w:tcBorders>
              <w:bottom w:val="single" w:sz="8" w:color="auto"/>
            </w:tcBorders>
            <w:shd w:val="clear" w:color="auto" w:fill="D6F3E8"/>
          </w:tcPr>
          <w:p>
            <w:pPr>
              <w:spacing w:after="0"/>
              <w:rPr>
                <w:sz w:val="18"/>
                <w:szCs w:val="18"/>
                <w:color w:val="auto"/>
              </w:rPr>
            </w:pPr>
          </w:p>
        </w:tc>
        <w:tc>
          <w:tcPr>
            <w:tcW w:w="8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(9,389)</w:t>
            </w:r>
          </w:p>
        </w:tc>
      </w:tr>
      <w:tr>
        <w:trPr>
          <w:trHeight w:val="210"/>
        </w:trPr>
        <w:tc>
          <w:tcPr>
            <w:tcW w:w="5740" w:type="dxa"/>
            <w:vAlign w:val="bottom"/>
          </w:tcPr>
          <w:p>
            <w:pPr>
              <w:spacing w:after="0" w:line="202" w:lineRule="exact"/>
              <w:rPr>
                <w:sz w:val="20"/>
                <w:szCs w:val="20"/>
                <w:color w:val="auto"/>
              </w:rPr>
            </w:pPr>
            <w:r>
              <w:rPr>
                <w:rFonts w:ascii="Arial" w:cs="Arial" w:eastAsia="Arial" w:hAnsi="Arial"/>
                <w:sz w:val="18"/>
                <w:szCs w:val="18"/>
                <w:color w:val="auto"/>
              </w:rPr>
              <w:t>Balance at 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62"/>
              <w:spacing w:after="0"/>
              <w:rPr>
                <w:sz w:val="20"/>
                <w:szCs w:val="20"/>
                <w:color w:val="auto"/>
              </w:rPr>
            </w:pPr>
            <w:r>
              <w:rPr>
                <w:rFonts w:ascii="Arial" w:cs="Arial" w:eastAsia="Arial" w:hAnsi="Arial"/>
                <w:sz w:val="18"/>
                <w:szCs w:val="18"/>
                <w:color w:val="auto"/>
              </w:rPr>
              <w:t>6,836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11,101</w:t>
            </w:r>
          </w:p>
        </w:tc>
      </w:tr>
      <w:tr>
        <w:trPr>
          <w:trHeight w:val="20"/>
        </w:trPr>
        <w:tc>
          <w:tcPr>
            <w:tcW w:w="5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2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We account for income taxes under the provisions of 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The objectives of accounting for income taxes are to recognize the amount of taxes payable or refundable for the current year and deferred tax liabilities and assets for the future tax consequences of events that have been recognized in our financial statements or tax returns. Judgment is required in assessing the future tax consequences of events that have been recognized in our financial statements or tax returns.</w:t>
      </w:r>
    </w:p>
    <w:p>
      <w:pPr>
        <w:spacing w:after="0" w:line="19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As of May 30, 2009, our total unrecognized tax benefits were $9.0 million of which, if recognized, $5.4 million would positively affect our effective tax rate. It is our policy to recognize interest and penalties accrued relative to unrecognized tax benefits into tax expense. As of May 30, 2009, we had accrued $2.9 million in interest and penalties.</w:t>
      </w:r>
    </w:p>
    <w:p>
      <w:pPr>
        <w:spacing w:after="0" w:line="194"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We file tax returns in the U.S. federal jurisdiction, as well as various international and state jurisdictions. A number of years may elapse before an uncertain tax position is audited and finally resolved, and it is often very difficult to predict the outcome of such audits. An estimate of the range of possible changes that may result from the examination cannot be made at this time. Our federal returns are not subject to examination prior to Fiscal 2004. Our federal income tax returns for 2006 through 2008 are currently under examination by the IRS. An estimate of the range of possible changes that may result from the examination cannot be made at this time. Periodically, various state and local jurisdictions conduct audits, therefore, a variety of other years are subject to state and local jurisdiction review. We do not believe there will be a significant change within the next twelve months in the total amount of unrecognized tax benefits as of May 30, 2009. However, results may differ materially from our projected estimates.</w:t>
      </w:r>
    </w:p>
    <w:p>
      <w:pPr>
        <w:spacing w:after="0" w:line="17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During the third quarter of Fiscal 2009, we received tax refunds from various taxing authorities totaling $6.8 million as a result of filing our Fiscal 2008 tax returns. At the end of the third quarter, we had generated an income tax receivable of $19.1 million primarily due to the current year’s loss, which we have the ability to carryback to our Fiscal 2007. We expect to receive this amount in Fiscal 2010.</w:t>
      </w:r>
    </w:p>
    <w:p>
      <w:pPr>
        <w:sectPr>
          <w:pgSz w:w="11900" w:h="16838" w:orient="portrait"/>
          <w:cols w:equalWidth="0" w:num="1">
            <w:col w:w="11420"/>
          </w:cols>
          <w:pgMar w:left="240" w:top="131" w:right="239" w:bottom="396"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260985</wp:posOffset>
            </wp:positionV>
            <wp:extent cx="725043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31" w:right="239" w:bottom="396"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Employee and Retiree Benefits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Reserves for long-term postretirement health care and deferred compensation benefits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ind w:right="497"/>
              <w:spacing w:after="0"/>
              <w:rPr>
                <w:sz w:val="20"/>
                <w:szCs w:val="20"/>
                <w:color w:val="auto"/>
              </w:rPr>
            </w:pPr>
            <w:r>
              <w:rPr>
                <w:rFonts w:ascii="Arial" w:cs="Arial" w:eastAsia="Arial" w:hAnsi="Arial"/>
                <w:sz w:val="14"/>
                <w:szCs w:val="14"/>
                <w:b w:val="1"/>
                <w:bCs w:val="1"/>
                <w:color w:val="auto"/>
              </w:rPr>
              <w:t>May 30,</w:t>
            </w:r>
          </w:p>
        </w:tc>
        <w:tc>
          <w:tcPr>
            <w:tcW w:w="380" w:type="dxa"/>
            <w:vAlign w:val="bottom"/>
          </w:tcPr>
          <w:p>
            <w:pPr>
              <w:spacing w:after="0"/>
              <w:rPr>
                <w:sz w:val="14"/>
                <w:szCs w:val="14"/>
                <w:color w:val="auto"/>
              </w:rPr>
            </w:pPr>
          </w:p>
        </w:tc>
        <w:tc>
          <w:tcPr>
            <w:tcW w:w="1140" w:type="dxa"/>
            <w:vAlign w:val="bottom"/>
          </w:tcPr>
          <w:p>
            <w:pPr>
              <w:jc w:val="right"/>
              <w:ind w:right="337"/>
              <w:spacing w:after="0"/>
              <w:rPr>
                <w:sz w:val="20"/>
                <w:szCs w:val="20"/>
                <w:color w:val="auto"/>
              </w:rPr>
            </w:pPr>
            <w:r>
              <w:rPr>
                <w:rFonts w:ascii="Arial" w:cs="Arial" w:eastAsia="Arial" w:hAnsi="Arial"/>
                <w:sz w:val="14"/>
                <w:szCs w:val="14"/>
                <w:b w:val="1"/>
                <w:bCs w:val="1"/>
                <w:color w:val="auto"/>
                <w:w w:val="97"/>
              </w:rPr>
              <w:t>August 30,</w:t>
            </w:r>
          </w:p>
        </w:tc>
      </w:tr>
      <w:tr>
        <w:trPr>
          <w:trHeight w:val="168"/>
        </w:trPr>
        <w:tc>
          <w:tcPr>
            <w:tcW w:w="8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2009</w:t>
            </w: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2008</w:t>
            </w:r>
          </w:p>
        </w:tc>
      </w:tr>
      <w:tr>
        <w:trPr>
          <w:trHeight w:val="257"/>
        </w:trPr>
        <w:tc>
          <w:tcPr>
            <w:tcW w:w="8460" w:type="dxa"/>
            <w:vAlign w:val="bottom"/>
            <w:shd w:val="clear" w:color="auto" w:fill="D6F3E8"/>
          </w:tcPr>
          <w:p>
            <w:pPr>
              <w:spacing w:after="0" w:line="256" w:lineRule="exact"/>
              <w:rPr>
                <w:sz w:val="20"/>
                <w:szCs w:val="20"/>
                <w:color w:val="auto"/>
              </w:rPr>
            </w:pPr>
            <w:r>
              <w:rPr>
                <w:rFonts w:ascii="Arial" w:cs="Arial" w:eastAsia="Arial" w:hAnsi="Arial"/>
                <w:sz w:val="18"/>
                <w:szCs w:val="18"/>
                <w:color w:val="auto"/>
              </w:rPr>
              <w:t xml:space="preserve">Postretirement health care benefit cost </w:t>
            </w:r>
            <w:r>
              <w:rPr>
                <w:rFonts w:ascii="Arial" w:cs="Arial" w:eastAsia="Arial" w:hAnsi="Arial"/>
                <w:sz w:val="29"/>
                <w:szCs w:val="29"/>
                <w:color w:val="auto"/>
                <w:vertAlign w:val="superscript"/>
              </w:rPr>
              <w:t>(1)</w:t>
            </w:r>
          </w:p>
        </w:tc>
        <w:tc>
          <w:tcPr>
            <w:tcW w:w="240" w:type="dxa"/>
            <w:vAlign w:val="bottom"/>
            <w:shd w:val="clear" w:color="auto" w:fill="D6F3E8"/>
          </w:tcPr>
          <w:p>
            <w:pPr>
              <w:jc w:val="right"/>
              <w:ind w:right="5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6F3E8"/>
          </w:tcPr>
          <w:p>
            <w:pPr>
              <w:jc w:val="right"/>
              <w:ind w:right="77"/>
              <w:spacing w:after="0"/>
              <w:rPr>
                <w:sz w:val="20"/>
                <w:szCs w:val="20"/>
                <w:color w:val="auto"/>
              </w:rPr>
            </w:pPr>
            <w:r>
              <w:rPr>
                <w:rFonts w:ascii="Arial" w:cs="Arial" w:eastAsia="Arial" w:hAnsi="Arial"/>
                <w:sz w:val="18"/>
                <w:szCs w:val="18"/>
                <w:color w:val="auto"/>
              </w:rPr>
              <w:t>30,999</w:t>
            </w:r>
          </w:p>
        </w:tc>
        <w:tc>
          <w:tcPr>
            <w:tcW w:w="38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shd w:val="clear" w:color="auto" w:fill="D6F3E8"/>
          </w:tcPr>
          <w:p>
            <w:pPr>
              <w:jc w:val="right"/>
              <w:ind w:right="17"/>
              <w:spacing w:after="0"/>
              <w:rPr>
                <w:sz w:val="20"/>
                <w:szCs w:val="20"/>
                <w:color w:val="auto"/>
              </w:rPr>
            </w:pPr>
            <w:r>
              <w:rPr>
                <w:rFonts w:ascii="Arial" w:cs="Arial" w:eastAsia="Arial" w:hAnsi="Arial"/>
                <w:sz w:val="18"/>
                <w:szCs w:val="18"/>
                <w:color w:val="auto"/>
              </w:rPr>
              <w:t>29,752</w:t>
            </w:r>
          </w:p>
        </w:tc>
      </w:tr>
      <w:tr>
        <w:trPr>
          <w:trHeight w:val="257"/>
        </w:trPr>
        <w:tc>
          <w:tcPr>
            <w:tcW w:w="8460" w:type="dxa"/>
            <w:vAlign w:val="bottom"/>
          </w:tcPr>
          <w:p>
            <w:pPr>
              <w:spacing w:after="0" w:line="256" w:lineRule="exact"/>
              <w:rPr>
                <w:sz w:val="20"/>
                <w:szCs w:val="20"/>
                <w:color w:val="auto"/>
              </w:rPr>
            </w:pPr>
            <w:r>
              <w:rPr>
                <w:rFonts w:ascii="Arial" w:cs="Arial" w:eastAsia="Arial" w:hAnsi="Arial"/>
                <w:sz w:val="18"/>
                <w:szCs w:val="18"/>
                <w:color w:val="auto"/>
              </w:rPr>
              <w:t xml:space="preserve">Non-qualified deferred compensation </w:t>
            </w:r>
            <w:r>
              <w:rPr>
                <w:rFonts w:ascii="Arial" w:cs="Arial" w:eastAsia="Arial" w:hAnsi="Arial"/>
                <w:sz w:val="29"/>
                <w:szCs w:val="29"/>
                <w:color w:val="auto"/>
                <w:vertAlign w:val="superscript"/>
              </w:rPr>
              <w:t>(2)</w:t>
            </w:r>
          </w:p>
        </w:tc>
        <w:tc>
          <w:tcPr>
            <w:tcW w:w="240" w:type="dxa"/>
            <w:vAlign w:val="bottom"/>
          </w:tcPr>
          <w:p>
            <w:pPr>
              <w:spacing w:after="0"/>
              <w:rPr>
                <w:sz w:val="22"/>
                <w:szCs w:val="22"/>
                <w:color w:val="auto"/>
              </w:rPr>
            </w:pPr>
          </w:p>
        </w:tc>
        <w:tc>
          <w:tcPr>
            <w:tcW w:w="1200" w:type="dxa"/>
            <w:vAlign w:val="bottom"/>
          </w:tcPr>
          <w:p>
            <w:pPr>
              <w:jc w:val="right"/>
              <w:ind w:right="77"/>
              <w:spacing w:after="0"/>
              <w:rPr>
                <w:sz w:val="20"/>
                <w:szCs w:val="20"/>
                <w:color w:val="auto"/>
              </w:rPr>
            </w:pPr>
            <w:r>
              <w:rPr>
                <w:rFonts w:ascii="Arial" w:cs="Arial" w:eastAsia="Arial" w:hAnsi="Arial"/>
                <w:sz w:val="18"/>
                <w:szCs w:val="18"/>
                <w:color w:val="auto"/>
              </w:rPr>
              <w:t>23,686</w:t>
            </w:r>
          </w:p>
        </w:tc>
        <w:tc>
          <w:tcPr>
            <w:tcW w:w="380" w:type="dxa"/>
            <w:vAlign w:val="bottom"/>
          </w:tcPr>
          <w:p>
            <w:pPr>
              <w:spacing w:after="0"/>
              <w:rPr>
                <w:sz w:val="22"/>
                <w:szCs w:val="22"/>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24,155</w:t>
            </w:r>
          </w:p>
        </w:tc>
      </w:tr>
      <w:tr>
        <w:trPr>
          <w:trHeight w:val="216"/>
        </w:trPr>
        <w:tc>
          <w:tcPr>
            <w:tcW w:w="8460" w:type="dxa"/>
            <w:vAlign w:val="bottom"/>
            <w:shd w:val="clear" w:color="auto" w:fill="D6F3E8"/>
          </w:tcPr>
          <w:p>
            <w:pPr>
              <w:spacing w:after="0"/>
              <w:rPr>
                <w:sz w:val="20"/>
                <w:szCs w:val="20"/>
                <w:color w:val="auto"/>
              </w:rPr>
            </w:pPr>
            <w:r>
              <w:rPr>
                <w:rFonts w:ascii="Arial" w:cs="Arial" w:eastAsia="Arial" w:hAnsi="Arial"/>
                <w:sz w:val="18"/>
                <w:szCs w:val="18"/>
                <w:color w:val="auto"/>
              </w:rPr>
              <w:t>Executive share option plan liability</w:t>
            </w:r>
          </w:p>
        </w:tc>
        <w:tc>
          <w:tcPr>
            <w:tcW w:w="240" w:type="dxa"/>
            <w:vAlign w:val="bottom"/>
            <w:shd w:val="clear" w:color="auto" w:fill="D6F3E8"/>
          </w:tcPr>
          <w:p>
            <w:pPr>
              <w:spacing w:after="0"/>
              <w:rPr>
                <w:sz w:val="18"/>
                <w:szCs w:val="18"/>
                <w:color w:val="auto"/>
              </w:rPr>
            </w:pPr>
          </w:p>
        </w:tc>
        <w:tc>
          <w:tcPr>
            <w:tcW w:w="1200" w:type="dxa"/>
            <w:vAlign w:val="bottom"/>
            <w:shd w:val="clear" w:color="auto" w:fill="D6F3E8"/>
          </w:tcPr>
          <w:p>
            <w:pPr>
              <w:jc w:val="right"/>
              <w:ind w:right="77"/>
              <w:spacing w:after="0"/>
              <w:rPr>
                <w:sz w:val="20"/>
                <w:szCs w:val="20"/>
                <w:color w:val="auto"/>
              </w:rPr>
            </w:pPr>
            <w:r>
              <w:rPr>
                <w:rFonts w:ascii="Arial" w:cs="Arial" w:eastAsia="Arial" w:hAnsi="Arial"/>
                <w:sz w:val="18"/>
                <w:szCs w:val="18"/>
                <w:color w:val="auto"/>
              </w:rPr>
              <w:t>7,418</w:t>
            </w:r>
          </w:p>
        </w:tc>
        <w:tc>
          <w:tcPr>
            <w:tcW w:w="380" w:type="dxa"/>
            <w:vAlign w:val="bottom"/>
            <w:shd w:val="clear" w:color="auto" w:fill="D6F3E8"/>
          </w:tcPr>
          <w:p>
            <w:pPr>
              <w:spacing w:after="0"/>
              <w:rPr>
                <w:sz w:val="18"/>
                <w:szCs w:val="18"/>
                <w:color w:val="auto"/>
              </w:rPr>
            </w:pPr>
          </w:p>
        </w:tc>
        <w:tc>
          <w:tcPr>
            <w:tcW w:w="1140" w:type="dxa"/>
            <w:vAlign w:val="bottom"/>
            <w:shd w:val="clear" w:color="auto" w:fill="D6F3E8"/>
          </w:tcPr>
          <w:p>
            <w:pPr>
              <w:jc w:val="right"/>
              <w:ind w:right="17"/>
              <w:spacing w:after="0"/>
              <w:rPr>
                <w:sz w:val="20"/>
                <w:szCs w:val="20"/>
                <w:color w:val="auto"/>
              </w:rPr>
            </w:pPr>
            <w:r>
              <w:rPr>
                <w:rFonts w:ascii="Arial" w:cs="Arial" w:eastAsia="Arial" w:hAnsi="Arial"/>
                <w:sz w:val="18"/>
                <w:szCs w:val="18"/>
                <w:color w:val="auto"/>
              </w:rPr>
              <w:t>10,999</w:t>
            </w:r>
          </w:p>
        </w:tc>
      </w:tr>
      <w:tr>
        <w:trPr>
          <w:trHeight w:val="257"/>
        </w:trPr>
        <w:tc>
          <w:tcPr>
            <w:tcW w:w="8460" w:type="dxa"/>
            <w:vAlign w:val="bottom"/>
          </w:tcPr>
          <w:p>
            <w:pPr>
              <w:spacing w:after="0" w:line="256" w:lineRule="exact"/>
              <w:rPr>
                <w:sz w:val="20"/>
                <w:szCs w:val="20"/>
                <w:color w:val="auto"/>
              </w:rPr>
            </w:pPr>
            <w:r>
              <w:rPr>
                <w:rFonts w:ascii="Arial" w:cs="Arial" w:eastAsia="Arial" w:hAnsi="Arial"/>
                <w:sz w:val="18"/>
                <w:szCs w:val="18"/>
                <w:color w:val="auto"/>
              </w:rPr>
              <w:t xml:space="preserve">SERP benefit liability </w:t>
            </w:r>
            <w:r>
              <w:rPr>
                <w:rFonts w:ascii="Arial" w:cs="Arial" w:eastAsia="Arial" w:hAnsi="Arial"/>
                <w:sz w:val="29"/>
                <w:szCs w:val="29"/>
                <w:color w:val="auto"/>
                <w:vertAlign w:val="superscript"/>
              </w:rPr>
              <w:t>(3)</w:t>
            </w:r>
          </w:p>
        </w:tc>
        <w:tc>
          <w:tcPr>
            <w:tcW w:w="240" w:type="dxa"/>
            <w:vAlign w:val="bottom"/>
          </w:tcPr>
          <w:p>
            <w:pPr>
              <w:spacing w:after="0"/>
              <w:rPr>
                <w:sz w:val="22"/>
                <w:szCs w:val="22"/>
                <w:color w:val="auto"/>
              </w:rPr>
            </w:pPr>
          </w:p>
        </w:tc>
        <w:tc>
          <w:tcPr>
            <w:tcW w:w="1200" w:type="dxa"/>
            <w:vAlign w:val="bottom"/>
          </w:tcPr>
          <w:p>
            <w:pPr>
              <w:jc w:val="right"/>
              <w:ind w:right="77"/>
              <w:spacing w:after="0"/>
              <w:rPr>
                <w:sz w:val="20"/>
                <w:szCs w:val="20"/>
                <w:color w:val="auto"/>
              </w:rPr>
            </w:pPr>
            <w:r>
              <w:rPr>
                <w:rFonts w:ascii="Arial" w:cs="Arial" w:eastAsia="Arial" w:hAnsi="Arial"/>
                <w:sz w:val="18"/>
                <w:szCs w:val="18"/>
                <w:color w:val="auto"/>
              </w:rPr>
              <w:t>2,613</w:t>
            </w:r>
          </w:p>
        </w:tc>
        <w:tc>
          <w:tcPr>
            <w:tcW w:w="380" w:type="dxa"/>
            <w:vAlign w:val="bottom"/>
          </w:tcPr>
          <w:p>
            <w:pPr>
              <w:spacing w:after="0"/>
              <w:rPr>
                <w:sz w:val="22"/>
                <w:szCs w:val="22"/>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2,767</w:t>
            </w:r>
          </w:p>
        </w:tc>
      </w:tr>
      <w:tr>
        <w:trPr>
          <w:trHeight w:val="216"/>
        </w:trPr>
        <w:tc>
          <w:tcPr>
            <w:tcW w:w="8460" w:type="dxa"/>
            <w:vAlign w:val="bottom"/>
            <w:shd w:val="clear" w:color="auto" w:fill="D6F3E8"/>
          </w:tcPr>
          <w:p>
            <w:pPr>
              <w:spacing w:after="0"/>
              <w:rPr>
                <w:sz w:val="20"/>
                <w:szCs w:val="20"/>
                <w:color w:val="auto"/>
              </w:rPr>
            </w:pPr>
            <w:r>
              <w:rPr>
                <w:rFonts w:ascii="Arial" w:cs="Arial" w:eastAsia="Arial" w:hAnsi="Arial"/>
                <w:sz w:val="18"/>
                <w:szCs w:val="18"/>
                <w:color w:val="auto"/>
              </w:rPr>
              <w:t>Executive deferred compensation</w:t>
            </w:r>
          </w:p>
        </w:tc>
        <w:tc>
          <w:tcPr>
            <w:tcW w:w="240" w:type="dxa"/>
            <w:vAlign w:val="bottom"/>
            <w:tcBorders>
              <w:bottom w:val="single" w:sz="8" w:color="auto"/>
            </w:tcBorders>
            <w:shd w:val="clear" w:color="auto" w:fill="D6F3E8"/>
          </w:tcPr>
          <w:p>
            <w:pPr>
              <w:spacing w:after="0"/>
              <w:rPr>
                <w:sz w:val="18"/>
                <w:szCs w:val="18"/>
                <w:color w:val="auto"/>
              </w:rPr>
            </w:pPr>
          </w:p>
        </w:tc>
        <w:tc>
          <w:tcPr>
            <w:tcW w:w="1200" w:type="dxa"/>
            <w:vAlign w:val="bottom"/>
            <w:tcBorders>
              <w:bottom w:val="single" w:sz="8" w:color="auto"/>
            </w:tcBorders>
            <w:shd w:val="clear" w:color="auto" w:fill="D6F3E8"/>
          </w:tcPr>
          <w:p>
            <w:pPr>
              <w:jc w:val="right"/>
              <w:ind w:right="77"/>
              <w:spacing w:after="0"/>
              <w:rPr>
                <w:sz w:val="20"/>
                <w:szCs w:val="20"/>
                <w:color w:val="auto"/>
              </w:rPr>
            </w:pPr>
            <w:r>
              <w:rPr>
                <w:rFonts w:ascii="Arial" w:cs="Arial" w:eastAsia="Arial" w:hAnsi="Arial"/>
                <w:sz w:val="18"/>
                <w:szCs w:val="18"/>
                <w:color w:val="auto"/>
              </w:rPr>
              <w:t>51</w:t>
            </w:r>
          </w:p>
        </w:tc>
        <w:tc>
          <w:tcPr>
            <w:tcW w:w="380" w:type="dxa"/>
            <w:vAlign w:val="bottom"/>
            <w:tcBorders>
              <w:bottom w:val="single" w:sz="8" w:color="auto"/>
            </w:tcBorders>
            <w:shd w:val="clear" w:color="auto" w:fill="D6F3E8"/>
          </w:tcPr>
          <w:p>
            <w:pPr>
              <w:spacing w:after="0"/>
              <w:rPr>
                <w:sz w:val="18"/>
                <w:szCs w:val="18"/>
                <w:color w:val="auto"/>
              </w:rPr>
            </w:pPr>
          </w:p>
        </w:tc>
        <w:tc>
          <w:tcPr>
            <w:tcW w:w="1140" w:type="dxa"/>
            <w:vAlign w:val="bottom"/>
            <w:tcBorders>
              <w:bottom w:val="single" w:sz="8" w:color="auto"/>
            </w:tcBorders>
            <w:shd w:val="clear" w:color="auto" w:fill="D6F3E8"/>
          </w:tcPr>
          <w:p>
            <w:pPr>
              <w:jc w:val="right"/>
              <w:ind w:right="17"/>
              <w:spacing w:after="0"/>
              <w:rPr>
                <w:sz w:val="20"/>
                <w:szCs w:val="20"/>
                <w:color w:val="auto"/>
              </w:rPr>
            </w:pPr>
            <w:r>
              <w:rPr>
                <w:rFonts w:ascii="Arial" w:cs="Arial" w:eastAsia="Arial" w:hAnsi="Arial"/>
                <w:sz w:val="18"/>
                <w:szCs w:val="18"/>
                <w:color w:val="auto"/>
              </w:rPr>
              <w:t>56</w:t>
            </w:r>
          </w:p>
        </w:tc>
      </w:tr>
      <w:tr>
        <w:trPr>
          <w:trHeight w:val="210"/>
        </w:trPr>
        <w:tc>
          <w:tcPr>
            <w:tcW w:w="8460" w:type="dxa"/>
            <w:vAlign w:val="bottom"/>
          </w:tcPr>
          <w:p>
            <w:pPr>
              <w:spacing w:after="0" w:line="202" w:lineRule="exact"/>
              <w:rPr>
                <w:sz w:val="20"/>
                <w:szCs w:val="20"/>
                <w:color w:val="auto"/>
              </w:rPr>
            </w:pPr>
            <w:r>
              <w:rPr>
                <w:rFonts w:ascii="Arial" w:cs="Arial" w:eastAsia="Arial" w:hAnsi="Arial"/>
                <w:sz w:val="18"/>
                <w:szCs w:val="18"/>
                <w:color w:val="auto"/>
              </w:rPr>
              <w:t>Total postretirement health care and deferred compensation benefits</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64,767</w:t>
            </w:r>
          </w:p>
        </w:tc>
        <w:tc>
          <w:tcPr>
            <w:tcW w:w="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67,729</w:t>
            </w:r>
          </w:p>
        </w:tc>
      </w:tr>
      <w:tr>
        <w:trPr>
          <w:trHeight w:val="20"/>
        </w:trPr>
        <w:tc>
          <w:tcPr>
            <w:tcW w:w="8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ind w:left="220" w:hanging="212"/>
        <w:spacing w:after="0"/>
        <w:tabs>
          <w:tab w:leader="none" w:pos="220" w:val="left"/>
        </w:tabs>
        <w:numPr>
          <w:ilvl w:val="0"/>
          <w:numId w:val="4"/>
        </w:numPr>
        <w:rPr>
          <w:rFonts w:ascii="Arial" w:cs="Arial" w:eastAsia="Arial" w:hAnsi="Arial"/>
          <w:sz w:val="21"/>
          <w:szCs w:val="21"/>
          <w:color w:val="auto"/>
          <w:vertAlign w:val="superscript"/>
        </w:rPr>
      </w:pPr>
      <w:r>
        <w:rPr>
          <w:rFonts w:ascii="Arial" w:cs="Arial" w:eastAsia="Arial" w:hAnsi="Arial"/>
          <w:sz w:val="13"/>
          <w:szCs w:val="13"/>
          <w:color w:val="auto"/>
        </w:rPr>
        <w:t>The current portion of accrued postretirement benefit cost of $1.2 million and $1.1 million as of May 30, 2009 and August 30, 2008, respectively, is included within other accrued expenses.</w:t>
      </w:r>
    </w:p>
    <w:p>
      <w:pPr>
        <w:spacing w:after="0" w:line="42" w:lineRule="exact"/>
        <w:rPr>
          <w:rFonts w:ascii="Arial" w:cs="Arial" w:eastAsia="Arial" w:hAnsi="Arial"/>
          <w:sz w:val="21"/>
          <w:szCs w:val="21"/>
          <w:color w:val="auto"/>
          <w:vertAlign w:val="superscript"/>
        </w:rPr>
      </w:pPr>
    </w:p>
    <w:p>
      <w:pPr>
        <w:ind w:left="220" w:hanging="212"/>
        <w:spacing w:after="0" w:line="185" w:lineRule="auto"/>
        <w:tabs>
          <w:tab w:leader="none" w:pos="220" w:val="left"/>
        </w:tabs>
        <w:numPr>
          <w:ilvl w:val="0"/>
          <w:numId w:val="4"/>
        </w:numPr>
        <w:rPr>
          <w:rFonts w:ascii="Arial" w:cs="Arial" w:eastAsia="Arial" w:hAnsi="Arial"/>
          <w:sz w:val="18"/>
          <w:szCs w:val="18"/>
          <w:color w:val="auto"/>
          <w:vertAlign w:val="superscript"/>
        </w:rPr>
      </w:pPr>
      <w:r>
        <w:rPr>
          <w:rFonts w:ascii="Arial" w:cs="Arial" w:eastAsia="Arial" w:hAnsi="Arial"/>
          <w:sz w:val="12"/>
          <w:szCs w:val="12"/>
          <w:color w:val="auto"/>
        </w:rPr>
        <w:t>The current portion of deferred compensation liability of $2.6 million and $2.4 million as of May 30, 2009 and August 30, 2008, respectively, is included within accrued compensation.</w:t>
      </w:r>
    </w:p>
    <w:p>
      <w:pPr>
        <w:spacing w:after="0" w:line="43" w:lineRule="exact"/>
        <w:rPr>
          <w:rFonts w:ascii="Arial" w:cs="Arial" w:eastAsia="Arial" w:hAnsi="Arial"/>
          <w:sz w:val="18"/>
          <w:szCs w:val="18"/>
          <w:color w:val="auto"/>
          <w:vertAlign w:val="superscript"/>
        </w:rPr>
      </w:pPr>
    </w:p>
    <w:p>
      <w:pPr>
        <w:ind w:left="220" w:hanging="212"/>
        <w:spacing w:after="0" w:line="185" w:lineRule="auto"/>
        <w:tabs>
          <w:tab w:leader="none" w:pos="220" w:val="left"/>
        </w:tabs>
        <w:numPr>
          <w:ilvl w:val="0"/>
          <w:numId w:val="4"/>
        </w:numPr>
        <w:rPr>
          <w:rFonts w:ascii="Arial" w:cs="Arial" w:eastAsia="Arial" w:hAnsi="Arial"/>
          <w:sz w:val="18"/>
          <w:szCs w:val="18"/>
          <w:color w:val="auto"/>
          <w:vertAlign w:val="superscript"/>
        </w:rPr>
      </w:pPr>
      <w:r>
        <w:rPr>
          <w:rFonts w:ascii="Arial" w:cs="Arial" w:eastAsia="Arial" w:hAnsi="Arial"/>
          <w:sz w:val="12"/>
          <w:szCs w:val="12"/>
          <w:color w:val="auto"/>
        </w:rPr>
        <w:t>The current portion of the SERP liability of $262,000 and $186,000 as of May 30, 2009 and August 30, 2008, respectively, is included within accrued compensation.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Postretirement Health Care Benefits</w:t>
      </w:r>
    </w:p>
    <w:p>
      <w:pPr>
        <w:spacing w:after="0" w:line="15"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We provide certain health care and other benefits for retired employees hired before April 1, 2001, who have fulfilled eligibility requirements of age 55 with 15 years of continuous service. Retirees are required to pay a monthly premium for medical coverage based on years of service at retirement and then current age. Our postretirement health care plan currently is not funded. We use a September 1 measurement date for this plan.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postretirement health care benefit income consisted of the following components: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Thirteen</w:t>
            </w: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center"/>
              <w:ind w:right="301"/>
              <w:spacing w:after="0"/>
              <w:rPr>
                <w:sz w:val="20"/>
                <w:szCs w:val="20"/>
                <w:color w:val="auto"/>
              </w:rPr>
            </w:pPr>
            <w:r>
              <w:rPr>
                <w:rFonts w:ascii="Arial" w:cs="Arial" w:eastAsia="Arial" w:hAnsi="Arial"/>
                <w:sz w:val="14"/>
                <w:szCs w:val="14"/>
                <w:b w:val="1"/>
                <w:bCs w:val="1"/>
                <w:color w:val="auto"/>
                <w:w w:val="94"/>
              </w:rPr>
              <w:t>Thirty-Nine</w:t>
            </w:r>
          </w:p>
        </w:tc>
        <w:tc>
          <w:tcPr>
            <w:tcW w:w="440" w:type="dxa"/>
            <w:vAlign w:val="bottom"/>
          </w:tcPr>
          <w:p>
            <w:pPr>
              <w:spacing w:after="0"/>
              <w:rPr>
                <w:sz w:val="14"/>
                <w:szCs w:val="14"/>
                <w:color w:val="auto"/>
              </w:rPr>
            </w:pPr>
          </w:p>
        </w:tc>
        <w:tc>
          <w:tcPr>
            <w:tcW w:w="1060" w:type="dxa"/>
            <w:vAlign w:val="bottom"/>
          </w:tcPr>
          <w:p>
            <w:pPr>
              <w:jc w:val="center"/>
              <w:ind w:right="320"/>
              <w:spacing w:after="0"/>
              <w:rPr>
                <w:sz w:val="20"/>
                <w:szCs w:val="20"/>
                <w:color w:val="auto"/>
              </w:rPr>
            </w:pPr>
            <w:r>
              <w:rPr>
                <w:rFonts w:ascii="Arial" w:cs="Arial" w:eastAsia="Arial" w:hAnsi="Arial"/>
                <w:sz w:val="14"/>
                <w:szCs w:val="14"/>
                <w:b w:val="1"/>
                <w:bCs w:val="1"/>
                <w:color w:val="auto"/>
                <w:w w:val="97"/>
              </w:rPr>
              <w:t>Forty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Weeks Ended</w:t>
            </w:r>
          </w:p>
        </w:tc>
        <w:tc>
          <w:tcPr>
            <w:tcW w:w="1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Weeks Ended</w:t>
            </w: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ind w:right="541"/>
              <w:spacing w:after="0" w:line="136" w:lineRule="exact"/>
              <w:rPr>
                <w:sz w:val="20"/>
                <w:szCs w:val="20"/>
                <w:color w:val="auto"/>
              </w:rPr>
            </w:pPr>
            <w:r>
              <w:rPr>
                <w:rFonts w:ascii="Arial" w:cs="Arial" w:eastAsia="Arial" w:hAnsi="Arial"/>
                <w:sz w:val="14"/>
                <w:szCs w:val="14"/>
                <w:b w:val="1"/>
                <w:bCs w:val="1"/>
                <w:color w:val="auto"/>
              </w:rPr>
              <w:t>May 30,</w:t>
            </w:r>
          </w:p>
        </w:tc>
        <w:tc>
          <w:tcPr>
            <w:tcW w:w="440" w:type="dxa"/>
            <w:vAlign w:val="bottom"/>
          </w:tcPr>
          <w:p>
            <w:pPr>
              <w:spacing w:after="0"/>
              <w:rPr>
                <w:sz w:val="11"/>
                <w:szCs w:val="11"/>
                <w:color w:val="auto"/>
              </w:rPr>
            </w:pPr>
          </w:p>
        </w:tc>
        <w:tc>
          <w:tcPr>
            <w:tcW w:w="1160" w:type="dxa"/>
            <w:vAlign w:val="bottom"/>
          </w:tcPr>
          <w:p>
            <w:pPr>
              <w:jc w:val="right"/>
              <w:ind w:right="518"/>
              <w:spacing w:after="0" w:line="136" w:lineRule="exact"/>
              <w:rPr>
                <w:sz w:val="20"/>
                <w:szCs w:val="20"/>
                <w:color w:val="auto"/>
              </w:rPr>
            </w:pPr>
            <w:r>
              <w:rPr>
                <w:rFonts w:ascii="Arial" w:cs="Arial" w:eastAsia="Arial" w:hAnsi="Arial"/>
                <w:sz w:val="14"/>
                <w:szCs w:val="14"/>
                <w:b w:val="1"/>
                <w:bCs w:val="1"/>
                <w:color w:val="auto"/>
              </w:rPr>
              <w:t>May 31,</w:t>
            </w:r>
          </w:p>
        </w:tc>
        <w:tc>
          <w:tcPr>
            <w:tcW w:w="340" w:type="dxa"/>
            <w:vAlign w:val="bottom"/>
          </w:tcPr>
          <w:p>
            <w:pPr>
              <w:spacing w:after="0"/>
              <w:rPr>
                <w:sz w:val="11"/>
                <w:szCs w:val="11"/>
                <w:color w:val="auto"/>
              </w:rPr>
            </w:pPr>
          </w:p>
        </w:tc>
        <w:tc>
          <w:tcPr>
            <w:tcW w:w="1240" w:type="dxa"/>
            <w:vAlign w:val="bottom"/>
          </w:tcPr>
          <w:p>
            <w:pPr>
              <w:jc w:val="center"/>
              <w:ind w:right="341"/>
              <w:spacing w:after="0" w:line="136" w:lineRule="exact"/>
              <w:rPr>
                <w:sz w:val="20"/>
                <w:szCs w:val="20"/>
                <w:color w:val="auto"/>
              </w:rPr>
            </w:pPr>
            <w:r>
              <w:rPr>
                <w:rFonts w:ascii="Arial" w:cs="Arial" w:eastAsia="Arial" w:hAnsi="Arial"/>
                <w:sz w:val="14"/>
                <w:szCs w:val="14"/>
                <w:b w:val="1"/>
                <w:bCs w:val="1"/>
                <w:color w:val="auto"/>
                <w:w w:val="90"/>
              </w:rPr>
              <w:t>May 30,</w:t>
            </w:r>
          </w:p>
        </w:tc>
        <w:tc>
          <w:tcPr>
            <w:tcW w:w="440" w:type="dxa"/>
            <w:vAlign w:val="bottom"/>
          </w:tcPr>
          <w:p>
            <w:pPr>
              <w:spacing w:after="0"/>
              <w:rPr>
                <w:sz w:val="11"/>
                <w:szCs w:val="11"/>
                <w:color w:val="auto"/>
              </w:rPr>
            </w:pPr>
          </w:p>
        </w:tc>
        <w:tc>
          <w:tcPr>
            <w:tcW w:w="1060" w:type="dxa"/>
            <w:vAlign w:val="bottom"/>
          </w:tcPr>
          <w:p>
            <w:pPr>
              <w:jc w:val="center"/>
              <w:ind w:right="360"/>
              <w:spacing w:after="0" w:line="136" w:lineRule="exact"/>
              <w:rPr>
                <w:sz w:val="20"/>
                <w:szCs w:val="20"/>
                <w:color w:val="auto"/>
              </w:rPr>
            </w:pPr>
            <w:r>
              <w:rPr>
                <w:rFonts w:ascii="Arial" w:cs="Arial" w:eastAsia="Arial" w:hAnsi="Arial"/>
                <w:sz w:val="14"/>
                <w:szCs w:val="14"/>
                <w:b w:val="1"/>
                <w:bCs w:val="1"/>
                <w:color w:val="auto"/>
                <w:w w:val="90"/>
              </w:rPr>
              <w:t>May 31,</w:t>
            </w:r>
          </w:p>
        </w:tc>
        <w:tc>
          <w:tcPr>
            <w:tcW w:w="0" w:type="dxa"/>
            <w:vAlign w:val="bottom"/>
          </w:tcPr>
          <w:p>
            <w:pPr>
              <w:spacing w:after="0"/>
              <w:rPr>
                <w:sz w:val="1"/>
                <w:szCs w:val="1"/>
                <w:color w:val="auto"/>
              </w:rPr>
            </w:pPr>
          </w:p>
        </w:tc>
      </w:tr>
      <w:tr>
        <w:trPr>
          <w:trHeight w:val="168"/>
        </w:trPr>
        <w:tc>
          <w:tcPr>
            <w:tcW w:w="45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621"/>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1160" w:type="dxa"/>
            <w:vAlign w:val="bottom"/>
          </w:tcPr>
          <w:p>
            <w:pPr>
              <w:jc w:val="right"/>
              <w:ind w:right="598"/>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1240" w:type="dxa"/>
            <w:vAlign w:val="bottom"/>
          </w:tcPr>
          <w:p>
            <w:pPr>
              <w:jc w:val="center"/>
              <w:ind w:right="301"/>
              <w:spacing w:after="0"/>
              <w:rPr>
                <w:sz w:val="20"/>
                <w:szCs w:val="20"/>
                <w:color w:val="auto"/>
              </w:rPr>
            </w:pPr>
            <w:r>
              <w:rPr>
                <w:rFonts w:ascii="Arial" w:cs="Arial" w:eastAsia="Arial" w:hAnsi="Arial"/>
                <w:sz w:val="14"/>
                <w:szCs w:val="14"/>
                <w:b w:val="1"/>
                <w:bCs w:val="1"/>
                <w:color w:val="auto"/>
                <w:w w:val="83"/>
              </w:rPr>
              <w:t>2009</w:t>
            </w:r>
          </w:p>
        </w:tc>
        <w:tc>
          <w:tcPr>
            <w:tcW w:w="440" w:type="dxa"/>
            <w:vAlign w:val="bottom"/>
          </w:tcPr>
          <w:p>
            <w:pPr>
              <w:spacing w:after="0"/>
              <w:rPr>
                <w:sz w:val="14"/>
                <w:szCs w:val="14"/>
                <w:color w:val="auto"/>
              </w:rPr>
            </w:pPr>
          </w:p>
        </w:tc>
        <w:tc>
          <w:tcPr>
            <w:tcW w:w="1060" w:type="dxa"/>
            <w:vAlign w:val="bottom"/>
          </w:tcPr>
          <w:p>
            <w:pPr>
              <w:jc w:val="center"/>
              <w:ind w:right="320"/>
              <w:spacing w:after="0"/>
              <w:rPr>
                <w:sz w:val="20"/>
                <w:szCs w:val="20"/>
                <w:color w:val="auto"/>
              </w:rPr>
            </w:pPr>
            <w:r>
              <w:rPr>
                <w:rFonts w:ascii="Arial" w:cs="Arial" w:eastAsia="Arial" w:hAnsi="Arial"/>
                <w:sz w:val="14"/>
                <w:szCs w:val="14"/>
                <w:b w:val="1"/>
                <w:bCs w:val="1"/>
                <w:color w:val="auto"/>
                <w:w w:val="83"/>
              </w:rPr>
              <w:t>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Borders>
              <w:top w:val="single" w:sz="8" w:color="auto"/>
            </w:tcBorders>
            <w:shd w:val="clear" w:color="auto" w:fill="D6F3E8"/>
          </w:tcPr>
          <w:p>
            <w:pPr>
              <w:spacing w:after="0"/>
              <w:rPr>
                <w:sz w:val="20"/>
                <w:szCs w:val="20"/>
                <w:color w:val="auto"/>
              </w:rPr>
            </w:pPr>
            <w:r>
              <w:rPr>
                <w:rFonts w:ascii="Arial" w:cs="Arial" w:eastAsia="Arial" w:hAnsi="Arial"/>
                <w:sz w:val="18"/>
                <w:szCs w:val="18"/>
                <w:color w:val="auto"/>
              </w:rPr>
              <w:t>Interest cost</w:t>
            </w:r>
          </w:p>
        </w:tc>
        <w:tc>
          <w:tcPr>
            <w:tcW w:w="960" w:type="dxa"/>
            <w:vAlign w:val="bottom"/>
            <w:tcBorders>
              <w:top w:val="single" w:sz="8" w:color="auto"/>
            </w:tcBorders>
            <w:gridSpan w:val="2"/>
            <w:shd w:val="clear" w:color="auto" w:fill="D6F3E8"/>
          </w:tcPr>
          <w:p>
            <w:pPr>
              <w:jc w:val="right"/>
              <w:ind w:right="83"/>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D6F3E8"/>
          </w:tcPr>
          <w:p>
            <w:pPr>
              <w:jc w:val="right"/>
              <w:ind w:right="121"/>
              <w:spacing w:after="0"/>
              <w:rPr>
                <w:sz w:val="20"/>
                <w:szCs w:val="20"/>
                <w:color w:val="auto"/>
              </w:rPr>
            </w:pPr>
            <w:r>
              <w:rPr>
                <w:rFonts w:ascii="Arial" w:cs="Arial" w:eastAsia="Arial" w:hAnsi="Arial"/>
                <w:sz w:val="18"/>
                <w:szCs w:val="18"/>
                <w:color w:val="auto"/>
              </w:rPr>
              <w:t>529</w:t>
            </w:r>
          </w:p>
        </w:tc>
        <w:tc>
          <w:tcPr>
            <w:tcW w:w="440" w:type="dxa"/>
            <w:vAlign w:val="bottom"/>
            <w:tcBorders>
              <w:top w:val="single" w:sz="8" w:color="auto"/>
            </w:tcBorders>
            <w:shd w:val="clear" w:color="auto" w:fill="D6F3E8"/>
          </w:tcPr>
          <w:p>
            <w:pPr>
              <w:jc w:val="right"/>
              <w:ind w:right="112"/>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D6F3E8"/>
          </w:tcPr>
          <w:p>
            <w:pPr>
              <w:jc w:val="right"/>
              <w:ind w:right="98"/>
              <w:spacing w:after="0"/>
              <w:rPr>
                <w:sz w:val="20"/>
                <w:szCs w:val="20"/>
                <w:color w:val="auto"/>
              </w:rPr>
            </w:pPr>
            <w:r>
              <w:rPr>
                <w:rFonts w:ascii="Arial" w:cs="Arial" w:eastAsia="Arial" w:hAnsi="Arial"/>
                <w:sz w:val="18"/>
                <w:szCs w:val="18"/>
                <w:color w:val="auto"/>
              </w:rPr>
              <w:t>492</w:t>
            </w:r>
          </w:p>
        </w:tc>
        <w:tc>
          <w:tcPr>
            <w:tcW w:w="340" w:type="dxa"/>
            <w:vAlign w:val="bottom"/>
            <w:tcBorders>
              <w:top w:val="single" w:sz="8" w:color="auto"/>
            </w:tcBorders>
            <w:shd w:val="clear" w:color="auto" w:fill="D6F3E8"/>
          </w:tcPr>
          <w:p>
            <w:pPr>
              <w:jc w:val="right"/>
              <w:ind w:right="12"/>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D6F3E8"/>
          </w:tcPr>
          <w:p>
            <w:pPr>
              <w:jc w:val="right"/>
              <w:ind w:right="101"/>
              <w:spacing w:after="0"/>
              <w:rPr>
                <w:sz w:val="20"/>
                <w:szCs w:val="20"/>
                <w:color w:val="auto"/>
              </w:rPr>
            </w:pPr>
            <w:r>
              <w:rPr>
                <w:rFonts w:ascii="Arial" w:cs="Arial" w:eastAsia="Arial" w:hAnsi="Arial"/>
                <w:sz w:val="18"/>
                <w:szCs w:val="18"/>
                <w:color w:val="auto"/>
              </w:rPr>
              <w:t>1,589</w:t>
            </w:r>
          </w:p>
        </w:tc>
        <w:tc>
          <w:tcPr>
            <w:tcW w:w="440" w:type="dxa"/>
            <w:vAlign w:val="bottom"/>
            <w:tcBorders>
              <w:top w:val="single" w:sz="8" w:color="auto"/>
            </w:tcBorders>
            <w:shd w:val="clear" w:color="auto" w:fill="D6F3E8"/>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D6F3E8"/>
          </w:tcPr>
          <w:p>
            <w:pPr>
              <w:jc w:val="right"/>
              <w:ind w:right="20"/>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Service cost</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121"/>
              <w:spacing w:after="0"/>
              <w:rPr>
                <w:sz w:val="20"/>
                <w:szCs w:val="20"/>
                <w:color w:val="auto"/>
              </w:rPr>
            </w:pPr>
            <w:r>
              <w:rPr>
                <w:rFonts w:ascii="Arial" w:cs="Arial" w:eastAsia="Arial" w:hAnsi="Arial"/>
                <w:sz w:val="18"/>
                <w:szCs w:val="18"/>
                <w:color w:val="auto"/>
              </w:rPr>
              <w:t>147</w:t>
            </w:r>
          </w:p>
        </w:tc>
        <w:tc>
          <w:tcPr>
            <w:tcW w:w="440" w:type="dxa"/>
            <w:vAlign w:val="bottom"/>
          </w:tcPr>
          <w:p>
            <w:pPr>
              <w:spacing w:after="0"/>
              <w:rPr>
                <w:sz w:val="18"/>
                <w:szCs w:val="18"/>
                <w:color w:val="auto"/>
              </w:rPr>
            </w:pPr>
          </w:p>
        </w:tc>
        <w:tc>
          <w:tcPr>
            <w:tcW w:w="1160" w:type="dxa"/>
            <w:vAlign w:val="bottom"/>
          </w:tcPr>
          <w:p>
            <w:pPr>
              <w:jc w:val="right"/>
              <w:ind w:right="98"/>
              <w:spacing w:after="0"/>
              <w:rPr>
                <w:sz w:val="20"/>
                <w:szCs w:val="20"/>
                <w:color w:val="auto"/>
              </w:rPr>
            </w:pPr>
            <w:r>
              <w:rPr>
                <w:rFonts w:ascii="Arial" w:cs="Arial" w:eastAsia="Arial" w:hAnsi="Arial"/>
                <w:sz w:val="18"/>
                <w:szCs w:val="18"/>
                <w:color w:val="auto"/>
              </w:rPr>
              <w:t>180</w:t>
            </w:r>
          </w:p>
        </w:tc>
        <w:tc>
          <w:tcPr>
            <w:tcW w:w="340" w:type="dxa"/>
            <w:vAlign w:val="bottom"/>
          </w:tcPr>
          <w:p>
            <w:pPr>
              <w:spacing w:after="0"/>
              <w:rPr>
                <w:sz w:val="18"/>
                <w:szCs w:val="18"/>
                <w:color w:val="auto"/>
              </w:rPr>
            </w:pPr>
          </w:p>
        </w:tc>
        <w:tc>
          <w:tcPr>
            <w:tcW w:w="1240" w:type="dxa"/>
            <w:vAlign w:val="bottom"/>
          </w:tcPr>
          <w:p>
            <w:pPr>
              <w:jc w:val="right"/>
              <w:ind w:right="101"/>
              <w:spacing w:after="0"/>
              <w:rPr>
                <w:sz w:val="20"/>
                <w:szCs w:val="20"/>
                <w:color w:val="auto"/>
              </w:rPr>
            </w:pPr>
            <w:r>
              <w:rPr>
                <w:rFonts w:ascii="Arial" w:cs="Arial" w:eastAsia="Arial" w:hAnsi="Arial"/>
                <w:sz w:val="18"/>
                <w:szCs w:val="18"/>
                <w:color w:val="auto"/>
              </w:rPr>
              <w:t>442</w:t>
            </w:r>
          </w:p>
        </w:tc>
        <w:tc>
          <w:tcPr>
            <w:tcW w:w="440" w:type="dxa"/>
            <w:vAlign w:val="bottom"/>
          </w:tcPr>
          <w:p>
            <w:pPr>
              <w:spacing w:after="0"/>
              <w:rPr>
                <w:sz w:val="18"/>
                <w:szCs w:val="18"/>
                <w:color w:val="auto"/>
              </w:rPr>
            </w:pPr>
          </w:p>
        </w:tc>
        <w:tc>
          <w:tcPr>
            <w:tcW w:w="1060" w:type="dxa"/>
            <w:vAlign w:val="bottom"/>
          </w:tcPr>
          <w:p>
            <w:pPr>
              <w:jc w:val="right"/>
              <w:ind w:right="2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D6F3E8"/>
          </w:tcPr>
          <w:p>
            <w:pPr>
              <w:spacing w:after="0"/>
              <w:rPr>
                <w:sz w:val="20"/>
                <w:szCs w:val="20"/>
                <w:color w:val="auto"/>
              </w:rPr>
            </w:pPr>
            <w:r>
              <w:rPr>
                <w:rFonts w:ascii="Arial" w:cs="Arial" w:eastAsia="Arial" w:hAnsi="Arial"/>
                <w:sz w:val="18"/>
                <w:szCs w:val="18"/>
                <w:color w:val="auto"/>
              </w:rPr>
              <w:t>Net amortization and deferral</w:t>
            </w:r>
          </w:p>
        </w:tc>
        <w:tc>
          <w:tcPr>
            <w:tcW w:w="720" w:type="dxa"/>
            <w:vAlign w:val="bottom"/>
            <w:shd w:val="clear" w:color="auto" w:fill="D6F3E8"/>
          </w:tcPr>
          <w:p>
            <w:pPr>
              <w:spacing w:after="0"/>
              <w:rPr>
                <w:sz w:val="18"/>
                <w:szCs w:val="18"/>
                <w:color w:val="auto"/>
              </w:rPr>
            </w:pPr>
          </w:p>
        </w:tc>
        <w:tc>
          <w:tcPr>
            <w:tcW w:w="240" w:type="dxa"/>
            <w:vAlign w:val="bottom"/>
            <w:tcBorders>
              <w:bottom w:val="single" w:sz="8" w:color="auto"/>
            </w:tcBorders>
            <w:shd w:val="clear" w:color="auto" w:fill="D6F3E8"/>
          </w:tcPr>
          <w:p>
            <w:pPr>
              <w:spacing w:after="0"/>
              <w:rPr>
                <w:sz w:val="18"/>
                <w:szCs w:val="18"/>
                <w:color w:val="auto"/>
              </w:rPr>
            </w:pPr>
          </w:p>
        </w:tc>
        <w:tc>
          <w:tcPr>
            <w:tcW w:w="1220" w:type="dxa"/>
            <w:vAlign w:val="bottom"/>
            <w:tcBorders>
              <w:bottom w:val="single" w:sz="8" w:color="auto"/>
            </w:tcBorders>
            <w:shd w:val="clear" w:color="auto" w:fill="D6F3E8"/>
          </w:tcPr>
          <w:p>
            <w:pPr>
              <w:jc w:val="right"/>
              <w:ind w:right="61"/>
              <w:spacing w:after="0"/>
              <w:rPr>
                <w:sz w:val="20"/>
                <w:szCs w:val="20"/>
                <w:color w:val="auto"/>
              </w:rPr>
            </w:pPr>
            <w:r>
              <w:rPr>
                <w:rFonts w:ascii="Arial" w:cs="Arial" w:eastAsia="Arial" w:hAnsi="Arial"/>
                <w:sz w:val="18"/>
                <w:szCs w:val="18"/>
                <w:color w:val="auto"/>
              </w:rPr>
              <w:t>(874)</w:t>
            </w:r>
          </w:p>
        </w:tc>
        <w:tc>
          <w:tcPr>
            <w:tcW w:w="440" w:type="dxa"/>
            <w:vAlign w:val="bottom"/>
            <w:tcBorders>
              <w:bottom w:val="single" w:sz="8" w:color="auto"/>
            </w:tcBorders>
            <w:shd w:val="clear" w:color="auto" w:fill="D6F3E8"/>
          </w:tcPr>
          <w:p>
            <w:pPr>
              <w:spacing w:after="0"/>
              <w:rPr>
                <w:sz w:val="18"/>
                <w:szCs w:val="18"/>
                <w:color w:val="auto"/>
              </w:rPr>
            </w:pPr>
          </w:p>
        </w:tc>
        <w:tc>
          <w:tcPr>
            <w:tcW w:w="1160" w:type="dxa"/>
            <w:vAlign w:val="bottom"/>
            <w:tcBorders>
              <w:bottom w:val="single" w:sz="8" w:color="auto"/>
            </w:tcBorders>
            <w:shd w:val="clear" w:color="auto" w:fill="D6F3E8"/>
          </w:tcPr>
          <w:p>
            <w:pPr>
              <w:jc w:val="right"/>
              <w:ind w:right="38"/>
              <w:spacing w:after="0"/>
              <w:rPr>
                <w:sz w:val="20"/>
                <w:szCs w:val="20"/>
                <w:color w:val="auto"/>
              </w:rPr>
            </w:pPr>
            <w:r>
              <w:rPr>
                <w:rFonts w:ascii="Arial" w:cs="Arial" w:eastAsia="Arial" w:hAnsi="Arial"/>
                <w:sz w:val="18"/>
                <w:szCs w:val="18"/>
                <w:color w:val="auto"/>
              </w:rPr>
              <w:t>(809)</w:t>
            </w:r>
          </w:p>
        </w:tc>
        <w:tc>
          <w:tcPr>
            <w:tcW w:w="340" w:type="dxa"/>
            <w:vAlign w:val="bottom"/>
            <w:tcBorders>
              <w:bottom w:val="single" w:sz="8" w:color="auto"/>
            </w:tcBorders>
            <w:shd w:val="clear" w:color="auto" w:fill="D6F3E8"/>
          </w:tcPr>
          <w:p>
            <w:pPr>
              <w:spacing w:after="0"/>
              <w:rPr>
                <w:sz w:val="18"/>
                <w:szCs w:val="18"/>
                <w:color w:val="auto"/>
              </w:rPr>
            </w:pPr>
          </w:p>
        </w:tc>
        <w:tc>
          <w:tcPr>
            <w:tcW w:w="1240" w:type="dxa"/>
            <w:vAlign w:val="bottom"/>
            <w:tcBorders>
              <w:bottom w:val="single" w:sz="8" w:color="auto"/>
            </w:tcBorders>
            <w:shd w:val="clear" w:color="auto" w:fill="D6F3E8"/>
          </w:tcPr>
          <w:p>
            <w:pPr>
              <w:jc w:val="right"/>
              <w:ind w:right="41"/>
              <w:spacing w:after="0"/>
              <w:rPr>
                <w:sz w:val="20"/>
                <w:szCs w:val="20"/>
                <w:color w:val="auto"/>
              </w:rPr>
            </w:pPr>
            <w:r>
              <w:rPr>
                <w:rFonts w:ascii="Arial" w:cs="Arial" w:eastAsia="Arial" w:hAnsi="Arial"/>
                <w:sz w:val="18"/>
                <w:szCs w:val="18"/>
                <w:color w:val="auto"/>
              </w:rPr>
              <w:t>(2,623)</w:t>
            </w:r>
          </w:p>
        </w:tc>
        <w:tc>
          <w:tcPr>
            <w:tcW w:w="440" w:type="dxa"/>
            <w:vAlign w:val="bottom"/>
            <w:tcBorders>
              <w:bottom w:val="single" w:sz="8" w:color="auto"/>
            </w:tcBorders>
            <w:shd w:val="clear" w:color="auto" w:fill="D6F3E8"/>
          </w:tcPr>
          <w:p>
            <w:pPr>
              <w:spacing w:after="0"/>
              <w:rPr>
                <w:sz w:val="18"/>
                <w:szCs w:val="18"/>
                <w:color w:val="auto"/>
              </w:rPr>
            </w:pPr>
          </w:p>
        </w:tc>
        <w:tc>
          <w:tcPr>
            <w:tcW w:w="10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(2,489)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Pr>
          <w:p>
            <w:pPr>
              <w:spacing w:after="0" w:line="202" w:lineRule="exact"/>
              <w:rPr>
                <w:sz w:val="20"/>
                <w:szCs w:val="20"/>
                <w:color w:val="auto"/>
              </w:rPr>
            </w:pPr>
            <w:r>
              <w:rPr>
                <w:rFonts w:ascii="Arial" w:cs="Arial" w:eastAsia="Arial" w:hAnsi="Arial"/>
                <w:sz w:val="18"/>
                <w:szCs w:val="18"/>
                <w:color w:val="auto"/>
              </w:rPr>
              <w:t>Net periodic postretirement health care benefit income</w:t>
            </w:r>
          </w:p>
        </w:tc>
        <w:tc>
          <w:tcPr>
            <w:tcW w:w="720" w:type="dxa"/>
            <w:vAlign w:val="bottom"/>
          </w:tcPr>
          <w:p>
            <w:pPr>
              <w:spacing w:after="0"/>
              <w:rPr>
                <w:sz w:val="18"/>
                <w:szCs w:val="18"/>
                <w:color w:val="auto"/>
              </w:rPr>
            </w:pP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ind w:right="61"/>
              <w:spacing w:after="0"/>
              <w:rPr>
                <w:sz w:val="20"/>
                <w:szCs w:val="20"/>
                <w:color w:val="auto"/>
              </w:rPr>
            </w:pPr>
            <w:r>
              <w:rPr>
                <w:rFonts w:ascii="Arial" w:cs="Arial" w:eastAsia="Arial" w:hAnsi="Arial"/>
                <w:sz w:val="18"/>
                <w:szCs w:val="18"/>
                <w:color w:val="auto"/>
              </w:rPr>
              <w:t>(198)</w:t>
            </w:r>
          </w:p>
        </w:tc>
        <w:tc>
          <w:tcPr>
            <w:tcW w:w="4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(137)</w:t>
            </w:r>
          </w:p>
        </w:tc>
        <w:tc>
          <w:tcPr>
            <w:tcW w:w="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color w:val="auto"/>
              </w:rPr>
              <w:t>(592)</w:t>
            </w:r>
          </w:p>
        </w:tc>
        <w:tc>
          <w:tcPr>
            <w:tcW w:w="4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4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D6F3E8"/>
          </w:tcPr>
          <w:p>
            <w:pPr>
              <w:spacing w:after="0"/>
              <w:rPr>
                <w:sz w:val="20"/>
                <w:szCs w:val="20"/>
                <w:color w:val="auto"/>
              </w:rPr>
            </w:pPr>
            <w:r>
              <w:rPr>
                <w:rFonts w:ascii="Arial" w:cs="Arial" w:eastAsia="Arial" w:hAnsi="Arial"/>
                <w:sz w:val="18"/>
                <w:szCs w:val="18"/>
                <w:color w:val="auto"/>
              </w:rPr>
              <w:t>Payments for postretirement health care</w:t>
            </w:r>
          </w:p>
        </w:tc>
        <w:tc>
          <w:tcPr>
            <w:tcW w:w="960" w:type="dxa"/>
            <w:vAlign w:val="bottom"/>
            <w:gridSpan w:val="2"/>
            <w:shd w:val="clear" w:color="auto" w:fill="D6F3E8"/>
          </w:tcPr>
          <w:p>
            <w:pPr>
              <w:jc w:val="right"/>
              <w:ind w:right="83"/>
              <w:spacing w:after="0"/>
              <w:rPr>
                <w:sz w:val="20"/>
                <w:szCs w:val="20"/>
                <w:color w:val="auto"/>
              </w:rPr>
            </w:pPr>
            <w:r>
              <w:rPr>
                <w:rFonts w:ascii="Arial" w:cs="Arial" w:eastAsia="Arial" w:hAnsi="Arial"/>
                <w:sz w:val="18"/>
                <w:szCs w:val="18"/>
                <w:color w:val="auto"/>
              </w:rPr>
              <w:t>$</w:t>
            </w:r>
          </w:p>
        </w:tc>
        <w:tc>
          <w:tcPr>
            <w:tcW w:w="1220" w:type="dxa"/>
            <w:vAlign w:val="bottom"/>
            <w:shd w:val="clear" w:color="auto" w:fill="D6F3E8"/>
          </w:tcPr>
          <w:p>
            <w:pPr>
              <w:jc w:val="right"/>
              <w:ind w:right="121"/>
              <w:spacing w:after="0"/>
              <w:rPr>
                <w:sz w:val="20"/>
                <w:szCs w:val="20"/>
                <w:color w:val="auto"/>
              </w:rPr>
            </w:pPr>
            <w:r>
              <w:rPr>
                <w:rFonts w:ascii="Arial" w:cs="Arial" w:eastAsia="Arial" w:hAnsi="Arial"/>
                <w:sz w:val="18"/>
                <w:szCs w:val="18"/>
                <w:color w:val="auto"/>
              </w:rPr>
              <w:t>201</w:t>
            </w:r>
          </w:p>
        </w:tc>
        <w:tc>
          <w:tcPr>
            <w:tcW w:w="440" w:type="dxa"/>
            <w:vAlign w:val="bottom"/>
            <w:shd w:val="clear" w:color="auto" w:fill="D6F3E8"/>
          </w:tcPr>
          <w:p>
            <w:pPr>
              <w:jc w:val="right"/>
              <w:ind w:right="112"/>
              <w:spacing w:after="0"/>
              <w:rPr>
                <w:sz w:val="20"/>
                <w:szCs w:val="20"/>
                <w:color w:val="auto"/>
              </w:rPr>
            </w:pPr>
            <w:r>
              <w:rPr>
                <w:rFonts w:ascii="Arial" w:cs="Arial" w:eastAsia="Arial" w:hAnsi="Arial"/>
                <w:sz w:val="18"/>
                <w:szCs w:val="18"/>
                <w:color w:val="auto"/>
              </w:rPr>
              <w:t>$</w:t>
            </w:r>
          </w:p>
        </w:tc>
        <w:tc>
          <w:tcPr>
            <w:tcW w:w="1160" w:type="dxa"/>
            <w:vAlign w:val="bottom"/>
            <w:shd w:val="clear" w:color="auto" w:fill="D6F3E8"/>
          </w:tcPr>
          <w:p>
            <w:pPr>
              <w:jc w:val="right"/>
              <w:ind w:right="98"/>
              <w:spacing w:after="0"/>
              <w:rPr>
                <w:sz w:val="20"/>
                <w:szCs w:val="20"/>
                <w:color w:val="auto"/>
              </w:rPr>
            </w:pPr>
            <w:r>
              <w:rPr>
                <w:rFonts w:ascii="Arial" w:cs="Arial" w:eastAsia="Arial" w:hAnsi="Arial"/>
                <w:sz w:val="18"/>
                <w:szCs w:val="18"/>
                <w:color w:val="auto"/>
              </w:rPr>
              <w:t>327</w:t>
            </w:r>
          </w:p>
        </w:tc>
        <w:tc>
          <w:tcPr>
            <w:tcW w:w="34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w:t>
            </w:r>
          </w:p>
        </w:tc>
        <w:tc>
          <w:tcPr>
            <w:tcW w:w="1240" w:type="dxa"/>
            <w:vAlign w:val="bottom"/>
            <w:shd w:val="clear" w:color="auto" w:fill="D6F3E8"/>
          </w:tcPr>
          <w:p>
            <w:pPr>
              <w:jc w:val="right"/>
              <w:ind w:right="101"/>
              <w:spacing w:after="0"/>
              <w:rPr>
                <w:sz w:val="20"/>
                <w:szCs w:val="20"/>
                <w:color w:val="auto"/>
              </w:rPr>
            </w:pPr>
            <w:r>
              <w:rPr>
                <w:rFonts w:ascii="Arial" w:cs="Arial" w:eastAsia="Arial" w:hAnsi="Arial"/>
                <w:sz w:val="18"/>
                <w:szCs w:val="18"/>
                <w:color w:val="auto"/>
              </w:rPr>
              <w:t>610</w:t>
            </w:r>
          </w:p>
        </w:tc>
        <w:tc>
          <w:tcPr>
            <w:tcW w:w="440" w:type="dxa"/>
            <w:vAlign w:val="bottom"/>
            <w:shd w:val="clear" w:color="auto" w:fill="D6F3E8"/>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shd w:val="clear" w:color="auto" w:fill="D6F3E8"/>
          </w:tcPr>
          <w:p>
            <w:pPr>
              <w:jc w:val="right"/>
              <w:ind w:right="2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Borders>
              <w:top w:val="single" w:sz="8" w:color="D6F3E8"/>
            </w:tcBorders>
          </w:tcPr>
          <w:p>
            <w:pPr>
              <w:spacing w:after="0" w:line="20" w:lineRule="exact"/>
              <w:rPr>
                <w:sz w:val="1"/>
                <w:szCs w:val="1"/>
                <w:color w:val="auto"/>
              </w:rPr>
            </w:pPr>
          </w:p>
        </w:tc>
        <w:tc>
          <w:tcPr>
            <w:tcW w:w="720" w:type="dxa"/>
            <w:vAlign w:val="bottom"/>
            <w:tcBorders>
              <w:top w:val="single" w:sz="8" w:color="D6F3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For accounting purposes, we recognized income from the plan for the first three quarters of both Fiscal 2009 and Fiscal 2008 due to the amortization of the cost savings from an amendment effective in September 2004, which amended our postretirement health care benefit by establishing a maximum employer contribution amount.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Contingent Liabilities and Commitments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Commitments</w:t>
      </w:r>
    </w:p>
    <w:p>
      <w:pPr>
        <w:spacing w:after="0" w:line="15"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Generally, companies in the RV industry enter into repurchase agreements with lending institutions which have provided wholesale floor plan financing to dealers. Most dealers’ motor homes are financed on a “floor plan” basis under which a bank or finance company lends the dealer all, or substantially all, of the purchase price, collateralized by a security interest in the motor homes purchased.</w:t>
      </w:r>
    </w:p>
    <w:p>
      <w:pPr>
        <w:spacing w:after="0" w:line="19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repurchase agreements provide that, in the event of default by the dealer on the agreement to pay the lending institution, we will repurchase the financed merchandise. The agreements provide that our liability will not exceed 100 percent of the dealer invoice and provide for periodic liability reductions based on the dealer’s equity in the inventory and the time since the date of the original invoice. Our contingent liability on these repurchase agreements was approximately $113.4 million at May 30, 2009.</w:t>
      </w:r>
    </w:p>
    <w:p>
      <w:pPr>
        <w:spacing w:after="0" w:line="197" w:lineRule="exact"/>
        <w:rPr>
          <w:sz w:val="20"/>
          <w:szCs w:val="20"/>
          <w:color w:val="auto"/>
        </w:rPr>
      </w:pPr>
    </w:p>
    <w:p>
      <w:pPr>
        <w:jc w:val="both"/>
        <w:ind w:right="120"/>
        <w:spacing w:after="0" w:line="298" w:lineRule="auto"/>
        <w:rPr>
          <w:sz w:val="20"/>
          <w:szCs w:val="20"/>
          <w:color w:val="auto"/>
        </w:rPr>
      </w:pPr>
      <w:r>
        <w:rPr>
          <w:rFonts w:ascii="Arial" w:cs="Arial" w:eastAsia="Arial" w:hAnsi="Arial"/>
          <w:sz w:val="16"/>
          <w:szCs w:val="16"/>
          <w:color w:val="auto"/>
        </w:rPr>
        <w:t>In certain instances, we also repurchase inventory from our dealers due to state law or regulatory requirements that govern voluntary or involuntary relationship terminations. Although laws vary from state to state, some states have laws in place that require manufacturers of motor vehicles to repurchase current inventory if a dealership exits the business. Incremental repurchase exposure beyond existing repurchase agreements, related to dealer inventory in states that we have had historical experience of repurchasing inventory, totaled $6.2 million at May 30, 2009.</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Based on our repurchase agreements and the incremental repurchase exposure explained above, we establish an associated loss reserve. Repurchased sales are not recorded as a revenue transaction, but the net difference between the original repurchase price and the resale price are recorded against the loss reserve, which is a deduction from gross revenue. There are two significant assumptions associated with establishing our loss reserve for repurchase commitments: (1) the percentage of dealer inventory that we will be required to repurchase as a result of defaults by dealers, and (2) the loss that will be incurred, if any, when repurchased inventory is resold. The percentage of dealer inventory we estimate we will repurchase is based on historical information, current trends and an analysis of dealer inventory aging for all dealers with inventory subject to this obligation. The estimated loss per repurchased unit is based primarily on recent history because until recently, we were generally able to sell repurchased units for minimal losses.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for repurchased units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40" w:type="dxa"/>
            <w:vAlign w:val="bottom"/>
          </w:tcPr>
          <w:p>
            <w:pPr>
              <w:jc w:val="center"/>
              <w:ind w:right="992"/>
              <w:spacing w:after="0"/>
              <w:rPr>
                <w:sz w:val="20"/>
                <w:szCs w:val="20"/>
                <w:color w:val="auto"/>
              </w:rPr>
            </w:pPr>
            <w:r>
              <w:rPr>
                <w:rFonts w:ascii="Arial" w:cs="Arial" w:eastAsia="Arial" w:hAnsi="Arial"/>
                <w:sz w:val="14"/>
                <w:szCs w:val="14"/>
                <w:b w:val="1"/>
                <w:bCs w:val="1"/>
                <w:color w:val="auto"/>
                <w:w w:val="90"/>
              </w:rPr>
              <w:t>Thirteen</w:t>
            </w:r>
          </w:p>
        </w:tc>
        <w:tc>
          <w:tcPr>
            <w:tcW w:w="1220" w:type="dxa"/>
            <w:vAlign w:val="bottom"/>
          </w:tcPr>
          <w:p>
            <w:pPr>
              <w:jc w:val="center"/>
              <w:ind w:left="412"/>
              <w:spacing w:after="0"/>
              <w:rPr>
                <w:sz w:val="20"/>
                <w:szCs w:val="20"/>
                <w:color w:val="auto"/>
              </w:rPr>
            </w:pPr>
            <w:r>
              <w:rPr>
                <w:rFonts w:ascii="Arial" w:cs="Arial" w:eastAsia="Arial" w:hAnsi="Arial"/>
                <w:sz w:val="14"/>
                <w:szCs w:val="14"/>
                <w:b w:val="1"/>
                <w:bCs w:val="1"/>
                <w:color w:val="auto"/>
                <w:w w:val="94"/>
              </w:rPr>
              <w:t>Thirty-Nine</w:t>
            </w:r>
          </w:p>
        </w:tc>
        <w:tc>
          <w:tcPr>
            <w:tcW w:w="1940" w:type="dxa"/>
            <w:vAlign w:val="bottom"/>
          </w:tcPr>
          <w:p>
            <w:pPr>
              <w:jc w:val="center"/>
              <w:ind w:left="412"/>
              <w:spacing w:after="0"/>
              <w:rPr>
                <w:sz w:val="20"/>
                <w:szCs w:val="20"/>
                <w:color w:val="auto"/>
              </w:rPr>
            </w:pPr>
            <w:r>
              <w:rPr>
                <w:rFonts w:ascii="Arial" w:cs="Arial" w:eastAsia="Arial" w:hAnsi="Arial"/>
                <w:sz w:val="14"/>
                <w:szCs w:val="14"/>
                <w:b w:val="1"/>
                <w:bCs w:val="1"/>
                <w:color w:val="auto"/>
                <w:w w:val="97"/>
              </w:rPr>
              <w:t>Forty</w:t>
            </w:r>
          </w:p>
        </w:tc>
      </w:tr>
      <w:tr>
        <w:trPr>
          <w:trHeight w:val="168"/>
        </w:trPr>
        <w:tc>
          <w:tcPr>
            <w:tcW w:w="52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jc w:val="center"/>
              <w:ind w:right="992"/>
              <w:spacing w:after="0"/>
              <w:rPr>
                <w:sz w:val="20"/>
                <w:szCs w:val="20"/>
                <w:color w:val="auto"/>
              </w:rPr>
            </w:pPr>
            <w:r>
              <w:rPr>
                <w:rFonts w:ascii="Arial" w:cs="Arial" w:eastAsia="Arial" w:hAnsi="Arial"/>
                <w:sz w:val="14"/>
                <w:szCs w:val="14"/>
                <w:b w:val="1"/>
                <w:bCs w:val="1"/>
                <w:color w:val="auto"/>
                <w:w w:val="85"/>
              </w:rPr>
              <w:t>Weeks Ended</w:t>
            </w:r>
          </w:p>
        </w:tc>
        <w:tc>
          <w:tcPr>
            <w:tcW w:w="12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Weeks Ended</w:t>
            </w:r>
          </w:p>
        </w:tc>
      </w:tr>
      <w:tr>
        <w:trPr>
          <w:trHeight w:val="136"/>
        </w:trPr>
        <w:tc>
          <w:tcPr>
            <w:tcW w:w="5280" w:type="dxa"/>
            <w:vAlign w:val="bottom"/>
          </w:tcPr>
          <w:p>
            <w:pPr>
              <w:spacing w:after="0"/>
              <w:rPr>
                <w:sz w:val="11"/>
                <w:szCs w:val="11"/>
                <w:color w:val="auto"/>
              </w:rPr>
            </w:pPr>
          </w:p>
        </w:tc>
        <w:tc>
          <w:tcPr>
            <w:tcW w:w="940" w:type="dxa"/>
            <w:vAlign w:val="bottom"/>
          </w:tcPr>
          <w:p>
            <w:pPr>
              <w:jc w:val="center"/>
              <w:ind w:left="212"/>
              <w:spacing w:after="0" w:line="136" w:lineRule="exact"/>
              <w:rPr>
                <w:sz w:val="20"/>
                <w:szCs w:val="20"/>
                <w:color w:val="auto"/>
              </w:rPr>
            </w:pPr>
            <w:r>
              <w:rPr>
                <w:rFonts w:ascii="Arial" w:cs="Arial" w:eastAsia="Arial" w:hAnsi="Arial"/>
                <w:sz w:val="14"/>
                <w:szCs w:val="14"/>
                <w:b w:val="1"/>
                <w:bCs w:val="1"/>
                <w:color w:val="auto"/>
                <w:w w:val="90"/>
              </w:rPr>
              <w:t>May 30,</w:t>
            </w:r>
          </w:p>
        </w:tc>
        <w:tc>
          <w:tcPr>
            <w:tcW w:w="2040" w:type="dxa"/>
            <w:vAlign w:val="bottom"/>
          </w:tcPr>
          <w:p>
            <w:pPr>
              <w:jc w:val="center"/>
              <w:ind w:left="472"/>
              <w:spacing w:after="0" w:line="136" w:lineRule="exact"/>
              <w:rPr>
                <w:sz w:val="20"/>
                <w:szCs w:val="20"/>
                <w:color w:val="auto"/>
              </w:rPr>
            </w:pPr>
            <w:r>
              <w:rPr>
                <w:rFonts w:ascii="Arial" w:cs="Arial" w:eastAsia="Arial" w:hAnsi="Arial"/>
                <w:sz w:val="14"/>
                <w:szCs w:val="14"/>
                <w:b w:val="1"/>
                <w:bCs w:val="1"/>
                <w:color w:val="auto"/>
                <w:w w:val="90"/>
              </w:rPr>
              <w:t>May 31,</w:t>
            </w:r>
          </w:p>
        </w:tc>
        <w:tc>
          <w:tcPr>
            <w:tcW w:w="1220" w:type="dxa"/>
            <w:vAlign w:val="bottom"/>
          </w:tcPr>
          <w:p>
            <w:pPr>
              <w:jc w:val="center"/>
              <w:ind w:left="372"/>
              <w:spacing w:after="0" w:line="136" w:lineRule="exact"/>
              <w:rPr>
                <w:sz w:val="20"/>
                <w:szCs w:val="20"/>
                <w:color w:val="auto"/>
              </w:rPr>
            </w:pPr>
            <w:r>
              <w:rPr>
                <w:rFonts w:ascii="Arial" w:cs="Arial" w:eastAsia="Arial" w:hAnsi="Arial"/>
                <w:sz w:val="14"/>
                <w:szCs w:val="14"/>
                <w:b w:val="1"/>
                <w:bCs w:val="1"/>
                <w:color w:val="auto"/>
                <w:w w:val="90"/>
              </w:rPr>
              <w:t>May 30,</w:t>
            </w:r>
          </w:p>
        </w:tc>
        <w:tc>
          <w:tcPr>
            <w:tcW w:w="1940" w:type="dxa"/>
            <w:vAlign w:val="bottom"/>
          </w:tcPr>
          <w:p>
            <w:pPr>
              <w:jc w:val="center"/>
              <w:ind w:left="372"/>
              <w:spacing w:after="0" w:line="136" w:lineRule="exact"/>
              <w:rPr>
                <w:sz w:val="20"/>
                <w:szCs w:val="20"/>
                <w:color w:val="auto"/>
              </w:rPr>
            </w:pPr>
            <w:r>
              <w:rPr>
                <w:rFonts w:ascii="Arial" w:cs="Arial" w:eastAsia="Arial" w:hAnsi="Arial"/>
                <w:sz w:val="14"/>
                <w:szCs w:val="14"/>
                <w:b w:val="1"/>
                <w:bCs w:val="1"/>
                <w:color w:val="auto"/>
                <w:w w:val="90"/>
              </w:rPr>
              <w:t>May 31,</w:t>
            </w:r>
          </w:p>
        </w:tc>
      </w:tr>
      <w:tr>
        <w:trPr>
          <w:trHeight w:val="168"/>
        </w:trPr>
        <w:tc>
          <w:tcPr>
            <w:tcW w:w="5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thousands)</w:t>
            </w:r>
          </w:p>
        </w:tc>
        <w:tc>
          <w:tcPr>
            <w:tcW w:w="9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20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2008</w:t>
            </w:r>
          </w:p>
        </w:tc>
        <w:tc>
          <w:tcPr>
            <w:tcW w:w="1220" w:type="dxa"/>
            <w:vAlign w:val="bottom"/>
            <w:tcBorders>
              <w:bottom w:val="single" w:sz="8" w:color="auto"/>
            </w:tcBorders>
          </w:tcPr>
          <w:p>
            <w:pPr>
              <w:jc w:val="center"/>
              <w:ind w:left="412"/>
              <w:spacing w:after="0"/>
              <w:rPr>
                <w:sz w:val="20"/>
                <w:szCs w:val="20"/>
                <w:color w:val="auto"/>
              </w:rPr>
            </w:pPr>
            <w:r>
              <w:rPr>
                <w:rFonts w:ascii="Arial" w:cs="Arial" w:eastAsia="Arial" w:hAnsi="Arial"/>
                <w:sz w:val="14"/>
                <w:szCs w:val="14"/>
                <w:b w:val="1"/>
                <w:bCs w:val="1"/>
                <w:color w:val="auto"/>
                <w:w w:val="83"/>
              </w:rPr>
              <w:t>2009</w:t>
            </w:r>
          </w:p>
        </w:tc>
        <w:tc>
          <w:tcPr>
            <w:tcW w:w="1940" w:type="dxa"/>
            <w:vAlign w:val="bottom"/>
            <w:tcBorders>
              <w:bottom w:val="single" w:sz="8" w:color="auto"/>
            </w:tcBorders>
          </w:tcPr>
          <w:p>
            <w:pPr>
              <w:jc w:val="center"/>
              <w:ind w:left="412"/>
              <w:spacing w:after="0"/>
              <w:rPr>
                <w:sz w:val="20"/>
                <w:szCs w:val="20"/>
                <w:color w:val="auto"/>
              </w:rPr>
            </w:pPr>
            <w:r>
              <w:rPr>
                <w:rFonts w:ascii="Arial" w:cs="Arial" w:eastAsia="Arial" w:hAnsi="Arial"/>
                <w:sz w:val="14"/>
                <w:szCs w:val="14"/>
                <w:b w:val="1"/>
                <w:bCs w:val="1"/>
                <w:color w:val="auto"/>
                <w:w w:val="83"/>
              </w:rPr>
              <w:t>2008</w:t>
            </w:r>
          </w:p>
        </w:tc>
      </w:tr>
      <w:tr>
        <w:trPr>
          <w:trHeight w:val="222"/>
        </w:trPr>
        <w:tc>
          <w:tcPr>
            <w:tcW w:w="5280" w:type="dxa"/>
            <w:vAlign w:val="bottom"/>
          </w:tcPr>
          <w:p>
            <w:pPr>
              <w:spacing w:after="0"/>
              <w:rPr>
                <w:sz w:val="20"/>
                <w:szCs w:val="20"/>
                <w:color w:val="auto"/>
              </w:rPr>
            </w:pPr>
            <w:r>
              <w:rPr>
                <w:rFonts w:ascii="Arial" w:cs="Arial" w:eastAsia="Arial" w:hAnsi="Arial"/>
                <w:sz w:val="18"/>
                <w:szCs w:val="18"/>
                <w:color w:val="auto"/>
              </w:rPr>
              <w:t>Inventory repurchased</w:t>
            </w:r>
          </w:p>
        </w:tc>
        <w:tc>
          <w:tcPr>
            <w:tcW w:w="9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940" w:type="dxa"/>
            <w:vAlign w:val="bottom"/>
          </w:tcPr>
          <w:p>
            <w:pPr>
              <w:spacing w:after="0"/>
              <w:rPr>
                <w:sz w:val="19"/>
                <w:szCs w:val="19"/>
                <w:color w:val="auto"/>
              </w:rPr>
            </w:pPr>
          </w:p>
        </w:tc>
      </w:tr>
    </w:tbl>
    <w:p>
      <w:pPr>
        <w:sectPr>
          <w:pgSz w:w="11900" w:h="16838" w:orient="portrait"/>
          <w:cols w:equalWidth="0" w:num="1">
            <w:col w:w="11420"/>
          </w:cols>
          <w:pgMar w:left="240" w:top="131" w:right="2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shd w:val="clear" w:color="auto" w:fill="D6F3E8"/>
          </w:tcPr>
          <w:p>
            <w:pPr>
              <w:ind w:left="340"/>
              <w:spacing w:after="0"/>
              <w:rPr>
                <w:sz w:val="20"/>
                <w:szCs w:val="20"/>
                <w:color w:val="auto"/>
              </w:rPr>
            </w:pPr>
            <w:r>
              <w:rPr>
                <w:rFonts w:ascii="Arial" w:cs="Arial" w:eastAsia="Arial" w:hAnsi="Arial"/>
                <w:sz w:val="18"/>
                <w:szCs w:val="18"/>
                <w:color w:val="auto"/>
              </w:rPr>
              <w:t>Units</w:t>
            </w:r>
          </w:p>
        </w:tc>
        <w:tc>
          <w:tcPr>
            <w:tcW w:w="2380" w:type="dxa"/>
            <w:vAlign w:val="bottom"/>
            <w:shd w:val="clear" w:color="auto" w:fill="D6F3E8"/>
          </w:tcPr>
          <w:p>
            <w:pPr>
              <w:spacing w:after="0"/>
              <w:rPr>
                <w:sz w:val="18"/>
                <w:szCs w:val="18"/>
                <w:color w:val="auto"/>
              </w:rPr>
            </w:pPr>
          </w:p>
        </w:tc>
        <w:tc>
          <w:tcPr>
            <w:tcW w:w="96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rPr>
              <w:t>51</w:t>
            </w:r>
          </w:p>
        </w:tc>
        <w:tc>
          <w:tcPr>
            <w:tcW w:w="720" w:type="dxa"/>
            <w:vAlign w:val="bottom"/>
            <w:shd w:val="clear" w:color="auto" w:fill="D6F3E8"/>
          </w:tcPr>
          <w:p>
            <w:pPr>
              <w:spacing w:after="0"/>
              <w:rPr>
                <w:sz w:val="18"/>
                <w:szCs w:val="18"/>
                <w:color w:val="auto"/>
              </w:rPr>
            </w:pPr>
          </w:p>
        </w:tc>
        <w:tc>
          <w:tcPr>
            <w:tcW w:w="880" w:type="dxa"/>
            <w:vAlign w:val="bottom"/>
            <w:shd w:val="clear" w:color="auto" w:fill="D6F3E8"/>
          </w:tcPr>
          <w:p>
            <w:pPr>
              <w:jc w:val="right"/>
              <w:ind w:right="72"/>
              <w:spacing w:after="0"/>
              <w:rPr>
                <w:sz w:val="20"/>
                <w:szCs w:val="20"/>
                <w:color w:val="auto"/>
              </w:rPr>
            </w:pPr>
            <w:r>
              <w:rPr>
                <w:rFonts w:ascii="Arial" w:cs="Arial" w:eastAsia="Arial" w:hAnsi="Arial"/>
                <w:sz w:val="18"/>
                <w:szCs w:val="18"/>
                <w:color w:val="auto"/>
              </w:rPr>
              <w:t>5</w:t>
            </w:r>
          </w:p>
        </w:tc>
        <w:tc>
          <w:tcPr>
            <w:tcW w:w="600" w:type="dxa"/>
            <w:vAlign w:val="bottom"/>
            <w:shd w:val="clear" w:color="auto" w:fill="D6F3E8"/>
          </w:tcPr>
          <w:p>
            <w:pPr>
              <w:spacing w:after="0"/>
              <w:rPr>
                <w:sz w:val="18"/>
                <w:szCs w:val="18"/>
                <w:color w:val="auto"/>
              </w:rPr>
            </w:pPr>
          </w:p>
        </w:tc>
        <w:tc>
          <w:tcPr>
            <w:tcW w:w="980" w:type="dxa"/>
            <w:vAlign w:val="bottom"/>
            <w:shd w:val="clear" w:color="auto" w:fill="D6F3E8"/>
          </w:tcPr>
          <w:p>
            <w:pPr>
              <w:jc w:val="right"/>
              <w:ind w:right="72"/>
              <w:spacing w:after="0"/>
              <w:rPr>
                <w:sz w:val="20"/>
                <w:szCs w:val="20"/>
                <w:color w:val="auto"/>
              </w:rPr>
            </w:pPr>
            <w:r>
              <w:rPr>
                <w:rFonts w:ascii="Arial" w:cs="Arial" w:eastAsia="Arial" w:hAnsi="Arial"/>
                <w:sz w:val="18"/>
                <w:szCs w:val="18"/>
                <w:color w:val="auto"/>
              </w:rPr>
              <w:t>123</w:t>
            </w:r>
          </w:p>
        </w:tc>
        <w:tc>
          <w:tcPr>
            <w:tcW w:w="640" w:type="dxa"/>
            <w:vAlign w:val="bottom"/>
            <w:shd w:val="clear" w:color="auto" w:fill="D6F3E8"/>
          </w:tcPr>
          <w:p>
            <w:pPr>
              <w:spacing w:after="0"/>
              <w:rPr>
                <w:sz w:val="18"/>
                <w:szCs w:val="18"/>
                <w:color w:val="auto"/>
              </w:rPr>
            </w:pPr>
          </w:p>
        </w:tc>
        <w:tc>
          <w:tcPr>
            <w:tcW w:w="88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25</w:t>
            </w:r>
          </w:p>
        </w:tc>
      </w:tr>
      <w:tr>
        <w:trPr>
          <w:trHeight w:val="208"/>
        </w:trPr>
        <w:tc>
          <w:tcPr>
            <w:tcW w:w="3380" w:type="dxa"/>
            <w:vAlign w:val="bottom"/>
          </w:tcPr>
          <w:p>
            <w:pPr>
              <w:ind w:left="340"/>
              <w:spacing w:after="0"/>
              <w:rPr>
                <w:sz w:val="20"/>
                <w:szCs w:val="20"/>
                <w:color w:val="auto"/>
              </w:rPr>
            </w:pPr>
            <w:r>
              <w:rPr>
                <w:rFonts w:ascii="Arial" w:cs="Arial" w:eastAsia="Arial" w:hAnsi="Arial"/>
                <w:sz w:val="18"/>
                <w:szCs w:val="18"/>
                <w:color w:val="auto"/>
              </w:rPr>
              <w:t>Dollars</w:t>
            </w:r>
          </w:p>
        </w:tc>
        <w:tc>
          <w:tcPr>
            <w:tcW w:w="238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4,880</w:t>
            </w:r>
          </w:p>
        </w:tc>
        <w:tc>
          <w:tcPr>
            <w:tcW w:w="72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360</w:t>
            </w:r>
          </w:p>
        </w:tc>
        <w:tc>
          <w:tcPr>
            <w:tcW w:w="6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11,348</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2,057</w:t>
            </w:r>
          </w:p>
        </w:tc>
      </w:tr>
      <w:tr>
        <w:trPr>
          <w:trHeight w:val="223"/>
        </w:trPr>
        <w:tc>
          <w:tcPr>
            <w:tcW w:w="3380" w:type="dxa"/>
            <w:vAlign w:val="bottom"/>
          </w:tcPr>
          <w:p>
            <w:pPr>
              <w:spacing w:after="0"/>
              <w:rPr>
                <w:sz w:val="20"/>
                <w:szCs w:val="20"/>
                <w:color w:val="auto"/>
              </w:rPr>
            </w:pPr>
            <w:r>
              <w:rPr>
                <w:rFonts w:ascii="Arial" w:cs="Arial" w:eastAsia="Arial" w:hAnsi="Arial"/>
                <w:sz w:val="18"/>
                <w:szCs w:val="18"/>
                <w:color w:val="auto"/>
              </w:rPr>
              <w:t>Inventory resold</w:t>
            </w:r>
          </w:p>
        </w:tc>
        <w:tc>
          <w:tcPr>
            <w:tcW w:w="2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7"/>
        </w:trPr>
        <w:tc>
          <w:tcPr>
            <w:tcW w:w="3380" w:type="dxa"/>
            <w:vAlign w:val="bottom"/>
            <w:shd w:val="clear" w:color="auto" w:fill="D6F3E8"/>
          </w:tcPr>
          <w:p>
            <w:pPr>
              <w:ind w:left="340"/>
              <w:spacing w:after="0"/>
              <w:rPr>
                <w:sz w:val="20"/>
                <w:szCs w:val="20"/>
                <w:color w:val="auto"/>
              </w:rPr>
            </w:pPr>
            <w:r>
              <w:rPr>
                <w:rFonts w:ascii="Arial" w:cs="Arial" w:eastAsia="Arial" w:hAnsi="Arial"/>
                <w:sz w:val="18"/>
                <w:szCs w:val="18"/>
                <w:color w:val="auto"/>
              </w:rPr>
              <w:t>Units</w:t>
            </w:r>
          </w:p>
        </w:tc>
        <w:tc>
          <w:tcPr>
            <w:tcW w:w="2380" w:type="dxa"/>
            <w:vAlign w:val="bottom"/>
            <w:shd w:val="clear" w:color="auto" w:fill="D6F3E8"/>
          </w:tcPr>
          <w:p>
            <w:pPr>
              <w:spacing w:after="0"/>
              <w:rPr>
                <w:sz w:val="18"/>
                <w:szCs w:val="18"/>
                <w:color w:val="auto"/>
              </w:rPr>
            </w:pPr>
          </w:p>
        </w:tc>
        <w:tc>
          <w:tcPr>
            <w:tcW w:w="96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rPr>
              <w:t>58</w:t>
            </w:r>
          </w:p>
        </w:tc>
        <w:tc>
          <w:tcPr>
            <w:tcW w:w="720" w:type="dxa"/>
            <w:vAlign w:val="bottom"/>
            <w:shd w:val="clear" w:color="auto" w:fill="D6F3E8"/>
          </w:tcPr>
          <w:p>
            <w:pPr>
              <w:spacing w:after="0"/>
              <w:rPr>
                <w:sz w:val="18"/>
                <w:szCs w:val="18"/>
                <w:color w:val="auto"/>
              </w:rPr>
            </w:pPr>
          </w:p>
        </w:tc>
        <w:tc>
          <w:tcPr>
            <w:tcW w:w="880" w:type="dxa"/>
            <w:vAlign w:val="bottom"/>
            <w:shd w:val="clear" w:color="auto" w:fill="D6F3E8"/>
          </w:tcPr>
          <w:p>
            <w:pPr>
              <w:jc w:val="right"/>
              <w:ind w:right="72"/>
              <w:spacing w:after="0"/>
              <w:rPr>
                <w:sz w:val="20"/>
                <w:szCs w:val="20"/>
                <w:color w:val="auto"/>
              </w:rPr>
            </w:pPr>
            <w:r>
              <w:rPr>
                <w:rFonts w:ascii="Arial" w:cs="Arial" w:eastAsia="Arial" w:hAnsi="Arial"/>
                <w:sz w:val="18"/>
                <w:szCs w:val="18"/>
                <w:color w:val="auto"/>
              </w:rPr>
              <w:t>6</w:t>
            </w:r>
          </w:p>
        </w:tc>
        <w:tc>
          <w:tcPr>
            <w:tcW w:w="600" w:type="dxa"/>
            <w:vAlign w:val="bottom"/>
            <w:shd w:val="clear" w:color="auto" w:fill="D6F3E8"/>
          </w:tcPr>
          <w:p>
            <w:pPr>
              <w:spacing w:after="0"/>
              <w:rPr>
                <w:sz w:val="18"/>
                <w:szCs w:val="18"/>
                <w:color w:val="auto"/>
              </w:rPr>
            </w:pPr>
          </w:p>
        </w:tc>
        <w:tc>
          <w:tcPr>
            <w:tcW w:w="980" w:type="dxa"/>
            <w:vAlign w:val="bottom"/>
            <w:shd w:val="clear" w:color="auto" w:fill="D6F3E8"/>
          </w:tcPr>
          <w:p>
            <w:pPr>
              <w:jc w:val="right"/>
              <w:ind w:right="72"/>
              <w:spacing w:after="0"/>
              <w:rPr>
                <w:sz w:val="20"/>
                <w:szCs w:val="20"/>
                <w:color w:val="auto"/>
              </w:rPr>
            </w:pPr>
            <w:r>
              <w:rPr>
                <w:rFonts w:ascii="Arial" w:cs="Arial" w:eastAsia="Arial" w:hAnsi="Arial"/>
                <w:sz w:val="18"/>
                <w:szCs w:val="18"/>
                <w:color w:val="auto"/>
              </w:rPr>
              <w:t>128</w:t>
            </w:r>
          </w:p>
        </w:tc>
        <w:tc>
          <w:tcPr>
            <w:tcW w:w="640" w:type="dxa"/>
            <w:vAlign w:val="bottom"/>
            <w:shd w:val="clear" w:color="auto" w:fill="D6F3E8"/>
          </w:tcPr>
          <w:p>
            <w:pPr>
              <w:spacing w:after="0"/>
              <w:rPr>
                <w:sz w:val="18"/>
                <w:szCs w:val="18"/>
                <w:color w:val="auto"/>
              </w:rPr>
            </w:pPr>
          </w:p>
        </w:tc>
        <w:tc>
          <w:tcPr>
            <w:tcW w:w="88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24</w:t>
            </w:r>
          </w:p>
        </w:tc>
      </w:tr>
      <w:tr>
        <w:trPr>
          <w:trHeight w:val="216"/>
        </w:trPr>
        <w:tc>
          <w:tcPr>
            <w:tcW w:w="3380" w:type="dxa"/>
            <w:vAlign w:val="bottom"/>
          </w:tcPr>
          <w:p>
            <w:pPr>
              <w:ind w:left="340"/>
              <w:spacing w:after="0"/>
              <w:rPr>
                <w:sz w:val="20"/>
                <w:szCs w:val="20"/>
                <w:color w:val="auto"/>
              </w:rPr>
            </w:pPr>
            <w:r>
              <w:rPr>
                <w:rFonts w:ascii="Arial" w:cs="Arial" w:eastAsia="Arial" w:hAnsi="Arial"/>
                <w:sz w:val="18"/>
                <w:szCs w:val="18"/>
                <w:color w:val="auto"/>
              </w:rPr>
              <w:t>Cash collected</w:t>
            </w:r>
          </w:p>
        </w:tc>
        <w:tc>
          <w:tcPr>
            <w:tcW w:w="238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4,625</w:t>
            </w:r>
          </w:p>
        </w:tc>
        <w:tc>
          <w:tcPr>
            <w:tcW w:w="72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473</w:t>
            </w:r>
          </w:p>
        </w:tc>
        <w:tc>
          <w:tcPr>
            <w:tcW w:w="6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9,868</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1,836</w:t>
            </w:r>
          </w:p>
        </w:tc>
      </w:tr>
      <w:tr>
        <w:trPr>
          <w:trHeight w:val="216"/>
        </w:trPr>
        <w:tc>
          <w:tcPr>
            <w:tcW w:w="3380" w:type="dxa"/>
            <w:vAlign w:val="bottom"/>
            <w:shd w:val="clear" w:color="auto" w:fill="D6F3E8"/>
          </w:tcPr>
          <w:p>
            <w:pPr>
              <w:ind w:left="340"/>
              <w:spacing w:after="0"/>
              <w:rPr>
                <w:sz w:val="20"/>
                <w:szCs w:val="20"/>
                <w:color w:val="auto"/>
              </w:rPr>
            </w:pPr>
            <w:r>
              <w:rPr>
                <w:rFonts w:ascii="Arial" w:cs="Arial" w:eastAsia="Arial" w:hAnsi="Arial"/>
                <w:sz w:val="18"/>
                <w:szCs w:val="18"/>
                <w:color w:val="auto"/>
              </w:rPr>
              <w:t>Loss recognized</w:t>
            </w:r>
          </w:p>
        </w:tc>
        <w:tc>
          <w:tcPr>
            <w:tcW w:w="2380" w:type="dxa"/>
            <w:vAlign w:val="bottom"/>
            <w:shd w:val="clear" w:color="auto" w:fill="D6F3E8"/>
          </w:tcPr>
          <w:p>
            <w:pPr>
              <w:jc w:val="right"/>
              <w:ind w:right="312"/>
              <w:spacing w:after="0"/>
              <w:rPr>
                <w:sz w:val="20"/>
                <w:szCs w:val="20"/>
                <w:color w:val="auto"/>
              </w:rPr>
            </w:pPr>
            <w:r>
              <w:rPr>
                <w:rFonts w:ascii="Arial" w:cs="Arial" w:eastAsia="Arial" w:hAnsi="Arial"/>
                <w:sz w:val="18"/>
                <w:szCs w:val="18"/>
                <w:color w:val="auto"/>
              </w:rPr>
              <w:t>$</w:t>
            </w:r>
          </w:p>
        </w:tc>
        <w:tc>
          <w:tcPr>
            <w:tcW w:w="96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rPr>
              <w:t>1,011</w:t>
            </w:r>
          </w:p>
        </w:tc>
        <w:tc>
          <w:tcPr>
            <w:tcW w:w="720" w:type="dxa"/>
            <w:vAlign w:val="bottom"/>
            <w:shd w:val="clear" w:color="auto" w:fill="D6F3E8"/>
          </w:tcPr>
          <w:p>
            <w:pPr>
              <w:jc w:val="right"/>
              <w:ind w:right="372"/>
              <w:spacing w:after="0"/>
              <w:rPr>
                <w:sz w:val="20"/>
                <w:szCs w:val="20"/>
                <w:color w:val="auto"/>
              </w:rPr>
            </w:pPr>
            <w:r>
              <w:rPr>
                <w:rFonts w:ascii="Arial" w:cs="Arial" w:eastAsia="Arial" w:hAnsi="Arial"/>
                <w:sz w:val="18"/>
                <w:szCs w:val="18"/>
                <w:color w:val="auto"/>
              </w:rPr>
              <w:t>$</w:t>
            </w:r>
          </w:p>
        </w:tc>
        <w:tc>
          <w:tcPr>
            <w:tcW w:w="880" w:type="dxa"/>
            <w:vAlign w:val="bottom"/>
            <w:shd w:val="clear" w:color="auto" w:fill="D6F3E8"/>
          </w:tcPr>
          <w:p>
            <w:pPr>
              <w:jc w:val="right"/>
              <w:ind w:right="72"/>
              <w:spacing w:after="0"/>
              <w:rPr>
                <w:sz w:val="20"/>
                <w:szCs w:val="20"/>
                <w:color w:val="auto"/>
              </w:rPr>
            </w:pPr>
            <w:r>
              <w:rPr>
                <w:rFonts w:ascii="Arial" w:cs="Arial" w:eastAsia="Arial" w:hAnsi="Arial"/>
                <w:sz w:val="18"/>
                <w:szCs w:val="18"/>
                <w:color w:val="auto"/>
              </w:rPr>
              <w:t>55</w:t>
            </w:r>
          </w:p>
        </w:tc>
        <w:tc>
          <w:tcPr>
            <w:tcW w:w="600" w:type="dxa"/>
            <w:vAlign w:val="bottom"/>
            <w:shd w:val="clear" w:color="auto" w:fill="D6F3E8"/>
          </w:tcPr>
          <w:p>
            <w:pPr>
              <w:jc w:val="right"/>
              <w:ind w:right="252"/>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ind w:right="72"/>
              <w:spacing w:after="0"/>
              <w:rPr>
                <w:sz w:val="20"/>
                <w:szCs w:val="20"/>
                <w:color w:val="auto"/>
              </w:rPr>
            </w:pPr>
            <w:r>
              <w:rPr>
                <w:rFonts w:ascii="Arial" w:cs="Arial" w:eastAsia="Arial" w:hAnsi="Arial"/>
                <w:sz w:val="18"/>
                <w:szCs w:val="18"/>
                <w:color w:val="auto"/>
              </w:rPr>
              <w:t>1,967</w:t>
            </w:r>
          </w:p>
        </w:tc>
        <w:tc>
          <w:tcPr>
            <w:tcW w:w="640" w:type="dxa"/>
            <w:vAlign w:val="bottom"/>
            <w:shd w:val="clear" w:color="auto" w:fill="D6F3E8"/>
          </w:tcPr>
          <w:p>
            <w:pPr>
              <w:jc w:val="right"/>
              <w:ind w:right="292"/>
              <w:spacing w:after="0"/>
              <w:rPr>
                <w:sz w:val="20"/>
                <w:szCs w:val="20"/>
                <w:color w:val="auto"/>
              </w:rPr>
            </w:pPr>
            <w:r>
              <w:rPr>
                <w:rFonts w:ascii="Arial" w:cs="Arial" w:eastAsia="Arial" w:hAnsi="Arial"/>
                <w:sz w:val="18"/>
                <w:szCs w:val="18"/>
                <w:color w:val="auto"/>
              </w:rPr>
              <w:t>$</w:t>
            </w:r>
          </w:p>
        </w:tc>
        <w:tc>
          <w:tcPr>
            <w:tcW w:w="88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155</w:t>
            </w:r>
          </w:p>
        </w:tc>
      </w:tr>
    </w:tbl>
    <w:p>
      <w:pPr>
        <w:spacing w:after="0" w:line="140"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As noted in the table above, during the first three quarters of Fiscal 2009, we incurred a significant increase in losses associated with repurchases due to challenging motor home industry conditions. As a result, we significantly increased our repurchase loss reserve during Fiscal 2009 to provide for potential future losses due to unfavorable experience. The repurchase loss reserve at May 30, 2009 and August 30, 2008 was $1.8 million and $661,000,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For Suppliers</w:t>
      </w:r>
    </w:p>
    <w:p>
      <w:pPr>
        <w:spacing w:after="0" w:line="1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During the second quarter of Fiscal 2004, we entered into a five-year limited guaranty agreement (“Guaranty Agreement”) with a leasing corporation (“Landlord”) and an unaffiliated third-party paint supplier (the “Supplier”). The Landlord constructed a paint facility through debt financing on land adjoining our Charles City manufacturing plant for the Supplier. The Landlord and the Supplier signed a ten-year lease agreement which commenced on August 1, 2004. The Guaranty Agreement states that we will guarantee the first 60 monthly lease payments (totaling approximately $1.6 million of which $52,000 was remaining as of May 30, 2009). In the event of rental default before August 2009 and the Supplier’s failure to correct the default, the Landlord shall give us (Guarantor) written notice of its intent to terminate said lease. At the time of this notification, we will have various options that we must exercise in a timely manner. One is to exercise an option to purchase the real estate with improvements from the Landlord. The price we would pay would be the outstanding loan owed by the Landlord to construct the paint facility, which was approximately $1.2 million as of May 30, 2009. As of May 30, 2009, the Supplier is current with its lease payment obligations to the Landlord. In August 2004, approximately $315,000 was recorded by us as the estimated fair value for the guarantee. As of May 30, 2009, the fair value of the guarantee was approximately $10,000 and presented as prepaid expenses and other accrued liabilities in the accompanying consolidated balance sheets.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5" w:lineRule="exact"/>
        <w:rPr>
          <w:sz w:val="20"/>
          <w:szCs w:val="20"/>
          <w:color w:val="auto"/>
        </w:rPr>
      </w:pPr>
    </w:p>
    <w:p>
      <w:pPr>
        <w:jc w:val="both"/>
        <w:ind w:right="220"/>
        <w:spacing w:after="0" w:line="295" w:lineRule="auto"/>
        <w:rPr>
          <w:sz w:val="20"/>
          <w:szCs w:val="20"/>
          <w:color w:val="auto"/>
        </w:rPr>
      </w:pPr>
      <w:r>
        <w:rPr>
          <w:rFonts w:ascii="Arial" w:cs="Arial" w:eastAsia="Arial" w:hAnsi="Arial"/>
          <w:sz w:val="16"/>
          <w:szCs w:val="16"/>
          <w:color w:val="auto"/>
        </w:rPr>
        <w:t>We are involved in various legal proceedings which are ordinary routine litigation incidental to our business, some of which are covered in whole or in part by insurance. While it is impossible to estimate with certainty the ultimate legal and financial liability with respect to this litigation, we believe that while the final resolution of any such litigation may have an impact on our consolidated results for a particular reporting period, the ultimate disposition of such litigation will not have any material adverse effect on our financial position, results of operations or liquidity.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(Loss) Income Per Share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calculation of basic and diluted (loss) income per share: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Thirteen</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jc w:val="center"/>
              <w:ind w:right="299"/>
              <w:spacing w:after="0"/>
              <w:rPr>
                <w:sz w:val="20"/>
                <w:szCs w:val="20"/>
                <w:color w:val="auto"/>
              </w:rPr>
            </w:pPr>
            <w:r>
              <w:rPr>
                <w:rFonts w:ascii="Arial" w:cs="Arial" w:eastAsia="Arial" w:hAnsi="Arial"/>
                <w:sz w:val="14"/>
                <w:szCs w:val="14"/>
                <w:b w:val="1"/>
                <w:bCs w:val="1"/>
                <w:color w:val="auto"/>
                <w:w w:val="94"/>
              </w:rPr>
              <w:t>Thirty-Nine</w:t>
            </w:r>
          </w:p>
        </w:tc>
        <w:tc>
          <w:tcPr>
            <w:tcW w:w="440" w:type="dxa"/>
            <w:vAlign w:val="bottom"/>
          </w:tcPr>
          <w:p>
            <w:pPr>
              <w:spacing w:after="0"/>
              <w:rPr>
                <w:sz w:val="14"/>
                <w:szCs w:val="14"/>
                <w:color w:val="auto"/>
              </w:rPr>
            </w:pPr>
          </w:p>
        </w:tc>
        <w:tc>
          <w:tcPr>
            <w:tcW w:w="1060" w:type="dxa"/>
            <w:vAlign w:val="bottom"/>
          </w:tcPr>
          <w:p>
            <w:pPr>
              <w:jc w:val="center"/>
              <w:ind w:right="318"/>
              <w:spacing w:after="0"/>
              <w:rPr>
                <w:sz w:val="20"/>
                <w:szCs w:val="20"/>
                <w:color w:val="auto"/>
              </w:rPr>
            </w:pPr>
            <w:r>
              <w:rPr>
                <w:rFonts w:ascii="Arial" w:cs="Arial" w:eastAsia="Arial" w:hAnsi="Arial"/>
                <w:sz w:val="14"/>
                <w:szCs w:val="14"/>
                <w:b w:val="1"/>
                <w:bCs w:val="1"/>
                <w:color w:val="auto"/>
                <w:w w:val="97"/>
              </w:rPr>
              <w:t>Forty</w:t>
            </w:r>
          </w:p>
        </w:tc>
        <w:tc>
          <w:tcPr>
            <w:tcW w:w="0" w:type="dxa"/>
            <w:vAlign w:val="bottom"/>
          </w:tcPr>
          <w:p>
            <w:pPr>
              <w:spacing w:after="0"/>
              <w:rPr>
                <w:sz w:val="1"/>
                <w:szCs w:val="1"/>
                <w:color w:val="auto"/>
              </w:rPr>
            </w:pPr>
          </w:p>
        </w:tc>
      </w:tr>
      <w:tr>
        <w:trPr>
          <w:trHeight w:val="168"/>
        </w:trPr>
        <w:tc>
          <w:tcPr>
            <w:tcW w:w="2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Weeks Ended</w:t>
            </w:r>
          </w:p>
        </w:tc>
        <w:tc>
          <w:tcPr>
            <w:tcW w:w="1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Weeks Ended</w:t>
            </w: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ind w:right="539"/>
              <w:spacing w:after="0" w:line="136" w:lineRule="exact"/>
              <w:rPr>
                <w:sz w:val="20"/>
                <w:szCs w:val="20"/>
                <w:color w:val="auto"/>
              </w:rPr>
            </w:pPr>
            <w:r>
              <w:rPr>
                <w:rFonts w:ascii="Arial" w:cs="Arial" w:eastAsia="Arial" w:hAnsi="Arial"/>
                <w:sz w:val="14"/>
                <w:szCs w:val="14"/>
                <w:b w:val="1"/>
                <w:bCs w:val="1"/>
                <w:color w:val="auto"/>
              </w:rPr>
              <w:t>May 30,</w:t>
            </w:r>
          </w:p>
        </w:tc>
        <w:tc>
          <w:tcPr>
            <w:tcW w:w="440" w:type="dxa"/>
            <w:vAlign w:val="bottom"/>
          </w:tcPr>
          <w:p>
            <w:pPr>
              <w:spacing w:after="0"/>
              <w:rPr>
                <w:sz w:val="11"/>
                <w:szCs w:val="11"/>
                <w:color w:val="auto"/>
              </w:rPr>
            </w:pPr>
          </w:p>
        </w:tc>
        <w:tc>
          <w:tcPr>
            <w:tcW w:w="1140" w:type="dxa"/>
            <w:vAlign w:val="bottom"/>
          </w:tcPr>
          <w:p>
            <w:pPr>
              <w:jc w:val="right"/>
              <w:ind w:right="496"/>
              <w:spacing w:after="0" w:line="136" w:lineRule="exact"/>
              <w:rPr>
                <w:sz w:val="20"/>
                <w:szCs w:val="20"/>
                <w:color w:val="auto"/>
              </w:rPr>
            </w:pPr>
            <w:r>
              <w:rPr>
                <w:rFonts w:ascii="Arial" w:cs="Arial" w:eastAsia="Arial" w:hAnsi="Arial"/>
                <w:sz w:val="14"/>
                <w:szCs w:val="14"/>
                <w:b w:val="1"/>
                <w:bCs w:val="1"/>
                <w:color w:val="auto"/>
              </w:rPr>
              <w:t>May 31,</w:t>
            </w:r>
          </w:p>
        </w:tc>
        <w:tc>
          <w:tcPr>
            <w:tcW w:w="360" w:type="dxa"/>
            <w:vAlign w:val="bottom"/>
          </w:tcPr>
          <w:p>
            <w:pPr>
              <w:spacing w:after="0"/>
              <w:rPr>
                <w:sz w:val="11"/>
                <w:szCs w:val="11"/>
                <w:color w:val="auto"/>
              </w:rPr>
            </w:pPr>
          </w:p>
        </w:tc>
        <w:tc>
          <w:tcPr>
            <w:tcW w:w="1240" w:type="dxa"/>
            <w:vAlign w:val="bottom"/>
          </w:tcPr>
          <w:p>
            <w:pPr>
              <w:jc w:val="center"/>
              <w:ind w:right="339"/>
              <w:spacing w:after="0" w:line="136" w:lineRule="exact"/>
              <w:rPr>
                <w:sz w:val="20"/>
                <w:szCs w:val="20"/>
                <w:color w:val="auto"/>
              </w:rPr>
            </w:pPr>
            <w:r>
              <w:rPr>
                <w:rFonts w:ascii="Arial" w:cs="Arial" w:eastAsia="Arial" w:hAnsi="Arial"/>
                <w:sz w:val="14"/>
                <w:szCs w:val="14"/>
                <w:b w:val="1"/>
                <w:bCs w:val="1"/>
                <w:color w:val="auto"/>
                <w:w w:val="90"/>
              </w:rPr>
              <w:t>May 30,</w:t>
            </w:r>
          </w:p>
        </w:tc>
        <w:tc>
          <w:tcPr>
            <w:tcW w:w="440" w:type="dxa"/>
            <w:vAlign w:val="bottom"/>
          </w:tcPr>
          <w:p>
            <w:pPr>
              <w:spacing w:after="0"/>
              <w:rPr>
                <w:sz w:val="11"/>
                <w:szCs w:val="11"/>
                <w:color w:val="auto"/>
              </w:rPr>
            </w:pPr>
          </w:p>
        </w:tc>
        <w:tc>
          <w:tcPr>
            <w:tcW w:w="1060" w:type="dxa"/>
            <w:vAlign w:val="bottom"/>
          </w:tcPr>
          <w:p>
            <w:pPr>
              <w:jc w:val="center"/>
              <w:ind w:right="358"/>
              <w:spacing w:after="0" w:line="136" w:lineRule="exact"/>
              <w:rPr>
                <w:sz w:val="20"/>
                <w:szCs w:val="20"/>
                <w:color w:val="auto"/>
              </w:rPr>
            </w:pPr>
            <w:r>
              <w:rPr>
                <w:rFonts w:ascii="Arial" w:cs="Arial" w:eastAsia="Arial" w:hAnsi="Arial"/>
                <w:sz w:val="14"/>
                <w:szCs w:val="14"/>
                <w:b w:val="1"/>
                <w:bCs w:val="1"/>
                <w:color w:val="auto"/>
                <w:w w:val="90"/>
              </w:rPr>
              <w:t>May 31,</w:t>
            </w:r>
          </w:p>
        </w:tc>
        <w:tc>
          <w:tcPr>
            <w:tcW w:w="0" w:type="dxa"/>
            <w:vAlign w:val="bottom"/>
          </w:tcPr>
          <w:p>
            <w:pPr>
              <w:spacing w:after="0"/>
              <w:rPr>
                <w:sz w:val="1"/>
                <w:szCs w:val="1"/>
                <w:color w:val="auto"/>
              </w:rPr>
            </w:pPr>
          </w:p>
        </w:tc>
      </w:tr>
      <w:tr>
        <w:trPr>
          <w:trHeight w:val="168"/>
        </w:trPr>
        <w:tc>
          <w:tcPr>
            <w:tcW w:w="52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2009</w:t>
            </w:r>
          </w:p>
        </w:tc>
        <w:tc>
          <w:tcPr>
            <w:tcW w:w="4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2008</w:t>
            </w: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99"/>
              <w:spacing w:after="0"/>
              <w:rPr>
                <w:sz w:val="20"/>
                <w:szCs w:val="20"/>
                <w:color w:val="auto"/>
              </w:rPr>
            </w:pPr>
            <w:r>
              <w:rPr>
                <w:rFonts w:ascii="Arial" w:cs="Arial" w:eastAsia="Arial" w:hAnsi="Arial"/>
                <w:sz w:val="14"/>
                <w:szCs w:val="14"/>
                <w:b w:val="1"/>
                <w:bCs w:val="1"/>
                <w:color w:val="auto"/>
                <w:w w:val="83"/>
              </w:rPr>
              <w:t>2009</w:t>
            </w: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18"/>
              <w:spacing w:after="0"/>
              <w:rPr>
                <w:sz w:val="20"/>
                <w:szCs w:val="20"/>
                <w:color w:val="auto"/>
              </w:rPr>
            </w:pPr>
            <w:r>
              <w:rPr>
                <w:rFonts w:ascii="Arial" w:cs="Arial" w:eastAsia="Arial" w:hAnsi="Arial"/>
                <w:sz w:val="14"/>
                <w:szCs w:val="14"/>
                <w:b w:val="1"/>
                <w:bCs w:val="1"/>
                <w:color w:val="auto"/>
                <w:w w:val="83"/>
              </w:rPr>
              <w:t>2008</w:t>
            </w:r>
          </w:p>
        </w:tc>
        <w:tc>
          <w:tcPr>
            <w:tcW w:w="0" w:type="dxa"/>
            <w:vAlign w:val="bottom"/>
          </w:tcPr>
          <w:p>
            <w:pPr>
              <w:spacing w:after="0"/>
              <w:rPr>
                <w:sz w:val="1"/>
                <w:szCs w:val="1"/>
                <w:color w:val="auto"/>
              </w:rPr>
            </w:pPr>
          </w:p>
        </w:tc>
      </w:tr>
      <w:tr>
        <w:trPr>
          <w:trHeight w:val="176"/>
        </w:trPr>
        <w:tc>
          <w:tcPr>
            <w:tcW w:w="5280" w:type="dxa"/>
            <w:vAlign w:val="bottom"/>
            <w:gridSpan w:val="3"/>
          </w:tcPr>
          <w:p>
            <w:pPr>
              <w:spacing w:after="0" w:line="176" w:lineRule="exact"/>
              <w:rPr>
                <w:sz w:val="20"/>
                <w:szCs w:val="20"/>
                <w:color w:val="auto"/>
              </w:rPr>
            </w:pPr>
            <w:r>
              <w:rPr>
                <w:rFonts w:ascii="Arial" w:cs="Arial" w:eastAsia="Arial" w:hAnsi="Arial"/>
                <w:sz w:val="18"/>
                <w:szCs w:val="18"/>
                <w:color w:val="auto"/>
              </w:rPr>
              <w:t>(Loss) income per share - basic</w:t>
            </w: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20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gridSpan w:val="3"/>
            <w:shd w:val="clear" w:color="auto" w:fill="D6F3E8"/>
          </w:tcPr>
          <w:p>
            <w:pPr>
              <w:ind w:left="160"/>
              <w:spacing w:after="0"/>
              <w:rPr>
                <w:sz w:val="20"/>
                <w:szCs w:val="20"/>
                <w:color w:val="auto"/>
              </w:rPr>
            </w:pPr>
            <w:r>
              <w:rPr>
                <w:rFonts w:ascii="Arial" w:cs="Arial" w:eastAsia="Arial" w:hAnsi="Arial"/>
                <w:sz w:val="18"/>
                <w:szCs w:val="18"/>
                <w:color w:val="auto"/>
              </w:rPr>
              <w:t>Net (loss) income</w:t>
            </w:r>
          </w:p>
        </w:tc>
        <w:tc>
          <w:tcPr>
            <w:tcW w:w="240" w:type="dxa"/>
            <w:vAlign w:val="bottom"/>
            <w:shd w:val="clear" w:color="auto" w:fill="D6F3E8"/>
          </w:tcPr>
          <w:p>
            <w:pPr>
              <w:jc w:val="right"/>
              <w:ind w:right="83"/>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D6F3E8"/>
          </w:tcPr>
          <w:p>
            <w:pPr>
              <w:jc w:val="right"/>
              <w:ind w:right="59"/>
              <w:spacing w:after="0"/>
              <w:rPr>
                <w:sz w:val="20"/>
                <w:szCs w:val="20"/>
                <w:color w:val="auto"/>
              </w:rPr>
            </w:pPr>
            <w:r>
              <w:rPr>
                <w:rFonts w:ascii="Arial" w:cs="Arial" w:eastAsia="Arial" w:hAnsi="Arial"/>
                <w:sz w:val="18"/>
                <w:szCs w:val="18"/>
                <w:color w:val="auto"/>
              </w:rPr>
              <w:t>(8,553)</w:t>
            </w:r>
          </w:p>
        </w:tc>
        <w:tc>
          <w:tcPr>
            <w:tcW w:w="440" w:type="dxa"/>
            <w:vAlign w:val="bottom"/>
            <w:shd w:val="clear" w:color="auto" w:fill="D6F3E8"/>
          </w:tcPr>
          <w:p>
            <w:pPr>
              <w:jc w:val="right"/>
              <w:ind w:right="112"/>
              <w:spacing w:after="0"/>
              <w:rPr>
                <w:sz w:val="20"/>
                <w:szCs w:val="20"/>
                <w:color w:val="auto"/>
              </w:rPr>
            </w:pPr>
            <w:r>
              <w:rPr>
                <w:rFonts w:ascii="Arial" w:cs="Arial" w:eastAsia="Arial" w:hAnsi="Arial"/>
                <w:sz w:val="18"/>
                <w:szCs w:val="18"/>
                <w:color w:val="auto"/>
              </w:rPr>
              <w:t>$</w:t>
            </w:r>
          </w:p>
        </w:tc>
        <w:tc>
          <w:tcPr>
            <w:tcW w:w="1140" w:type="dxa"/>
            <w:vAlign w:val="bottom"/>
            <w:shd w:val="clear" w:color="auto" w:fill="D6F3E8"/>
          </w:tcPr>
          <w:p>
            <w:pPr>
              <w:jc w:val="right"/>
              <w:ind w:right="76"/>
              <w:spacing w:after="0"/>
              <w:rPr>
                <w:sz w:val="20"/>
                <w:szCs w:val="20"/>
                <w:color w:val="auto"/>
              </w:rPr>
            </w:pPr>
            <w:r>
              <w:rPr>
                <w:rFonts w:ascii="Arial" w:cs="Arial" w:eastAsia="Arial" w:hAnsi="Arial"/>
                <w:sz w:val="18"/>
                <w:szCs w:val="18"/>
                <w:color w:val="auto"/>
              </w:rPr>
              <w:t>3,000</w:t>
            </w:r>
          </w:p>
        </w:tc>
        <w:tc>
          <w:tcPr>
            <w:tcW w:w="36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w:t>
            </w:r>
          </w:p>
        </w:tc>
        <w:tc>
          <w:tcPr>
            <w:tcW w:w="1240" w:type="dxa"/>
            <w:vAlign w:val="bottom"/>
            <w:shd w:val="clear" w:color="auto" w:fill="D6F3E8"/>
          </w:tcPr>
          <w:p>
            <w:pPr>
              <w:jc w:val="right"/>
              <w:ind w:right="39"/>
              <w:spacing w:after="0"/>
              <w:rPr>
                <w:sz w:val="20"/>
                <w:szCs w:val="20"/>
                <w:color w:val="auto"/>
              </w:rPr>
            </w:pPr>
            <w:r>
              <w:rPr>
                <w:rFonts w:ascii="Arial" w:cs="Arial" w:eastAsia="Arial" w:hAnsi="Arial"/>
                <w:sz w:val="18"/>
                <w:szCs w:val="18"/>
                <w:color w:val="auto"/>
              </w:rPr>
              <w:t>(28,530)</w:t>
            </w:r>
          </w:p>
        </w:tc>
        <w:tc>
          <w:tcPr>
            <w:tcW w:w="440" w:type="dxa"/>
            <w:vAlign w:val="bottom"/>
            <w:shd w:val="clear" w:color="auto" w:fill="D6F3E8"/>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shd w:val="clear" w:color="auto" w:fill="D6F3E8"/>
          </w:tcPr>
          <w:p>
            <w:pPr>
              <w:jc w:val="right"/>
              <w:ind w:right="18"/>
              <w:spacing w:after="0"/>
              <w:rPr>
                <w:sz w:val="20"/>
                <w:szCs w:val="20"/>
                <w:color w:val="auto"/>
              </w:rPr>
            </w:pPr>
            <w:r>
              <w:rPr>
                <w:rFonts w:ascii="Arial" w:cs="Arial" w:eastAsia="Arial" w:hAnsi="Arial"/>
                <w:sz w:val="18"/>
                <w:szCs w:val="18"/>
                <w:color w:val="auto"/>
              </w:rPr>
              <w:t>15,479</w:t>
            </w:r>
          </w:p>
        </w:tc>
        <w:tc>
          <w:tcPr>
            <w:tcW w:w="0" w:type="dxa"/>
            <w:vAlign w:val="bottom"/>
          </w:tcPr>
          <w:p>
            <w:pPr>
              <w:spacing w:after="0"/>
              <w:rPr>
                <w:sz w:val="1"/>
                <w:szCs w:val="1"/>
                <w:color w:val="auto"/>
              </w:rPr>
            </w:pPr>
          </w:p>
        </w:tc>
      </w:tr>
      <w:tr>
        <w:trPr>
          <w:trHeight w:val="216"/>
        </w:trPr>
        <w:tc>
          <w:tcPr>
            <w:tcW w:w="5280" w:type="dxa"/>
            <w:vAlign w:val="bottom"/>
            <w:gridSpan w:val="3"/>
          </w:tcPr>
          <w:p>
            <w:pPr>
              <w:ind w:left="160"/>
              <w:spacing w:after="0"/>
              <w:rPr>
                <w:sz w:val="20"/>
                <w:szCs w:val="20"/>
                <w:color w:val="auto"/>
              </w:rPr>
            </w:pPr>
            <w:r>
              <w:rPr>
                <w:rFonts w:ascii="Arial" w:cs="Arial" w:eastAsia="Arial" w:hAnsi="Arial"/>
                <w:sz w:val="18"/>
                <w:szCs w:val="18"/>
                <w:color w:val="auto"/>
              </w:rPr>
              <w:t>Weighted average shares outstanding</w:t>
            </w:r>
          </w:p>
        </w:tc>
        <w:tc>
          <w:tcPr>
            <w:tcW w:w="24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Arial" w:cs="Arial" w:eastAsia="Arial" w:hAnsi="Arial"/>
                <w:sz w:val="18"/>
                <w:szCs w:val="18"/>
                <w:color w:val="auto"/>
              </w:rPr>
              <w:t>29,045</w:t>
            </w:r>
          </w:p>
        </w:tc>
        <w:tc>
          <w:tcPr>
            <w:tcW w:w="440" w:type="dxa"/>
            <w:vAlign w:val="bottom"/>
          </w:tcPr>
          <w:p>
            <w:pPr>
              <w:spacing w:after="0"/>
              <w:rPr>
                <w:sz w:val="18"/>
                <w:szCs w:val="18"/>
                <w:color w:val="auto"/>
              </w:rPr>
            </w:pP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29,013</w:t>
            </w:r>
          </w:p>
        </w:tc>
        <w:tc>
          <w:tcPr>
            <w:tcW w:w="360" w:type="dxa"/>
            <w:vAlign w:val="bottom"/>
          </w:tcPr>
          <w:p>
            <w:pPr>
              <w:spacing w:after="0"/>
              <w:rPr>
                <w:sz w:val="18"/>
                <w:szCs w:val="18"/>
                <w:color w:val="auto"/>
              </w:rPr>
            </w:pPr>
          </w:p>
        </w:tc>
        <w:tc>
          <w:tcPr>
            <w:tcW w:w="1240" w:type="dxa"/>
            <w:vAlign w:val="bottom"/>
          </w:tcPr>
          <w:p>
            <w:pPr>
              <w:jc w:val="right"/>
              <w:ind w:right="99"/>
              <w:spacing w:after="0"/>
              <w:rPr>
                <w:sz w:val="20"/>
                <w:szCs w:val="20"/>
                <w:color w:val="auto"/>
              </w:rPr>
            </w:pPr>
            <w:r>
              <w:rPr>
                <w:rFonts w:ascii="Arial" w:cs="Arial" w:eastAsia="Arial" w:hAnsi="Arial"/>
                <w:sz w:val="18"/>
                <w:szCs w:val="18"/>
                <w:color w:val="auto"/>
              </w:rPr>
              <w:t>29,036</w:t>
            </w:r>
          </w:p>
        </w:tc>
        <w:tc>
          <w:tcPr>
            <w:tcW w:w="440" w:type="dxa"/>
            <w:vAlign w:val="bottom"/>
          </w:tcPr>
          <w:p>
            <w:pPr>
              <w:spacing w:after="0"/>
              <w:rPr>
                <w:sz w:val="18"/>
                <w:szCs w:val="18"/>
                <w:color w:val="auto"/>
              </w:rPr>
            </w:pP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29,116</w:t>
            </w:r>
          </w:p>
        </w:tc>
        <w:tc>
          <w:tcPr>
            <w:tcW w:w="0" w:type="dxa"/>
            <w:vAlign w:val="bottom"/>
          </w:tcPr>
          <w:p>
            <w:pPr>
              <w:spacing w:after="0"/>
              <w:rPr>
                <w:sz w:val="1"/>
                <w:szCs w:val="1"/>
                <w:color w:val="auto"/>
              </w:rPr>
            </w:pPr>
          </w:p>
        </w:tc>
      </w:tr>
      <w:tr>
        <w:trPr>
          <w:trHeight w:val="216"/>
        </w:trPr>
        <w:tc>
          <w:tcPr>
            <w:tcW w:w="5280" w:type="dxa"/>
            <w:vAlign w:val="bottom"/>
            <w:tcBorders>
              <w:bottom w:val="single" w:sz="8" w:color="D6F3E8"/>
            </w:tcBorders>
            <w:gridSpan w:val="3"/>
            <w:shd w:val="clear" w:color="auto" w:fill="D6F3E8"/>
          </w:tcPr>
          <w:p>
            <w:pPr>
              <w:ind w:left="160"/>
              <w:spacing w:after="0"/>
              <w:rPr>
                <w:sz w:val="20"/>
                <w:szCs w:val="20"/>
                <w:color w:val="auto"/>
              </w:rPr>
            </w:pPr>
            <w:r>
              <w:rPr>
                <w:rFonts w:ascii="Arial" w:cs="Arial" w:eastAsia="Arial" w:hAnsi="Arial"/>
                <w:sz w:val="18"/>
                <w:szCs w:val="18"/>
                <w:color w:val="auto"/>
              </w:rPr>
              <w:t>Net (loss) income per share - basic</w:t>
            </w:r>
          </w:p>
        </w:tc>
        <w:tc>
          <w:tcPr>
            <w:tcW w:w="240" w:type="dxa"/>
            <w:vAlign w:val="bottom"/>
            <w:tcBorders>
              <w:bottom w:val="single" w:sz="8" w:color="auto"/>
            </w:tcBorders>
            <w:shd w:val="clear" w:color="auto" w:fill="D6F3E8"/>
          </w:tcPr>
          <w:p>
            <w:pPr>
              <w:jc w:val="right"/>
              <w:ind w:right="83"/>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D6F3E8"/>
          </w:tcPr>
          <w:p>
            <w:pPr>
              <w:jc w:val="right"/>
              <w:ind w:right="59"/>
              <w:spacing w:after="0"/>
              <w:rPr>
                <w:sz w:val="20"/>
                <w:szCs w:val="20"/>
                <w:color w:val="auto"/>
              </w:rPr>
            </w:pPr>
            <w:r>
              <w:rPr>
                <w:rFonts w:ascii="Arial" w:cs="Arial" w:eastAsia="Arial" w:hAnsi="Arial"/>
                <w:sz w:val="18"/>
                <w:szCs w:val="18"/>
                <w:color w:val="auto"/>
              </w:rPr>
              <w:t>(0.29)</w:t>
            </w:r>
          </w:p>
        </w:tc>
        <w:tc>
          <w:tcPr>
            <w:tcW w:w="440" w:type="dxa"/>
            <w:vAlign w:val="bottom"/>
            <w:tcBorders>
              <w:bottom w:val="single" w:sz="8" w:color="auto"/>
            </w:tcBorders>
            <w:shd w:val="clear" w:color="auto" w:fill="D6F3E8"/>
          </w:tcPr>
          <w:p>
            <w:pPr>
              <w:jc w:val="right"/>
              <w:ind w:right="11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D6F3E8"/>
          </w:tcPr>
          <w:p>
            <w:pPr>
              <w:jc w:val="right"/>
              <w:ind w:right="76"/>
              <w:spacing w:after="0"/>
              <w:rPr>
                <w:sz w:val="20"/>
                <w:szCs w:val="20"/>
                <w:color w:val="auto"/>
              </w:rPr>
            </w:pPr>
            <w:r>
              <w:rPr>
                <w:rFonts w:ascii="Arial" w:cs="Arial" w:eastAsia="Arial" w:hAnsi="Arial"/>
                <w:sz w:val="18"/>
                <w:szCs w:val="18"/>
                <w:color w:val="auto"/>
              </w:rPr>
              <w:t>0.10</w:t>
            </w:r>
          </w:p>
        </w:tc>
        <w:tc>
          <w:tcPr>
            <w:tcW w:w="360" w:type="dxa"/>
            <w:vAlign w:val="bottom"/>
            <w:tcBorders>
              <w:bottom w:val="single" w:sz="8" w:color="auto"/>
            </w:tcBorders>
            <w:shd w:val="clear" w:color="auto" w:fill="D6F3E8"/>
          </w:tcPr>
          <w:p>
            <w:pPr>
              <w:jc w:val="right"/>
              <w:ind w:right="12"/>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D6F3E8"/>
          </w:tcPr>
          <w:p>
            <w:pPr>
              <w:jc w:val="right"/>
              <w:ind w:right="39"/>
              <w:spacing w:after="0"/>
              <w:rPr>
                <w:sz w:val="20"/>
                <w:szCs w:val="20"/>
                <w:color w:val="auto"/>
              </w:rPr>
            </w:pPr>
            <w:r>
              <w:rPr>
                <w:rFonts w:ascii="Arial" w:cs="Arial" w:eastAsia="Arial" w:hAnsi="Arial"/>
                <w:sz w:val="18"/>
                <w:szCs w:val="18"/>
                <w:color w:val="auto"/>
              </w:rPr>
              <w:t>(0.98)</w:t>
            </w:r>
          </w:p>
        </w:tc>
        <w:tc>
          <w:tcPr>
            <w:tcW w:w="440" w:type="dxa"/>
            <w:vAlign w:val="bottom"/>
            <w:tcBorders>
              <w:bottom w:val="single" w:sz="8" w:color="auto"/>
            </w:tcBorders>
            <w:shd w:val="clear" w:color="auto" w:fill="D6F3E8"/>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6F3E8"/>
          </w:tcPr>
          <w:p>
            <w:pPr>
              <w:jc w:val="right"/>
              <w:ind w:right="18"/>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0"/>
        </w:trPr>
        <w:tc>
          <w:tcPr>
            <w:tcW w:w="5280" w:type="dxa"/>
            <w:vAlign w:val="bottom"/>
            <w:gridSpan w:val="3"/>
            <w:vMerge w:val="restart"/>
          </w:tcPr>
          <w:p>
            <w:pPr>
              <w:spacing w:after="0"/>
              <w:rPr>
                <w:sz w:val="20"/>
                <w:szCs w:val="20"/>
                <w:color w:val="auto"/>
              </w:rPr>
            </w:pPr>
            <w:r>
              <w:rPr>
                <w:rFonts w:ascii="Arial" w:cs="Arial" w:eastAsia="Arial" w:hAnsi="Arial"/>
                <w:sz w:val="18"/>
                <w:szCs w:val="18"/>
                <w:color w:val="auto"/>
              </w:rPr>
              <w:t>(Loss) income per share - assuming dilution</w:t>
            </w: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28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08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color w:val="auto"/>
              </w:rPr>
              <w:t>Net (loss) income</w:t>
            </w:r>
          </w:p>
        </w:tc>
        <w:tc>
          <w:tcPr>
            <w:tcW w:w="2200" w:type="dxa"/>
            <w:vAlign w:val="bottom"/>
          </w:tcPr>
          <w:p>
            <w:pPr>
              <w:spacing w:after="0"/>
              <w:rPr>
                <w:sz w:val="20"/>
                <w:szCs w:val="20"/>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59"/>
              <w:spacing w:after="0"/>
              <w:rPr>
                <w:sz w:val="20"/>
                <w:szCs w:val="20"/>
                <w:color w:val="auto"/>
              </w:rPr>
            </w:pPr>
            <w:r>
              <w:rPr>
                <w:rFonts w:ascii="Arial" w:cs="Arial" w:eastAsia="Arial" w:hAnsi="Arial"/>
                <w:sz w:val="18"/>
                <w:szCs w:val="18"/>
                <w:color w:val="auto"/>
              </w:rPr>
              <w:t>(8,553)</w:t>
            </w:r>
          </w:p>
        </w:tc>
        <w:tc>
          <w:tcPr>
            <w:tcW w:w="4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3,000</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(28,530)</w:t>
            </w:r>
          </w:p>
        </w:tc>
        <w:tc>
          <w:tcPr>
            <w:tcW w:w="4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15,479</w:t>
            </w:r>
          </w:p>
        </w:tc>
        <w:tc>
          <w:tcPr>
            <w:tcW w:w="0" w:type="dxa"/>
            <w:vAlign w:val="bottom"/>
          </w:tcPr>
          <w:p>
            <w:pPr>
              <w:spacing w:after="0"/>
              <w:rPr>
                <w:sz w:val="1"/>
                <w:szCs w:val="1"/>
                <w:color w:val="auto"/>
              </w:rPr>
            </w:pPr>
          </w:p>
        </w:tc>
      </w:tr>
      <w:tr>
        <w:trPr>
          <w:trHeight w:val="217"/>
        </w:trPr>
        <w:tc>
          <w:tcPr>
            <w:tcW w:w="5280" w:type="dxa"/>
            <w:vAlign w:val="bottom"/>
            <w:gridSpan w:val="3"/>
            <w:shd w:val="clear" w:color="auto" w:fill="D6F3E8"/>
          </w:tcPr>
          <w:p>
            <w:pPr>
              <w:ind w:left="160"/>
              <w:spacing w:after="0"/>
              <w:rPr>
                <w:sz w:val="20"/>
                <w:szCs w:val="20"/>
                <w:color w:val="auto"/>
              </w:rPr>
            </w:pPr>
            <w:r>
              <w:rPr>
                <w:rFonts w:ascii="Arial" w:cs="Arial" w:eastAsia="Arial" w:hAnsi="Arial"/>
                <w:sz w:val="18"/>
                <w:szCs w:val="18"/>
                <w:color w:val="auto"/>
              </w:rPr>
              <w:t>Weighted average shares outstanding</w:t>
            </w:r>
          </w:p>
        </w:tc>
        <w:tc>
          <w:tcPr>
            <w:tcW w:w="240" w:type="dxa"/>
            <w:vAlign w:val="bottom"/>
            <w:shd w:val="clear" w:color="auto" w:fill="D6F3E8"/>
          </w:tcPr>
          <w:p>
            <w:pPr>
              <w:spacing w:after="0"/>
              <w:rPr>
                <w:sz w:val="18"/>
                <w:szCs w:val="18"/>
                <w:color w:val="auto"/>
              </w:rPr>
            </w:pPr>
          </w:p>
        </w:tc>
        <w:tc>
          <w:tcPr>
            <w:tcW w:w="1220" w:type="dxa"/>
            <w:vAlign w:val="bottom"/>
            <w:shd w:val="clear" w:color="auto" w:fill="D6F3E8"/>
          </w:tcPr>
          <w:p>
            <w:pPr>
              <w:jc w:val="right"/>
              <w:ind w:right="119"/>
              <w:spacing w:after="0"/>
              <w:rPr>
                <w:sz w:val="20"/>
                <w:szCs w:val="20"/>
                <w:color w:val="auto"/>
              </w:rPr>
            </w:pPr>
            <w:r>
              <w:rPr>
                <w:rFonts w:ascii="Arial" w:cs="Arial" w:eastAsia="Arial" w:hAnsi="Arial"/>
                <w:sz w:val="18"/>
                <w:szCs w:val="18"/>
                <w:color w:val="auto"/>
              </w:rPr>
              <w:t>29,045</w:t>
            </w:r>
          </w:p>
        </w:tc>
        <w:tc>
          <w:tcPr>
            <w:tcW w:w="440" w:type="dxa"/>
            <w:vAlign w:val="bottom"/>
            <w:shd w:val="clear" w:color="auto" w:fill="D6F3E8"/>
          </w:tcPr>
          <w:p>
            <w:pPr>
              <w:spacing w:after="0"/>
              <w:rPr>
                <w:sz w:val="18"/>
                <w:szCs w:val="18"/>
                <w:color w:val="auto"/>
              </w:rPr>
            </w:pPr>
          </w:p>
        </w:tc>
        <w:tc>
          <w:tcPr>
            <w:tcW w:w="1140" w:type="dxa"/>
            <w:vAlign w:val="bottom"/>
            <w:shd w:val="clear" w:color="auto" w:fill="D6F3E8"/>
          </w:tcPr>
          <w:p>
            <w:pPr>
              <w:jc w:val="right"/>
              <w:ind w:right="76"/>
              <w:spacing w:after="0"/>
              <w:rPr>
                <w:sz w:val="20"/>
                <w:szCs w:val="20"/>
                <w:color w:val="auto"/>
              </w:rPr>
            </w:pPr>
            <w:r>
              <w:rPr>
                <w:rFonts w:ascii="Arial" w:cs="Arial" w:eastAsia="Arial" w:hAnsi="Arial"/>
                <w:sz w:val="18"/>
                <w:szCs w:val="18"/>
                <w:color w:val="auto"/>
              </w:rPr>
              <w:t>29,013</w:t>
            </w:r>
          </w:p>
        </w:tc>
        <w:tc>
          <w:tcPr>
            <w:tcW w:w="360" w:type="dxa"/>
            <w:vAlign w:val="bottom"/>
            <w:shd w:val="clear" w:color="auto" w:fill="D6F3E8"/>
          </w:tcPr>
          <w:p>
            <w:pPr>
              <w:spacing w:after="0"/>
              <w:rPr>
                <w:sz w:val="18"/>
                <w:szCs w:val="18"/>
                <w:color w:val="auto"/>
              </w:rPr>
            </w:pPr>
          </w:p>
        </w:tc>
        <w:tc>
          <w:tcPr>
            <w:tcW w:w="1240" w:type="dxa"/>
            <w:vAlign w:val="bottom"/>
            <w:shd w:val="clear" w:color="auto" w:fill="D6F3E8"/>
          </w:tcPr>
          <w:p>
            <w:pPr>
              <w:jc w:val="right"/>
              <w:ind w:right="99"/>
              <w:spacing w:after="0"/>
              <w:rPr>
                <w:sz w:val="20"/>
                <w:szCs w:val="20"/>
                <w:color w:val="auto"/>
              </w:rPr>
            </w:pPr>
            <w:r>
              <w:rPr>
                <w:rFonts w:ascii="Arial" w:cs="Arial" w:eastAsia="Arial" w:hAnsi="Arial"/>
                <w:sz w:val="18"/>
                <w:szCs w:val="18"/>
                <w:color w:val="auto"/>
              </w:rPr>
              <w:t>29,036</w:t>
            </w:r>
          </w:p>
        </w:tc>
        <w:tc>
          <w:tcPr>
            <w:tcW w:w="440" w:type="dxa"/>
            <w:vAlign w:val="bottom"/>
            <w:shd w:val="clear" w:color="auto" w:fill="D6F3E8"/>
          </w:tcPr>
          <w:p>
            <w:pPr>
              <w:spacing w:after="0"/>
              <w:rPr>
                <w:sz w:val="18"/>
                <w:szCs w:val="18"/>
                <w:color w:val="auto"/>
              </w:rPr>
            </w:pPr>
          </w:p>
        </w:tc>
        <w:tc>
          <w:tcPr>
            <w:tcW w:w="1060" w:type="dxa"/>
            <w:vAlign w:val="bottom"/>
            <w:shd w:val="clear" w:color="auto" w:fill="D6F3E8"/>
          </w:tcPr>
          <w:p>
            <w:pPr>
              <w:jc w:val="right"/>
              <w:ind w:right="18"/>
              <w:spacing w:after="0"/>
              <w:rPr>
                <w:sz w:val="20"/>
                <w:szCs w:val="20"/>
                <w:color w:val="auto"/>
              </w:rPr>
            </w:pPr>
            <w:r>
              <w:rPr>
                <w:rFonts w:ascii="Arial" w:cs="Arial" w:eastAsia="Arial" w:hAnsi="Arial"/>
                <w:sz w:val="18"/>
                <w:szCs w:val="18"/>
                <w:color w:val="auto"/>
              </w:rPr>
              <w:t>29,116</w:t>
            </w:r>
          </w:p>
        </w:tc>
        <w:tc>
          <w:tcPr>
            <w:tcW w:w="0" w:type="dxa"/>
            <w:vAlign w:val="bottom"/>
          </w:tcPr>
          <w:p>
            <w:pPr>
              <w:spacing w:after="0"/>
              <w:rPr>
                <w:sz w:val="1"/>
                <w:szCs w:val="1"/>
                <w:color w:val="auto"/>
              </w:rPr>
            </w:pPr>
          </w:p>
        </w:tc>
      </w:tr>
      <w:tr>
        <w:trPr>
          <w:trHeight w:val="216"/>
        </w:trPr>
        <w:tc>
          <w:tcPr>
            <w:tcW w:w="5280" w:type="dxa"/>
            <w:vAlign w:val="bottom"/>
            <w:tcBorders>
              <w:bottom w:val="single" w:sz="8" w:color="D6F3E8"/>
            </w:tcBorders>
            <w:gridSpan w:val="3"/>
          </w:tcPr>
          <w:p>
            <w:pPr>
              <w:ind w:left="160"/>
              <w:spacing w:after="0"/>
              <w:rPr>
                <w:sz w:val="20"/>
                <w:szCs w:val="20"/>
                <w:color w:val="auto"/>
              </w:rPr>
            </w:pPr>
            <w:r>
              <w:rPr>
                <w:rFonts w:ascii="Arial" w:cs="Arial" w:eastAsia="Arial" w:hAnsi="Arial"/>
                <w:sz w:val="18"/>
                <w:szCs w:val="18"/>
                <w:color w:val="auto"/>
              </w:rPr>
              <w:t>Dilutive impact of options and awards outstanding</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color w:val="auto"/>
              </w:rPr>
              <w:t>11</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35</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color w:val="auto"/>
              </w:rPr>
              <w:t>10</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0"/>
        </w:trPr>
        <w:tc>
          <w:tcPr>
            <w:tcW w:w="5280" w:type="dxa"/>
            <w:vAlign w:val="bottom"/>
            <w:gridSpan w:val="3"/>
            <w:shd w:val="clear" w:color="auto" w:fill="D6F3E8"/>
          </w:tcPr>
          <w:p>
            <w:pPr>
              <w:ind w:left="160"/>
              <w:spacing w:after="0" w:line="202" w:lineRule="exact"/>
              <w:rPr>
                <w:sz w:val="20"/>
                <w:szCs w:val="20"/>
                <w:color w:val="auto"/>
              </w:rPr>
            </w:pPr>
            <w:r>
              <w:rPr>
                <w:rFonts w:ascii="Arial" w:cs="Arial" w:eastAsia="Arial" w:hAnsi="Arial"/>
                <w:sz w:val="18"/>
                <w:szCs w:val="18"/>
                <w:color w:val="auto"/>
                <w:w w:val="95"/>
              </w:rPr>
              <w:t>Weighted average shares and potential dilutive shares outstanding</w:t>
            </w:r>
          </w:p>
        </w:tc>
        <w:tc>
          <w:tcPr>
            <w:tcW w:w="240" w:type="dxa"/>
            <w:vAlign w:val="bottom"/>
            <w:shd w:val="clear" w:color="auto" w:fill="D6F3E8"/>
          </w:tcPr>
          <w:p>
            <w:pPr>
              <w:spacing w:after="0"/>
              <w:rPr>
                <w:sz w:val="18"/>
                <w:szCs w:val="18"/>
                <w:color w:val="auto"/>
              </w:rPr>
            </w:pPr>
          </w:p>
        </w:tc>
        <w:tc>
          <w:tcPr>
            <w:tcW w:w="1220" w:type="dxa"/>
            <w:vAlign w:val="bottom"/>
            <w:shd w:val="clear" w:color="auto" w:fill="D6F3E8"/>
          </w:tcPr>
          <w:p>
            <w:pPr>
              <w:jc w:val="right"/>
              <w:ind w:right="119"/>
              <w:spacing w:after="0"/>
              <w:rPr>
                <w:sz w:val="20"/>
                <w:szCs w:val="20"/>
                <w:color w:val="auto"/>
              </w:rPr>
            </w:pPr>
            <w:r>
              <w:rPr>
                <w:rFonts w:ascii="Arial" w:cs="Arial" w:eastAsia="Arial" w:hAnsi="Arial"/>
                <w:sz w:val="18"/>
                <w:szCs w:val="18"/>
                <w:color w:val="auto"/>
              </w:rPr>
              <w:t>29,056</w:t>
            </w:r>
          </w:p>
        </w:tc>
        <w:tc>
          <w:tcPr>
            <w:tcW w:w="440" w:type="dxa"/>
            <w:vAlign w:val="bottom"/>
            <w:shd w:val="clear" w:color="auto" w:fill="D6F3E8"/>
          </w:tcPr>
          <w:p>
            <w:pPr>
              <w:spacing w:after="0"/>
              <w:rPr>
                <w:sz w:val="18"/>
                <w:szCs w:val="18"/>
                <w:color w:val="auto"/>
              </w:rPr>
            </w:pPr>
          </w:p>
        </w:tc>
        <w:tc>
          <w:tcPr>
            <w:tcW w:w="1140" w:type="dxa"/>
            <w:vAlign w:val="bottom"/>
            <w:shd w:val="clear" w:color="auto" w:fill="D6F3E8"/>
          </w:tcPr>
          <w:p>
            <w:pPr>
              <w:jc w:val="right"/>
              <w:ind w:right="76"/>
              <w:spacing w:after="0"/>
              <w:rPr>
                <w:sz w:val="20"/>
                <w:szCs w:val="20"/>
                <w:color w:val="auto"/>
              </w:rPr>
            </w:pPr>
            <w:r>
              <w:rPr>
                <w:rFonts w:ascii="Arial" w:cs="Arial" w:eastAsia="Arial" w:hAnsi="Arial"/>
                <w:sz w:val="18"/>
                <w:szCs w:val="18"/>
                <w:color w:val="auto"/>
              </w:rPr>
              <w:t>29,048</w:t>
            </w:r>
          </w:p>
        </w:tc>
        <w:tc>
          <w:tcPr>
            <w:tcW w:w="360" w:type="dxa"/>
            <w:vAlign w:val="bottom"/>
            <w:shd w:val="clear" w:color="auto" w:fill="D6F3E8"/>
          </w:tcPr>
          <w:p>
            <w:pPr>
              <w:spacing w:after="0"/>
              <w:rPr>
                <w:sz w:val="18"/>
                <w:szCs w:val="18"/>
                <w:color w:val="auto"/>
              </w:rPr>
            </w:pPr>
          </w:p>
        </w:tc>
        <w:tc>
          <w:tcPr>
            <w:tcW w:w="1240" w:type="dxa"/>
            <w:vAlign w:val="bottom"/>
            <w:shd w:val="clear" w:color="auto" w:fill="D6F3E8"/>
          </w:tcPr>
          <w:p>
            <w:pPr>
              <w:jc w:val="right"/>
              <w:ind w:right="99"/>
              <w:spacing w:after="0"/>
              <w:rPr>
                <w:sz w:val="20"/>
                <w:szCs w:val="20"/>
                <w:color w:val="auto"/>
              </w:rPr>
            </w:pPr>
            <w:r>
              <w:rPr>
                <w:rFonts w:ascii="Arial" w:cs="Arial" w:eastAsia="Arial" w:hAnsi="Arial"/>
                <w:sz w:val="18"/>
                <w:szCs w:val="18"/>
                <w:color w:val="auto"/>
              </w:rPr>
              <w:t>29,046</w:t>
            </w:r>
          </w:p>
        </w:tc>
        <w:tc>
          <w:tcPr>
            <w:tcW w:w="440" w:type="dxa"/>
            <w:vAlign w:val="bottom"/>
            <w:shd w:val="clear" w:color="auto" w:fill="D6F3E8"/>
          </w:tcPr>
          <w:p>
            <w:pPr>
              <w:spacing w:after="0"/>
              <w:rPr>
                <w:sz w:val="18"/>
                <w:szCs w:val="18"/>
                <w:color w:val="auto"/>
              </w:rPr>
            </w:pPr>
          </w:p>
        </w:tc>
        <w:tc>
          <w:tcPr>
            <w:tcW w:w="1060" w:type="dxa"/>
            <w:vAlign w:val="bottom"/>
            <w:shd w:val="clear" w:color="auto" w:fill="D6F3E8"/>
          </w:tcPr>
          <w:p>
            <w:pPr>
              <w:jc w:val="right"/>
              <w:ind w:right="18"/>
              <w:spacing w:after="0"/>
              <w:rPr>
                <w:sz w:val="20"/>
                <w:szCs w:val="20"/>
                <w:color w:val="auto"/>
              </w:rPr>
            </w:pPr>
            <w:r>
              <w:rPr>
                <w:rFonts w:ascii="Arial" w:cs="Arial" w:eastAsia="Arial" w:hAnsi="Arial"/>
                <w:sz w:val="18"/>
                <w:szCs w:val="18"/>
                <w:color w:val="auto"/>
              </w:rPr>
              <w:t>29,183</w:t>
            </w:r>
          </w:p>
        </w:tc>
        <w:tc>
          <w:tcPr>
            <w:tcW w:w="0" w:type="dxa"/>
            <w:vAlign w:val="bottom"/>
          </w:tcPr>
          <w:p>
            <w:pPr>
              <w:spacing w:after="0"/>
              <w:rPr>
                <w:sz w:val="1"/>
                <w:szCs w:val="1"/>
                <w:color w:val="auto"/>
              </w:rPr>
            </w:pPr>
          </w:p>
        </w:tc>
      </w:tr>
      <w:tr>
        <w:trPr>
          <w:trHeight w:val="216"/>
        </w:trPr>
        <w:tc>
          <w:tcPr>
            <w:tcW w:w="5280" w:type="dxa"/>
            <w:vAlign w:val="bottom"/>
            <w:gridSpan w:val="3"/>
          </w:tcPr>
          <w:p>
            <w:pPr>
              <w:ind w:left="160"/>
              <w:spacing w:after="0"/>
              <w:rPr>
                <w:sz w:val="20"/>
                <w:szCs w:val="20"/>
                <w:color w:val="auto"/>
              </w:rPr>
            </w:pPr>
            <w:r>
              <w:rPr>
                <w:rFonts w:ascii="Arial" w:cs="Arial" w:eastAsia="Arial" w:hAnsi="Arial"/>
                <w:sz w:val="18"/>
                <w:szCs w:val="18"/>
                <w:color w:val="auto"/>
              </w:rPr>
              <w:t>Net (loss) income per share - assuming dilution</w:t>
            </w: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(0.29)</w:t>
            </w:r>
          </w:p>
        </w:tc>
        <w:tc>
          <w:tcPr>
            <w:tcW w:w="4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0.10</w:t>
            </w:r>
          </w:p>
        </w:tc>
        <w:tc>
          <w:tcPr>
            <w:tcW w:w="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(0.98)</w:t>
            </w:r>
          </w:p>
        </w:tc>
        <w:tc>
          <w:tcPr>
            <w:tcW w:w="4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 xml:space="preserve">For the thirteen weeks ended May 30, 2009 and May 31, 2008 there were options outstanding to purchase 1,016,564 shares and 998,456 shares, respectively, of common stock at an average price of $27.29 and $28.22, respectively, which were not included in the computation of diluted income per share because they are considered anti-dilutive under the treasury stock method per SFAS No. 128,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(as amended).</w:t>
      </w:r>
    </w:p>
    <w:p>
      <w:pPr>
        <w:spacing w:after="0" w:line="16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 xml:space="preserve">For the thirty-nine weeks ended May 30, 2009 and the forty weeks ended May 31, 2008, there were options outstanding to purchase 1,016,564 shares and 879,648 shares, respectively, of common stock at an average price of $27.29 and $29.53, respectively, which were not included in the computation of diluted income per share because they are considered anti-dilutive under the treasury stock method per SFAS No. 128,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(as amended).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Comprehensive (Loss) Income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Comprehensive (loss) income, net of tax, consists of:</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Thirteen</w:t>
            </w: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center"/>
              <w:ind w:right="301"/>
              <w:spacing w:after="0"/>
              <w:rPr>
                <w:sz w:val="20"/>
                <w:szCs w:val="20"/>
                <w:color w:val="auto"/>
              </w:rPr>
            </w:pPr>
            <w:r>
              <w:rPr>
                <w:rFonts w:ascii="Arial" w:cs="Arial" w:eastAsia="Arial" w:hAnsi="Arial"/>
                <w:sz w:val="14"/>
                <w:szCs w:val="14"/>
                <w:b w:val="1"/>
                <w:bCs w:val="1"/>
                <w:color w:val="auto"/>
                <w:w w:val="94"/>
              </w:rPr>
              <w:t>Thirty-Nine</w:t>
            </w:r>
          </w:p>
        </w:tc>
        <w:tc>
          <w:tcPr>
            <w:tcW w:w="440" w:type="dxa"/>
            <w:vAlign w:val="bottom"/>
          </w:tcPr>
          <w:p>
            <w:pPr>
              <w:spacing w:after="0"/>
              <w:rPr>
                <w:sz w:val="14"/>
                <w:szCs w:val="14"/>
                <w:color w:val="auto"/>
              </w:rPr>
            </w:pPr>
          </w:p>
        </w:tc>
        <w:tc>
          <w:tcPr>
            <w:tcW w:w="1060" w:type="dxa"/>
            <w:vAlign w:val="bottom"/>
          </w:tcPr>
          <w:p>
            <w:pPr>
              <w:jc w:val="center"/>
              <w:ind w:right="320"/>
              <w:spacing w:after="0"/>
              <w:rPr>
                <w:sz w:val="20"/>
                <w:szCs w:val="20"/>
                <w:color w:val="auto"/>
              </w:rPr>
            </w:pPr>
            <w:r>
              <w:rPr>
                <w:rFonts w:ascii="Arial" w:cs="Arial" w:eastAsia="Arial" w:hAnsi="Arial"/>
                <w:sz w:val="14"/>
                <w:szCs w:val="14"/>
                <w:b w:val="1"/>
                <w:bCs w:val="1"/>
                <w:color w:val="auto"/>
                <w:w w:val="97"/>
              </w:rPr>
              <w:t>Forty</w:t>
            </w:r>
          </w:p>
        </w:tc>
      </w:tr>
      <w:tr>
        <w:trPr>
          <w:trHeight w:val="168"/>
        </w:trPr>
        <w:tc>
          <w:tcPr>
            <w:tcW w:w="4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Weeks Ended</w:t>
            </w:r>
          </w:p>
        </w:tc>
        <w:tc>
          <w:tcPr>
            <w:tcW w:w="1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Weeks Ended</w:t>
            </w:r>
          </w:p>
        </w:tc>
        <w:tc>
          <w:tcPr>
            <w:tcW w:w="1060" w:type="dxa"/>
            <w:vAlign w:val="bottom"/>
            <w:tcBorders>
              <w:bottom w:val="single" w:sz="8" w:color="auto"/>
            </w:tcBorders>
          </w:tcPr>
          <w:p>
            <w:pPr>
              <w:spacing w:after="0"/>
              <w:rPr>
                <w:sz w:val="14"/>
                <w:szCs w:val="14"/>
                <w:color w:val="auto"/>
              </w:rPr>
            </w:pPr>
          </w:p>
        </w:tc>
      </w:tr>
      <w:tr>
        <w:trPr>
          <w:trHeight w:val="136"/>
        </w:trPr>
        <w:tc>
          <w:tcPr>
            <w:tcW w:w="4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ind w:right="541"/>
              <w:spacing w:after="0" w:line="136" w:lineRule="exact"/>
              <w:rPr>
                <w:sz w:val="20"/>
                <w:szCs w:val="20"/>
                <w:color w:val="auto"/>
              </w:rPr>
            </w:pPr>
            <w:r>
              <w:rPr>
                <w:rFonts w:ascii="Arial" w:cs="Arial" w:eastAsia="Arial" w:hAnsi="Arial"/>
                <w:sz w:val="14"/>
                <w:szCs w:val="14"/>
                <w:b w:val="1"/>
                <w:bCs w:val="1"/>
                <w:color w:val="auto"/>
              </w:rPr>
              <w:t>May 30,</w:t>
            </w:r>
          </w:p>
        </w:tc>
        <w:tc>
          <w:tcPr>
            <w:tcW w:w="440" w:type="dxa"/>
            <w:vAlign w:val="bottom"/>
          </w:tcPr>
          <w:p>
            <w:pPr>
              <w:spacing w:after="0"/>
              <w:rPr>
                <w:sz w:val="11"/>
                <w:szCs w:val="11"/>
                <w:color w:val="auto"/>
              </w:rPr>
            </w:pPr>
          </w:p>
        </w:tc>
        <w:tc>
          <w:tcPr>
            <w:tcW w:w="1160" w:type="dxa"/>
            <w:vAlign w:val="bottom"/>
          </w:tcPr>
          <w:p>
            <w:pPr>
              <w:jc w:val="right"/>
              <w:ind w:right="518"/>
              <w:spacing w:after="0" w:line="136" w:lineRule="exact"/>
              <w:rPr>
                <w:sz w:val="20"/>
                <w:szCs w:val="20"/>
                <w:color w:val="auto"/>
              </w:rPr>
            </w:pPr>
            <w:r>
              <w:rPr>
                <w:rFonts w:ascii="Arial" w:cs="Arial" w:eastAsia="Arial" w:hAnsi="Arial"/>
                <w:sz w:val="14"/>
                <w:szCs w:val="14"/>
                <w:b w:val="1"/>
                <w:bCs w:val="1"/>
                <w:color w:val="auto"/>
              </w:rPr>
              <w:t>May 31,</w:t>
            </w:r>
          </w:p>
        </w:tc>
        <w:tc>
          <w:tcPr>
            <w:tcW w:w="340" w:type="dxa"/>
            <w:vAlign w:val="bottom"/>
          </w:tcPr>
          <w:p>
            <w:pPr>
              <w:spacing w:after="0"/>
              <w:rPr>
                <w:sz w:val="11"/>
                <w:szCs w:val="11"/>
                <w:color w:val="auto"/>
              </w:rPr>
            </w:pPr>
          </w:p>
        </w:tc>
        <w:tc>
          <w:tcPr>
            <w:tcW w:w="1240" w:type="dxa"/>
            <w:vAlign w:val="bottom"/>
          </w:tcPr>
          <w:p>
            <w:pPr>
              <w:jc w:val="center"/>
              <w:ind w:right="341"/>
              <w:spacing w:after="0" w:line="136" w:lineRule="exact"/>
              <w:rPr>
                <w:sz w:val="20"/>
                <w:szCs w:val="20"/>
                <w:color w:val="auto"/>
              </w:rPr>
            </w:pPr>
            <w:r>
              <w:rPr>
                <w:rFonts w:ascii="Arial" w:cs="Arial" w:eastAsia="Arial" w:hAnsi="Arial"/>
                <w:sz w:val="14"/>
                <w:szCs w:val="14"/>
                <w:b w:val="1"/>
                <w:bCs w:val="1"/>
                <w:color w:val="auto"/>
                <w:w w:val="90"/>
              </w:rPr>
              <w:t>May 30,</w:t>
            </w:r>
          </w:p>
        </w:tc>
        <w:tc>
          <w:tcPr>
            <w:tcW w:w="440" w:type="dxa"/>
            <w:vAlign w:val="bottom"/>
          </w:tcPr>
          <w:p>
            <w:pPr>
              <w:spacing w:after="0"/>
              <w:rPr>
                <w:sz w:val="11"/>
                <w:szCs w:val="11"/>
                <w:color w:val="auto"/>
              </w:rPr>
            </w:pPr>
          </w:p>
        </w:tc>
        <w:tc>
          <w:tcPr>
            <w:tcW w:w="1060" w:type="dxa"/>
            <w:vAlign w:val="bottom"/>
          </w:tcPr>
          <w:p>
            <w:pPr>
              <w:jc w:val="center"/>
              <w:ind w:right="360"/>
              <w:spacing w:after="0" w:line="136" w:lineRule="exact"/>
              <w:rPr>
                <w:sz w:val="20"/>
                <w:szCs w:val="20"/>
                <w:color w:val="auto"/>
              </w:rPr>
            </w:pPr>
            <w:r>
              <w:rPr>
                <w:rFonts w:ascii="Arial" w:cs="Arial" w:eastAsia="Arial" w:hAnsi="Arial"/>
                <w:sz w:val="14"/>
                <w:szCs w:val="14"/>
                <w:b w:val="1"/>
                <w:bCs w:val="1"/>
                <w:color w:val="auto"/>
                <w:w w:val="90"/>
              </w:rPr>
              <w:t>May 31,</w:t>
            </w:r>
          </w:p>
        </w:tc>
      </w:tr>
      <w:tr>
        <w:trPr>
          <w:trHeight w:val="168"/>
        </w:trPr>
        <w:tc>
          <w:tcPr>
            <w:tcW w:w="4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2009</w:t>
            </w:r>
          </w:p>
        </w:tc>
        <w:tc>
          <w:tcPr>
            <w:tcW w:w="4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2008</w:t>
            </w: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301"/>
              <w:spacing w:after="0"/>
              <w:rPr>
                <w:sz w:val="20"/>
                <w:szCs w:val="20"/>
                <w:color w:val="auto"/>
              </w:rPr>
            </w:pPr>
            <w:r>
              <w:rPr>
                <w:rFonts w:ascii="Arial" w:cs="Arial" w:eastAsia="Arial" w:hAnsi="Arial"/>
                <w:sz w:val="14"/>
                <w:szCs w:val="14"/>
                <w:b w:val="1"/>
                <w:bCs w:val="1"/>
                <w:color w:val="auto"/>
                <w:w w:val="83"/>
              </w:rPr>
              <w:t>2009</w:t>
            </w: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20"/>
              <w:spacing w:after="0"/>
              <w:rPr>
                <w:sz w:val="20"/>
                <w:szCs w:val="20"/>
                <w:color w:val="auto"/>
              </w:rPr>
            </w:pPr>
            <w:r>
              <w:rPr>
                <w:rFonts w:ascii="Arial" w:cs="Arial" w:eastAsia="Arial" w:hAnsi="Arial"/>
                <w:sz w:val="14"/>
                <w:szCs w:val="14"/>
                <w:b w:val="1"/>
                <w:bCs w:val="1"/>
                <w:color w:val="auto"/>
                <w:w w:val="83"/>
              </w:rPr>
              <w:t>2008</w:t>
            </w:r>
          </w:p>
        </w:tc>
      </w:tr>
      <w:tr>
        <w:trPr>
          <w:trHeight w:val="216"/>
        </w:trPr>
        <w:tc>
          <w:tcPr>
            <w:tcW w:w="4340" w:type="dxa"/>
            <w:vAlign w:val="bottom"/>
            <w:shd w:val="clear" w:color="auto" w:fill="D6F3E8"/>
          </w:tcPr>
          <w:p>
            <w:pPr>
              <w:spacing w:after="0"/>
              <w:rPr>
                <w:sz w:val="20"/>
                <w:szCs w:val="20"/>
                <w:color w:val="auto"/>
              </w:rPr>
            </w:pPr>
            <w:r>
              <w:rPr>
                <w:rFonts w:ascii="Arial" w:cs="Arial" w:eastAsia="Arial" w:hAnsi="Arial"/>
                <w:sz w:val="18"/>
                <w:szCs w:val="18"/>
                <w:color w:val="auto"/>
              </w:rPr>
              <w:t>Net (loss) income</w:t>
            </w:r>
          </w:p>
        </w:tc>
        <w:tc>
          <w:tcPr>
            <w:tcW w:w="1180" w:type="dxa"/>
            <w:vAlign w:val="bottom"/>
            <w:gridSpan w:val="2"/>
            <w:shd w:val="clear" w:color="auto" w:fill="D6F3E8"/>
          </w:tcPr>
          <w:p>
            <w:pPr>
              <w:jc w:val="right"/>
              <w:ind w:right="83"/>
              <w:spacing w:after="0"/>
              <w:rPr>
                <w:sz w:val="20"/>
                <w:szCs w:val="20"/>
                <w:color w:val="auto"/>
              </w:rPr>
            </w:pPr>
            <w:r>
              <w:rPr>
                <w:rFonts w:ascii="Arial" w:cs="Arial" w:eastAsia="Arial" w:hAnsi="Arial"/>
                <w:sz w:val="18"/>
                <w:szCs w:val="18"/>
                <w:color w:val="auto"/>
              </w:rPr>
              <w:t>$</w:t>
            </w:r>
          </w:p>
        </w:tc>
        <w:tc>
          <w:tcPr>
            <w:tcW w:w="1220" w:type="dxa"/>
            <w:vAlign w:val="bottom"/>
            <w:shd w:val="clear" w:color="auto" w:fill="D6F3E8"/>
          </w:tcPr>
          <w:p>
            <w:pPr>
              <w:jc w:val="right"/>
              <w:ind w:right="61"/>
              <w:spacing w:after="0"/>
              <w:rPr>
                <w:sz w:val="20"/>
                <w:szCs w:val="20"/>
                <w:color w:val="auto"/>
              </w:rPr>
            </w:pPr>
            <w:r>
              <w:rPr>
                <w:rFonts w:ascii="Arial" w:cs="Arial" w:eastAsia="Arial" w:hAnsi="Arial"/>
                <w:sz w:val="18"/>
                <w:szCs w:val="18"/>
                <w:color w:val="auto"/>
              </w:rPr>
              <w:t>(8,553)</w:t>
            </w:r>
          </w:p>
        </w:tc>
        <w:tc>
          <w:tcPr>
            <w:tcW w:w="440" w:type="dxa"/>
            <w:vAlign w:val="bottom"/>
            <w:shd w:val="clear" w:color="auto" w:fill="D6F3E8"/>
          </w:tcPr>
          <w:p>
            <w:pPr>
              <w:jc w:val="right"/>
              <w:ind w:right="112"/>
              <w:spacing w:after="0"/>
              <w:rPr>
                <w:sz w:val="20"/>
                <w:szCs w:val="20"/>
                <w:color w:val="auto"/>
              </w:rPr>
            </w:pPr>
            <w:r>
              <w:rPr>
                <w:rFonts w:ascii="Arial" w:cs="Arial" w:eastAsia="Arial" w:hAnsi="Arial"/>
                <w:sz w:val="18"/>
                <w:szCs w:val="18"/>
                <w:color w:val="auto"/>
              </w:rPr>
              <w:t>$</w:t>
            </w:r>
          </w:p>
        </w:tc>
        <w:tc>
          <w:tcPr>
            <w:tcW w:w="1160" w:type="dxa"/>
            <w:vAlign w:val="bottom"/>
            <w:shd w:val="clear" w:color="auto" w:fill="D6F3E8"/>
          </w:tcPr>
          <w:p>
            <w:pPr>
              <w:jc w:val="right"/>
              <w:ind w:right="98"/>
              <w:spacing w:after="0"/>
              <w:rPr>
                <w:sz w:val="20"/>
                <w:szCs w:val="20"/>
                <w:color w:val="auto"/>
              </w:rPr>
            </w:pPr>
            <w:r>
              <w:rPr>
                <w:rFonts w:ascii="Arial" w:cs="Arial" w:eastAsia="Arial" w:hAnsi="Arial"/>
                <w:sz w:val="18"/>
                <w:szCs w:val="18"/>
                <w:color w:val="auto"/>
              </w:rPr>
              <w:t>3,000</w:t>
            </w:r>
          </w:p>
        </w:tc>
        <w:tc>
          <w:tcPr>
            <w:tcW w:w="34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w:t>
            </w:r>
          </w:p>
        </w:tc>
        <w:tc>
          <w:tcPr>
            <w:tcW w:w="1240" w:type="dxa"/>
            <w:vAlign w:val="bottom"/>
            <w:shd w:val="clear" w:color="auto" w:fill="D6F3E8"/>
          </w:tcPr>
          <w:p>
            <w:pPr>
              <w:jc w:val="right"/>
              <w:ind w:right="41"/>
              <w:spacing w:after="0"/>
              <w:rPr>
                <w:sz w:val="20"/>
                <w:szCs w:val="20"/>
                <w:color w:val="auto"/>
              </w:rPr>
            </w:pPr>
            <w:r>
              <w:rPr>
                <w:rFonts w:ascii="Arial" w:cs="Arial" w:eastAsia="Arial" w:hAnsi="Arial"/>
                <w:sz w:val="18"/>
                <w:szCs w:val="18"/>
                <w:color w:val="auto"/>
              </w:rPr>
              <w:t>(28,530)</w:t>
            </w:r>
          </w:p>
        </w:tc>
        <w:tc>
          <w:tcPr>
            <w:tcW w:w="440" w:type="dxa"/>
            <w:vAlign w:val="bottom"/>
            <w:shd w:val="clear" w:color="auto" w:fill="D6F3E8"/>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shd w:val="clear" w:color="auto" w:fill="D6F3E8"/>
          </w:tcPr>
          <w:p>
            <w:pPr>
              <w:jc w:val="right"/>
              <w:ind w:right="20"/>
              <w:spacing w:after="0"/>
              <w:rPr>
                <w:sz w:val="20"/>
                <w:szCs w:val="20"/>
                <w:color w:val="auto"/>
              </w:rPr>
            </w:pPr>
            <w:r>
              <w:rPr>
                <w:rFonts w:ascii="Arial" w:cs="Arial" w:eastAsia="Arial" w:hAnsi="Arial"/>
                <w:sz w:val="18"/>
                <w:szCs w:val="18"/>
                <w:color w:val="auto"/>
              </w:rPr>
              <w:t>15,479</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Change in temporary impairment of investments</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121"/>
              <w:spacing w:after="0"/>
              <w:rPr>
                <w:sz w:val="20"/>
                <w:szCs w:val="20"/>
                <w:color w:val="auto"/>
              </w:rPr>
            </w:pPr>
            <w:r>
              <w:rPr>
                <w:rFonts w:ascii="Arial" w:cs="Arial" w:eastAsia="Arial" w:hAnsi="Arial"/>
                <w:sz w:val="18"/>
                <w:szCs w:val="18"/>
                <w:color w:val="auto"/>
              </w:rPr>
              <w:t>79</w:t>
            </w:r>
          </w:p>
        </w:tc>
        <w:tc>
          <w:tcPr>
            <w:tcW w:w="440" w:type="dxa"/>
            <w:vAlign w:val="bottom"/>
          </w:tcPr>
          <w:p>
            <w:pPr>
              <w:spacing w:after="0"/>
              <w:rPr>
                <w:sz w:val="18"/>
                <w:szCs w:val="18"/>
                <w:color w:val="auto"/>
              </w:rPr>
            </w:pPr>
          </w:p>
        </w:tc>
        <w:tc>
          <w:tcPr>
            <w:tcW w:w="1160" w:type="dxa"/>
            <w:vAlign w:val="bottom"/>
          </w:tcPr>
          <w:p>
            <w:pPr>
              <w:jc w:val="right"/>
              <w:ind w:right="98"/>
              <w:spacing w:after="0"/>
              <w:rPr>
                <w:sz w:val="20"/>
                <w:szCs w:val="20"/>
                <w:color w:val="auto"/>
              </w:rPr>
            </w:pPr>
            <w:r>
              <w:rPr>
                <w:rFonts w:ascii="Arial" w:cs="Arial" w:eastAsia="Arial" w:hAnsi="Arial"/>
                <w:sz w:val="18"/>
                <w:szCs w:val="18"/>
                <w:color w:val="auto"/>
              </w:rPr>
              <w:t>573</w:t>
            </w:r>
          </w:p>
        </w:tc>
        <w:tc>
          <w:tcPr>
            <w:tcW w:w="340" w:type="dxa"/>
            <w:vAlign w:val="bottom"/>
          </w:tcPr>
          <w:p>
            <w:pPr>
              <w:spacing w:after="0"/>
              <w:rPr>
                <w:sz w:val="18"/>
                <w:szCs w:val="18"/>
                <w:color w:val="auto"/>
              </w:rPr>
            </w:pPr>
          </w:p>
        </w:tc>
        <w:tc>
          <w:tcPr>
            <w:tcW w:w="1240" w:type="dxa"/>
            <w:vAlign w:val="bottom"/>
          </w:tcPr>
          <w:p>
            <w:pPr>
              <w:jc w:val="right"/>
              <w:ind w:right="101"/>
              <w:spacing w:after="0"/>
              <w:rPr>
                <w:sz w:val="20"/>
                <w:szCs w:val="20"/>
                <w:color w:val="auto"/>
              </w:rPr>
            </w:pPr>
            <w:r>
              <w:rPr>
                <w:rFonts w:ascii="Arial" w:cs="Arial" w:eastAsia="Arial" w:hAnsi="Arial"/>
                <w:sz w:val="18"/>
                <w:szCs w:val="18"/>
                <w:color w:val="auto"/>
              </w:rPr>
              <w:t>930</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(1,530)</w:t>
            </w:r>
          </w:p>
        </w:tc>
      </w:tr>
      <w:tr>
        <w:trPr>
          <w:trHeight w:val="216"/>
        </w:trPr>
        <w:tc>
          <w:tcPr>
            <w:tcW w:w="4340" w:type="dxa"/>
            <w:vAlign w:val="bottom"/>
            <w:shd w:val="clear" w:color="auto" w:fill="D6F3E8"/>
          </w:tcPr>
          <w:p>
            <w:pPr>
              <w:spacing w:after="0"/>
              <w:rPr>
                <w:sz w:val="20"/>
                <w:szCs w:val="20"/>
                <w:color w:val="auto"/>
              </w:rPr>
            </w:pPr>
            <w:r>
              <w:rPr>
                <w:rFonts w:ascii="Arial" w:cs="Arial" w:eastAsia="Arial" w:hAnsi="Arial"/>
                <w:sz w:val="18"/>
                <w:szCs w:val="18"/>
                <w:color w:val="auto"/>
              </w:rPr>
              <w:t>Amortization of prior service credit</w:t>
            </w:r>
          </w:p>
        </w:tc>
        <w:tc>
          <w:tcPr>
            <w:tcW w:w="9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220" w:type="dxa"/>
            <w:vAlign w:val="bottom"/>
            <w:shd w:val="clear" w:color="auto" w:fill="D6F3E8"/>
          </w:tcPr>
          <w:p>
            <w:pPr>
              <w:jc w:val="right"/>
              <w:ind w:right="61"/>
              <w:spacing w:after="0"/>
              <w:rPr>
                <w:sz w:val="20"/>
                <w:szCs w:val="20"/>
                <w:color w:val="auto"/>
              </w:rPr>
            </w:pPr>
            <w:r>
              <w:rPr>
                <w:rFonts w:ascii="Arial" w:cs="Arial" w:eastAsia="Arial" w:hAnsi="Arial"/>
                <w:sz w:val="18"/>
                <w:szCs w:val="18"/>
                <w:color w:val="auto"/>
              </w:rPr>
              <w:t>(656)</w:t>
            </w:r>
          </w:p>
        </w:tc>
        <w:tc>
          <w:tcPr>
            <w:tcW w:w="440" w:type="dxa"/>
            <w:vAlign w:val="bottom"/>
            <w:shd w:val="clear" w:color="auto" w:fill="D6F3E8"/>
          </w:tcPr>
          <w:p>
            <w:pPr>
              <w:spacing w:after="0"/>
              <w:rPr>
                <w:sz w:val="18"/>
                <w:szCs w:val="18"/>
                <w:color w:val="auto"/>
              </w:rPr>
            </w:pPr>
          </w:p>
        </w:tc>
        <w:tc>
          <w:tcPr>
            <w:tcW w:w="1160" w:type="dxa"/>
            <w:vAlign w:val="bottom"/>
            <w:shd w:val="clear" w:color="auto" w:fill="D6F3E8"/>
          </w:tcPr>
          <w:p>
            <w:pPr>
              <w:jc w:val="right"/>
              <w:ind w:right="38"/>
              <w:spacing w:after="0"/>
              <w:rPr>
                <w:sz w:val="20"/>
                <w:szCs w:val="20"/>
                <w:color w:val="auto"/>
              </w:rPr>
            </w:pPr>
            <w:r>
              <w:rPr>
                <w:rFonts w:ascii="Arial" w:cs="Arial" w:eastAsia="Arial" w:hAnsi="Arial"/>
                <w:sz w:val="18"/>
                <w:szCs w:val="18"/>
                <w:color w:val="auto"/>
              </w:rPr>
              <w:t>(901)</w:t>
            </w:r>
          </w:p>
        </w:tc>
        <w:tc>
          <w:tcPr>
            <w:tcW w:w="340" w:type="dxa"/>
            <w:vAlign w:val="bottom"/>
            <w:shd w:val="clear" w:color="auto" w:fill="D6F3E8"/>
          </w:tcPr>
          <w:p>
            <w:pPr>
              <w:spacing w:after="0"/>
              <w:rPr>
                <w:sz w:val="18"/>
                <w:szCs w:val="18"/>
                <w:color w:val="auto"/>
              </w:rPr>
            </w:pPr>
          </w:p>
        </w:tc>
        <w:tc>
          <w:tcPr>
            <w:tcW w:w="1240" w:type="dxa"/>
            <w:vAlign w:val="bottom"/>
            <w:shd w:val="clear" w:color="auto" w:fill="D6F3E8"/>
          </w:tcPr>
          <w:p>
            <w:pPr>
              <w:jc w:val="right"/>
              <w:ind w:right="41"/>
              <w:spacing w:after="0"/>
              <w:rPr>
                <w:sz w:val="20"/>
                <w:szCs w:val="20"/>
                <w:color w:val="auto"/>
              </w:rPr>
            </w:pPr>
            <w:r>
              <w:rPr>
                <w:rFonts w:ascii="Arial" w:cs="Arial" w:eastAsia="Arial" w:hAnsi="Arial"/>
                <w:sz w:val="18"/>
                <w:szCs w:val="18"/>
                <w:color w:val="auto"/>
              </w:rPr>
              <w:t>(1,945)</w:t>
            </w:r>
          </w:p>
        </w:tc>
        <w:tc>
          <w:tcPr>
            <w:tcW w:w="440" w:type="dxa"/>
            <w:vAlign w:val="bottom"/>
            <w:shd w:val="clear" w:color="auto" w:fill="D6F3E8"/>
          </w:tcPr>
          <w:p>
            <w:pPr>
              <w:spacing w:after="0"/>
              <w:rPr>
                <w:sz w:val="18"/>
                <w:szCs w:val="18"/>
                <w:color w:val="auto"/>
              </w:rPr>
            </w:pP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(2,260)</w:t>
            </w:r>
          </w:p>
        </w:tc>
      </w:tr>
      <w:tr>
        <w:trPr>
          <w:trHeight w:val="216"/>
        </w:trPr>
        <w:tc>
          <w:tcPr>
            <w:tcW w:w="4340" w:type="dxa"/>
            <w:vAlign w:val="bottom"/>
            <w:tcBorders>
              <w:bottom w:val="single" w:sz="8" w:color="D6F3E8"/>
            </w:tcBorders>
          </w:tcPr>
          <w:p>
            <w:pPr>
              <w:spacing w:after="0"/>
              <w:rPr>
                <w:sz w:val="20"/>
                <w:szCs w:val="20"/>
                <w:color w:val="auto"/>
              </w:rPr>
            </w:pPr>
            <w:r>
              <w:rPr>
                <w:rFonts w:ascii="Arial" w:cs="Arial" w:eastAsia="Arial" w:hAnsi="Arial"/>
                <w:sz w:val="18"/>
                <w:szCs w:val="18"/>
                <w:color w:val="auto"/>
              </w:rPr>
              <w:t>Amortization of actuarial loss</w:t>
            </w:r>
          </w:p>
        </w:tc>
        <w:tc>
          <w:tcPr>
            <w:tcW w:w="940" w:type="dxa"/>
            <w:vAlign w:val="bottom"/>
            <w:tcBorders>
              <w:bottom w:val="single" w:sz="8" w:color="D6F3E8"/>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1"/>
              <w:spacing w:after="0"/>
              <w:rPr>
                <w:sz w:val="20"/>
                <w:szCs w:val="20"/>
                <w:color w:val="auto"/>
              </w:rPr>
            </w:pPr>
            <w:r>
              <w:rPr>
                <w:rFonts w:ascii="Arial" w:cs="Arial" w:eastAsia="Arial" w:hAnsi="Arial"/>
                <w:sz w:val="18"/>
                <w:szCs w:val="18"/>
                <w:color w:val="auto"/>
              </w:rPr>
              <w:t>109</w:t>
            </w: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color w:val="auto"/>
              </w:rPr>
              <w:t>271</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1"/>
              <w:spacing w:after="0"/>
              <w:rPr>
                <w:sz w:val="20"/>
                <w:szCs w:val="20"/>
                <w:color w:val="auto"/>
              </w:rPr>
            </w:pPr>
            <w:r>
              <w:rPr>
                <w:rFonts w:ascii="Arial" w:cs="Arial" w:eastAsia="Arial" w:hAnsi="Arial"/>
                <w:sz w:val="18"/>
                <w:szCs w:val="18"/>
                <w:color w:val="auto"/>
              </w:rPr>
              <w:t>325</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575</w:t>
            </w:r>
          </w:p>
        </w:tc>
      </w:tr>
      <w:tr>
        <w:trPr>
          <w:trHeight w:val="210"/>
        </w:trPr>
        <w:tc>
          <w:tcPr>
            <w:tcW w:w="4340" w:type="dxa"/>
            <w:vAlign w:val="bottom"/>
            <w:tcBorders>
              <w:bottom w:val="single" w:sz="8" w:color="D6F3E8"/>
            </w:tcBorders>
            <w:shd w:val="clear" w:color="auto" w:fill="D6F3E8"/>
          </w:tcPr>
          <w:p>
            <w:pPr>
              <w:spacing w:after="0" w:line="202" w:lineRule="exact"/>
              <w:rPr>
                <w:sz w:val="20"/>
                <w:szCs w:val="20"/>
                <w:color w:val="auto"/>
              </w:rPr>
            </w:pPr>
            <w:r>
              <w:rPr>
                <w:rFonts w:ascii="Arial" w:cs="Arial" w:eastAsia="Arial" w:hAnsi="Arial"/>
                <w:sz w:val="18"/>
                <w:szCs w:val="18"/>
                <w:color w:val="auto"/>
              </w:rPr>
              <w:t>Comprehensive (loss) income</w:t>
            </w:r>
          </w:p>
        </w:tc>
        <w:tc>
          <w:tcPr>
            <w:tcW w:w="940" w:type="dxa"/>
            <w:vAlign w:val="bottom"/>
            <w:tcBorders>
              <w:bottom w:val="single" w:sz="8" w:color="D6F3E8"/>
            </w:tcBorders>
            <w:shd w:val="clear" w:color="auto" w:fill="D6F3E8"/>
          </w:tcPr>
          <w:p>
            <w:pPr>
              <w:spacing w:after="0"/>
              <w:rPr>
                <w:sz w:val="18"/>
                <w:szCs w:val="18"/>
                <w:color w:val="auto"/>
              </w:rPr>
            </w:pPr>
          </w:p>
        </w:tc>
        <w:tc>
          <w:tcPr>
            <w:tcW w:w="240" w:type="dxa"/>
            <w:vAlign w:val="bottom"/>
            <w:tcBorders>
              <w:bottom w:val="single" w:sz="8" w:color="auto"/>
            </w:tcBorders>
            <w:shd w:val="clear" w:color="auto" w:fill="D6F3E8"/>
          </w:tcPr>
          <w:p>
            <w:pPr>
              <w:jc w:val="right"/>
              <w:ind w:right="83"/>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D6F3E8"/>
          </w:tcPr>
          <w:p>
            <w:pPr>
              <w:jc w:val="right"/>
              <w:ind w:right="61"/>
              <w:spacing w:after="0"/>
              <w:rPr>
                <w:sz w:val="20"/>
                <w:szCs w:val="20"/>
                <w:color w:val="auto"/>
              </w:rPr>
            </w:pPr>
            <w:r>
              <w:rPr>
                <w:rFonts w:ascii="Arial" w:cs="Arial" w:eastAsia="Arial" w:hAnsi="Arial"/>
                <w:sz w:val="18"/>
                <w:szCs w:val="18"/>
                <w:color w:val="auto"/>
              </w:rPr>
              <w:t>(9,021)</w:t>
            </w:r>
          </w:p>
        </w:tc>
        <w:tc>
          <w:tcPr>
            <w:tcW w:w="440" w:type="dxa"/>
            <w:vAlign w:val="bottom"/>
            <w:tcBorders>
              <w:bottom w:val="single" w:sz="8" w:color="auto"/>
            </w:tcBorders>
            <w:shd w:val="clear" w:color="auto" w:fill="D6F3E8"/>
          </w:tcPr>
          <w:p>
            <w:pPr>
              <w:jc w:val="right"/>
              <w:ind w:right="112"/>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D6F3E8"/>
          </w:tcPr>
          <w:p>
            <w:pPr>
              <w:jc w:val="right"/>
              <w:ind w:right="98"/>
              <w:spacing w:after="0"/>
              <w:rPr>
                <w:sz w:val="20"/>
                <w:szCs w:val="20"/>
                <w:color w:val="auto"/>
              </w:rPr>
            </w:pPr>
            <w:r>
              <w:rPr>
                <w:rFonts w:ascii="Arial" w:cs="Arial" w:eastAsia="Arial" w:hAnsi="Arial"/>
                <w:sz w:val="18"/>
                <w:szCs w:val="18"/>
                <w:color w:val="auto"/>
              </w:rPr>
              <w:t>2,943</w:t>
            </w:r>
          </w:p>
        </w:tc>
        <w:tc>
          <w:tcPr>
            <w:tcW w:w="340" w:type="dxa"/>
            <w:vAlign w:val="bottom"/>
            <w:tcBorders>
              <w:bottom w:val="single" w:sz="8" w:color="auto"/>
            </w:tcBorders>
            <w:shd w:val="clear" w:color="auto" w:fill="D6F3E8"/>
          </w:tcPr>
          <w:p>
            <w:pPr>
              <w:spacing w:after="0"/>
              <w:rPr>
                <w:sz w:val="18"/>
                <w:szCs w:val="18"/>
                <w:color w:val="auto"/>
              </w:rPr>
            </w:pPr>
          </w:p>
        </w:tc>
        <w:tc>
          <w:tcPr>
            <w:tcW w:w="1240" w:type="dxa"/>
            <w:vAlign w:val="bottom"/>
            <w:tcBorders>
              <w:bottom w:val="single" w:sz="8" w:color="auto"/>
            </w:tcBorders>
            <w:shd w:val="clear" w:color="auto" w:fill="D6F3E8"/>
          </w:tcPr>
          <w:p>
            <w:pPr>
              <w:jc w:val="right"/>
              <w:ind w:right="41"/>
              <w:spacing w:after="0"/>
              <w:rPr>
                <w:sz w:val="20"/>
                <w:szCs w:val="20"/>
                <w:color w:val="auto"/>
              </w:rPr>
            </w:pPr>
            <w:r>
              <w:rPr>
                <w:rFonts w:ascii="Arial" w:cs="Arial" w:eastAsia="Arial" w:hAnsi="Arial"/>
                <w:sz w:val="18"/>
                <w:szCs w:val="18"/>
                <w:color w:val="auto"/>
              </w:rPr>
              <w:t>(29,220)</w:t>
            </w:r>
          </w:p>
        </w:tc>
        <w:tc>
          <w:tcPr>
            <w:tcW w:w="440" w:type="dxa"/>
            <w:vAlign w:val="bottom"/>
            <w:tcBorders>
              <w:bottom w:val="single" w:sz="8" w:color="auto"/>
            </w:tcBorders>
            <w:shd w:val="clear" w:color="auto" w:fill="D6F3E8"/>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6F3E8"/>
          </w:tcPr>
          <w:p>
            <w:pPr>
              <w:jc w:val="right"/>
              <w:ind w:right="20"/>
              <w:spacing w:after="0"/>
              <w:rPr>
                <w:sz w:val="20"/>
                <w:szCs w:val="20"/>
                <w:color w:val="auto"/>
              </w:rPr>
            </w:pPr>
            <w:r>
              <w:rPr>
                <w:rFonts w:ascii="Arial" w:cs="Arial" w:eastAsia="Arial" w:hAnsi="Arial"/>
                <w:sz w:val="18"/>
                <w:szCs w:val="18"/>
                <w:color w:val="auto"/>
              </w:rPr>
              <w:t>12,264</w:t>
            </w:r>
          </w:p>
        </w:tc>
      </w:tr>
      <w:tr>
        <w:trPr>
          <w:trHeight w:val="20"/>
        </w:trPr>
        <w:tc>
          <w:tcPr>
            <w:tcW w:w="4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w:t>
      </w:r>
    </w:p>
    <w:p>
      <w:pPr>
        <w:sectPr>
          <w:pgSz w:w="11900" w:h="16838" w:orient="portrait"/>
          <w:cols w:equalWidth="0" w:num="1">
            <w:col w:w="11420"/>
          </w:cols>
          <w:pgMar w:left="240" w:top="140" w:right="239" w:bottom="0" w:gutter="0" w:footer="0" w:header="0"/>
        </w:sectPr>
      </w:pPr>
    </w:p>
    <w:bookmarkStart w:id="9" w:name="page10"/>
    <w:bookmarkEnd w:id="9"/>
    <w:p>
      <w:pPr>
        <w:spacing w:after="0" w:line="6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On June 11, 2009, we announced the decision to close our Hampton, Iowa fiberglass manufacturing facility. The majority of the production capabilities for fiberglass components will be relocated to our Forest City, Iowa facility throughout our fiscal fourth quarter ending August 29, 2009. As a result of the Hampton facility closure, we expect to incur a non-cash impairment charge of approximately $1.4 to $2.4 million in our fourth fiscal quarter. In addition, other costs associated with the idling of the facility are estimated to be $600,000.</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9"/>
          <w:szCs w:val="19"/>
          <w:b w:val="1"/>
          <w:bCs w:val="1"/>
          <w:color w:val="auto"/>
        </w:rPr>
        <w:t>Management’s Discussion and Analysis of Financial Condition and Results of Operations</w:t>
      </w:r>
    </w:p>
    <w:p>
      <w:pPr>
        <w:spacing w:after="0" w:line="15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It is suggested that this management’s discussion be read in conjunction with the Management’s Discussion and Analysis included in our Annual Report to Shareholders for the year ended August 30, 2008.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3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Certain of the matters discussed in this Quarterly Report on Form 10-Q are “forward-looking statements” within the meaning of Section 27A of the Securities Act of 1933, as amended, and Section 21E of the Securities Exchange Act of 1934, as amended, which involve risks and uncertainties. A number of factors could cause actual results to differ materially from these statements, including, but not limited to, interest rates and availability of credit, low consumer confidence, significant increase in repurchase obligations, availability and price of fuel, a further or continued slowdown in the economy, availability of chassis and other key component parts, sales order cancellations, slower than anticipated sales of new or existing products, new product introductions by competitors, the effect of global tensions and other factors which may be disclosed throughout this report. Although we believe that the expectations reflected in the “forward-looking statements” are reasonable, we cannot guarantee future results, levels of activity, performance or achievements. Undue reliance should not be placed on these “forward-looking statements,” which speak only as of the date of this report. We undertake no obligation to publicly update or revise any “forward-looking statements,” whether as a result of new information, future events or otherwise, except as required by law or the rules of the New York Stock Exchange.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3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Winnebago Industries, Inc. is a leading motor home manufacturer with a proud history of manufacturing recreation vehicles for more than 50 years. Our strategy is to manufacture quality motor homes in a profitable manner. We produce all of our motor homes in highly vertically integrated manufacturing facilities in the state of Iowa. We distribute our product through independent dealers throughout the United States and Canada, who then retail the product to the end consumer. We have led the industry with the highest market share in the U.S. of Class A and Class C motor homes combined for the past eight calendar years and in Calendar 2009 through April. We began producing Class B motor homes in February 2008 and have moved into the number three U. S. position from a retail unit market share standpoint in Calendar 2009 through April. See specific U.S. retail unit market share for all categories in the following table:</w:t>
      </w:r>
    </w:p>
    <w:p>
      <w:pPr>
        <w:spacing w:after="0" w:line="107" w:lineRule="exact"/>
        <w:rPr>
          <w:sz w:val="20"/>
          <w:szCs w:val="20"/>
          <w:color w:val="auto"/>
        </w:rPr>
      </w:pPr>
    </w:p>
    <w:p>
      <w:pPr>
        <w:ind w:left="6380"/>
        <w:spacing w:after="0"/>
        <w:rPr>
          <w:sz w:val="20"/>
          <w:szCs w:val="20"/>
          <w:color w:val="auto"/>
        </w:rPr>
      </w:pPr>
      <w:r>
        <w:rPr>
          <w:rFonts w:ascii="Arial" w:cs="Arial" w:eastAsia="Arial" w:hAnsi="Arial"/>
          <w:sz w:val="18"/>
          <w:szCs w:val="18"/>
          <w:b w:val="1"/>
          <w:bCs w:val="1"/>
          <w:color w:val="auto"/>
        </w:rPr>
        <w:t xml:space="preserve">Winnebago Industries U.S. Retail Market Share </w:t>
      </w:r>
      <w:r>
        <w:rPr>
          <w:rFonts w:ascii="Arial" w:cs="Arial" w:eastAsia="Arial" w:hAnsi="Arial"/>
          <w:sz w:val="29"/>
          <w:szCs w:val="29"/>
          <w:b w:val="1"/>
          <w:bCs w:val="1"/>
          <w:color w:val="auto"/>
          <w:vertAlign w:val="superscript"/>
        </w:rPr>
        <w:t>(1)</w:t>
      </w:r>
    </w:p>
    <w:tbl>
      <w:tblPr>
        <w:tblLayout w:type="fixed"/>
        <w:tblInd w:w="0" w:type="dxa"/>
        <w:tblCellMar>
          <w:top w:w="0" w:type="dxa"/>
          <w:left w:w="0" w:type="dxa"/>
          <w:bottom w:w="0" w:type="dxa"/>
          <w:right w:w="0" w:type="dxa"/>
        </w:tblCellMar>
      </w:tblPr>
      <w:tr>
        <w:trPr>
          <w:trHeight w:val="135"/>
        </w:trPr>
        <w:tc>
          <w:tcPr>
            <w:tcW w:w="5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60" w:type="dxa"/>
            <w:vAlign w:val="bottom"/>
          </w:tcPr>
          <w:p>
            <w:pPr>
              <w:jc w:val="right"/>
              <w:ind w:right="1119"/>
              <w:spacing w:after="0" w:line="135" w:lineRule="exact"/>
              <w:rPr>
                <w:sz w:val="20"/>
                <w:szCs w:val="20"/>
                <w:color w:val="auto"/>
              </w:rPr>
            </w:pPr>
            <w:r>
              <w:rPr>
                <w:rFonts w:ascii="Arial" w:cs="Arial" w:eastAsia="Arial" w:hAnsi="Arial"/>
                <w:sz w:val="14"/>
                <w:szCs w:val="14"/>
                <w:b w:val="1"/>
                <w:bCs w:val="1"/>
                <w:color w:val="auto"/>
                <w:w w:val="99"/>
              </w:rPr>
              <w:t>Calendar Year</w:t>
            </w:r>
          </w:p>
        </w:tc>
        <w:tc>
          <w:tcPr>
            <w:tcW w:w="1080" w:type="dxa"/>
            <w:vAlign w:val="bottom"/>
          </w:tcPr>
          <w:p>
            <w:pPr>
              <w:spacing w:after="0"/>
              <w:rPr>
                <w:sz w:val="11"/>
                <w:szCs w:val="11"/>
                <w:color w:val="auto"/>
              </w:rPr>
            </w:pPr>
          </w:p>
        </w:tc>
        <w:tc>
          <w:tcPr>
            <w:tcW w:w="2020" w:type="dxa"/>
            <w:vAlign w:val="bottom"/>
          </w:tcPr>
          <w:p>
            <w:pPr>
              <w:spacing w:after="0"/>
              <w:rPr>
                <w:sz w:val="11"/>
                <w:szCs w:val="11"/>
                <w:color w:val="auto"/>
              </w:rPr>
            </w:pPr>
          </w:p>
        </w:tc>
      </w:tr>
      <w:tr>
        <w:trPr>
          <w:trHeight w:val="149"/>
        </w:trPr>
        <w:tc>
          <w:tcPr>
            <w:tcW w:w="5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160" w:type="dxa"/>
            <w:vAlign w:val="bottom"/>
          </w:tcPr>
          <w:p>
            <w:pPr>
              <w:jc w:val="right"/>
              <w:ind w:right="999"/>
              <w:spacing w:after="0" w:line="149" w:lineRule="exact"/>
              <w:rPr>
                <w:sz w:val="20"/>
                <w:szCs w:val="20"/>
                <w:color w:val="auto"/>
              </w:rPr>
            </w:pPr>
            <w:r>
              <w:rPr>
                <w:rFonts w:ascii="Arial" w:cs="Arial" w:eastAsia="Arial" w:hAnsi="Arial"/>
                <w:sz w:val="14"/>
                <w:szCs w:val="14"/>
                <w:b w:val="1"/>
                <w:bCs w:val="1"/>
                <w:color w:val="auto"/>
                <w:w w:val="91"/>
              </w:rPr>
              <w:t>Through April 30,</w:t>
            </w:r>
          </w:p>
        </w:tc>
        <w:tc>
          <w:tcPr>
            <w:tcW w:w="1080" w:type="dxa"/>
            <w:vAlign w:val="bottom"/>
          </w:tcPr>
          <w:p>
            <w:pPr>
              <w:spacing w:after="0"/>
              <w:rPr>
                <w:sz w:val="12"/>
                <w:szCs w:val="12"/>
                <w:color w:val="auto"/>
              </w:rPr>
            </w:pPr>
          </w:p>
        </w:tc>
        <w:tc>
          <w:tcPr>
            <w:tcW w:w="2020" w:type="dxa"/>
            <w:vAlign w:val="bottom"/>
          </w:tcPr>
          <w:p>
            <w:pPr>
              <w:jc w:val="right"/>
              <w:ind w:right="1017"/>
              <w:spacing w:after="0" w:line="149" w:lineRule="exact"/>
              <w:rPr>
                <w:sz w:val="20"/>
                <w:szCs w:val="20"/>
                <w:color w:val="auto"/>
              </w:rPr>
            </w:pPr>
            <w:r>
              <w:rPr>
                <w:rFonts w:ascii="Arial" w:cs="Arial" w:eastAsia="Arial" w:hAnsi="Arial"/>
                <w:sz w:val="14"/>
                <w:szCs w:val="14"/>
                <w:b w:val="1"/>
                <w:bCs w:val="1"/>
                <w:color w:val="auto"/>
                <w:w w:val="95"/>
              </w:rPr>
              <w:t>Calendar Year</w:t>
            </w:r>
          </w:p>
        </w:tc>
      </w:tr>
      <w:tr>
        <w:trPr>
          <w:trHeight w:val="168"/>
        </w:trPr>
        <w:tc>
          <w:tcPr>
            <w:tcW w:w="5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2009</w:t>
            </w:r>
          </w:p>
        </w:tc>
        <w:tc>
          <w:tcPr>
            <w:tcW w:w="216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2008</w:t>
            </w:r>
          </w:p>
        </w:tc>
        <w:tc>
          <w:tcPr>
            <w:tcW w:w="10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2008</w:t>
            </w:r>
          </w:p>
        </w:tc>
        <w:tc>
          <w:tcPr>
            <w:tcW w:w="20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2007</w:t>
            </w:r>
          </w:p>
        </w:tc>
      </w:tr>
      <w:tr>
        <w:trPr>
          <w:trHeight w:val="216"/>
        </w:trPr>
        <w:tc>
          <w:tcPr>
            <w:tcW w:w="5280" w:type="dxa"/>
            <w:vAlign w:val="bottom"/>
            <w:shd w:val="clear" w:color="auto" w:fill="D6F3E8"/>
          </w:tcPr>
          <w:p>
            <w:pPr>
              <w:spacing w:after="0"/>
              <w:rPr>
                <w:sz w:val="20"/>
                <w:szCs w:val="20"/>
                <w:color w:val="auto"/>
              </w:rPr>
            </w:pPr>
            <w:r>
              <w:rPr>
                <w:rFonts w:ascii="Arial" w:cs="Arial" w:eastAsia="Arial" w:hAnsi="Arial"/>
                <w:sz w:val="18"/>
                <w:szCs w:val="18"/>
                <w:color w:val="auto"/>
              </w:rPr>
              <w:t>Class A gas</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22.6%</w:t>
            </w:r>
          </w:p>
        </w:tc>
        <w:tc>
          <w:tcPr>
            <w:tcW w:w="2160" w:type="dxa"/>
            <w:vAlign w:val="bottom"/>
            <w:shd w:val="clear" w:color="auto" w:fill="D6F3E8"/>
          </w:tcPr>
          <w:p>
            <w:pPr>
              <w:jc w:val="right"/>
              <w:ind w:right="499"/>
              <w:spacing w:after="0"/>
              <w:rPr>
                <w:sz w:val="20"/>
                <w:szCs w:val="20"/>
                <w:color w:val="auto"/>
              </w:rPr>
            </w:pPr>
            <w:r>
              <w:rPr>
                <w:rFonts w:ascii="Arial" w:cs="Arial" w:eastAsia="Arial" w:hAnsi="Arial"/>
                <w:sz w:val="18"/>
                <w:szCs w:val="18"/>
                <w:color w:val="auto"/>
              </w:rPr>
              <w:t>23.2%</w:t>
            </w: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23.2%</w:t>
            </w:r>
          </w:p>
        </w:tc>
        <w:tc>
          <w:tcPr>
            <w:tcW w:w="2020" w:type="dxa"/>
            <w:vAlign w:val="bottom"/>
            <w:shd w:val="clear" w:color="auto" w:fill="D6F3E8"/>
          </w:tcPr>
          <w:p>
            <w:pPr>
              <w:jc w:val="right"/>
              <w:ind w:right="417"/>
              <w:spacing w:after="0"/>
              <w:rPr>
                <w:sz w:val="20"/>
                <w:szCs w:val="20"/>
                <w:color w:val="auto"/>
              </w:rPr>
            </w:pPr>
            <w:r>
              <w:rPr>
                <w:rFonts w:ascii="Arial" w:cs="Arial" w:eastAsia="Arial" w:hAnsi="Arial"/>
                <w:sz w:val="18"/>
                <w:szCs w:val="18"/>
                <w:color w:val="auto"/>
              </w:rPr>
              <w:t>22.0%</w:t>
            </w:r>
          </w:p>
        </w:tc>
      </w:tr>
      <w:tr>
        <w:trPr>
          <w:trHeight w:val="216"/>
        </w:trPr>
        <w:tc>
          <w:tcPr>
            <w:tcW w:w="5280" w:type="dxa"/>
            <w:vAlign w:val="bottom"/>
            <w:tcBorders>
              <w:bottom w:val="single" w:sz="8" w:color="D6F3E8"/>
            </w:tcBorders>
          </w:tcPr>
          <w:p>
            <w:pPr>
              <w:spacing w:after="0"/>
              <w:rPr>
                <w:sz w:val="20"/>
                <w:szCs w:val="20"/>
                <w:color w:val="auto"/>
              </w:rPr>
            </w:pPr>
            <w:r>
              <w:rPr>
                <w:rFonts w:ascii="Arial" w:cs="Arial" w:eastAsia="Arial" w:hAnsi="Arial"/>
                <w:sz w:val="18"/>
                <w:szCs w:val="18"/>
                <w:color w:val="auto"/>
              </w:rPr>
              <w:t>Class A diesel</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160" w:type="dxa"/>
            <w:vAlign w:val="bottom"/>
            <w:tcBorders>
              <w:bottom w:val="single" w:sz="8" w:color="auto"/>
            </w:tcBorders>
          </w:tcPr>
          <w:p>
            <w:pPr>
              <w:jc w:val="right"/>
              <w:ind w:right="499"/>
              <w:spacing w:after="0"/>
              <w:rPr>
                <w:sz w:val="20"/>
                <w:szCs w:val="20"/>
                <w:color w:val="auto"/>
              </w:rPr>
            </w:pPr>
            <w:r>
              <w:rPr>
                <w:rFonts w:ascii="Arial" w:cs="Arial" w:eastAsia="Arial" w:hAnsi="Arial"/>
                <w:sz w:val="18"/>
                <w:szCs w:val="18"/>
                <w:color w:val="auto"/>
              </w:rPr>
              <w:t>7.2%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02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color w:val="auto"/>
              </w:rPr>
              <w:t>8.9%</w:t>
            </w:r>
          </w:p>
        </w:tc>
      </w:tr>
      <w:tr>
        <w:trPr>
          <w:trHeight w:val="210"/>
        </w:trPr>
        <w:tc>
          <w:tcPr>
            <w:tcW w:w="5280" w:type="dxa"/>
            <w:vAlign w:val="bottom"/>
            <w:shd w:val="clear" w:color="auto" w:fill="D6F3E8"/>
          </w:tcPr>
          <w:p>
            <w:pPr>
              <w:ind w:left="160"/>
              <w:spacing w:after="0" w:line="202" w:lineRule="exact"/>
              <w:rPr>
                <w:sz w:val="20"/>
                <w:szCs w:val="20"/>
                <w:color w:val="auto"/>
              </w:rPr>
            </w:pPr>
            <w:r>
              <w:rPr>
                <w:rFonts w:ascii="Arial" w:cs="Arial" w:eastAsia="Arial" w:hAnsi="Arial"/>
                <w:sz w:val="18"/>
                <w:szCs w:val="18"/>
                <w:color w:val="auto"/>
              </w:rPr>
              <w:t>Total Class A</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15.5%</w:t>
            </w:r>
          </w:p>
        </w:tc>
        <w:tc>
          <w:tcPr>
            <w:tcW w:w="2160" w:type="dxa"/>
            <w:vAlign w:val="bottom"/>
            <w:shd w:val="clear" w:color="auto" w:fill="D6F3E8"/>
          </w:tcPr>
          <w:p>
            <w:pPr>
              <w:jc w:val="right"/>
              <w:ind w:right="499"/>
              <w:spacing w:after="0"/>
              <w:rPr>
                <w:sz w:val="20"/>
                <w:szCs w:val="20"/>
                <w:color w:val="auto"/>
              </w:rPr>
            </w:pPr>
            <w:r>
              <w:rPr>
                <w:rFonts w:ascii="Arial" w:cs="Arial" w:eastAsia="Arial" w:hAnsi="Arial"/>
                <w:sz w:val="18"/>
                <w:szCs w:val="18"/>
                <w:color w:val="auto"/>
              </w:rPr>
              <w:t>14.7%</w:t>
            </w: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15.3%</w:t>
            </w:r>
          </w:p>
        </w:tc>
        <w:tc>
          <w:tcPr>
            <w:tcW w:w="2020" w:type="dxa"/>
            <w:vAlign w:val="bottom"/>
            <w:shd w:val="clear" w:color="auto" w:fill="D6F3E8"/>
          </w:tcPr>
          <w:p>
            <w:pPr>
              <w:jc w:val="right"/>
              <w:ind w:right="417"/>
              <w:spacing w:after="0"/>
              <w:rPr>
                <w:sz w:val="20"/>
                <w:szCs w:val="20"/>
                <w:color w:val="auto"/>
              </w:rPr>
            </w:pPr>
            <w:r>
              <w:rPr>
                <w:rFonts w:ascii="Arial" w:cs="Arial" w:eastAsia="Arial" w:hAnsi="Arial"/>
                <w:sz w:val="18"/>
                <w:szCs w:val="18"/>
                <w:color w:val="auto"/>
              </w:rPr>
              <w:t>15.1%</w:t>
            </w:r>
          </w:p>
        </w:tc>
      </w:tr>
      <w:tr>
        <w:trPr>
          <w:trHeight w:val="364"/>
        </w:trPr>
        <w:tc>
          <w:tcPr>
            <w:tcW w:w="5280" w:type="dxa"/>
            <w:vAlign w:val="bottom"/>
            <w:tcBorders>
              <w:bottom w:val="single" w:sz="8" w:color="D6F3E8"/>
            </w:tcBorders>
          </w:tcPr>
          <w:p>
            <w:pPr>
              <w:spacing w:after="0"/>
              <w:rPr>
                <w:sz w:val="20"/>
                <w:szCs w:val="20"/>
                <w:color w:val="auto"/>
              </w:rPr>
            </w:pPr>
            <w:r>
              <w:rPr>
                <w:rFonts w:ascii="Arial" w:cs="Arial" w:eastAsia="Arial" w:hAnsi="Arial"/>
                <w:sz w:val="18"/>
                <w:szCs w:val="18"/>
                <w:color w:val="auto"/>
              </w:rPr>
              <w:t>Class C</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2160" w:type="dxa"/>
            <w:vAlign w:val="bottom"/>
            <w:tcBorders>
              <w:bottom w:val="single" w:sz="8" w:color="auto"/>
            </w:tcBorders>
          </w:tcPr>
          <w:p>
            <w:pPr>
              <w:jc w:val="right"/>
              <w:ind w:right="499"/>
              <w:spacing w:after="0"/>
              <w:rPr>
                <w:sz w:val="20"/>
                <w:szCs w:val="20"/>
                <w:color w:val="auto"/>
              </w:rPr>
            </w:pPr>
            <w:r>
              <w:rPr>
                <w:rFonts w:ascii="Arial" w:cs="Arial" w:eastAsia="Arial" w:hAnsi="Arial"/>
                <w:sz w:val="18"/>
                <w:szCs w:val="18"/>
                <w:color w:val="auto"/>
              </w:rPr>
              <w:t>21.4%</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202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color w:val="auto"/>
              </w:rPr>
              <w:t>24.0%</w:t>
            </w:r>
          </w:p>
        </w:tc>
      </w:tr>
      <w:tr>
        <w:trPr>
          <w:trHeight w:val="211"/>
        </w:trPr>
        <w:tc>
          <w:tcPr>
            <w:tcW w:w="5280" w:type="dxa"/>
            <w:vAlign w:val="bottom"/>
            <w:tcBorders>
              <w:bottom w:val="single" w:sz="8" w:color="D6F3E8"/>
            </w:tcBorders>
            <w:shd w:val="clear" w:color="auto" w:fill="D6F3E8"/>
          </w:tcPr>
          <w:p>
            <w:pPr>
              <w:ind w:left="160"/>
              <w:spacing w:after="0" w:line="203" w:lineRule="exact"/>
              <w:rPr>
                <w:sz w:val="20"/>
                <w:szCs w:val="20"/>
                <w:color w:val="auto"/>
              </w:rPr>
            </w:pPr>
            <w:r>
              <w:rPr>
                <w:rFonts w:ascii="Arial" w:cs="Arial" w:eastAsia="Arial" w:hAnsi="Arial"/>
                <w:sz w:val="18"/>
                <w:szCs w:val="18"/>
                <w:color w:val="auto"/>
              </w:rPr>
              <w:t>Total Class A and C</w:t>
            </w:r>
          </w:p>
        </w:tc>
        <w:tc>
          <w:tcPr>
            <w:tcW w:w="8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18.4%</w:t>
            </w:r>
          </w:p>
        </w:tc>
        <w:tc>
          <w:tcPr>
            <w:tcW w:w="2160" w:type="dxa"/>
            <w:vAlign w:val="bottom"/>
            <w:tcBorders>
              <w:bottom w:val="single" w:sz="8" w:color="auto"/>
            </w:tcBorders>
            <w:shd w:val="clear" w:color="auto" w:fill="D6F3E8"/>
          </w:tcPr>
          <w:p>
            <w:pPr>
              <w:jc w:val="right"/>
              <w:ind w:right="499"/>
              <w:spacing w:after="0"/>
              <w:rPr>
                <w:sz w:val="20"/>
                <w:szCs w:val="20"/>
                <w:color w:val="auto"/>
              </w:rPr>
            </w:pPr>
            <w:r>
              <w:rPr>
                <w:rFonts w:ascii="Arial" w:cs="Arial" w:eastAsia="Arial" w:hAnsi="Arial"/>
                <w:sz w:val="18"/>
                <w:szCs w:val="18"/>
                <w:color w:val="auto"/>
              </w:rPr>
              <w:t>17.3%</w:t>
            </w:r>
          </w:p>
        </w:tc>
        <w:tc>
          <w:tcPr>
            <w:tcW w:w="10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18.3%</w:t>
            </w:r>
          </w:p>
        </w:tc>
        <w:tc>
          <w:tcPr>
            <w:tcW w:w="2020" w:type="dxa"/>
            <w:vAlign w:val="bottom"/>
            <w:tcBorders>
              <w:bottom w:val="single" w:sz="8" w:color="auto"/>
            </w:tcBorders>
            <w:shd w:val="clear" w:color="auto" w:fill="D6F3E8"/>
          </w:tcPr>
          <w:p>
            <w:pPr>
              <w:jc w:val="right"/>
              <w:ind w:right="417"/>
              <w:spacing w:after="0"/>
              <w:rPr>
                <w:sz w:val="20"/>
                <w:szCs w:val="20"/>
                <w:color w:val="auto"/>
              </w:rPr>
            </w:pPr>
            <w:r>
              <w:rPr>
                <w:rFonts w:ascii="Arial" w:cs="Arial" w:eastAsia="Arial" w:hAnsi="Arial"/>
                <w:sz w:val="18"/>
                <w:szCs w:val="18"/>
                <w:color w:val="auto"/>
              </w:rPr>
              <w:t>18.5%</w:t>
            </w:r>
          </w:p>
        </w:tc>
      </w:tr>
      <w:tr>
        <w:trPr>
          <w:trHeight w:val="20"/>
        </w:trPr>
        <w:tc>
          <w:tcPr>
            <w:tcW w:w="5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344"/>
        </w:trPr>
        <w:tc>
          <w:tcPr>
            <w:tcW w:w="5280" w:type="dxa"/>
            <w:vAlign w:val="bottom"/>
          </w:tcPr>
          <w:p>
            <w:pPr>
              <w:spacing w:after="0"/>
              <w:rPr>
                <w:sz w:val="20"/>
                <w:szCs w:val="20"/>
                <w:color w:val="auto"/>
              </w:rPr>
            </w:pPr>
            <w:r>
              <w:rPr>
                <w:rFonts w:ascii="Arial" w:cs="Arial" w:eastAsia="Arial" w:hAnsi="Arial"/>
                <w:sz w:val="18"/>
                <w:szCs w:val="18"/>
                <w:color w:val="auto"/>
              </w:rPr>
              <w:t>Class B</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160" w:type="dxa"/>
            <w:vAlign w:val="bottom"/>
            <w:tcBorders>
              <w:bottom w:val="single" w:sz="8" w:color="auto"/>
            </w:tcBorders>
          </w:tcPr>
          <w:p>
            <w:pPr>
              <w:jc w:val="right"/>
              <w:ind w:right="499"/>
              <w:spacing w:after="0"/>
              <w:rPr>
                <w:sz w:val="20"/>
                <w:szCs w:val="20"/>
                <w:color w:val="auto"/>
              </w:rPr>
            </w:pPr>
            <w:r>
              <w:rPr>
                <w:rFonts w:ascii="Arial" w:cs="Arial" w:eastAsia="Arial" w:hAnsi="Arial"/>
                <w:sz w:val="18"/>
                <w:szCs w:val="18"/>
                <w:color w:val="auto"/>
              </w:rPr>
              <w:t>1.0%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020" w:type="dxa"/>
            <w:vAlign w:val="bottom"/>
            <w:tcBorders>
              <w:bottom w:val="single" w:sz="8" w:color="auto"/>
            </w:tcBorders>
          </w:tcPr>
          <w:p>
            <w:pPr>
              <w:jc w:val="right"/>
              <w:ind w:right="457"/>
              <w:spacing w:after="0"/>
              <w:rPr>
                <w:sz w:val="20"/>
                <w:szCs w:val="20"/>
                <w:color w:val="auto"/>
              </w:rPr>
            </w:pPr>
            <w:r>
              <w:rPr>
                <w:rFonts w:ascii="Arial" w:cs="Arial" w:eastAsia="Arial" w:hAnsi="Arial"/>
                <w:sz w:val="18"/>
                <w:szCs w:val="18"/>
                <w:color w:val="auto"/>
              </w:rPr>
              <w:t>0%</w:t>
            </w:r>
          </w:p>
        </w:tc>
      </w:tr>
      <w:tr>
        <w:trPr>
          <w:trHeight w:val="20"/>
        </w:trPr>
        <w:tc>
          <w:tcPr>
            <w:tcW w:w="5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59" w:lineRule="exact"/>
        <w:rPr>
          <w:sz w:val="20"/>
          <w:szCs w:val="20"/>
          <w:color w:val="auto"/>
        </w:rPr>
      </w:pPr>
    </w:p>
    <w:p>
      <w:pPr>
        <w:ind w:left="220" w:right="160" w:hanging="212"/>
        <w:spacing w:after="0" w:line="186" w:lineRule="auto"/>
        <w:tabs>
          <w:tab w:leader="none" w:pos="220" w:val="left"/>
        </w:tabs>
        <w:numPr>
          <w:ilvl w:val="0"/>
          <w:numId w:val="5"/>
        </w:numPr>
        <w:rPr>
          <w:rFonts w:ascii="Arial" w:cs="Arial" w:eastAsia="Arial" w:hAnsi="Arial"/>
          <w:sz w:val="22"/>
          <w:szCs w:val="22"/>
          <w:color w:val="auto"/>
          <w:vertAlign w:val="superscript"/>
        </w:rPr>
      </w:pPr>
      <w:r>
        <w:rPr>
          <w:rFonts w:ascii="Arial" w:cs="Arial" w:eastAsia="Arial" w:hAnsi="Arial"/>
          <w:sz w:val="14"/>
          <w:szCs w:val="14"/>
          <w:color w:val="auto"/>
        </w:rPr>
        <w:t>As reported by Statistical Surveys, Inc. (Statistical Surveys). During June 2009, Statistical Surveys released revised information, as shown above, for Calendar 2008 and 2007 and for the first four calendar months of 2009.</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and Business Outlook</w:t>
      </w:r>
    </w:p>
    <w:p>
      <w:pPr>
        <w:spacing w:after="0" w:line="16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RV industry saw substantial reductions in wholesale motor home shipments and retail registrations during Calendar 2008. The trend has only worsened thus far in Calendar 2009, as detailed in the table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60" w:type="dxa"/>
            <w:vAlign w:val="bottom"/>
            <w:gridSpan w:val="2"/>
          </w:tcPr>
          <w:p>
            <w:pPr>
              <w:jc w:val="right"/>
              <w:ind w:right="494"/>
              <w:spacing w:after="0"/>
              <w:rPr>
                <w:sz w:val="20"/>
                <w:szCs w:val="20"/>
                <w:color w:val="auto"/>
              </w:rPr>
            </w:pPr>
            <w:r>
              <w:rPr>
                <w:rFonts w:ascii="Arial" w:cs="Arial" w:eastAsia="Arial" w:hAnsi="Arial"/>
                <w:sz w:val="14"/>
                <w:szCs w:val="14"/>
                <w:b w:val="1"/>
                <w:bCs w:val="1"/>
                <w:color w:val="auto"/>
              </w:rPr>
              <w:t>U. S. RV Industry</w:t>
            </w: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0" w:type="dxa"/>
            <w:vAlign w:val="bottom"/>
            <w:gridSpan w:val="2"/>
          </w:tcPr>
          <w:p>
            <w:pPr>
              <w:jc w:val="right"/>
              <w:ind w:right="474"/>
              <w:spacing w:after="0"/>
              <w:rPr>
                <w:sz w:val="20"/>
                <w:szCs w:val="20"/>
                <w:color w:val="auto"/>
              </w:rPr>
            </w:pPr>
            <w:r>
              <w:rPr>
                <w:rFonts w:ascii="Arial" w:cs="Arial" w:eastAsia="Arial" w:hAnsi="Arial"/>
                <w:sz w:val="14"/>
                <w:szCs w:val="14"/>
                <w:b w:val="1"/>
                <w:bCs w:val="1"/>
                <w:color w:val="auto"/>
              </w:rPr>
              <w:t>U. S. RV Industry</w:t>
            </w:r>
          </w:p>
        </w:tc>
        <w:tc>
          <w:tcPr>
            <w:tcW w:w="880" w:type="dxa"/>
            <w:vAlign w:val="bottom"/>
          </w:tcPr>
          <w:p>
            <w:pPr>
              <w:spacing w:after="0"/>
              <w:rPr>
                <w:sz w:val="14"/>
                <w:szCs w:val="14"/>
                <w:color w:val="auto"/>
              </w:rPr>
            </w:pPr>
          </w:p>
        </w:tc>
      </w:tr>
      <w:tr>
        <w:trPr>
          <w:trHeight w:val="200"/>
        </w:trPr>
        <w:tc>
          <w:tcPr>
            <w:tcW w:w="346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2"/>
          </w:tcPr>
          <w:p>
            <w:pPr>
              <w:jc w:val="right"/>
              <w:ind w:right="334"/>
              <w:spacing w:after="0" w:line="193" w:lineRule="exact"/>
              <w:rPr>
                <w:sz w:val="20"/>
                <w:szCs w:val="20"/>
                <w:color w:val="auto"/>
              </w:rPr>
            </w:pPr>
            <w:r>
              <w:rPr>
                <w:rFonts w:ascii="Arial" w:cs="Arial" w:eastAsia="Arial" w:hAnsi="Arial"/>
                <w:sz w:val="14"/>
                <w:szCs w:val="14"/>
                <w:b w:val="1"/>
                <w:bCs w:val="1"/>
                <w:color w:val="auto"/>
                <w:w w:val="99"/>
              </w:rPr>
              <w:t>Wholesale Shipments</w:t>
            </w:r>
            <w:r>
              <w:rPr>
                <w:rFonts w:ascii="Arial" w:cs="Arial" w:eastAsia="Arial" w:hAnsi="Arial"/>
                <w:sz w:val="22"/>
                <w:szCs w:val="22"/>
                <w:b w:val="1"/>
                <w:bCs w:val="1"/>
                <w:color w:val="auto"/>
                <w:w w:val="99"/>
                <w:vertAlign w:val="superscript"/>
              </w:rPr>
              <w:t>(1)</w:t>
            </w:r>
          </w:p>
        </w:tc>
        <w:tc>
          <w:tcPr>
            <w:tcW w:w="1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2"/>
          </w:tcPr>
          <w:p>
            <w:pPr>
              <w:ind w:left="280"/>
              <w:spacing w:after="0" w:line="193" w:lineRule="exact"/>
              <w:rPr>
                <w:sz w:val="20"/>
                <w:szCs w:val="20"/>
                <w:color w:val="auto"/>
              </w:rPr>
            </w:pPr>
            <w:r>
              <w:rPr>
                <w:rFonts w:ascii="Arial" w:cs="Arial" w:eastAsia="Arial" w:hAnsi="Arial"/>
                <w:sz w:val="14"/>
                <w:szCs w:val="14"/>
                <w:b w:val="1"/>
                <w:bCs w:val="1"/>
                <w:color w:val="auto"/>
              </w:rPr>
              <w:t>Retail Registrations</w:t>
            </w:r>
            <w:r>
              <w:rPr>
                <w:rFonts w:ascii="Arial" w:cs="Arial" w:eastAsia="Arial" w:hAnsi="Arial"/>
                <w:sz w:val="22"/>
                <w:szCs w:val="22"/>
                <w:b w:val="1"/>
                <w:bCs w:val="1"/>
                <w:color w:val="auto"/>
                <w:vertAlign w:val="superscript"/>
              </w:rPr>
              <w:t>(2)</w:t>
            </w:r>
          </w:p>
        </w:tc>
        <w:tc>
          <w:tcPr>
            <w:tcW w:w="880" w:type="dxa"/>
            <w:vAlign w:val="bottom"/>
            <w:tcBorders>
              <w:bottom w:val="single" w:sz="8" w:color="auto"/>
            </w:tcBorders>
          </w:tcPr>
          <w:p>
            <w:pPr>
              <w:spacing w:after="0"/>
              <w:rPr>
                <w:sz w:val="17"/>
                <w:szCs w:val="17"/>
                <w:color w:val="auto"/>
              </w:rPr>
            </w:pPr>
          </w:p>
        </w:tc>
      </w:tr>
      <w:tr>
        <w:trPr>
          <w:trHeight w:val="156"/>
        </w:trPr>
        <w:tc>
          <w:tcPr>
            <w:tcW w:w="3460" w:type="dxa"/>
            <w:vAlign w:val="bottom"/>
          </w:tcPr>
          <w:p>
            <w:pPr>
              <w:spacing w:after="0"/>
              <w:rPr>
                <w:sz w:val="13"/>
                <w:szCs w:val="13"/>
                <w:color w:val="auto"/>
              </w:rPr>
            </w:pPr>
          </w:p>
        </w:tc>
        <w:tc>
          <w:tcPr>
            <w:tcW w:w="1940" w:type="dxa"/>
            <w:vAlign w:val="bottom"/>
            <w:tcBorders>
              <w:bottom w:val="single" w:sz="8" w:color="auto"/>
            </w:tcBorders>
            <w:gridSpan w:val="2"/>
          </w:tcPr>
          <w:p>
            <w:pPr>
              <w:jc w:val="right"/>
              <w:ind w:right="579"/>
              <w:spacing w:after="0" w:line="149" w:lineRule="exact"/>
              <w:rPr>
                <w:sz w:val="20"/>
                <w:szCs w:val="20"/>
                <w:color w:val="auto"/>
              </w:rPr>
            </w:pPr>
            <w:r>
              <w:rPr>
                <w:rFonts w:ascii="Arial" w:cs="Arial" w:eastAsia="Arial" w:hAnsi="Arial"/>
                <w:sz w:val="14"/>
                <w:szCs w:val="14"/>
                <w:b w:val="1"/>
                <w:bCs w:val="1"/>
                <w:color w:val="auto"/>
              </w:rPr>
              <w:t>Calendar Year</w:t>
            </w:r>
          </w:p>
        </w:tc>
        <w:tc>
          <w:tcPr>
            <w:tcW w:w="10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2"/>
          </w:tcPr>
          <w:p>
            <w:pPr>
              <w:jc w:val="right"/>
              <w:ind w:right="559"/>
              <w:spacing w:after="0" w:line="149" w:lineRule="exact"/>
              <w:rPr>
                <w:sz w:val="20"/>
                <w:szCs w:val="20"/>
                <w:color w:val="auto"/>
              </w:rPr>
            </w:pPr>
            <w:r>
              <w:rPr>
                <w:rFonts w:ascii="Arial" w:cs="Arial" w:eastAsia="Arial" w:hAnsi="Arial"/>
                <w:sz w:val="14"/>
                <w:szCs w:val="14"/>
                <w:b w:val="1"/>
                <w:bCs w:val="1"/>
                <w:color w:val="auto"/>
              </w:rPr>
              <w:t>Calendar Year</w:t>
            </w:r>
          </w:p>
        </w:tc>
        <w:tc>
          <w:tcPr>
            <w:tcW w:w="10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r>
        <w:trPr>
          <w:trHeight w:val="136"/>
        </w:trPr>
        <w:tc>
          <w:tcPr>
            <w:tcW w:w="3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jc w:val="right"/>
              <w:ind w:right="436"/>
              <w:spacing w:after="0" w:line="136" w:lineRule="exact"/>
              <w:rPr>
                <w:sz w:val="20"/>
                <w:szCs w:val="20"/>
                <w:color w:val="auto"/>
              </w:rPr>
            </w:pPr>
            <w:r>
              <w:rPr>
                <w:rFonts w:ascii="Arial" w:cs="Arial" w:eastAsia="Arial" w:hAnsi="Arial"/>
                <w:sz w:val="14"/>
                <w:szCs w:val="14"/>
                <w:b w:val="1"/>
                <w:bCs w:val="1"/>
                <w:color w:val="auto"/>
              </w:rPr>
              <w:t>% of</w:t>
            </w: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jc w:val="right"/>
              <w:ind w:right="236"/>
              <w:spacing w:after="0" w:line="136" w:lineRule="exact"/>
              <w:rPr>
                <w:sz w:val="20"/>
                <w:szCs w:val="20"/>
                <w:color w:val="auto"/>
              </w:rPr>
            </w:pPr>
            <w:r>
              <w:rPr>
                <w:rFonts w:ascii="Arial" w:cs="Arial" w:eastAsia="Arial" w:hAnsi="Arial"/>
                <w:sz w:val="14"/>
                <w:szCs w:val="14"/>
                <w:b w:val="1"/>
                <w:bCs w:val="1"/>
                <w:color w:val="auto"/>
              </w:rPr>
              <w:t>% of</w:t>
            </w:r>
          </w:p>
        </w:tc>
      </w:tr>
      <w:tr>
        <w:trPr>
          <w:trHeight w:val="168"/>
        </w:trPr>
        <w:tc>
          <w:tcPr>
            <w:tcW w:w="3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units)</w:t>
            </w:r>
          </w:p>
        </w:tc>
        <w:tc>
          <w:tcPr>
            <w:tcW w:w="9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2008</w:t>
            </w: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2007</w:t>
            </w:r>
          </w:p>
        </w:tc>
        <w:tc>
          <w:tcPr>
            <w:tcW w:w="10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Decrease</w:t>
            </w:r>
          </w:p>
        </w:tc>
        <w:tc>
          <w:tcPr>
            <w:tcW w:w="11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Decrease</w:t>
            </w:r>
          </w:p>
        </w:tc>
        <w:tc>
          <w:tcPr>
            <w:tcW w:w="98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2008</w:t>
            </w:r>
          </w:p>
        </w:tc>
        <w:tc>
          <w:tcPr>
            <w:tcW w:w="9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2007</w:t>
            </w:r>
          </w:p>
        </w:tc>
        <w:tc>
          <w:tcPr>
            <w:tcW w:w="10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Decrease</w:t>
            </w:r>
          </w:p>
        </w:tc>
        <w:tc>
          <w:tcPr>
            <w:tcW w:w="8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Decrease</w:t>
            </w:r>
          </w:p>
        </w:tc>
      </w:tr>
      <w:tr>
        <w:trPr>
          <w:trHeight w:val="216"/>
        </w:trPr>
        <w:tc>
          <w:tcPr>
            <w:tcW w:w="3460" w:type="dxa"/>
            <w:vAlign w:val="bottom"/>
            <w:shd w:val="clear" w:color="auto" w:fill="D6F3E8"/>
          </w:tcPr>
          <w:p>
            <w:pPr>
              <w:spacing w:after="0"/>
              <w:rPr>
                <w:sz w:val="20"/>
                <w:szCs w:val="20"/>
                <w:color w:val="auto"/>
              </w:rPr>
            </w:pPr>
            <w:r>
              <w:rPr>
                <w:rFonts w:ascii="Arial" w:cs="Arial" w:eastAsia="Arial" w:hAnsi="Arial"/>
                <w:sz w:val="18"/>
                <w:szCs w:val="18"/>
                <w:color w:val="auto"/>
              </w:rPr>
              <w:t>First quarter</w:t>
            </w:r>
          </w:p>
        </w:tc>
        <w:tc>
          <w:tcPr>
            <w:tcW w:w="940" w:type="dxa"/>
            <w:vAlign w:val="bottom"/>
            <w:shd w:val="clear" w:color="auto" w:fill="D6F3E8"/>
          </w:tcPr>
          <w:p>
            <w:pPr>
              <w:jc w:val="right"/>
              <w:ind w:right="178"/>
              <w:spacing w:after="0"/>
              <w:rPr>
                <w:sz w:val="20"/>
                <w:szCs w:val="20"/>
                <w:color w:val="auto"/>
              </w:rPr>
            </w:pPr>
            <w:r>
              <w:rPr>
                <w:rFonts w:ascii="Arial" w:cs="Arial" w:eastAsia="Arial" w:hAnsi="Arial"/>
                <w:sz w:val="18"/>
                <w:szCs w:val="18"/>
                <w:color w:val="auto"/>
              </w:rPr>
              <w:t>10,400</w:t>
            </w:r>
          </w:p>
        </w:tc>
        <w:tc>
          <w:tcPr>
            <w:tcW w:w="1000" w:type="dxa"/>
            <w:vAlign w:val="bottom"/>
            <w:shd w:val="clear" w:color="auto" w:fill="D6F3E8"/>
          </w:tcPr>
          <w:p>
            <w:pPr>
              <w:jc w:val="right"/>
              <w:ind w:right="139"/>
              <w:spacing w:after="0"/>
              <w:rPr>
                <w:sz w:val="20"/>
                <w:szCs w:val="20"/>
                <w:color w:val="auto"/>
              </w:rPr>
            </w:pPr>
            <w:r>
              <w:rPr>
                <w:rFonts w:ascii="Arial" w:cs="Arial" w:eastAsia="Arial" w:hAnsi="Arial"/>
                <w:sz w:val="18"/>
                <w:szCs w:val="18"/>
                <w:color w:val="auto"/>
              </w:rPr>
              <w:t>13,600</w:t>
            </w:r>
          </w:p>
        </w:tc>
        <w:tc>
          <w:tcPr>
            <w:tcW w:w="1060" w:type="dxa"/>
            <w:vAlign w:val="bottom"/>
            <w:shd w:val="clear" w:color="auto" w:fill="D6F3E8"/>
          </w:tcPr>
          <w:p>
            <w:pPr>
              <w:jc w:val="right"/>
              <w:ind w:right="94"/>
              <w:spacing w:after="0"/>
              <w:rPr>
                <w:sz w:val="20"/>
                <w:szCs w:val="20"/>
                <w:color w:val="auto"/>
              </w:rPr>
            </w:pPr>
            <w:r>
              <w:rPr>
                <w:rFonts w:ascii="Arial" w:cs="Arial" w:eastAsia="Arial" w:hAnsi="Arial"/>
                <w:sz w:val="18"/>
                <w:szCs w:val="18"/>
                <w:color w:val="auto"/>
              </w:rPr>
              <w:t>(3,200)</w:t>
            </w:r>
          </w:p>
        </w:tc>
        <w:tc>
          <w:tcPr>
            <w:tcW w:w="1100" w:type="dxa"/>
            <w:vAlign w:val="bottom"/>
            <w:shd w:val="clear" w:color="auto" w:fill="D6F3E8"/>
          </w:tcPr>
          <w:p>
            <w:pPr>
              <w:jc w:val="right"/>
              <w:ind w:right="156"/>
              <w:spacing w:after="0"/>
              <w:rPr>
                <w:sz w:val="20"/>
                <w:szCs w:val="20"/>
                <w:color w:val="auto"/>
              </w:rPr>
            </w:pPr>
            <w:r>
              <w:rPr>
                <w:rFonts w:ascii="Arial" w:cs="Arial" w:eastAsia="Arial" w:hAnsi="Arial"/>
                <w:sz w:val="18"/>
                <w:szCs w:val="18"/>
                <w:color w:val="auto"/>
              </w:rPr>
              <w:t>(23.5)</w:t>
            </w:r>
          </w:p>
        </w:tc>
        <w:tc>
          <w:tcPr>
            <w:tcW w:w="980" w:type="dxa"/>
            <w:vAlign w:val="bottom"/>
            <w:shd w:val="clear" w:color="auto" w:fill="D6F3E8"/>
          </w:tcPr>
          <w:p>
            <w:pPr>
              <w:jc w:val="right"/>
              <w:ind w:right="178"/>
              <w:spacing w:after="0"/>
              <w:rPr>
                <w:sz w:val="20"/>
                <w:szCs w:val="20"/>
                <w:color w:val="auto"/>
              </w:rPr>
            </w:pPr>
            <w:r>
              <w:rPr>
                <w:rFonts w:ascii="Arial" w:cs="Arial" w:eastAsia="Arial" w:hAnsi="Arial"/>
                <w:sz w:val="18"/>
                <w:szCs w:val="18"/>
                <w:color w:val="auto"/>
              </w:rPr>
              <w:t>8,800</w:t>
            </w:r>
          </w:p>
        </w:tc>
        <w:tc>
          <w:tcPr>
            <w:tcW w:w="960" w:type="dxa"/>
            <w:vAlign w:val="bottom"/>
            <w:shd w:val="clear" w:color="auto" w:fill="D6F3E8"/>
          </w:tcPr>
          <w:p>
            <w:pPr>
              <w:jc w:val="right"/>
              <w:ind w:right="139"/>
              <w:spacing w:after="0"/>
              <w:rPr>
                <w:sz w:val="20"/>
                <w:szCs w:val="20"/>
                <w:color w:val="auto"/>
              </w:rPr>
            </w:pPr>
            <w:r>
              <w:rPr>
                <w:rFonts w:ascii="Arial" w:cs="Arial" w:eastAsia="Arial" w:hAnsi="Arial"/>
                <w:sz w:val="18"/>
                <w:szCs w:val="18"/>
                <w:color w:val="auto"/>
              </w:rPr>
              <w:t>11,500</w:t>
            </w:r>
          </w:p>
        </w:tc>
        <w:tc>
          <w:tcPr>
            <w:tcW w:w="1040" w:type="dxa"/>
            <w:vAlign w:val="bottom"/>
            <w:shd w:val="clear" w:color="auto" w:fill="D6F3E8"/>
          </w:tcPr>
          <w:p>
            <w:pPr>
              <w:jc w:val="right"/>
              <w:ind w:right="94"/>
              <w:spacing w:after="0"/>
              <w:rPr>
                <w:sz w:val="20"/>
                <w:szCs w:val="20"/>
                <w:color w:val="auto"/>
              </w:rPr>
            </w:pPr>
            <w:r>
              <w:rPr>
                <w:rFonts w:ascii="Arial" w:cs="Arial" w:eastAsia="Arial" w:hAnsi="Arial"/>
                <w:sz w:val="18"/>
                <w:szCs w:val="18"/>
                <w:color w:val="auto"/>
              </w:rPr>
              <w:t>(2,700)</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(23.5)</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Second quarter</w:t>
            </w:r>
          </w:p>
        </w:tc>
        <w:tc>
          <w:tcPr>
            <w:tcW w:w="940" w:type="dxa"/>
            <w:vAlign w:val="bottom"/>
          </w:tcPr>
          <w:p>
            <w:pPr>
              <w:jc w:val="right"/>
              <w:ind w:right="178"/>
              <w:spacing w:after="0"/>
              <w:rPr>
                <w:sz w:val="20"/>
                <w:szCs w:val="20"/>
                <w:color w:val="auto"/>
              </w:rPr>
            </w:pPr>
            <w:r>
              <w:rPr>
                <w:rFonts w:ascii="Arial" w:cs="Arial" w:eastAsia="Arial" w:hAnsi="Arial"/>
                <w:sz w:val="18"/>
                <w:szCs w:val="18"/>
                <w:color w:val="auto"/>
              </w:rPr>
              <w:t>8,600</w:t>
            </w:r>
          </w:p>
        </w:tc>
        <w:tc>
          <w:tcPr>
            <w:tcW w:w="1000" w:type="dxa"/>
            <w:vAlign w:val="bottom"/>
          </w:tcPr>
          <w:p>
            <w:pPr>
              <w:jc w:val="right"/>
              <w:ind w:right="139"/>
              <w:spacing w:after="0"/>
              <w:rPr>
                <w:sz w:val="20"/>
                <w:szCs w:val="20"/>
                <w:color w:val="auto"/>
              </w:rPr>
            </w:pPr>
            <w:r>
              <w:rPr>
                <w:rFonts w:ascii="Arial" w:cs="Arial" w:eastAsia="Arial" w:hAnsi="Arial"/>
                <w:sz w:val="18"/>
                <w:szCs w:val="18"/>
                <w:color w:val="auto"/>
              </w:rPr>
              <w:t>15,000</w:t>
            </w: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(6,400)</w:t>
            </w:r>
          </w:p>
        </w:tc>
        <w:tc>
          <w:tcPr>
            <w:tcW w:w="1100" w:type="dxa"/>
            <w:vAlign w:val="bottom"/>
          </w:tcPr>
          <w:p>
            <w:pPr>
              <w:jc w:val="right"/>
              <w:ind w:right="156"/>
              <w:spacing w:after="0"/>
              <w:rPr>
                <w:sz w:val="20"/>
                <w:szCs w:val="20"/>
                <w:color w:val="auto"/>
              </w:rPr>
            </w:pPr>
            <w:r>
              <w:rPr>
                <w:rFonts w:ascii="Arial" w:cs="Arial" w:eastAsia="Arial" w:hAnsi="Arial"/>
                <w:sz w:val="18"/>
                <w:szCs w:val="18"/>
                <w:color w:val="auto"/>
              </w:rPr>
              <w:t>(42.7)</w:t>
            </w:r>
          </w:p>
        </w:tc>
        <w:tc>
          <w:tcPr>
            <w:tcW w:w="980" w:type="dxa"/>
            <w:vAlign w:val="bottom"/>
          </w:tcPr>
          <w:p>
            <w:pPr>
              <w:jc w:val="right"/>
              <w:ind w:right="178"/>
              <w:spacing w:after="0"/>
              <w:rPr>
                <w:sz w:val="20"/>
                <w:szCs w:val="20"/>
                <w:color w:val="auto"/>
              </w:rPr>
            </w:pPr>
            <w:r>
              <w:rPr>
                <w:rFonts w:ascii="Arial" w:cs="Arial" w:eastAsia="Arial" w:hAnsi="Arial"/>
                <w:sz w:val="18"/>
                <w:szCs w:val="18"/>
                <w:color w:val="auto"/>
              </w:rPr>
              <w:t>9,700</w:t>
            </w:r>
          </w:p>
        </w:tc>
        <w:tc>
          <w:tcPr>
            <w:tcW w:w="960" w:type="dxa"/>
            <w:vAlign w:val="bottom"/>
          </w:tcPr>
          <w:p>
            <w:pPr>
              <w:jc w:val="right"/>
              <w:ind w:right="139"/>
              <w:spacing w:after="0"/>
              <w:rPr>
                <w:sz w:val="20"/>
                <w:szCs w:val="20"/>
                <w:color w:val="auto"/>
              </w:rPr>
            </w:pPr>
            <w:r>
              <w:rPr>
                <w:rFonts w:ascii="Arial" w:cs="Arial" w:eastAsia="Arial" w:hAnsi="Arial"/>
                <w:sz w:val="18"/>
                <w:szCs w:val="18"/>
                <w:color w:val="auto"/>
              </w:rPr>
              <w:t>15,100</w:t>
            </w: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(5,400)</w:t>
            </w:r>
          </w:p>
        </w:tc>
        <w:tc>
          <w:tcPr>
            <w:tcW w:w="880" w:type="dxa"/>
            <w:vAlign w:val="bottom"/>
          </w:tcPr>
          <w:p>
            <w:pPr>
              <w:jc w:val="right"/>
              <w:spacing w:after="0"/>
              <w:rPr>
                <w:sz w:val="20"/>
                <w:szCs w:val="20"/>
                <w:color w:val="auto"/>
              </w:rPr>
            </w:pPr>
            <w:r>
              <w:rPr>
                <w:rFonts w:ascii="Arial" w:cs="Arial" w:eastAsia="Arial" w:hAnsi="Arial"/>
                <w:sz w:val="18"/>
                <w:szCs w:val="18"/>
                <w:color w:val="auto"/>
              </w:rPr>
              <w:t>(35.8)</w:t>
            </w:r>
          </w:p>
        </w:tc>
      </w:tr>
      <w:tr>
        <w:trPr>
          <w:trHeight w:val="216"/>
        </w:trPr>
        <w:tc>
          <w:tcPr>
            <w:tcW w:w="3460" w:type="dxa"/>
            <w:vAlign w:val="bottom"/>
            <w:shd w:val="clear" w:color="auto" w:fill="D6F3E8"/>
          </w:tcPr>
          <w:p>
            <w:pPr>
              <w:spacing w:after="0"/>
              <w:rPr>
                <w:sz w:val="20"/>
                <w:szCs w:val="20"/>
                <w:color w:val="auto"/>
              </w:rPr>
            </w:pPr>
            <w:r>
              <w:rPr>
                <w:rFonts w:ascii="Arial" w:cs="Arial" w:eastAsia="Arial" w:hAnsi="Arial"/>
                <w:sz w:val="18"/>
                <w:szCs w:val="18"/>
                <w:color w:val="auto"/>
              </w:rPr>
              <w:t>Third quarter</w:t>
            </w:r>
          </w:p>
        </w:tc>
        <w:tc>
          <w:tcPr>
            <w:tcW w:w="940" w:type="dxa"/>
            <w:vAlign w:val="bottom"/>
            <w:shd w:val="clear" w:color="auto" w:fill="D6F3E8"/>
          </w:tcPr>
          <w:p>
            <w:pPr>
              <w:jc w:val="right"/>
              <w:ind w:right="178"/>
              <w:spacing w:after="0"/>
              <w:rPr>
                <w:sz w:val="20"/>
                <w:szCs w:val="20"/>
                <w:color w:val="auto"/>
              </w:rPr>
            </w:pPr>
            <w:r>
              <w:rPr>
                <w:rFonts w:ascii="Arial" w:cs="Arial" w:eastAsia="Arial" w:hAnsi="Arial"/>
                <w:sz w:val="18"/>
                <w:szCs w:val="18"/>
                <w:color w:val="auto"/>
              </w:rPr>
              <w:t>4,600</w:t>
            </w:r>
          </w:p>
        </w:tc>
        <w:tc>
          <w:tcPr>
            <w:tcW w:w="1000" w:type="dxa"/>
            <w:vAlign w:val="bottom"/>
            <w:shd w:val="clear" w:color="auto" w:fill="D6F3E8"/>
          </w:tcPr>
          <w:p>
            <w:pPr>
              <w:jc w:val="right"/>
              <w:ind w:right="139"/>
              <w:spacing w:after="0"/>
              <w:rPr>
                <w:sz w:val="20"/>
                <w:szCs w:val="20"/>
                <w:color w:val="auto"/>
              </w:rPr>
            </w:pPr>
            <w:r>
              <w:rPr>
                <w:rFonts w:ascii="Arial" w:cs="Arial" w:eastAsia="Arial" w:hAnsi="Arial"/>
                <w:sz w:val="18"/>
                <w:szCs w:val="18"/>
                <w:color w:val="auto"/>
              </w:rPr>
              <w:t>12,400</w:t>
            </w:r>
          </w:p>
        </w:tc>
        <w:tc>
          <w:tcPr>
            <w:tcW w:w="1060" w:type="dxa"/>
            <w:vAlign w:val="bottom"/>
            <w:shd w:val="clear" w:color="auto" w:fill="D6F3E8"/>
          </w:tcPr>
          <w:p>
            <w:pPr>
              <w:jc w:val="right"/>
              <w:ind w:right="94"/>
              <w:spacing w:after="0"/>
              <w:rPr>
                <w:sz w:val="20"/>
                <w:szCs w:val="20"/>
                <w:color w:val="auto"/>
              </w:rPr>
            </w:pPr>
            <w:r>
              <w:rPr>
                <w:rFonts w:ascii="Arial" w:cs="Arial" w:eastAsia="Arial" w:hAnsi="Arial"/>
                <w:sz w:val="18"/>
                <w:szCs w:val="18"/>
                <w:color w:val="auto"/>
              </w:rPr>
              <w:t>(7,800)</w:t>
            </w:r>
          </w:p>
        </w:tc>
        <w:tc>
          <w:tcPr>
            <w:tcW w:w="1100" w:type="dxa"/>
            <w:vAlign w:val="bottom"/>
            <w:shd w:val="clear" w:color="auto" w:fill="D6F3E8"/>
          </w:tcPr>
          <w:p>
            <w:pPr>
              <w:jc w:val="right"/>
              <w:ind w:right="156"/>
              <w:spacing w:after="0"/>
              <w:rPr>
                <w:sz w:val="20"/>
                <w:szCs w:val="20"/>
                <w:color w:val="auto"/>
              </w:rPr>
            </w:pPr>
            <w:r>
              <w:rPr>
                <w:rFonts w:ascii="Arial" w:cs="Arial" w:eastAsia="Arial" w:hAnsi="Arial"/>
                <w:sz w:val="18"/>
                <w:szCs w:val="18"/>
                <w:color w:val="auto"/>
              </w:rPr>
              <w:t>(62.9)</w:t>
            </w:r>
          </w:p>
        </w:tc>
        <w:tc>
          <w:tcPr>
            <w:tcW w:w="980" w:type="dxa"/>
            <w:vAlign w:val="bottom"/>
            <w:shd w:val="clear" w:color="auto" w:fill="D6F3E8"/>
          </w:tcPr>
          <w:p>
            <w:pPr>
              <w:jc w:val="right"/>
              <w:ind w:right="178"/>
              <w:spacing w:after="0"/>
              <w:rPr>
                <w:sz w:val="20"/>
                <w:szCs w:val="20"/>
                <w:color w:val="auto"/>
              </w:rPr>
            </w:pPr>
            <w:r>
              <w:rPr>
                <w:rFonts w:ascii="Arial" w:cs="Arial" w:eastAsia="Arial" w:hAnsi="Arial"/>
                <w:sz w:val="18"/>
                <w:szCs w:val="18"/>
                <w:color w:val="auto"/>
              </w:rPr>
              <w:t>6,300</w:t>
            </w:r>
          </w:p>
        </w:tc>
        <w:tc>
          <w:tcPr>
            <w:tcW w:w="960" w:type="dxa"/>
            <w:vAlign w:val="bottom"/>
            <w:shd w:val="clear" w:color="auto" w:fill="D6F3E8"/>
          </w:tcPr>
          <w:p>
            <w:pPr>
              <w:jc w:val="right"/>
              <w:ind w:right="139"/>
              <w:spacing w:after="0"/>
              <w:rPr>
                <w:sz w:val="20"/>
                <w:szCs w:val="20"/>
                <w:color w:val="auto"/>
              </w:rPr>
            </w:pPr>
            <w:r>
              <w:rPr>
                <w:rFonts w:ascii="Arial" w:cs="Arial" w:eastAsia="Arial" w:hAnsi="Arial"/>
                <w:sz w:val="18"/>
                <w:szCs w:val="18"/>
                <w:color w:val="auto"/>
              </w:rPr>
              <w:t>12,200</w:t>
            </w:r>
          </w:p>
        </w:tc>
        <w:tc>
          <w:tcPr>
            <w:tcW w:w="1040" w:type="dxa"/>
            <w:vAlign w:val="bottom"/>
            <w:shd w:val="clear" w:color="auto" w:fill="D6F3E8"/>
          </w:tcPr>
          <w:p>
            <w:pPr>
              <w:jc w:val="right"/>
              <w:ind w:right="94"/>
              <w:spacing w:after="0"/>
              <w:rPr>
                <w:sz w:val="20"/>
                <w:szCs w:val="20"/>
                <w:color w:val="auto"/>
              </w:rPr>
            </w:pPr>
            <w:r>
              <w:rPr>
                <w:rFonts w:ascii="Arial" w:cs="Arial" w:eastAsia="Arial" w:hAnsi="Arial"/>
                <w:sz w:val="18"/>
                <w:szCs w:val="18"/>
                <w:color w:val="auto"/>
              </w:rPr>
              <w:t>(5,900)</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(48.4)</w:t>
            </w:r>
          </w:p>
        </w:tc>
      </w:tr>
      <w:tr>
        <w:trPr>
          <w:trHeight w:val="216"/>
        </w:trPr>
        <w:tc>
          <w:tcPr>
            <w:tcW w:w="3460" w:type="dxa"/>
            <w:vAlign w:val="bottom"/>
            <w:tcBorders>
              <w:bottom w:val="single" w:sz="8" w:color="D6F3E8"/>
            </w:tcBorders>
          </w:tcPr>
          <w:p>
            <w:pPr>
              <w:spacing w:after="0"/>
              <w:rPr>
                <w:sz w:val="20"/>
                <w:szCs w:val="20"/>
                <w:color w:val="auto"/>
              </w:rPr>
            </w:pPr>
            <w:r>
              <w:rPr>
                <w:rFonts w:ascii="Arial" w:cs="Arial" w:eastAsia="Arial" w:hAnsi="Arial"/>
                <w:sz w:val="18"/>
                <w:szCs w:val="18"/>
                <w:color w:val="auto"/>
              </w:rPr>
              <w:t>Fourth quarter</w:t>
            </w:r>
          </w:p>
        </w:tc>
        <w:tc>
          <w:tcPr>
            <w:tcW w:w="940" w:type="dxa"/>
            <w:vAlign w:val="bottom"/>
            <w:tcBorders>
              <w:bottom w:val="single" w:sz="8" w:color="auto"/>
            </w:tcBorders>
          </w:tcPr>
          <w:p>
            <w:pPr>
              <w:jc w:val="right"/>
              <w:ind w:right="178"/>
              <w:spacing w:after="0"/>
              <w:rPr>
                <w:sz w:val="20"/>
                <w:szCs w:val="20"/>
                <w:color w:val="auto"/>
              </w:rPr>
            </w:pPr>
            <w:r>
              <w:rPr>
                <w:rFonts w:ascii="Arial" w:cs="Arial" w:eastAsia="Arial" w:hAnsi="Arial"/>
                <w:sz w:val="18"/>
                <w:szCs w:val="18"/>
                <w:color w:val="auto"/>
              </w:rPr>
              <w:t>2,800</w:t>
            </w: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8"/>
                <w:szCs w:val="18"/>
                <w:color w:val="auto"/>
              </w:rPr>
              <w:t>11,300</w:t>
            </w:r>
          </w:p>
        </w:tc>
        <w:tc>
          <w:tcPr>
            <w:tcW w:w="10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(8,500)</w:t>
            </w:r>
          </w:p>
        </w:tc>
        <w:tc>
          <w:tcPr>
            <w:tcW w:w="110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(75.2)</w:t>
            </w:r>
          </w:p>
        </w:tc>
        <w:tc>
          <w:tcPr>
            <w:tcW w:w="980" w:type="dxa"/>
            <w:vAlign w:val="bottom"/>
            <w:tcBorders>
              <w:bottom w:val="single" w:sz="8" w:color="auto"/>
            </w:tcBorders>
          </w:tcPr>
          <w:p>
            <w:pPr>
              <w:jc w:val="right"/>
              <w:ind w:right="178"/>
              <w:spacing w:after="0"/>
              <w:rPr>
                <w:sz w:val="20"/>
                <w:szCs w:val="20"/>
                <w:color w:val="auto"/>
              </w:rPr>
            </w:pPr>
            <w:r>
              <w:rPr>
                <w:rFonts w:ascii="Arial" w:cs="Arial" w:eastAsia="Arial" w:hAnsi="Arial"/>
                <w:sz w:val="18"/>
                <w:szCs w:val="18"/>
                <w:color w:val="auto"/>
              </w:rPr>
              <w:t>4,100</w:t>
            </w: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8"/>
                <w:szCs w:val="18"/>
                <w:color w:val="auto"/>
              </w:rPr>
              <w:t>8,400</w:t>
            </w: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(4,300)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r>
      <w:tr>
        <w:trPr>
          <w:trHeight w:val="210"/>
        </w:trPr>
        <w:tc>
          <w:tcPr>
            <w:tcW w:w="3460" w:type="dxa"/>
            <w:vAlign w:val="bottom"/>
            <w:tcBorders>
              <w:bottom w:val="single" w:sz="8" w:color="D6F3E8"/>
            </w:tcBorders>
            <w:shd w:val="clear" w:color="auto" w:fill="D6F3E8"/>
          </w:tcPr>
          <w:p>
            <w:pPr>
              <w:spacing w:after="0" w:line="202" w:lineRule="exact"/>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D6F3E8"/>
          </w:tcPr>
          <w:p>
            <w:pPr>
              <w:jc w:val="right"/>
              <w:ind w:right="178"/>
              <w:spacing w:after="0"/>
              <w:rPr>
                <w:sz w:val="20"/>
                <w:szCs w:val="20"/>
                <w:color w:val="auto"/>
              </w:rPr>
            </w:pPr>
            <w:r>
              <w:rPr>
                <w:rFonts w:ascii="Arial" w:cs="Arial" w:eastAsia="Arial" w:hAnsi="Arial"/>
                <w:sz w:val="18"/>
                <w:szCs w:val="18"/>
                <w:color w:val="auto"/>
              </w:rPr>
              <w:t>26,400</w:t>
            </w:r>
          </w:p>
        </w:tc>
        <w:tc>
          <w:tcPr>
            <w:tcW w:w="1000" w:type="dxa"/>
            <w:vAlign w:val="bottom"/>
            <w:tcBorders>
              <w:bottom w:val="single" w:sz="8" w:color="auto"/>
            </w:tcBorders>
            <w:shd w:val="clear" w:color="auto" w:fill="D6F3E8"/>
          </w:tcPr>
          <w:p>
            <w:pPr>
              <w:jc w:val="right"/>
              <w:ind w:right="139"/>
              <w:spacing w:after="0"/>
              <w:rPr>
                <w:sz w:val="20"/>
                <w:szCs w:val="20"/>
                <w:color w:val="auto"/>
              </w:rPr>
            </w:pPr>
            <w:r>
              <w:rPr>
                <w:rFonts w:ascii="Arial" w:cs="Arial" w:eastAsia="Arial" w:hAnsi="Arial"/>
                <w:sz w:val="18"/>
                <w:szCs w:val="18"/>
                <w:color w:val="auto"/>
              </w:rPr>
              <w:t>52,300</w:t>
            </w:r>
          </w:p>
        </w:tc>
        <w:tc>
          <w:tcPr>
            <w:tcW w:w="1060" w:type="dxa"/>
            <w:vAlign w:val="bottom"/>
            <w:tcBorders>
              <w:bottom w:val="single" w:sz="8" w:color="auto"/>
            </w:tcBorders>
            <w:shd w:val="clear" w:color="auto" w:fill="D6F3E8"/>
          </w:tcPr>
          <w:p>
            <w:pPr>
              <w:jc w:val="right"/>
              <w:ind w:right="94"/>
              <w:spacing w:after="0"/>
              <w:rPr>
                <w:sz w:val="20"/>
                <w:szCs w:val="20"/>
                <w:color w:val="auto"/>
              </w:rPr>
            </w:pPr>
            <w:r>
              <w:rPr>
                <w:rFonts w:ascii="Arial" w:cs="Arial" w:eastAsia="Arial" w:hAnsi="Arial"/>
                <w:sz w:val="18"/>
                <w:szCs w:val="18"/>
                <w:color w:val="auto"/>
              </w:rPr>
              <w:t>(25,900)</w:t>
            </w:r>
          </w:p>
        </w:tc>
        <w:tc>
          <w:tcPr>
            <w:tcW w:w="1100" w:type="dxa"/>
            <w:vAlign w:val="bottom"/>
            <w:tcBorders>
              <w:bottom w:val="single" w:sz="8" w:color="auto"/>
            </w:tcBorders>
            <w:shd w:val="clear" w:color="auto" w:fill="D6F3E8"/>
          </w:tcPr>
          <w:p>
            <w:pPr>
              <w:jc w:val="right"/>
              <w:ind w:right="156"/>
              <w:spacing w:after="0"/>
              <w:rPr>
                <w:sz w:val="20"/>
                <w:szCs w:val="20"/>
                <w:color w:val="auto"/>
              </w:rPr>
            </w:pPr>
            <w:r>
              <w:rPr>
                <w:rFonts w:ascii="Arial" w:cs="Arial" w:eastAsia="Arial" w:hAnsi="Arial"/>
                <w:sz w:val="18"/>
                <w:szCs w:val="18"/>
                <w:color w:val="auto"/>
              </w:rPr>
              <w:t>(49.5)</w:t>
            </w:r>
          </w:p>
        </w:tc>
        <w:tc>
          <w:tcPr>
            <w:tcW w:w="980" w:type="dxa"/>
            <w:vAlign w:val="bottom"/>
            <w:tcBorders>
              <w:bottom w:val="single" w:sz="8" w:color="auto"/>
            </w:tcBorders>
            <w:shd w:val="clear" w:color="auto" w:fill="D6F3E8"/>
          </w:tcPr>
          <w:p>
            <w:pPr>
              <w:jc w:val="right"/>
              <w:ind w:right="178"/>
              <w:spacing w:after="0"/>
              <w:rPr>
                <w:sz w:val="20"/>
                <w:szCs w:val="20"/>
                <w:color w:val="auto"/>
              </w:rPr>
            </w:pPr>
            <w:r>
              <w:rPr>
                <w:rFonts w:ascii="Arial" w:cs="Arial" w:eastAsia="Arial" w:hAnsi="Arial"/>
                <w:sz w:val="18"/>
                <w:szCs w:val="18"/>
                <w:color w:val="auto"/>
              </w:rPr>
              <w:t>28,900</w:t>
            </w:r>
          </w:p>
        </w:tc>
        <w:tc>
          <w:tcPr>
            <w:tcW w:w="960" w:type="dxa"/>
            <w:vAlign w:val="bottom"/>
            <w:tcBorders>
              <w:bottom w:val="single" w:sz="8" w:color="auto"/>
            </w:tcBorders>
            <w:shd w:val="clear" w:color="auto" w:fill="D6F3E8"/>
          </w:tcPr>
          <w:p>
            <w:pPr>
              <w:jc w:val="right"/>
              <w:ind w:right="139"/>
              <w:spacing w:after="0"/>
              <w:rPr>
                <w:sz w:val="20"/>
                <w:szCs w:val="20"/>
                <w:color w:val="auto"/>
              </w:rPr>
            </w:pPr>
            <w:r>
              <w:rPr>
                <w:rFonts w:ascii="Arial" w:cs="Arial" w:eastAsia="Arial" w:hAnsi="Arial"/>
                <w:sz w:val="18"/>
                <w:szCs w:val="18"/>
                <w:color w:val="auto"/>
              </w:rPr>
              <w:t>47,200</w:t>
            </w:r>
          </w:p>
        </w:tc>
        <w:tc>
          <w:tcPr>
            <w:tcW w:w="1040" w:type="dxa"/>
            <w:vAlign w:val="bottom"/>
            <w:tcBorders>
              <w:bottom w:val="single" w:sz="8" w:color="auto"/>
            </w:tcBorders>
            <w:shd w:val="clear" w:color="auto" w:fill="D6F3E8"/>
          </w:tcPr>
          <w:p>
            <w:pPr>
              <w:jc w:val="right"/>
              <w:ind w:right="94"/>
              <w:spacing w:after="0"/>
              <w:rPr>
                <w:sz w:val="20"/>
                <w:szCs w:val="20"/>
                <w:color w:val="auto"/>
              </w:rPr>
            </w:pPr>
            <w:r>
              <w:rPr>
                <w:rFonts w:ascii="Arial" w:cs="Arial" w:eastAsia="Arial" w:hAnsi="Arial"/>
                <w:sz w:val="18"/>
                <w:szCs w:val="18"/>
                <w:color w:val="auto"/>
              </w:rPr>
              <w:t>(18,300)</w:t>
            </w:r>
          </w:p>
        </w:tc>
        <w:tc>
          <w:tcPr>
            <w:tcW w:w="8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(38.8)</w:t>
            </w:r>
          </w:p>
        </w:tc>
      </w:tr>
      <w:tr>
        <w:trPr>
          <w:trHeight w:val="20"/>
        </w:trPr>
        <w:tc>
          <w:tcPr>
            <w:tcW w:w="3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85"/>
        </w:trPr>
        <w:tc>
          <w:tcPr>
            <w:tcW w:w="3460" w:type="dxa"/>
            <w:vAlign w:val="bottom"/>
            <w:tcBorders>
              <w:bottom w:val="single" w:sz="8" w:color="D6F3E8"/>
            </w:tcBorders>
          </w:tcPr>
          <w:p>
            <w:pPr>
              <w:spacing w:after="0"/>
              <w:rPr>
                <w:sz w:val="24"/>
                <w:szCs w:val="24"/>
                <w:color w:val="auto"/>
              </w:rPr>
            </w:pPr>
          </w:p>
        </w:tc>
        <w:tc>
          <w:tcPr>
            <w:tcW w:w="9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2009</w:t>
            </w: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2008</w:t>
            </w:r>
          </w:p>
        </w:tc>
        <w:tc>
          <w:tcPr>
            <w:tcW w:w="10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2009</w:t>
            </w:r>
          </w:p>
        </w:tc>
        <w:tc>
          <w:tcPr>
            <w:tcW w:w="9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2008</w:t>
            </w:r>
          </w:p>
        </w:tc>
        <w:tc>
          <w:tcPr>
            <w:tcW w:w="10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16"/>
        </w:trPr>
        <w:tc>
          <w:tcPr>
            <w:tcW w:w="3460" w:type="dxa"/>
            <w:vAlign w:val="bottom"/>
            <w:shd w:val="clear" w:color="auto" w:fill="D6F3E8"/>
          </w:tcPr>
          <w:p>
            <w:pPr>
              <w:spacing w:after="0"/>
              <w:rPr>
                <w:sz w:val="20"/>
                <w:szCs w:val="20"/>
                <w:color w:val="auto"/>
              </w:rPr>
            </w:pPr>
            <w:r>
              <w:rPr>
                <w:rFonts w:ascii="Arial" w:cs="Arial" w:eastAsia="Arial" w:hAnsi="Arial"/>
                <w:sz w:val="18"/>
                <w:szCs w:val="18"/>
                <w:color w:val="auto"/>
              </w:rPr>
              <w:t>January</w:t>
            </w:r>
          </w:p>
        </w:tc>
        <w:tc>
          <w:tcPr>
            <w:tcW w:w="940" w:type="dxa"/>
            <w:vAlign w:val="bottom"/>
            <w:shd w:val="clear" w:color="auto" w:fill="D6F3E8"/>
          </w:tcPr>
          <w:p>
            <w:pPr>
              <w:jc w:val="right"/>
              <w:ind w:right="178"/>
              <w:spacing w:after="0"/>
              <w:rPr>
                <w:sz w:val="20"/>
                <w:szCs w:val="20"/>
                <w:color w:val="auto"/>
              </w:rPr>
            </w:pPr>
            <w:r>
              <w:rPr>
                <w:rFonts w:ascii="Arial" w:cs="Arial" w:eastAsia="Arial" w:hAnsi="Arial"/>
                <w:sz w:val="18"/>
                <w:szCs w:val="18"/>
                <w:color w:val="auto"/>
              </w:rPr>
              <w:t>600</w:t>
            </w:r>
          </w:p>
        </w:tc>
        <w:tc>
          <w:tcPr>
            <w:tcW w:w="1000" w:type="dxa"/>
            <w:vAlign w:val="bottom"/>
            <w:shd w:val="clear" w:color="auto" w:fill="D6F3E8"/>
          </w:tcPr>
          <w:p>
            <w:pPr>
              <w:jc w:val="right"/>
              <w:ind w:right="139"/>
              <w:spacing w:after="0"/>
              <w:rPr>
                <w:sz w:val="20"/>
                <w:szCs w:val="20"/>
                <w:color w:val="auto"/>
              </w:rPr>
            </w:pPr>
            <w:r>
              <w:rPr>
                <w:rFonts w:ascii="Arial" w:cs="Arial" w:eastAsia="Arial" w:hAnsi="Arial"/>
                <w:sz w:val="18"/>
                <w:szCs w:val="18"/>
                <w:color w:val="auto"/>
              </w:rPr>
              <w:t>3,100</w:t>
            </w:r>
          </w:p>
        </w:tc>
        <w:tc>
          <w:tcPr>
            <w:tcW w:w="1060" w:type="dxa"/>
            <w:vAlign w:val="bottom"/>
            <w:shd w:val="clear" w:color="auto" w:fill="D6F3E8"/>
          </w:tcPr>
          <w:p>
            <w:pPr>
              <w:jc w:val="right"/>
              <w:ind w:right="94"/>
              <w:spacing w:after="0"/>
              <w:rPr>
                <w:sz w:val="20"/>
                <w:szCs w:val="20"/>
                <w:color w:val="auto"/>
              </w:rPr>
            </w:pPr>
            <w:r>
              <w:rPr>
                <w:rFonts w:ascii="Arial" w:cs="Arial" w:eastAsia="Arial" w:hAnsi="Arial"/>
                <w:sz w:val="18"/>
                <w:szCs w:val="18"/>
                <w:color w:val="auto"/>
              </w:rPr>
              <w:t>(2,500)</w:t>
            </w:r>
          </w:p>
        </w:tc>
        <w:tc>
          <w:tcPr>
            <w:tcW w:w="1100" w:type="dxa"/>
            <w:vAlign w:val="bottom"/>
            <w:shd w:val="clear" w:color="auto" w:fill="D6F3E8"/>
          </w:tcPr>
          <w:p>
            <w:pPr>
              <w:jc w:val="right"/>
              <w:ind w:right="156"/>
              <w:spacing w:after="0"/>
              <w:rPr>
                <w:sz w:val="20"/>
                <w:szCs w:val="20"/>
                <w:color w:val="auto"/>
              </w:rPr>
            </w:pPr>
            <w:r>
              <w:rPr>
                <w:rFonts w:ascii="Arial" w:cs="Arial" w:eastAsia="Arial" w:hAnsi="Arial"/>
                <w:sz w:val="18"/>
                <w:szCs w:val="18"/>
                <w:color w:val="auto"/>
              </w:rPr>
              <w:t>(80.6)</w:t>
            </w:r>
          </w:p>
        </w:tc>
        <w:tc>
          <w:tcPr>
            <w:tcW w:w="980" w:type="dxa"/>
            <w:vAlign w:val="bottom"/>
            <w:shd w:val="clear" w:color="auto" w:fill="D6F3E8"/>
          </w:tcPr>
          <w:p>
            <w:pPr>
              <w:jc w:val="right"/>
              <w:ind w:right="178"/>
              <w:spacing w:after="0"/>
              <w:rPr>
                <w:sz w:val="20"/>
                <w:szCs w:val="20"/>
                <w:color w:val="auto"/>
              </w:rPr>
            </w:pPr>
            <w:r>
              <w:rPr>
                <w:rFonts w:ascii="Arial" w:cs="Arial" w:eastAsia="Arial" w:hAnsi="Arial"/>
                <w:sz w:val="18"/>
                <w:szCs w:val="18"/>
                <w:color w:val="auto"/>
              </w:rPr>
              <w:t>1,500</w:t>
            </w:r>
          </w:p>
        </w:tc>
        <w:tc>
          <w:tcPr>
            <w:tcW w:w="960" w:type="dxa"/>
            <w:vAlign w:val="bottom"/>
            <w:shd w:val="clear" w:color="auto" w:fill="D6F3E8"/>
          </w:tcPr>
          <w:p>
            <w:pPr>
              <w:jc w:val="right"/>
              <w:ind w:right="139"/>
              <w:spacing w:after="0"/>
              <w:rPr>
                <w:sz w:val="20"/>
                <w:szCs w:val="20"/>
                <w:color w:val="auto"/>
              </w:rPr>
            </w:pPr>
            <w:r>
              <w:rPr>
                <w:rFonts w:ascii="Arial" w:cs="Arial" w:eastAsia="Arial" w:hAnsi="Arial"/>
                <w:sz w:val="18"/>
                <w:szCs w:val="18"/>
                <w:color w:val="auto"/>
              </w:rPr>
              <w:t>2,600</w:t>
            </w:r>
          </w:p>
        </w:tc>
        <w:tc>
          <w:tcPr>
            <w:tcW w:w="1040" w:type="dxa"/>
            <w:vAlign w:val="bottom"/>
            <w:shd w:val="clear" w:color="auto" w:fill="D6F3E8"/>
          </w:tcPr>
          <w:p>
            <w:pPr>
              <w:jc w:val="right"/>
              <w:ind w:right="94"/>
              <w:spacing w:after="0"/>
              <w:rPr>
                <w:sz w:val="20"/>
                <w:szCs w:val="20"/>
                <w:color w:val="auto"/>
              </w:rPr>
            </w:pPr>
            <w:r>
              <w:rPr>
                <w:rFonts w:ascii="Arial" w:cs="Arial" w:eastAsia="Arial" w:hAnsi="Arial"/>
                <w:sz w:val="18"/>
                <w:szCs w:val="18"/>
                <w:color w:val="auto"/>
              </w:rPr>
              <w:t>(1,100)</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(42.3)</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February</w:t>
            </w:r>
          </w:p>
        </w:tc>
        <w:tc>
          <w:tcPr>
            <w:tcW w:w="940" w:type="dxa"/>
            <w:vAlign w:val="bottom"/>
          </w:tcPr>
          <w:p>
            <w:pPr>
              <w:jc w:val="right"/>
              <w:ind w:right="178"/>
              <w:spacing w:after="0"/>
              <w:rPr>
                <w:sz w:val="20"/>
                <w:szCs w:val="20"/>
                <w:color w:val="auto"/>
              </w:rPr>
            </w:pPr>
            <w:r>
              <w:rPr>
                <w:rFonts w:ascii="Arial" w:cs="Arial" w:eastAsia="Arial" w:hAnsi="Arial"/>
                <w:sz w:val="18"/>
                <w:szCs w:val="18"/>
                <w:color w:val="auto"/>
              </w:rPr>
              <w:t>700</w:t>
            </w:r>
          </w:p>
        </w:tc>
        <w:tc>
          <w:tcPr>
            <w:tcW w:w="1000" w:type="dxa"/>
            <w:vAlign w:val="bottom"/>
          </w:tcPr>
          <w:p>
            <w:pPr>
              <w:jc w:val="right"/>
              <w:ind w:right="139"/>
              <w:spacing w:after="0"/>
              <w:rPr>
                <w:sz w:val="20"/>
                <w:szCs w:val="20"/>
                <w:color w:val="auto"/>
              </w:rPr>
            </w:pPr>
            <w:r>
              <w:rPr>
                <w:rFonts w:ascii="Arial" w:cs="Arial" w:eastAsia="Arial" w:hAnsi="Arial"/>
                <w:sz w:val="18"/>
                <w:szCs w:val="18"/>
                <w:color w:val="auto"/>
              </w:rPr>
              <w:t>3,300</w:t>
            </w: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(2,600)</w:t>
            </w:r>
          </w:p>
        </w:tc>
        <w:tc>
          <w:tcPr>
            <w:tcW w:w="1100" w:type="dxa"/>
            <w:vAlign w:val="bottom"/>
          </w:tcPr>
          <w:p>
            <w:pPr>
              <w:jc w:val="right"/>
              <w:ind w:right="156"/>
              <w:spacing w:after="0"/>
              <w:rPr>
                <w:sz w:val="20"/>
                <w:szCs w:val="20"/>
                <w:color w:val="auto"/>
              </w:rPr>
            </w:pPr>
            <w:r>
              <w:rPr>
                <w:rFonts w:ascii="Arial" w:cs="Arial" w:eastAsia="Arial" w:hAnsi="Arial"/>
                <w:sz w:val="18"/>
                <w:szCs w:val="18"/>
                <w:color w:val="auto"/>
              </w:rPr>
              <w:t>(78.8)</w:t>
            </w:r>
          </w:p>
        </w:tc>
        <w:tc>
          <w:tcPr>
            <w:tcW w:w="980" w:type="dxa"/>
            <w:vAlign w:val="bottom"/>
          </w:tcPr>
          <w:p>
            <w:pPr>
              <w:jc w:val="right"/>
              <w:ind w:right="178"/>
              <w:spacing w:after="0"/>
              <w:rPr>
                <w:sz w:val="20"/>
                <w:szCs w:val="20"/>
                <w:color w:val="auto"/>
              </w:rPr>
            </w:pPr>
            <w:r>
              <w:rPr>
                <w:rFonts w:ascii="Arial" w:cs="Arial" w:eastAsia="Arial" w:hAnsi="Arial"/>
                <w:sz w:val="18"/>
                <w:szCs w:val="18"/>
                <w:color w:val="auto"/>
              </w:rPr>
              <w:t>1,200</w:t>
            </w:r>
          </w:p>
        </w:tc>
        <w:tc>
          <w:tcPr>
            <w:tcW w:w="960" w:type="dxa"/>
            <w:vAlign w:val="bottom"/>
          </w:tcPr>
          <w:p>
            <w:pPr>
              <w:jc w:val="right"/>
              <w:ind w:right="139"/>
              <w:spacing w:after="0"/>
              <w:rPr>
                <w:sz w:val="20"/>
                <w:szCs w:val="20"/>
                <w:color w:val="auto"/>
              </w:rPr>
            </w:pPr>
            <w:r>
              <w:rPr>
                <w:rFonts w:ascii="Arial" w:cs="Arial" w:eastAsia="Arial" w:hAnsi="Arial"/>
                <w:sz w:val="18"/>
                <w:szCs w:val="18"/>
                <w:color w:val="auto"/>
              </w:rPr>
              <w:t>2,900</w:t>
            </w: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(1,700)</w:t>
            </w:r>
          </w:p>
        </w:tc>
        <w:tc>
          <w:tcPr>
            <w:tcW w:w="880" w:type="dxa"/>
            <w:vAlign w:val="bottom"/>
          </w:tcPr>
          <w:p>
            <w:pPr>
              <w:jc w:val="right"/>
              <w:spacing w:after="0"/>
              <w:rPr>
                <w:sz w:val="20"/>
                <w:szCs w:val="20"/>
                <w:color w:val="auto"/>
              </w:rPr>
            </w:pPr>
            <w:r>
              <w:rPr>
                <w:rFonts w:ascii="Arial" w:cs="Arial" w:eastAsia="Arial" w:hAnsi="Arial"/>
                <w:sz w:val="18"/>
                <w:szCs w:val="18"/>
                <w:color w:val="auto"/>
              </w:rPr>
              <w:t>(58.6)</w:t>
            </w:r>
          </w:p>
        </w:tc>
      </w:tr>
      <w:tr>
        <w:trPr>
          <w:trHeight w:val="205"/>
        </w:trPr>
        <w:tc>
          <w:tcPr>
            <w:tcW w:w="3460" w:type="dxa"/>
            <w:vAlign w:val="bottom"/>
            <w:shd w:val="clear" w:color="auto" w:fill="D6F3E8"/>
          </w:tcPr>
          <w:p>
            <w:pPr>
              <w:spacing w:after="0" w:line="205" w:lineRule="exact"/>
              <w:rPr>
                <w:sz w:val="20"/>
                <w:szCs w:val="20"/>
                <w:color w:val="auto"/>
              </w:rPr>
            </w:pPr>
            <w:r>
              <w:rPr>
                <w:rFonts w:ascii="Arial" w:cs="Arial" w:eastAsia="Arial" w:hAnsi="Arial"/>
                <w:sz w:val="18"/>
                <w:szCs w:val="18"/>
                <w:color w:val="auto"/>
              </w:rPr>
              <w:t>March</w:t>
            </w:r>
          </w:p>
        </w:tc>
        <w:tc>
          <w:tcPr>
            <w:tcW w:w="940" w:type="dxa"/>
            <w:vAlign w:val="bottom"/>
            <w:shd w:val="clear" w:color="auto" w:fill="D6F3E8"/>
          </w:tcPr>
          <w:p>
            <w:pPr>
              <w:jc w:val="right"/>
              <w:ind w:right="178"/>
              <w:spacing w:after="0" w:line="205" w:lineRule="exact"/>
              <w:rPr>
                <w:sz w:val="20"/>
                <w:szCs w:val="20"/>
                <w:color w:val="auto"/>
              </w:rPr>
            </w:pPr>
            <w:r>
              <w:rPr>
                <w:rFonts w:ascii="Arial" w:cs="Arial" w:eastAsia="Arial" w:hAnsi="Arial"/>
                <w:sz w:val="18"/>
                <w:szCs w:val="18"/>
                <w:color w:val="auto"/>
              </w:rPr>
              <w:t>900</w:t>
            </w:r>
          </w:p>
        </w:tc>
        <w:tc>
          <w:tcPr>
            <w:tcW w:w="1000" w:type="dxa"/>
            <w:vAlign w:val="bottom"/>
            <w:shd w:val="clear" w:color="auto" w:fill="D6F3E8"/>
          </w:tcPr>
          <w:p>
            <w:pPr>
              <w:jc w:val="right"/>
              <w:ind w:right="139"/>
              <w:spacing w:after="0" w:line="205" w:lineRule="exact"/>
              <w:rPr>
                <w:sz w:val="20"/>
                <w:szCs w:val="20"/>
                <w:color w:val="auto"/>
              </w:rPr>
            </w:pPr>
            <w:r>
              <w:rPr>
                <w:rFonts w:ascii="Arial" w:cs="Arial" w:eastAsia="Arial" w:hAnsi="Arial"/>
                <w:sz w:val="18"/>
                <w:szCs w:val="18"/>
                <w:color w:val="auto"/>
              </w:rPr>
              <w:t>4,000</w:t>
            </w:r>
          </w:p>
        </w:tc>
        <w:tc>
          <w:tcPr>
            <w:tcW w:w="1060" w:type="dxa"/>
            <w:vAlign w:val="bottom"/>
            <w:shd w:val="clear" w:color="auto" w:fill="D6F3E8"/>
          </w:tcPr>
          <w:p>
            <w:pPr>
              <w:jc w:val="right"/>
              <w:ind w:right="94"/>
              <w:spacing w:after="0" w:line="205" w:lineRule="exact"/>
              <w:rPr>
                <w:sz w:val="20"/>
                <w:szCs w:val="20"/>
                <w:color w:val="auto"/>
              </w:rPr>
            </w:pPr>
            <w:r>
              <w:rPr>
                <w:rFonts w:ascii="Arial" w:cs="Arial" w:eastAsia="Arial" w:hAnsi="Arial"/>
                <w:sz w:val="18"/>
                <w:szCs w:val="18"/>
                <w:color w:val="auto"/>
              </w:rPr>
              <w:t>(3,100)</w:t>
            </w:r>
          </w:p>
        </w:tc>
        <w:tc>
          <w:tcPr>
            <w:tcW w:w="1100" w:type="dxa"/>
            <w:vAlign w:val="bottom"/>
            <w:shd w:val="clear" w:color="auto" w:fill="D6F3E8"/>
          </w:tcPr>
          <w:p>
            <w:pPr>
              <w:jc w:val="right"/>
              <w:ind w:right="156"/>
              <w:spacing w:after="0" w:line="205" w:lineRule="exact"/>
              <w:rPr>
                <w:sz w:val="20"/>
                <w:szCs w:val="20"/>
                <w:color w:val="auto"/>
              </w:rPr>
            </w:pPr>
            <w:r>
              <w:rPr>
                <w:rFonts w:ascii="Arial" w:cs="Arial" w:eastAsia="Arial" w:hAnsi="Arial"/>
                <w:sz w:val="18"/>
                <w:szCs w:val="18"/>
                <w:color w:val="auto"/>
              </w:rPr>
              <w:t>(77.5)</w:t>
            </w:r>
          </w:p>
        </w:tc>
        <w:tc>
          <w:tcPr>
            <w:tcW w:w="980" w:type="dxa"/>
            <w:vAlign w:val="bottom"/>
            <w:shd w:val="clear" w:color="auto" w:fill="D6F3E8"/>
          </w:tcPr>
          <w:p>
            <w:pPr>
              <w:jc w:val="right"/>
              <w:ind w:right="178"/>
              <w:spacing w:after="0" w:line="205" w:lineRule="exact"/>
              <w:rPr>
                <w:sz w:val="20"/>
                <w:szCs w:val="20"/>
                <w:color w:val="auto"/>
              </w:rPr>
            </w:pPr>
            <w:r>
              <w:rPr>
                <w:rFonts w:ascii="Arial" w:cs="Arial" w:eastAsia="Arial" w:hAnsi="Arial"/>
                <w:sz w:val="18"/>
                <w:szCs w:val="18"/>
                <w:color w:val="auto"/>
              </w:rPr>
              <w:t>1,700</w:t>
            </w:r>
          </w:p>
        </w:tc>
        <w:tc>
          <w:tcPr>
            <w:tcW w:w="960" w:type="dxa"/>
            <w:vAlign w:val="bottom"/>
            <w:shd w:val="clear" w:color="auto" w:fill="D6F3E8"/>
          </w:tcPr>
          <w:p>
            <w:pPr>
              <w:jc w:val="right"/>
              <w:ind w:right="139"/>
              <w:spacing w:after="0" w:line="205" w:lineRule="exact"/>
              <w:rPr>
                <w:sz w:val="20"/>
                <w:szCs w:val="20"/>
                <w:color w:val="auto"/>
              </w:rPr>
            </w:pPr>
            <w:r>
              <w:rPr>
                <w:rFonts w:ascii="Arial" w:cs="Arial" w:eastAsia="Arial" w:hAnsi="Arial"/>
                <w:sz w:val="18"/>
                <w:szCs w:val="18"/>
                <w:color w:val="auto"/>
              </w:rPr>
              <w:t>3,300</w:t>
            </w:r>
          </w:p>
        </w:tc>
        <w:tc>
          <w:tcPr>
            <w:tcW w:w="1040" w:type="dxa"/>
            <w:vAlign w:val="bottom"/>
            <w:shd w:val="clear" w:color="auto" w:fill="D6F3E8"/>
          </w:tcPr>
          <w:p>
            <w:pPr>
              <w:jc w:val="right"/>
              <w:ind w:right="94"/>
              <w:spacing w:after="0" w:line="205" w:lineRule="exact"/>
              <w:rPr>
                <w:sz w:val="20"/>
                <w:szCs w:val="20"/>
                <w:color w:val="auto"/>
              </w:rPr>
            </w:pPr>
            <w:r>
              <w:rPr>
                <w:rFonts w:ascii="Arial" w:cs="Arial" w:eastAsia="Arial" w:hAnsi="Arial"/>
                <w:sz w:val="18"/>
                <w:szCs w:val="18"/>
                <w:color w:val="auto"/>
              </w:rPr>
              <w:t>(1,600)</w:t>
            </w:r>
          </w:p>
        </w:tc>
        <w:tc>
          <w:tcPr>
            <w:tcW w:w="880" w:type="dxa"/>
            <w:vAlign w:val="bottom"/>
            <w:shd w:val="clear" w:color="auto" w:fill="D6F3E8"/>
          </w:tcPr>
          <w:p>
            <w:pPr>
              <w:jc w:val="right"/>
              <w:spacing w:after="0" w:line="205" w:lineRule="exact"/>
              <w:rPr>
                <w:sz w:val="20"/>
                <w:szCs w:val="20"/>
                <w:color w:val="auto"/>
              </w:rPr>
            </w:pPr>
            <w:r>
              <w:rPr>
                <w:rFonts w:ascii="Arial" w:cs="Arial" w:eastAsia="Arial" w:hAnsi="Arial"/>
                <w:sz w:val="18"/>
                <w:szCs w:val="18"/>
                <w:color w:val="auto"/>
              </w:rPr>
              <w:t>(48.5)</w:t>
            </w:r>
          </w:p>
        </w:tc>
      </w:tr>
    </w:tbl>
    <w:p>
      <w:pPr>
        <w:sectPr>
          <w:pgSz w:w="11900" w:h="16900" w:orient="portrait"/>
          <w:cols w:equalWidth="0" w:num="1">
            <w:col w:w="11420"/>
          </w:cols>
          <w:pgMar w:left="240" w:top="347" w:right="2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60" w:type="dxa"/>
            <w:vAlign w:val="bottom"/>
            <w:tcBorders>
              <w:bottom w:val="single" w:sz="8" w:color="D6F3E8"/>
            </w:tcBorders>
          </w:tcPr>
          <w:p>
            <w:pPr>
              <w:spacing w:after="0"/>
              <w:rPr>
                <w:sz w:val="20"/>
                <w:szCs w:val="20"/>
                <w:color w:val="auto"/>
              </w:rPr>
            </w:pPr>
            <w:r>
              <w:rPr>
                <w:rFonts w:ascii="Arial" w:cs="Arial" w:eastAsia="Arial" w:hAnsi="Arial"/>
                <w:sz w:val="18"/>
                <w:szCs w:val="18"/>
                <w:color w:val="auto"/>
              </w:rPr>
              <w:t>April</w:t>
            </w:r>
          </w:p>
        </w:tc>
        <w:tc>
          <w:tcPr>
            <w:tcW w:w="9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900</w:t>
            </w:r>
          </w:p>
        </w:tc>
        <w:tc>
          <w:tcPr>
            <w:tcW w:w="10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3,700</w:t>
            </w:r>
          </w:p>
        </w:tc>
        <w:tc>
          <w:tcPr>
            <w:tcW w:w="11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(2,800)</w:t>
            </w:r>
          </w:p>
        </w:tc>
        <w:tc>
          <w:tcPr>
            <w:tcW w:w="10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(75.7)</w:t>
            </w:r>
          </w:p>
        </w:tc>
        <w:tc>
          <w:tcPr>
            <w:tcW w:w="9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2,200</w:t>
            </w:r>
          </w:p>
        </w:tc>
        <w:tc>
          <w:tcPr>
            <w:tcW w:w="10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3,400</w:t>
            </w:r>
          </w:p>
        </w:tc>
        <w:tc>
          <w:tcPr>
            <w:tcW w:w="11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(1,200)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r>
      <w:tr>
        <w:trPr>
          <w:trHeight w:val="212"/>
        </w:trPr>
        <w:tc>
          <w:tcPr>
            <w:tcW w:w="3460" w:type="dxa"/>
            <w:vAlign w:val="bottom"/>
            <w:tcBorders>
              <w:bottom w:val="single" w:sz="8" w:color="D6F3E8"/>
            </w:tcBorders>
            <w:shd w:val="clear" w:color="auto" w:fill="D6F3E8"/>
          </w:tcPr>
          <w:p>
            <w:pPr>
              <w:spacing w:after="0" w:line="205" w:lineRule="exact"/>
              <w:rPr>
                <w:sz w:val="20"/>
                <w:szCs w:val="20"/>
                <w:color w:val="auto"/>
              </w:rPr>
            </w:pPr>
            <w:r>
              <w:rPr>
                <w:rFonts w:ascii="Arial" w:cs="Arial" w:eastAsia="Arial" w:hAnsi="Arial"/>
                <w:sz w:val="18"/>
                <w:szCs w:val="18"/>
                <w:color w:val="auto"/>
              </w:rPr>
              <w:t>Total year-to-date</w:t>
            </w:r>
          </w:p>
        </w:tc>
        <w:tc>
          <w:tcPr>
            <w:tcW w:w="960" w:type="dxa"/>
            <w:vAlign w:val="bottom"/>
            <w:tcBorders>
              <w:bottom w:val="single" w:sz="8" w:color="auto"/>
            </w:tcBorders>
            <w:shd w:val="clear" w:color="auto" w:fill="D6F3E8"/>
          </w:tcPr>
          <w:p>
            <w:pPr>
              <w:jc w:val="right"/>
              <w:ind w:right="192"/>
              <w:spacing w:after="0"/>
              <w:rPr>
                <w:sz w:val="20"/>
                <w:szCs w:val="20"/>
                <w:color w:val="auto"/>
              </w:rPr>
            </w:pPr>
            <w:r>
              <w:rPr>
                <w:rFonts w:ascii="Arial" w:cs="Arial" w:eastAsia="Arial" w:hAnsi="Arial"/>
                <w:sz w:val="18"/>
                <w:szCs w:val="18"/>
                <w:color w:val="auto"/>
              </w:rPr>
              <w:t>3,100</w:t>
            </w:r>
          </w:p>
        </w:tc>
        <w:tc>
          <w:tcPr>
            <w:tcW w:w="1020" w:type="dxa"/>
            <w:vAlign w:val="bottom"/>
            <w:tcBorders>
              <w:bottom w:val="single" w:sz="8" w:color="auto"/>
            </w:tcBorders>
            <w:shd w:val="clear" w:color="auto" w:fill="D6F3E8"/>
          </w:tcPr>
          <w:p>
            <w:pPr>
              <w:jc w:val="right"/>
              <w:ind w:right="172"/>
              <w:spacing w:after="0"/>
              <w:rPr>
                <w:sz w:val="20"/>
                <w:szCs w:val="20"/>
                <w:color w:val="auto"/>
              </w:rPr>
            </w:pPr>
            <w:r>
              <w:rPr>
                <w:rFonts w:ascii="Arial" w:cs="Arial" w:eastAsia="Arial" w:hAnsi="Arial"/>
                <w:sz w:val="18"/>
                <w:szCs w:val="18"/>
                <w:color w:val="auto"/>
              </w:rPr>
              <w:t>14,100</w:t>
            </w:r>
          </w:p>
        </w:tc>
        <w:tc>
          <w:tcPr>
            <w:tcW w:w="1140" w:type="dxa"/>
            <w:vAlign w:val="bottom"/>
            <w:tcBorders>
              <w:bottom w:val="single" w:sz="8" w:color="auto"/>
            </w:tcBorders>
            <w:shd w:val="clear" w:color="auto" w:fill="D6F3E8"/>
          </w:tcPr>
          <w:p>
            <w:pPr>
              <w:jc w:val="right"/>
              <w:ind w:right="212"/>
              <w:spacing w:after="0"/>
              <w:rPr>
                <w:sz w:val="20"/>
                <w:szCs w:val="20"/>
                <w:color w:val="auto"/>
              </w:rPr>
            </w:pPr>
            <w:r>
              <w:rPr>
                <w:rFonts w:ascii="Arial" w:cs="Arial" w:eastAsia="Arial" w:hAnsi="Arial"/>
                <w:sz w:val="18"/>
                <w:szCs w:val="18"/>
                <w:color w:val="auto"/>
              </w:rPr>
              <w:t>(11,000)</w:t>
            </w:r>
          </w:p>
        </w:tc>
        <w:tc>
          <w:tcPr>
            <w:tcW w:w="1020" w:type="dxa"/>
            <w:vAlign w:val="bottom"/>
            <w:tcBorders>
              <w:bottom w:val="single" w:sz="8" w:color="auto"/>
            </w:tcBorders>
            <w:shd w:val="clear" w:color="auto" w:fill="D6F3E8"/>
          </w:tcPr>
          <w:p>
            <w:pPr>
              <w:jc w:val="right"/>
              <w:ind w:right="192"/>
              <w:spacing w:after="0"/>
              <w:rPr>
                <w:sz w:val="20"/>
                <w:szCs w:val="20"/>
                <w:color w:val="auto"/>
              </w:rPr>
            </w:pPr>
            <w:r>
              <w:rPr>
                <w:rFonts w:ascii="Arial" w:cs="Arial" w:eastAsia="Arial" w:hAnsi="Arial"/>
                <w:sz w:val="18"/>
                <w:szCs w:val="18"/>
                <w:color w:val="auto"/>
              </w:rPr>
              <w:t>(78.0)</w:t>
            </w:r>
          </w:p>
        </w:tc>
        <w:tc>
          <w:tcPr>
            <w:tcW w:w="940" w:type="dxa"/>
            <w:vAlign w:val="bottom"/>
            <w:tcBorders>
              <w:bottom w:val="single" w:sz="8" w:color="auto"/>
            </w:tcBorders>
            <w:shd w:val="clear" w:color="auto" w:fill="D6F3E8"/>
          </w:tcPr>
          <w:p>
            <w:pPr>
              <w:jc w:val="right"/>
              <w:ind w:right="172"/>
              <w:spacing w:after="0"/>
              <w:rPr>
                <w:sz w:val="20"/>
                <w:szCs w:val="20"/>
                <w:color w:val="auto"/>
              </w:rPr>
            </w:pPr>
            <w:r>
              <w:rPr>
                <w:rFonts w:ascii="Arial" w:cs="Arial" w:eastAsia="Arial" w:hAnsi="Arial"/>
                <w:sz w:val="18"/>
                <w:szCs w:val="18"/>
                <w:color w:val="auto"/>
              </w:rPr>
              <w:t>6,600</w:t>
            </w:r>
          </w:p>
        </w:tc>
        <w:tc>
          <w:tcPr>
            <w:tcW w:w="1020" w:type="dxa"/>
            <w:vAlign w:val="bottom"/>
            <w:tcBorders>
              <w:bottom w:val="single" w:sz="8" w:color="auto"/>
            </w:tcBorders>
            <w:shd w:val="clear" w:color="auto" w:fill="D6F3E8"/>
          </w:tcPr>
          <w:p>
            <w:pPr>
              <w:jc w:val="right"/>
              <w:ind w:right="192"/>
              <w:spacing w:after="0"/>
              <w:rPr>
                <w:sz w:val="20"/>
                <w:szCs w:val="20"/>
                <w:color w:val="auto"/>
              </w:rPr>
            </w:pPr>
            <w:r>
              <w:rPr>
                <w:rFonts w:ascii="Arial" w:cs="Arial" w:eastAsia="Arial" w:hAnsi="Arial"/>
                <w:sz w:val="18"/>
                <w:szCs w:val="18"/>
                <w:color w:val="auto"/>
              </w:rPr>
              <w:t>12,200</w:t>
            </w:r>
          </w:p>
        </w:tc>
        <w:tc>
          <w:tcPr>
            <w:tcW w:w="1100" w:type="dxa"/>
            <w:vAlign w:val="bottom"/>
            <w:tcBorders>
              <w:bottom w:val="single" w:sz="8" w:color="auto"/>
            </w:tcBorders>
            <w:shd w:val="clear" w:color="auto" w:fill="D6F3E8"/>
          </w:tcPr>
          <w:p>
            <w:pPr>
              <w:jc w:val="right"/>
              <w:ind w:right="212"/>
              <w:spacing w:after="0"/>
              <w:rPr>
                <w:sz w:val="20"/>
                <w:szCs w:val="20"/>
                <w:color w:val="auto"/>
              </w:rPr>
            </w:pPr>
            <w:r>
              <w:rPr>
                <w:rFonts w:ascii="Arial" w:cs="Arial" w:eastAsia="Arial" w:hAnsi="Arial"/>
                <w:sz w:val="18"/>
                <w:szCs w:val="18"/>
                <w:color w:val="auto"/>
              </w:rPr>
              <w:t>(5,600)</w:t>
            </w:r>
          </w:p>
        </w:tc>
        <w:tc>
          <w:tcPr>
            <w:tcW w:w="7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(45.9)</w:t>
            </w:r>
          </w:p>
        </w:tc>
      </w:tr>
      <w:tr>
        <w:trPr>
          <w:trHeight w:val="20"/>
        </w:trPr>
        <w:tc>
          <w:tcPr>
            <w:tcW w:w="34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ind w:left="220" w:hanging="212"/>
        <w:spacing w:after="0"/>
        <w:tabs>
          <w:tab w:leader="none" w:pos="220" w:val="left"/>
        </w:tabs>
        <w:numPr>
          <w:ilvl w:val="0"/>
          <w:numId w:val="6"/>
        </w:numPr>
        <w:rPr>
          <w:rFonts w:ascii="Arial" w:cs="Arial" w:eastAsia="Arial" w:hAnsi="Arial"/>
          <w:sz w:val="22"/>
          <w:szCs w:val="22"/>
          <w:color w:val="auto"/>
          <w:vertAlign w:val="superscript"/>
        </w:rPr>
      </w:pPr>
      <w:r>
        <w:rPr>
          <w:rFonts w:ascii="Arial" w:cs="Arial" w:eastAsia="Arial" w:hAnsi="Arial"/>
          <w:sz w:val="14"/>
          <w:szCs w:val="14"/>
          <w:color w:val="auto"/>
        </w:rPr>
        <w:t>As reported by the Recreation Vehicle Industry Association (RVIA) Class A and C wholesale shipments, rounded to the nearest hundred.</w:t>
      </w:r>
    </w:p>
    <w:p>
      <w:pPr>
        <w:ind w:left="220" w:hanging="212"/>
        <w:spacing w:after="0" w:line="185" w:lineRule="auto"/>
        <w:tabs>
          <w:tab w:leader="none" w:pos="220" w:val="left"/>
        </w:tabs>
        <w:numPr>
          <w:ilvl w:val="0"/>
          <w:numId w:val="6"/>
        </w:numPr>
        <w:rPr>
          <w:rFonts w:ascii="Arial" w:cs="Arial" w:eastAsia="Arial" w:hAnsi="Arial"/>
          <w:sz w:val="18"/>
          <w:szCs w:val="18"/>
          <w:color w:val="auto"/>
          <w:vertAlign w:val="superscript"/>
        </w:rPr>
      </w:pPr>
      <w:r>
        <w:rPr>
          <w:rFonts w:ascii="Arial" w:cs="Arial" w:eastAsia="Arial" w:hAnsi="Arial"/>
          <w:sz w:val="12"/>
          <w:szCs w:val="12"/>
          <w:color w:val="auto"/>
        </w:rPr>
        <w:t>As reported by Statistical Surveys, as revised, Class A and C U.S. Retail Registrations, rounded to the nearest hundred.</w:t>
      </w:r>
    </w:p>
    <w:p>
      <w:pPr>
        <w:spacing w:after="0" w:line="12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motorized market has been significantly impacted by highly unstable market conditions. The tightening of the wholesale and retail credit markets, low consumer confidence, and the uncertainty of fuel prices are placing pressure on retail sales and as a result, our dealers have significantly reduced their inventory levels. Dealers continue to sell older model year units and are not reordering inventory on a one-for-one basis, which negatively affects manufacturers’ shipments and backlog. The decline in wholesale and retail demand has directly impacted our gross margins as we have produced and delivered far fewer units in recent quarters and we have also had to increase our discounts to meet competitive pricing and provide retail incentives to help dealers move inventory.</w:t>
      </w:r>
    </w:p>
    <w:p>
      <w:pPr>
        <w:spacing w:after="0" w:line="17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early March 2009, two of our significant competitors, Fleetwood Enterprises, Inc. (“Fleetwood”) and Monaco Coach Corporation (“Monaco”), filed for Chapter 11 bankruptcy protection. The combined Class A and C motor home unit retail market share of these two companies combined was 28.2 percent for Calendar 2008, as reported by Statistical Surveys. Significant publicly disclosed developments regarding these two companies since their Chapter 11 filing are as follows:</w:t>
      </w:r>
    </w:p>
    <w:p>
      <w:pPr>
        <w:sectPr>
          <w:pgSz w:w="11900" w:h="16838" w:orient="portrait"/>
          <w:cols w:equalWidth="0" w:num="1">
            <w:col w:w="11420"/>
          </w:cols>
          <w:pgMar w:left="240" w:top="131" w:right="239" w:bottom="0" w:gutter="0" w:footer="0" w:header="0"/>
        </w:sectPr>
      </w:pPr>
    </w:p>
    <w:p>
      <w:pPr>
        <w:spacing w:after="0" w:line="177"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On June 3, 2009, Fleetwood announced that it has signed an asset purchase agreement to sell its motor home business to American Industrial Partners Capital Fund IV LP for a bid of $53 million subject to reduction for the assumption of certain liabilities, not to exceed $18 million. Under the bidding procedures, any competing bidders were required to submit qualifying bids by June 18, and none were submitted. The court finalized the sale on June 24, 2009. The deal is expected to close on July 10, 2009.</w:t>
      </w:r>
    </w:p>
    <w:p>
      <w:pPr>
        <w:spacing w:after="0" w:line="22"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On June 4, 2009, Navistar International Corp. (“Navistar”) completed its purchase of certain assets of Monaco for approximately $47 million and a new company named Monaco RV LLC was established. According to a news release issued by Navistar, the newly formed company “will resume production at certain facilities in the coming months,” subject to market conditions.</w:t>
      </w:r>
    </w:p>
    <w:p>
      <w:pPr>
        <w:spacing w:after="0" w:line="194" w:lineRule="exact"/>
        <w:rPr>
          <w:sz w:val="20"/>
          <w:szCs w:val="20"/>
          <w:color w:val="auto"/>
        </w:rPr>
      </w:pPr>
    </w:p>
    <w:p>
      <w:pPr>
        <w:sectPr>
          <w:pgSz w:w="11900" w:h="16838" w:orient="portrait"/>
          <w:cols w:equalWidth="0" w:num="2">
            <w:col w:w="420" w:space="240"/>
            <w:col w:w="10760"/>
          </w:cols>
          <w:pgMar w:left="240" w:top="131" w:right="239" w:bottom="0" w:gutter="0" w:footer="0" w:header="0"/>
          <w:type w:val="continuous"/>
        </w:sectPr>
      </w:pPr>
    </w:p>
    <w:p>
      <w:pPr>
        <w:ind w:right="60"/>
        <w:spacing w:after="0" w:line="256" w:lineRule="auto"/>
        <w:rPr>
          <w:sz w:val="20"/>
          <w:szCs w:val="20"/>
          <w:color w:val="auto"/>
        </w:rPr>
      </w:pPr>
      <w:r>
        <w:rPr>
          <w:rFonts w:ascii="Arial" w:cs="Arial" w:eastAsia="Arial" w:hAnsi="Arial"/>
          <w:sz w:val="18"/>
          <w:szCs w:val="18"/>
          <w:color w:val="auto"/>
        </w:rPr>
        <w:t>Due to extremely challenging market conditions which have resulted in a severe decline in our revenues in recent quarters, maintaining liquidity and conserving capital are the primary goals of management in order to enhance our financial flexibility. In the first nine months of Fiscal 2009, we improved our cash and short-term investment position by $20.8 million despite a net loss of $28.5 million. Multiple steps were taken in our first three quarters of Fiscal 2009 to conserve capital and maintain liquidity, as follows:</w:t>
      </w:r>
    </w:p>
    <w:p>
      <w:pPr>
        <w:spacing w:after="0" w:line="197" w:lineRule="exact"/>
        <w:rPr>
          <w:sz w:val="20"/>
          <w:szCs w:val="20"/>
          <w:color w:val="auto"/>
        </w:rPr>
      </w:pPr>
    </w:p>
    <w:p>
      <w:pPr>
        <w:ind w:left="540" w:right="80" w:hanging="316"/>
        <w:spacing w:after="0" w:line="286"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Inventories were significantly reduced since the beginning of the fiscal year which resulted in an improvement of working capital of approximately $57.4 million. We estimate that we have the opportunity to reduce inventory levels an additional $3.0 to $5.0 million during the last quarter of Fiscal 2009.</w:t>
      </w: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entered into a $25.0 million line of credit facility during the first quarter of Fiscal 2009. We have not yet borrowed on this facility.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200" w:hanging="316"/>
        <w:spacing w:after="0" w:line="254"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elected to participate in a “no net cost” loan program and borrowed $9.1 million through UBS during the second quarter, secured by a portion of the ARS owned by us and held by UBS.</w:t>
      </w:r>
    </w:p>
    <w:p>
      <w:pPr>
        <w:ind w:left="540" w:right="260" w:hanging="316"/>
        <w:spacing w:after="0" w:line="261"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suspended cash dividend payments starting in the second quarter of Fiscal 2009. This suspension reduces the amount of cash which we would have used approximately $10.5 million for Fiscal 2009.</w:t>
      </w:r>
    </w:p>
    <w:p>
      <w:pPr>
        <w:spacing w:after="0" w:line="192"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As of May 30, 2009, we had $41.7 million of cash and short-term investments as well as our $25.0 million credit facility. Due to the ability to carryback our tax loss for the first nine months of Fiscal 2009 to prior years, we expect to receive a federal tax refund of nearly $19.0 million in our second quarter of Fiscal 2010. We also have the ability to put the remaining $4.4 million of unencumbered ARS securities held by UBS to UBS in the fourth quarter of Fiscal 2010. In aggregate, this provides liquidity of approximately $90.1 million which does not include the potential inventory reductions noted above. When considering all of these factors, we expect to have sufficient liquidity for at least the next 12 to 18 months, even at the current depressed sales levels.</w:t>
      </w:r>
    </w:p>
    <w:p>
      <w:pPr>
        <w:spacing w:after="0" w:line="17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have taken significant actions over the past 18 months to reduce our fixed cost structure which we anticipate will result in reductions in excess of $21 million on an annual basis. Specifically, actions taken thus far include the reduction of our total headcount by nearly 50 percent, salary reductions, the elimination of Fiscal 2009 stock grants to key management and the board, elimination of bonuses, reductions of the 401(k) match and the adoption of two mandatory unpaid weeks off (one during the second fiscal quarter and one to occur during the fourth fiscal quarter). Other fixed costs have been eliminated through many strategic actions, including the closure of our Charles City manufacturing facility, cancellation of certain promotional events typically held and reduced spending throughout the Company. On June 11, 2009, we also announced that we will be closing our Hampton, Iowa fiberglass manufacturing facility during our fourth fiscal quarter of 2009. We have the ability to sustain our current operational costs and maintain physical capacity at present levels for the foreseeable future (in excess of 12 months). Additional cost reduction activities are expected to continue during these challenging market conditions.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Order backlog for our motor homes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w w:val="88"/>
              </w:rPr>
              <w:t>May 30, 2009</w:t>
            </w: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w w:val="88"/>
              </w:rPr>
              <w:t>May 31, 2008</w:t>
            </w: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tcPr>
          <w:p>
            <w:pPr>
              <w:jc w:val="right"/>
              <w:ind w:right="397"/>
              <w:spacing w:after="0" w:line="136" w:lineRule="exact"/>
              <w:rPr>
                <w:sz w:val="20"/>
                <w:szCs w:val="20"/>
                <w:color w:val="auto"/>
              </w:rPr>
            </w:pPr>
            <w:r>
              <w:rPr>
                <w:rFonts w:ascii="Arial" w:cs="Arial" w:eastAsia="Arial" w:hAnsi="Arial"/>
                <w:sz w:val="14"/>
                <w:szCs w:val="14"/>
                <w:b w:val="1"/>
                <w:bCs w:val="1"/>
                <w:color w:val="auto"/>
                <w:w w:val="83"/>
              </w:rPr>
              <w:t>Product</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jc w:val="right"/>
              <w:ind w:right="277"/>
              <w:spacing w:after="0" w:line="136" w:lineRule="exact"/>
              <w:rPr>
                <w:sz w:val="20"/>
                <w:szCs w:val="20"/>
                <w:color w:val="auto"/>
              </w:rPr>
            </w:pPr>
            <w:r>
              <w:rPr>
                <w:rFonts w:ascii="Arial" w:cs="Arial" w:eastAsia="Arial" w:hAnsi="Arial"/>
                <w:sz w:val="14"/>
                <w:szCs w:val="14"/>
                <w:b w:val="1"/>
                <w:bCs w:val="1"/>
                <w:color w:val="auto"/>
                <w:w w:val="83"/>
              </w:rPr>
              <w:t>Product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jc w:val="right"/>
              <w:ind w:right="416"/>
              <w:spacing w:after="0" w:line="136"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8"/>
        </w:trPr>
        <w:tc>
          <w:tcPr>
            <w:tcW w:w="4360" w:type="dxa"/>
            <w:vAlign w:val="bottom"/>
            <w:tcBorders>
              <w:bottom w:val="single" w:sz="8" w:color="D6F3E8"/>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Units</w:t>
            </w:r>
          </w:p>
        </w:tc>
        <w:tc>
          <w:tcPr>
            <w:tcW w:w="9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Mix %</w:t>
            </w: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Units</w:t>
            </w: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Mix %</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93"/>
              </w:rPr>
              <w:t>Decrease</w:t>
            </w:r>
          </w:p>
        </w:tc>
        <w:tc>
          <w:tcPr>
            <w:tcW w:w="9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6"/>
        </w:trPr>
        <w:tc>
          <w:tcPr>
            <w:tcW w:w="4360" w:type="dxa"/>
            <w:vAlign w:val="bottom"/>
            <w:shd w:val="clear" w:color="auto" w:fill="D6F3E8"/>
          </w:tcPr>
          <w:p>
            <w:pPr>
              <w:spacing w:after="0"/>
              <w:rPr>
                <w:sz w:val="20"/>
                <w:szCs w:val="20"/>
                <w:color w:val="auto"/>
              </w:rPr>
            </w:pPr>
            <w:r>
              <w:rPr>
                <w:rFonts w:ascii="Arial" w:cs="Arial" w:eastAsia="Arial" w:hAnsi="Arial"/>
                <w:sz w:val="18"/>
                <w:szCs w:val="18"/>
                <w:color w:val="auto"/>
              </w:rPr>
              <w:t>Class A gas</w:t>
            </w:r>
          </w:p>
        </w:tc>
        <w:tc>
          <w:tcPr>
            <w:tcW w:w="22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104</w:t>
            </w:r>
          </w:p>
        </w:tc>
        <w:tc>
          <w:tcPr>
            <w:tcW w:w="440" w:type="dxa"/>
            <w:vAlign w:val="bottom"/>
            <w:shd w:val="clear" w:color="auto" w:fill="D6F3E8"/>
          </w:tcPr>
          <w:p>
            <w:pPr>
              <w:spacing w:after="0"/>
              <w:rPr>
                <w:sz w:val="18"/>
                <w:szCs w:val="18"/>
                <w:color w:val="auto"/>
              </w:rPr>
            </w:pPr>
          </w:p>
        </w:tc>
        <w:tc>
          <w:tcPr>
            <w:tcW w:w="940" w:type="dxa"/>
            <w:vAlign w:val="bottom"/>
            <w:shd w:val="clear" w:color="auto" w:fill="D6F3E8"/>
          </w:tcPr>
          <w:p>
            <w:pPr>
              <w:jc w:val="right"/>
              <w:ind w:right="157"/>
              <w:spacing w:after="0"/>
              <w:rPr>
                <w:sz w:val="20"/>
                <w:szCs w:val="20"/>
                <w:color w:val="auto"/>
              </w:rPr>
            </w:pPr>
            <w:r>
              <w:rPr>
                <w:rFonts w:ascii="Arial" w:cs="Arial" w:eastAsia="Arial" w:hAnsi="Arial"/>
                <w:sz w:val="18"/>
                <w:szCs w:val="18"/>
                <w:color w:val="auto"/>
              </w:rPr>
              <w:t>27.2</w:t>
            </w:r>
          </w:p>
        </w:tc>
        <w:tc>
          <w:tcPr>
            <w:tcW w:w="22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280</w:t>
            </w:r>
          </w:p>
        </w:tc>
        <w:tc>
          <w:tcPr>
            <w:tcW w:w="440" w:type="dxa"/>
            <w:vAlign w:val="bottom"/>
            <w:shd w:val="clear" w:color="auto" w:fill="D6F3E8"/>
          </w:tcPr>
          <w:p>
            <w:pPr>
              <w:spacing w:after="0"/>
              <w:rPr>
                <w:sz w:val="18"/>
                <w:szCs w:val="18"/>
                <w:color w:val="auto"/>
              </w:rPr>
            </w:pPr>
          </w:p>
        </w:tc>
        <w:tc>
          <w:tcPr>
            <w:tcW w:w="820" w:type="dxa"/>
            <w:vAlign w:val="bottom"/>
            <w:shd w:val="clear" w:color="auto" w:fill="D6F3E8"/>
          </w:tcPr>
          <w:p>
            <w:pPr>
              <w:jc w:val="right"/>
              <w:ind w:right="37"/>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100" w:type="dxa"/>
            <w:vAlign w:val="bottom"/>
            <w:shd w:val="clear" w:color="auto" w:fill="D6F3E8"/>
          </w:tcPr>
          <w:p>
            <w:pPr>
              <w:jc w:val="right"/>
              <w:ind w:right="114"/>
              <w:spacing w:after="0"/>
              <w:rPr>
                <w:sz w:val="20"/>
                <w:szCs w:val="20"/>
                <w:color w:val="auto"/>
              </w:rPr>
            </w:pPr>
            <w:r>
              <w:rPr>
                <w:rFonts w:ascii="Arial" w:cs="Arial" w:eastAsia="Arial" w:hAnsi="Arial"/>
                <w:sz w:val="18"/>
                <w:szCs w:val="18"/>
                <w:color w:val="auto"/>
              </w:rPr>
              <w:t>(176)</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D6F3E8"/>
            </w:tcBorders>
          </w:tcPr>
          <w:p>
            <w:pPr>
              <w:spacing w:after="0"/>
              <w:rPr>
                <w:sz w:val="20"/>
                <w:szCs w:val="20"/>
                <w:color w:val="auto"/>
              </w:rPr>
            </w:pPr>
            <w:r>
              <w:rPr>
                <w:rFonts w:ascii="Arial" w:cs="Arial" w:eastAsia="Arial" w:hAnsi="Arial"/>
                <w:sz w:val="18"/>
                <w:szCs w:val="18"/>
                <w:color w:val="auto"/>
              </w:rPr>
              <w:t>Class A diesel</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18.9</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(64)</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0"/>
        </w:trPr>
        <w:tc>
          <w:tcPr>
            <w:tcW w:w="4360" w:type="dxa"/>
            <w:vAlign w:val="bottom"/>
            <w:shd w:val="clear" w:color="auto" w:fill="D6F3E8"/>
          </w:tcPr>
          <w:p>
            <w:pPr>
              <w:spacing w:after="0" w:line="202" w:lineRule="exact"/>
              <w:rPr>
                <w:sz w:val="20"/>
                <w:szCs w:val="20"/>
                <w:color w:val="auto"/>
              </w:rPr>
            </w:pPr>
            <w:r>
              <w:rPr>
                <w:rFonts w:ascii="Arial" w:cs="Arial" w:eastAsia="Arial" w:hAnsi="Arial"/>
                <w:sz w:val="18"/>
                <w:szCs w:val="18"/>
                <w:color w:val="auto"/>
              </w:rPr>
              <w:t>Total Class A</w:t>
            </w:r>
          </w:p>
        </w:tc>
        <w:tc>
          <w:tcPr>
            <w:tcW w:w="22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176</w:t>
            </w:r>
          </w:p>
        </w:tc>
        <w:tc>
          <w:tcPr>
            <w:tcW w:w="440" w:type="dxa"/>
            <w:vAlign w:val="bottom"/>
            <w:shd w:val="clear" w:color="auto" w:fill="D6F3E8"/>
          </w:tcPr>
          <w:p>
            <w:pPr>
              <w:spacing w:after="0"/>
              <w:rPr>
                <w:sz w:val="18"/>
                <w:szCs w:val="18"/>
                <w:color w:val="auto"/>
              </w:rPr>
            </w:pPr>
          </w:p>
        </w:tc>
        <w:tc>
          <w:tcPr>
            <w:tcW w:w="940" w:type="dxa"/>
            <w:vAlign w:val="bottom"/>
            <w:shd w:val="clear" w:color="auto" w:fill="D6F3E8"/>
          </w:tcPr>
          <w:p>
            <w:pPr>
              <w:jc w:val="right"/>
              <w:ind w:right="157"/>
              <w:spacing w:after="0"/>
              <w:rPr>
                <w:sz w:val="20"/>
                <w:szCs w:val="20"/>
                <w:color w:val="auto"/>
              </w:rPr>
            </w:pPr>
            <w:r>
              <w:rPr>
                <w:rFonts w:ascii="Arial" w:cs="Arial" w:eastAsia="Arial" w:hAnsi="Arial"/>
                <w:sz w:val="18"/>
                <w:szCs w:val="18"/>
                <w:color w:val="auto"/>
              </w:rPr>
              <w:t>46.1</w:t>
            </w:r>
          </w:p>
        </w:tc>
        <w:tc>
          <w:tcPr>
            <w:tcW w:w="22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416</w:t>
            </w:r>
          </w:p>
        </w:tc>
        <w:tc>
          <w:tcPr>
            <w:tcW w:w="440" w:type="dxa"/>
            <w:vAlign w:val="bottom"/>
            <w:shd w:val="clear" w:color="auto" w:fill="D6F3E8"/>
          </w:tcPr>
          <w:p>
            <w:pPr>
              <w:spacing w:after="0"/>
              <w:rPr>
                <w:sz w:val="18"/>
                <w:szCs w:val="18"/>
                <w:color w:val="auto"/>
              </w:rPr>
            </w:pPr>
          </w:p>
        </w:tc>
        <w:tc>
          <w:tcPr>
            <w:tcW w:w="820" w:type="dxa"/>
            <w:vAlign w:val="bottom"/>
            <w:shd w:val="clear" w:color="auto" w:fill="D6F3E8"/>
          </w:tcPr>
          <w:p>
            <w:pPr>
              <w:jc w:val="right"/>
              <w:ind w:right="37"/>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100" w:type="dxa"/>
            <w:vAlign w:val="bottom"/>
            <w:shd w:val="clear" w:color="auto" w:fill="D6F3E8"/>
          </w:tcPr>
          <w:p>
            <w:pPr>
              <w:jc w:val="right"/>
              <w:ind w:right="114"/>
              <w:spacing w:after="0"/>
              <w:rPr>
                <w:sz w:val="20"/>
                <w:szCs w:val="20"/>
                <w:color w:val="auto"/>
              </w:rPr>
            </w:pPr>
            <w:r>
              <w:rPr>
                <w:rFonts w:ascii="Arial" w:cs="Arial" w:eastAsia="Arial" w:hAnsi="Arial"/>
                <w:sz w:val="18"/>
                <w:szCs w:val="18"/>
                <w:color w:val="auto"/>
              </w:rPr>
              <w:t>(240)</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Class B</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8"/>
                <w:szCs w:val="18"/>
                <w:color w:val="auto"/>
              </w:rPr>
            </w:pPr>
          </w:p>
        </w:tc>
        <w:tc>
          <w:tcPr>
            <w:tcW w:w="940" w:type="dxa"/>
            <w:vAlign w:val="bottom"/>
          </w:tcPr>
          <w:p>
            <w:pPr>
              <w:jc w:val="right"/>
              <w:ind w:right="157"/>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w:t>
            </w:r>
          </w:p>
        </w:tc>
        <w:tc>
          <w:tcPr>
            <w:tcW w:w="440" w:type="dxa"/>
            <w:vAlign w:val="bottom"/>
          </w:tcPr>
          <w:p>
            <w:pPr>
              <w:spacing w:after="0"/>
              <w:rPr>
                <w:sz w:val="18"/>
                <w:szCs w:val="18"/>
                <w:color w:val="auto"/>
              </w:rPr>
            </w:pPr>
          </w:p>
        </w:tc>
        <w:tc>
          <w:tcPr>
            <w:tcW w:w="820" w:type="dxa"/>
            <w:vAlign w:val="bottom"/>
          </w:tcPr>
          <w:p>
            <w:pPr>
              <w:jc w:val="right"/>
              <w:ind w:right="37"/>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(214)</w:t>
            </w:r>
          </w:p>
        </w:tc>
        <w:tc>
          <w:tcPr>
            <w:tcW w:w="980" w:type="dxa"/>
            <w:vAlign w:val="bottom"/>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4360" w:type="dxa"/>
            <w:vAlign w:val="bottom"/>
            <w:shd w:val="clear" w:color="auto" w:fill="D6F3E8"/>
          </w:tcPr>
          <w:p>
            <w:pPr>
              <w:spacing w:after="0"/>
              <w:rPr>
                <w:sz w:val="20"/>
                <w:szCs w:val="20"/>
                <w:color w:val="auto"/>
              </w:rPr>
            </w:pPr>
            <w:r>
              <w:rPr>
                <w:rFonts w:ascii="Arial" w:cs="Arial" w:eastAsia="Arial" w:hAnsi="Arial"/>
                <w:sz w:val="18"/>
                <w:szCs w:val="18"/>
                <w:color w:val="auto"/>
              </w:rPr>
              <w:t>Class C</w:t>
            </w:r>
          </w:p>
        </w:tc>
        <w:tc>
          <w:tcPr>
            <w:tcW w:w="220" w:type="dxa"/>
            <w:vAlign w:val="bottom"/>
            <w:tcBorders>
              <w:bottom w:val="single" w:sz="8" w:color="auto"/>
            </w:tcBorders>
            <w:shd w:val="clear" w:color="auto" w:fill="D6F3E8"/>
          </w:tcPr>
          <w:p>
            <w:pPr>
              <w:spacing w:after="0"/>
              <w:rPr>
                <w:sz w:val="18"/>
                <w:szCs w:val="18"/>
                <w:color w:val="auto"/>
              </w:rPr>
            </w:pPr>
          </w:p>
        </w:tc>
        <w:tc>
          <w:tcPr>
            <w:tcW w:w="8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204</w:t>
            </w:r>
          </w:p>
        </w:tc>
        <w:tc>
          <w:tcPr>
            <w:tcW w:w="440" w:type="dxa"/>
            <w:vAlign w:val="bottom"/>
            <w:tcBorders>
              <w:bottom w:val="single" w:sz="8" w:color="auto"/>
            </w:tcBorders>
            <w:shd w:val="clear" w:color="auto" w:fill="D6F3E8"/>
          </w:tcPr>
          <w:p>
            <w:pPr>
              <w:spacing w:after="0"/>
              <w:rPr>
                <w:sz w:val="18"/>
                <w:szCs w:val="18"/>
                <w:color w:val="auto"/>
              </w:rPr>
            </w:pPr>
          </w:p>
        </w:tc>
        <w:tc>
          <w:tcPr>
            <w:tcW w:w="940" w:type="dxa"/>
            <w:vAlign w:val="bottom"/>
            <w:tcBorders>
              <w:bottom w:val="single" w:sz="8" w:color="auto"/>
            </w:tcBorders>
            <w:shd w:val="clear" w:color="auto" w:fill="D6F3E8"/>
          </w:tcPr>
          <w:p>
            <w:pPr>
              <w:jc w:val="right"/>
              <w:ind w:right="157"/>
              <w:spacing w:after="0"/>
              <w:rPr>
                <w:sz w:val="20"/>
                <w:szCs w:val="20"/>
                <w:color w:val="auto"/>
              </w:rPr>
            </w:pPr>
            <w:r>
              <w:rPr>
                <w:rFonts w:ascii="Arial" w:cs="Arial" w:eastAsia="Arial" w:hAnsi="Arial"/>
                <w:sz w:val="18"/>
                <w:szCs w:val="18"/>
                <w:color w:val="auto"/>
              </w:rPr>
              <w:t>53.4</w:t>
            </w:r>
          </w:p>
        </w:tc>
        <w:tc>
          <w:tcPr>
            <w:tcW w:w="220" w:type="dxa"/>
            <w:vAlign w:val="bottom"/>
            <w:tcBorders>
              <w:bottom w:val="single" w:sz="8" w:color="auto"/>
            </w:tcBorders>
            <w:shd w:val="clear" w:color="auto" w:fill="D6F3E8"/>
          </w:tcPr>
          <w:p>
            <w:pPr>
              <w:spacing w:after="0"/>
              <w:rPr>
                <w:sz w:val="18"/>
                <w:szCs w:val="18"/>
                <w:color w:val="auto"/>
              </w:rPr>
            </w:pPr>
          </w:p>
        </w:tc>
        <w:tc>
          <w:tcPr>
            <w:tcW w:w="8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515</w:t>
            </w:r>
          </w:p>
        </w:tc>
        <w:tc>
          <w:tcPr>
            <w:tcW w:w="440" w:type="dxa"/>
            <w:vAlign w:val="bottom"/>
            <w:tcBorders>
              <w:bottom w:val="single" w:sz="8" w:color="auto"/>
            </w:tcBorders>
            <w:shd w:val="clear" w:color="auto" w:fill="D6F3E8"/>
          </w:tcPr>
          <w:p>
            <w:pPr>
              <w:spacing w:after="0"/>
              <w:rPr>
                <w:sz w:val="18"/>
                <w:szCs w:val="18"/>
                <w:color w:val="auto"/>
              </w:rPr>
            </w:pPr>
          </w:p>
        </w:tc>
        <w:tc>
          <w:tcPr>
            <w:tcW w:w="820" w:type="dxa"/>
            <w:vAlign w:val="bottom"/>
            <w:tcBorders>
              <w:bottom w:val="single" w:sz="8" w:color="auto"/>
            </w:tcBorders>
            <w:shd w:val="clear" w:color="auto" w:fill="D6F3E8"/>
          </w:tcPr>
          <w:p>
            <w:pPr>
              <w:jc w:val="right"/>
              <w:ind w:right="37"/>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auto"/>
            </w:tcBorders>
            <w:shd w:val="clear" w:color="auto" w:fill="D6F3E8"/>
          </w:tcPr>
          <w:p>
            <w:pPr>
              <w:spacing w:after="0"/>
              <w:rPr>
                <w:sz w:val="18"/>
                <w:szCs w:val="18"/>
                <w:color w:val="auto"/>
              </w:rPr>
            </w:pPr>
          </w:p>
        </w:tc>
        <w:tc>
          <w:tcPr>
            <w:tcW w:w="160" w:type="dxa"/>
            <w:vAlign w:val="bottom"/>
            <w:tcBorders>
              <w:bottom w:val="single" w:sz="8" w:color="auto"/>
            </w:tcBorders>
            <w:shd w:val="clear" w:color="auto" w:fill="D6F3E8"/>
          </w:tcPr>
          <w:p>
            <w:pPr>
              <w:spacing w:after="0"/>
              <w:rPr>
                <w:sz w:val="18"/>
                <w:szCs w:val="18"/>
                <w:color w:val="auto"/>
              </w:rPr>
            </w:pPr>
          </w:p>
        </w:tc>
        <w:tc>
          <w:tcPr>
            <w:tcW w:w="1100" w:type="dxa"/>
            <w:vAlign w:val="bottom"/>
            <w:tcBorders>
              <w:bottom w:val="single" w:sz="8" w:color="auto"/>
            </w:tcBorders>
            <w:shd w:val="clear" w:color="auto" w:fill="D6F3E8"/>
          </w:tcPr>
          <w:p>
            <w:pPr>
              <w:jc w:val="right"/>
              <w:ind w:right="114"/>
              <w:spacing w:after="0"/>
              <w:rPr>
                <w:sz w:val="20"/>
                <w:szCs w:val="20"/>
                <w:color w:val="auto"/>
              </w:rPr>
            </w:pPr>
            <w:r>
              <w:rPr>
                <w:rFonts w:ascii="Arial" w:cs="Arial" w:eastAsia="Arial" w:hAnsi="Arial"/>
                <w:sz w:val="18"/>
                <w:szCs w:val="18"/>
                <w:color w:val="auto"/>
              </w:rPr>
              <w:t>(311)</w:t>
            </w:r>
          </w:p>
        </w:tc>
        <w:tc>
          <w:tcPr>
            <w:tcW w:w="9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D6F3E8"/>
            </w:tcBorders>
          </w:tcPr>
          <w:p>
            <w:pPr>
              <w:spacing w:after="0" w:line="202" w:lineRule="exact"/>
              <w:rPr>
                <w:sz w:val="20"/>
                <w:szCs w:val="20"/>
                <w:color w:val="auto"/>
              </w:rPr>
            </w:pPr>
            <w:r>
              <w:rPr>
                <w:rFonts w:ascii="Arial" w:cs="Arial" w:eastAsia="Arial" w:hAnsi="Arial"/>
                <w:sz w:val="18"/>
                <w:szCs w:val="18"/>
                <w:color w:val="auto"/>
              </w:rPr>
              <w:t>Total backlog</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4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w:t>
            </w: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(765)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197"/>
        </w:trPr>
        <w:tc>
          <w:tcPr>
            <w:tcW w:w="4360" w:type="dxa"/>
            <w:vAlign w:val="bottom"/>
            <w:shd w:val="clear" w:color="auto" w:fill="D6F3E8"/>
          </w:tcPr>
          <w:p>
            <w:pPr>
              <w:spacing w:after="0" w:line="197" w:lineRule="exact"/>
              <w:rPr>
                <w:sz w:val="20"/>
                <w:szCs w:val="20"/>
                <w:color w:val="auto"/>
              </w:rPr>
            </w:pPr>
            <w:r>
              <w:rPr>
                <w:rFonts w:ascii="Arial" w:cs="Arial" w:eastAsia="Arial" w:hAnsi="Arial"/>
                <w:sz w:val="14"/>
                <w:szCs w:val="14"/>
                <w:color w:val="auto"/>
              </w:rPr>
              <w:t xml:space="preserve">Total approximate revenue dollars (in millions) </w:t>
            </w:r>
            <w:r>
              <w:rPr>
                <w:rFonts w:ascii="Arial" w:cs="Arial" w:eastAsia="Arial" w:hAnsi="Arial"/>
                <w:sz w:val="22"/>
                <w:szCs w:val="22"/>
                <w:color w:val="auto"/>
                <w:vertAlign w:val="superscript"/>
              </w:rPr>
              <w:t>(1)</w:t>
            </w:r>
          </w:p>
        </w:tc>
        <w:tc>
          <w:tcPr>
            <w:tcW w:w="220" w:type="dxa"/>
            <w:vAlign w:val="bottom"/>
            <w:shd w:val="clear" w:color="auto" w:fill="D6F3E8"/>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D6F3E8"/>
          </w:tcPr>
          <w:p>
            <w:pPr>
              <w:jc w:val="right"/>
              <w:spacing w:after="0" w:line="196" w:lineRule="exact"/>
              <w:rPr>
                <w:sz w:val="20"/>
                <w:szCs w:val="20"/>
                <w:color w:val="auto"/>
              </w:rPr>
            </w:pPr>
            <w:r>
              <w:rPr>
                <w:rFonts w:ascii="Arial" w:cs="Arial" w:eastAsia="Arial" w:hAnsi="Arial"/>
                <w:sz w:val="18"/>
                <w:szCs w:val="18"/>
                <w:color w:val="auto"/>
              </w:rPr>
              <w:t>33.6</w:t>
            </w:r>
          </w:p>
        </w:tc>
        <w:tc>
          <w:tcPr>
            <w:tcW w:w="440" w:type="dxa"/>
            <w:vAlign w:val="bottom"/>
            <w:shd w:val="clear" w:color="auto" w:fill="D6F3E8"/>
          </w:tcPr>
          <w:p>
            <w:pPr>
              <w:spacing w:after="0"/>
              <w:rPr>
                <w:sz w:val="17"/>
                <w:szCs w:val="17"/>
                <w:color w:val="auto"/>
              </w:rPr>
            </w:pPr>
          </w:p>
        </w:tc>
        <w:tc>
          <w:tcPr>
            <w:tcW w:w="940" w:type="dxa"/>
            <w:vAlign w:val="bottom"/>
            <w:shd w:val="clear" w:color="auto" w:fill="D6F3E8"/>
          </w:tcPr>
          <w:p>
            <w:pPr>
              <w:spacing w:after="0"/>
              <w:rPr>
                <w:sz w:val="17"/>
                <w:szCs w:val="17"/>
                <w:color w:val="auto"/>
              </w:rPr>
            </w:pPr>
          </w:p>
        </w:tc>
        <w:tc>
          <w:tcPr>
            <w:tcW w:w="220" w:type="dxa"/>
            <w:vAlign w:val="bottom"/>
            <w:shd w:val="clear" w:color="auto" w:fill="D6F3E8"/>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D6F3E8"/>
          </w:tcPr>
          <w:p>
            <w:pPr>
              <w:jc w:val="right"/>
              <w:spacing w:after="0" w:line="196" w:lineRule="exact"/>
              <w:rPr>
                <w:sz w:val="20"/>
                <w:szCs w:val="20"/>
                <w:color w:val="auto"/>
              </w:rPr>
            </w:pPr>
            <w:r>
              <w:rPr>
                <w:rFonts w:ascii="Arial" w:cs="Arial" w:eastAsia="Arial" w:hAnsi="Arial"/>
                <w:sz w:val="18"/>
                <w:szCs w:val="18"/>
                <w:color w:val="auto"/>
              </w:rPr>
              <w:t>93.9</w:t>
            </w:r>
          </w:p>
        </w:tc>
        <w:tc>
          <w:tcPr>
            <w:tcW w:w="440" w:type="dxa"/>
            <w:vAlign w:val="bottom"/>
            <w:shd w:val="clear" w:color="auto" w:fill="D6F3E8"/>
          </w:tcPr>
          <w:p>
            <w:pPr>
              <w:spacing w:after="0"/>
              <w:rPr>
                <w:sz w:val="17"/>
                <w:szCs w:val="17"/>
                <w:color w:val="auto"/>
              </w:rPr>
            </w:pPr>
          </w:p>
        </w:tc>
        <w:tc>
          <w:tcPr>
            <w:tcW w:w="820" w:type="dxa"/>
            <w:vAlign w:val="bottom"/>
            <w:shd w:val="clear" w:color="auto" w:fill="D6F3E8"/>
          </w:tcPr>
          <w:p>
            <w:pPr>
              <w:spacing w:after="0"/>
              <w:rPr>
                <w:sz w:val="17"/>
                <w:szCs w:val="17"/>
                <w:color w:val="auto"/>
              </w:rPr>
            </w:pPr>
          </w:p>
        </w:tc>
        <w:tc>
          <w:tcPr>
            <w:tcW w:w="260" w:type="dxa"/>
            <w:vAlign w:val="bottom"/>
            <w:gridSpan w:val="2"/>
            <w:shd w:val="clear" w:color="auto" w:fill="D6F3E8"/>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D6F3E8"/>
          </w:tcPr>
          <w:p>
            <w:pPr>
              <w:jc w:val="right"/>
              <w:ind w:right="114"/>
              <w:spacing w:after="0" w:line="196" w:lineRule="exact"/>
              <w:rPr>
                <w:sz w:val="20"/>
                <w:szCs w:val="20"/>
                <w:color w:val="auto"/>
              </w:rPr>
            </w:pPr>
            <w:r>
              <w:rPr>
                <w:rFonts w:ascii="Arial" w:cs="Arial" w:eastAsia="Arial" w:hAnsi="Arial"/>
                <w:sz w:val="18"/>
                <w:szCs w:val="18"/>
                <w:color w:val="auto"/>
              </w:rPr>
              <w:t>(60.3)</w:t>
            </w:r>
          </w:p>
        </w:tc>
        <w:tc>
          <w:tcPr>
            <w:tcW w:w="980" w:type="dxa"/>
            <w:vAlign w:val="bottom"/>
            <w:shd w:val="clear" w:color="auto" w:fill="D6F3E8"/>
          </w:tcPr>
          <w:p>
            <w:pPr>
              <w:jc w:val="right"/>
              <w:spacing w:after="0" w:line="196" w:lineRule="exact"/>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0"/>
        </w:trPr>
        <w:tc>
          <w:tcPr>
            <w:tcW w:w="4360" w:type="dxa"/>
            <w:vAlign w:val="bottom"/>
            <w:tcBorders>
              <w:top w:val="single" w:sz="8" w:color="D6F3E8"/>
              <w:bottom w:val="single" w:sz="8" w:color="D6F3E8"/>
            </w:tcBorders>
            <w:vMerge w:val="restart"/>
          </w:tcPr>
          <w:p>
            <w:pPr>
              <w:spacing w:after="0"/>
              <w:rPr>
                <w:sz w:val="20"/>
                <w:szCs w:val="20"/>
                <w:color w:val="auto"/>
              </w:rPr>
            </w:pPr>
            <w:r>
              <w:rPr>
                <w:rFonts w:ascii="Arial" w:cs="Arial" w:eastAsia="Arial" w:hAnsi="Arial"/>
                <w:sz w:val="18"/>
                <w:szCs w:val="18"/>
                <w:color w:val="auto"/>
              </w:rPr>
              <w:t>Dealer inventory (units)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D6F3E8"/>
            </w:tcBorders>
          </w:tcPr>
          <w:p>
            <w:pPr>
              <w:spacing w:after="0" w:line="20" w:lineRule="exact"/>
              <w:rPr>
                <w:sz w:val="1"/>
                <w:szCs w:val="1"/>
                <w:color w:val="auto"/>
              </w:rPr>
            </w:pPr>
          </w:p>
        </w:tc>
        <w:tc>
          <w:tcPr>
            <w:tcW w:w="940" w:type="dxa"/>
            <w:vAlign w:val="bottom"/>
            <w:tcBorders>
              <w:top w:val="single" w:sz="8" w:color="D6F3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D6F3E8"/>
            </w:tcBorders>
          </w:tcPr>
          <w:p>
            <w:pPr>
              <w:spacing w:after="0" w:line="20" w:lineRule="exact"/>
              <w:rPr>
                <w:sz w:val="1"/>
                <w:szCs w:val="1"/>
                <w:color w:val="auto"/>
              </w:rPr>
            </w:pPr>
          </w:p>
        </w:tc>
        <w:tc>
          <w:tcPr>
            <w:tcW w:w="820" w:type="dxa"/>
            <w:vAlign w:val="bottom"/>
            <w:tcBorders>
              <w:top w:val="single" w:sz="8" w:color="D6F3E8"/>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2,324</w:t>
            </w: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4,341</w:t>
            </w: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14"/>
              <w:spacing w:after="0" w:line="196" w:lineRule="exact"/>
              <w:rPr>
                <w:sz w:val="20"/>
                <w:szCs w:val="20"/>
                <w:color w:val="auto"/>
              </w:rPr>
            </w:pPr>
            <w:r>
              <w:rPr>
                <w:rFonts w:ascii="Arial" w:cs="Arial" w:eastAsia="Arial" w:hAnsi="Arial"/>
                <w:sz w:val="18"/>
                <w:szCs w:val="18"/>
                <w:color w:val="auto"/>
              </w:rPr>
              <w:t>(2,017)</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9" w:lineRule="exact"/>
        <w:rPr>
          <w:sz w:val="20"/>
          <w:szCs w:val="20"/>
          <w:color w:val="auto"/>
        </w:rPr>
      </w:pPr>
    </w:p>
    <w:p>
      <w:pPr>
        <w:ind w:left="220" w:right="380" w:hanging="212"/>
        <w:spacing w:after="0" w:line="186" w:lineRule="auto"/>
        <w:tabs>
          <w:tab w:leader="none" w:pos="220" w:val="left"/>
        </w:tabs>
        <w:numPr>
          <w:ilvl w:val="0"/>
          <w:numId w:val="9"/>
        </w:numPr>
        <w:rPr>
          <w:rFonts w:ascii="Arial" w:cs="Arial" w:eastAsia="Arial" w:hAnsi="Arial"/>
          <w:sz w:val="22"/>
          <w:szCs w:val="22"/>
          <w:color w:val="auto"/>
          <w:vertAlign w:val="superscript"/>
        </w:rPr>
      </w:pPr>
      <w:r>
        <w:rPr>
          <w:rFonts w:ascii="Arial" w:cs="Arial" w:eastAsia="Arial" w:hAnsi="Arial"/>
          <w:sz w:val="14"/>
          <w:szCs w:val="14"/>
          <w:color w:val="auto"/>
        </w:rPr>
        <w:t>We include in our backlog all accepted purchase orders from dealers to be shipped within the next six months. Orders in backlog can be canceled or postponed at the option of the purchaser at any time without penalty and, therefore, backlog may not necessarily be an accurate measure of future sales.</w:t>
      </w:r>
    </w:p>
    <w:p>
      <w:pPr>
        <w:sectPr>
          <w:pgSz w:w="11900" w:h="16838" w:orient="portrait"/>
          <w:cols w:equalWidth="0" w:num="1">
            <w:col w:w="11420"/>
          </w:cols>
          <w:pgMar w:left="240" w:top="131" w:right="239" w:bottom="0" w:gutter="0" w:footer="0" w:header="0"/>
          <w:type w:val="continuous"/>
        </w:sectPr>
      </w:pPr>
    </w:p>
    <w:bookmarkStart w:id="11" w:name="page12"/>
    <w:bookmarkEnd w:id="11"/>
    <w:p>
      <w:pPr>
        <w:ind w:right="160"/>
        <w:spacing w:after="0" w:line="298" w:lineRule="auto"/>
        <w:rPr>
          <w:sz w:val="20"/>
          <w:szCs w:val="20"/>
          <w:color w:val="auto"/>
        </w:rPr>
      </w:pPr>
      <w:r>
        <w:rPr>
          <w:rFonts w:ascii="Arial" w:cs="Arial" w:eastAsia="Arial" w:hAnsi="Arial"/>
          <w:sz w:val="16"/>
          <w:szCs w:val="16"/>
          <w:color w:val="auto"/>
        </w:rPr>
        <w:t>When wholesale and retail credit availability and consumer confidence improve, we expect to see an increase in motor home demand as dealers will again have the ability to order units to maintain their inventory levels after an extended period of inventory reduction. We also expect to benefit from our ability to ramp-up production in an industry with fewer motor home competitors. A longer term positive outlook for the recreation vehicle industry is supported by favorable demographics as baby boomers reach the age group that has historically accounted for the bulk of retail RV sales.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Critical Accounting Policies. </w:t>
      </w:r>
      <w:r>
        <w:rPr>
          <w:rFonts w:ascii="Arial" w:cs="Arial" w:eastAsia="Arial" w:hAnsi="Arial"/>
          <w:sz w:val="18"/>
          <w:szCs w:val="18"/>
          <w:color w:val="auto"/>
        </w:rPr>
        <w:t>Our consolidated financial statements are prepared in accordance with generally accepted accounting principles (GAAP).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preparation of our financial statements, we are required to make assumptions and estimates about future events and apply judgments that affect the reported amounts of assets, liabilities, revenue, expenses and the related disclosures. We base our assumptions, estimates and judgments on historical experience, current trends and other factors that we believe to be relevant at the time our consolidated financial statements are prepared. On a regular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20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We believe that the following accounting estimates and policies are the most critical to aid in fully understanding and evaluating our reported financial results and they require our most difficult, subjective or complex judgments resulting from the need to make estimates about the effect of matters that are inherently uncertain. We have reviewed these critical accounting estimates and related disclosures with the Audit Committee of our Board.</w:t>
      </w:r>
    </w:p>
    <w:p>
      <w:pPr>
        <w:spacing w:after="0" w:line="155"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Generally, revenues for motor homes are recorded when all of the following conditions are met: an order for a product has been received</w:t>
      </w:r>
      <w:r>
        <w:rPr>
          <w:rFonts w:ascii="Arial" w:cs="Arial" w:eastAsia="Arial" w:hAnsi="Arial"/>
          <w:sz w:val="16"/>
          <w:szCs w:val="16"/>
          <w:b w:val="1"/>
          <w:bCs w:val="1"/>
          <w:color w:val="auto"/>
        </w:rPr>
        <w:t xml:space="preserve"> </w:t>
      </w:r>
      <w:r>
        <w:rPr>
          <w:rFonts w:ascii="Arial" w:cs="Arial" w:eastAsia="Arial" w:hAnsi="Arial"/>
          <w:sz w:val="16"/>
          <w:szCs w:val="16"/>
          <w:color w:val="auto"/>
        </w:rPr>
        <w:t>from a dealer, written or verbal approval for payment has been received from the dealer’s floor plan financing institution and the product is delivered to the dealer who placed the order. Most sales are financed under floor plan financing arrangements with banks or finance companies.</w:t>
      </w:r>
    </w:p>
    <w:p>
      <w:pPr>
        <w:spacing w:after="0" w:line="15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Revenues from the sales of our OEM and motor home-related parts are recorded as the products are shipped from our location. The title of ownership transfers on these products as they leave our location due to the freight terms of F.O.B. - Forest City, Iowa.</w:t>
      </w:r>
    </w:p>
    <w:p>
      <w:pPr>
        <w:spacing w:after="0" w:line="18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color w:val="auto"/>
        </w:rPr>
        <w:t xml:space="preserve">Sales Promotions and Incentives. </w:t>
      </w:r>
      <w:r>
        <w:rPr>
          <w:rFonts w:ascii="Arial" w:cs="Arial" w:eastAsia="Arial" w:hAnsi="Arial"/>
          <w:sz w:val="16"/>
          <w:szCs w:val="16"/>
          <w:color w:val="auto"/>
        </w:rPr>
        <w:t>We accrue for sales promotions and incentive expenses, which are recognized as a reduction to revenues, at the time of sale to</w:t>
      </w:r>
      <w:r>
        <w:rPr>
          <w:rFonts w:ascii="Arial" w:cs="Arial" w:eastAsia="Arial" w:hAnsi="Arial"/>
          <w:sz w:val="16"/>
          <w:szCs w:val="16"/>
          <w:b w:val="1"/>
          <w:bCs w:val="1"/>
          <w:color w:val="auto"/>
        </w:rPr>
        <w:t xml:space="preserve"> </w:t>
      </w:r>
      <w:r>
        <w:rPr>
          <w:rFonts w:ascii="Arial" w:cs="Arial" w:eastAsia="Arial" w:hAnsi="Arial"/>
          <w:sz w:val="16"/>
          <w:szCs w:val="16"/>
          <w:color w:val="auto"/>
        </w:rPr>
        <w:t>the dealer or when the sales incentive is offered to the dealer or retail customer. Examples of sales promotions and incentive programs include dealer and consumer rebates, volume discounts, retail financing programs, and dealer sales associate incentives. Sales promotion and incentive expenses are estimated based upon current program parameters, such as unit or retail volume, and historical rates. Actual results may differ from these estimates if market conditions dictate the need to enhance or reduce sales promotion and incentive programs or if the retail customer usage rate varies from historical trends. Historically, sales promotion and incentive expenses have been within our expectations and differences have not been material.</w:t>
      </w:r>
    </w:p>
    <w:p>
      <w:pPr>
        <w:spacing w:after="0" w:line="16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color w:val="auto"/>
        </w:rPr>
        <w:t xml:space="preserve">Repurchase Commitments. </w:t>
      </w:r>
      <w:r>
        <w:rPr>
          <w:rFonts w:ascii="Arial" w:cs="Arial" w:eastAsia="Arial" w:hAnsi="Arial"/>
          <w:sz w:val="16"/>
          <w:szCs w:val="16"/>
          <w:color w:val="auto"/>
        </w:rPr>
        <w:t>It is customary practice for companies in the recreation vehicle industry to enter into repurchase agreements with financing</w:t>
      </w:r>
      <w:r>
        <w:rPr>
          <w:rFonts w:ascii="Arial" w:cs="Arial" w:eastAsia="Arial" w:hAnsi="Arial"/>
          <w:sz w:val="16"/>
          <w:szCs w:val="16"/>
          <w:b w:val="1"/>
          <w:bCs w:val="1"/>
          <w:color w:val="auto"/>
        </w:rPr>
        <w:t xml:space="preserve"> </w:t>
      </w:r>
      <w:r>
        <w:rPr>
          <w:rFonts w:ascii="Arial" w:cs="Arial" w:eastAsia="Arial" w:hAnsi="Arial"/>
          <w:sz w:val="16"/>
          <w:szCs w:val="16"/>
          <w:color w:val="auto"/>
        </w:rPr>
        <w:t>institutions that provide financing to their dealers. Our repurchase agreements generally provide that, in the event of a default by a dealer in its obligation to these credit sources, we will repurchase vehicles sold to the dealer that have not been resold to retail customers. The terms of these agreements, which can last up to 18 months, provide that our liability will be the lesser of remaining principal owed by the dealer or dealer invoice less periodic reductions based on the time since the date of the original invoice. Our liability cannot exceed 100 percent of the dealer invoice. In certain instances, we also repurchase inventory from our dealers due to state law or regulatory requirements that govern voluntary or involuntary relationship terminations. Our risk of loss is reduced by the potential resale value of any products that are subject to repurchase and is spread over numerous dealers and financial institutions. The aggregate contingent liability related to our repurchase agreements represents all financed dealer inventory at the period reporting date subject to a repurchase agreement, net of the greater of periodic reductions per the agreement or dealer principal payments.</w:t>
      </w:r>
    </w:p>
    <w:p>
      <w:pPr>
        <w:spacing w:after="0" w:line="173"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Based on these repurchase agreements, we establish an associated loss reserve. This loss reserve is disclosed separately in the consolidated balance sheets. Repurchased sales are not recorded as a revenue transaction, but the net difference between the original repurchase price and the resale price are recorded against the loss reserve, which is a deduction from gross revenue. There are two significant assumptions associated with establishing our loss reserve for repurchase commitments: (1) the percentage of dealer inventory that we will be required to repurchase as a result of defaults by the dealer, and (2) the loss that will be incurred, if any, when repurchased inventory is resold. Historically, losses under these agreements have not been material; however, given the decreased demand for recreation vehicles, repurchase activity has become higher than has historically been the case and it may be necessary to offer greater discounts in order to relocate such product to alternative dealers during current market conditions. To the extent that dealers are reducing their inventories, which they have been doing the past 12 months, our overall exposure to repurchase agreements is likewise reduced. The percentage of dealer inventory we estimate we will repurchase is based on historical information, current trends and an analysis of dealer inventory aging for all dealers with inventory subject to this obligation. The estimated loss per repurchased unit is based primarily on recent history because until recently, we were generally able to sell repurchased units for minimal losses. In the past few quarters, we have incurred a significant increase in losses associated with repurchases due to the challenging motor home industry conditions. As a result, we have revised our underlying loss reserve estimate assumptions during Fiscal 2009 based on rapidly changing circumstances to provide for greater potential future losses due to unfavorable experience. Further discussion of our repurchase commitments and related assumptions is included in Note 10 to the Consolidated Financial Statements.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color w:val="auto"/>
        </w:rPr>
        <w:t xml:space="preserve">Warranty. </w:t>
      </w:r>
      <w:r>
        <w:rPr>
          <w:rFonts w:ascii="Arial" w:cs="Arial" w:eastAsia="Arial" w:hAnsi="Arial"/>
          <w:sz w:val="16"/>
          <w:szCs w:val="16"/>
          <w:color w:val="auto"/>
        </w:rPr>
        <w:t>We provide with the purchase of any new motor home, a comprehensive 12-month/15,000-mile warranty on Class A, Class B and Class C motor</w:t>
      </w:r>
      <w:r>
        <w:rPr>
          <w:rFonts w:ascii="Arial" w:cs="Arial" w:eastAsia="Arial" w:hAnsi="Arial"/>
          <w:sz w:val="16"/>
          <w:szCs w:val="16"/>
          <w:b w:val="1"/>
          <w:bCs w:val="1"/>
          <w:color w:val="auto"/>
        </w:rPr>
        <w:t xml:space="preserve"> </w:t>
      </w:r>
      <w:r>
        <w:rPr>
          <w:rFonts w:ascii="Arial" w:cs="Arial" w:eastAsia="Arial" w:hAnsi="Arial"/>
          <w:sz w:val="16"/>
          <w:szCs w:val="16"/>
          <w:color w:val="auto"/>
        </w:rPr>
        <w:t>homes and a 3-year/36,000-mile warranty on Class A and Class C sidewalls and floors. Estimated costs related to product warranty are accrued at the time of sale and are based upon past warranty claims and unit sales history and adjusted as required to reflect actual costs incurred, as information becomes available. A significant increase in dealership labor rates, the cost of parts or the frequency of claims could have a material adverse impact on our operating results for the period or periods in which such claims or additional costs materialize. We also incur costs as a result of additional service actions not covered by our warranties, including product recalls and customer satisfaction actions. Estimated costs are accrued at the time the service action is implemented and are based upon past claim rate experiences and the estimated cost of the repairs. Further discussion of our warranty costs and associated accruals is included in Note 7 to the Consolidated Financial Statements.</w:t>
      </w:r>
    </w:p>
    <w:p>
      <w:pPr>
        <w:sectPr>
          <w:pgSz w:w="11900" w:h="16838" w:orient="portrait"/>
          <w:cols w:equalWidth="0" w:num="1">
            <w:col w:w="11420"/>
          </w:cols>
          <w:pgMar w:left="240" w:top="131" w:right="239" w:bottom="0" w:gutter="0" w:footer="0" w:header="0"/>
        </w:sectPr>
      </w:pPr>
    </w:p>
    <w:bookmarkStart w:id="12" w:name="page13"/>
    <w:bookmarkEnd w:id="12"/>
    <w:p>
      <w:pPr>
        <w:jc w:val="both"/>
        <w:ind w:right="240"/>
        <w:spacing w:after="0" w:line="262"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Prior to Fiscal 2007, we granted stock options to our key employees and nonemployee directors as part of their compensation. In</w:t>
      </w:r>
      <w:r>
        <w:rPr>
          <w:rFonts w:ascii="Arial" w:cs="Arial" w:eastAsia="Arial" w:hAnsi="Arial"/>
          <w:sz w:val="18"/>
          <w:szCs w:val="18"/>
          <w:b w:val="1"/>
          <w:bCs w:val="1"/>
          <w:color w:val="auto"/>
        </w:rPr>
        <w:t xml:space="preserve"> </w:t>
      </w:r>
      <w:r>
        <w:rPr>
          <w:rFonts w:ascii="Arial" w:cs="Arial" w:eastAsia="Arial" w:hAnsi="Arial"/>
          <w:sz w:val="18"/>
          <w:szCs w:val="18"/>
          <w:color w:val="auto"/>
        </w:rPr>
        <w:t>Fiscal 2007 and 2008, we granted restricted stock awards to key employees and nonemployee directors instead of stock options. No stock options or restricted stock awards were granted in the first three quarters of Fiscal 2009.</w:t>
      </w:r>
    </w:p>
    <w:p>
      <w:pPr>
        <w:spacing w:after="0" w:line="19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amount of stock-based compensation expense incurred and to be incurred in future periods is dependent upon a number of factors, such as the number of options and shares granted, the timing of stock option exercises, the age of the recipient and actual forfeiture rates.</w:t>
      </w:r>
    </w:p>
    <w:p>
      <w:pPr>
        <w:spacing w:after="0" w:line="18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value of the restricted stock is based on the closing price of our common stock on the date of grant. The fair value of each award is amortized on a straight-line basis over the requisite service period or to an employee’s eligible retirement date, if earlier. This amortization method is used because our awards typically vest over three years, beginning one year after date of grant or upon retirement if earlier; thus, options and restricted stock awards are expensed immediately upon grant for retirement-eligible employees. This feature accelerates expense in the period of grant (typically our first fiscal quarter) and creates an uneven pattern of stock-based compensation that results in relatively higher expense in our first fiscal quarter and relatively lower expense in our second through fourth quarters. The impact of this feature is significant since a majority of our awards are made to retirement-eligible employees.</w:t>
      </w:r>
    </w:p>
    <w:p>
      <w:pPr>
        <w:spacing w:after="0" w:line="168"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b w:val="1"/>
          <w:bCs w:val="1"/>
          <w:color w:val="auto"/>
        </w:rPr>
        <w:t xml:space="preserve">Unrecognized Tax Benefits. </w:t>
      </w:r>
      <w:r>
        <w:rPr>
          <w:rFonts w:ascii="Arial" w:cs="Arial" w:eastAsia="Arial" w:hAnsi="Arial"/>
          <w:sz w:val="16"/>
          <w:szCs w:val="16"/>
          <w:color w:val="auto"/>
        </w:rPr>
        <w:t>We only recognize tax benefits for filing positions that are considered more likely than not of being sustained under audit by the</w:t>
      </w:r>
      <w:r>
        <w:rPr>
          <w:rFonts w:ascii="Arial" w:cs="Arial" w:eastAsia="Arial" w:hAnsi="Arial"/>
          <w:sz w:val="16"/>
          <w:szCs w:val="16"/>
          <w:b w:val="1"/>
          <w:bCs w:val="1"/>
          <w:color w:val="auto"/>
        </w:rPr>
        <w:t xml:space="preserve"> </w:t>
      </w:r>
      <w:r>
        <w:rPr>
          <w:rFonts w:ascii="Arial" w:cs="Arial" w:eastAsia="Arial" w:hAnsi="Arial"/>
          <w:sz w:val="16"/>
          <w:szCs w:val="16"/>
          <w:color w:val="auto"/>
        </w:rPr>
        <w:t>relevant taxing authority, without regard to the likelihood of such an audit occurring. We record a liability for uncertain tax positions when it is more likely than not that our filed tax positions will not be sustained. We record deferred tax assets related to reserves for filing positions in a particular jurisdiction that would result in tax deductions in another tax jurisdiction if we were unable to sustain our filing position in an audit. Our income tax returns are periodically audited by various taxing authorities. These audits include questions regarding our tax filing positions, including the timing and the amount of deductions and the allocation of income among various tax jurisdictions. At any one time, multiple years are subject to audit by the various taxing authorities. We continually assess our tax positions for all periods that are open to examination or have not been effectively settled based on the most current available information. We adjust our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7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liability for unrecognized tax benefits contains uncertainties because we are required to make assumptions and apply judgment to estimate the exposure associated with our various filing positions. Our effective tax rate is also affected by changes in tax law, the level of our earnings or losses and the results of tax audits.</w:t>
      </w:r>
    </w:p>
    <w:p>
      <w:pPr>
        <w:spacing w:after="0" w:line="19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Although we believe that the judgments and estimates discussed herein are reasonable, actual results could differ, and we may be exposed to losses or realize gains that could be material. To the extent that we prevail in matters for which a liability has been established or are required to pay amounts in excess of our established liability, our effective income tax rate in a given financial statement period could be materially affected. An unfavorable tax settlement generally would require use of our cash and may result in an increase in our effective tax rate in the period of resolution. A favorable tax settlement may be recognized as a reduction in our effective tax rate in the period of resolution.</w:t>
      </w:r>
    </w:p>
    <w:p>
      <w:pPr>
        <w:spacing w:after="0" w:line="19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We account for income taxes in accordance with SFAS No. 109,</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As part of the process of preparing our</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consolidated financial statements, we are required to estimate our income taxes in each of the jurisdictions in which we operate. This process involves estimating our current tax exposure together with assessing temporary differences resulting from differing treatment of items for tax and accounting purposes. These temporary differences result in deferred tax assets and liabilities, which are included within our consolidated balance sheet. We must then assess the likelihood that our deferred tax assets will be realized based on future taxable income and, to the extent we believe that recovery is not likely, we must establish a valuation allowance. To the extent we establish a valuation allowance or change this allowance in a period, we must include an expense or a benefit within the tax provision in our consolidated statement of operations.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Significant judgment is required in determining our provision for income taxes, our deferred tax assets and liabilities and any valuation allowance recorded against our deferred tax assets. Valuation allowances arise due to the uncertainty of realizing deferred tax assets. SFAS No. 109 requires that companies assess whether valuation allowances should be established against their deferred tax assets based on the consideration of all available evidence, using a “more likely than not” standard. In making such assessments, significant weight is to be given to evidence that can be objectively verified. A company’s current or previous losses are given more weight than its future outlook. We have evaluated the sustainability of our deferred tax assets on our consolidated balance sheet which includes the assessment of cumulative income over recent prior periods. Based on SFAS No. 109 guidelines, we determined a valuation allowance of $325,000 was appropriate as of May 30, 2009. We will continue to assess the likelihood that our deferred tax assets will be realizable at each reporting period, and our valuation allowance will be adjusted accordingly, which could materially impact our financial position and results of operations.</w:t>
      </w:r>
    </w:p>
    <w:p>
      <w:pPr>
        <w:spacing w:after="0" w:line="166" w:lineRule="exact"/>
        <w:rPr>
          <w:sz w:val="20"/>
          <w:szCs w:val="20"/>
          <w:color w:val="auto"/>
        </w:rPr>
      </w:pPr>
    </w:p>
    <w:p>
      <w:pPr>
        <w:ind w:right="180"/>
        <w:spacing w:after="0" w:line="326" w:lineRule="auto"/>
        <w:rPr>
          <w:sz w:val="20"/>
          <w:szCs w:val="20"/>
          <w:color w:val="auto"/>
        </w:rPr>
      </w:pPr>
      <w:r>
        <w:rPr>
          <w:rFonts w:ascii="Arial" w:cs="Arial" w:eastAsia="Arial" w:hAnsi="Arial"/>
          <w:sz w:val="15"/>
          <w:szCs w:val="15"/>
          <w:b w:val="1"/>
          <w:bCs w:val="1"/>
          <w:color w:val="auto"/>
        </w:rPr>
        <w:t xml:space="preserve">Postretirement Benefits, Obligations and Costs. </w:t>
      </w:r>
      <w:r>
        <w:rPr>
          <w:rFonts w:ascii="Arial" w:cs="Arial" w:eastAsia="Arial" w:hAnsi="Arial"/>
          <w:sz w:val="15"/>
          <w:szCs w:val="15"/>
          <w:color w:val="auto"/>
        </w:rPr>
        <w:t>We provide certain health care and other benefits for retired employees hired before April 1, 2001, who have</w:t>
      </w:r>
      <w:r>
        <w:rPr>
          <w:rFonts w:ascii="Arial" w:cs="Arial" w:eastAsia="Arial" w:hAnsi="Arial"/>
          <w:sz w:val="15"/>
          <w:szCs w:val="15"/>
          <w:b w:val="1"/>
          <w:bCs w:val="1"/>
          <w:color w:val="auto"/>
        </w:rPr>
        <w:t xml:space="preserve"> </w:t>
      </w:r>
      <w:r>
        <w:rPr>
          <w:rFonts w:ascii="Arial" w:cs="Arial" w:eastAsia="Arial" w:hAnsi="Arial"/>
          <w:sz w:val="15"/>
          <w:szCs w:val="15"/>
          <w:color w:val="auto"/>
        </w:rPr>
        <w:t>fulfilled eligibility requirements at age 55 with 15 years of continuous service. Postretirement benefit liabilities are determined by actuaries using assumptions about the discount rate and health care cost-trend rates. Thus, a significant increase or decrease in interest rates could have a significant impact on our operating results. Further discussion of our postretirement benefit plan and related assumptions is included in Note 9 to the Consolidated Financial Statements.</w:t>
      </w:r>
    </w:p>
    <w:p>
      <w:pPr>
        <w:spacing w:after="0" w:line="143"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We have reserves for other loss exposures, such as litigation, product liability, workers’ compensation, employee medical claims, inventory and 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 We also have loss exposure on loan guarantees. Establishing loss reserves for these matters requires the use of estimates and judgment in regards to risk exposure and ultimate liability. We estimate losses under the programs using consistent and appropriate methods; however, changes in assumptions could materially affect our recorded assets or liabilities.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Third Quarter of Fiscal 2009 Compared to the Third Quarter of Fiscal 2008</w:t>
      </w:r>
    </w:p>
    <w:p>
      <w:pPr>
        <w:spacing w:after="0" w:line="23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following is an analysis of changes in key items included in the consolidated statements of operations for the quarter ended May 30, 2009 compared to the quarter ended May 31, 2008:</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36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rPr>
              <w:t>Quarter Ended</w:t>
            </w:r>
          </w:p>
        </w:tc>
        <w:tc>
          <w:tcPr>
            <w:tcW w:w="1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36"/>
        </w:trPr>
        <w:tc>
          <w:tcPr>
            <w:tcW w:w="4360" w:type="dxa"/>
            <w:vAlign w:val="bottom"/>
          </w:tcPr>
          <w:p>
            <w:pPr>
              <w:spacing w:after="0"/>
              <w:rPr>
                <w:sz w:val="11"/>
                <w:szCs w:val="11"/>
                <w:color w:val="auto"/>
              </w:rPr>
            </w:pPr>
          </w:p>
        </w:tc>
        <w:tc>
          <w:tcPr>
            <w:tcW w:w="1020" w:type="dxa"/>
            <w:vAlign w:val="bottom"/>
          </w:tcPr>
          <w:p>
            <w:pPr>
              <w:jc w:val="center"/>
              <w:spacing w:after="0" w:line="136" w:lineRule="exact"/>
              <w:rPr>
                <w:sz w:val="20"/>
                <w:szCs w:val="20"/>
                <w:color w:val="auto"/>
              </w:rPr>
            </w:pPr>
            <w:r>
              <w:rPr>
                <w:rFonts w:ascii="Arial" w:cs="Arial" w:eastAsia="Arial" w:hAnsi="Arial"/>
                <w:sz w:val="14"/>
                <w:szCs w:val="14"/>
                <w:b w:val="1"/>
                <w:bCs w:val="1"/>
                <w:color w:val="auto"/>
                <w:w w:val="90"/>
              </w:rPr>
              <w:t>May 30,</w:t>
            </w:r>
          </w:p>
        </w:tc>
        <w:tc>
          <w:tcPr>
            <w:tcW w:w="1400" w:type="dxa"/>
            <w:vAlign w:val="bottom"/>
          </w:tcPr>
          <w:p>
            <w:pPr>
              <w:spacing w:after="0"/>
              <w:rPr>
                <w:sz w:val="11"/>
                <w:szCs w:val="11"/>
                <w:color w:val="auto"/>
              </w:rPr>
            </w:pPr>
          </w:p>
        </w:tc>
        <w:tc>
          <w:tcPr>
            <w:tcW w:w="1020" w:type="dxa"/>
            <w:vAlign w:val="bottom"/>
          </w:tcPr>
          <w:p>
            <w:pPr>
              <w:jc w:val="center"/>
              <w:spacing w:after="0" w:line="136" w:lineRule="exact"/>
              <w:rPr>
                <w:sz w:val="20"/>
                <w:szCs w:val="20"/>
                <w:color w:val="auto"/>
              </w:rPr>
            </w:pPr>
            <w:r>
              <w:rPr>
                <w:rFonts w:ascii="Arial" w:cs="Arial" w:eastAsia="Arial" w:hAnsi="Arial"/>
                <w:sz w:val="14"/>
                <w:szCs w:val="14"/>
                <w:b w:val="1"/>
                <w:bCs w:val="1"/>
                <w:color w:val="auto"/>
                <w:w w:val="90"/>
              </w:rPr>
              <w:t>May 31,</w:t>
            </w:r>
          </w:p>
        </w:tc>
        <w:tc>
          <w:tcPr>
            <w:tcW w:w="1360" w:type="dxa"/>
            <w:vAlign w:val="bottom"/>
          </w:tcPr>
          <w:p>
            <w:pPr>
              <w:spacing w:after="0"/>
              <w:rPr>
                <w:sz w:val="11"/>
                <w:szCs w:val="11"/>
                <w:color w:val="auto"/>
              </w:rPr>
            </w:pPr>
          </w:p>
        </w:tc>
        <w:tc>
          <w:tcPr>
            <w:tcW w:w="1160" w:type="dxa"/>
            <w:vAlign w:val="bottom"/>
          </w:tcPr>
          <w:p>
            <w:pPr>
              <w:jc w:val="center"/>
              <w:ind w:right="52"/>
              <w:spacing w:after="0" w:line="136" w:lineRule="exact"/>
              <w:rPr>
                <w:sz w:val="20"/>
                <w:szCs w:val="20"/>
                <w:color w:val="auto"/>
              </w:rPr>
            </w:pPr>
            <w:r>
              <w:rPr>
                <w:rFonts w:ascii="Arial" w:cs="Arial" w:eastAsia="Arial" w:hAnsi="Arial"/>
                <w:sz w:val="14"/>
                <w:szCs w:val="14"/>
                <w:b w:val="1"/>
                <w:bCs w:val="1"/>
                <w:color w:val="auto"/>
                <w:w w:val="83"/>
              </w:rPr>
              <w:t>(Decrease)</w:t>
            </w:r>
          </w:p>
        </w:tc>
        <w:tc>
          <w:tcPr>
            <w:tcW w:w="1100" w:type="dxa"/>
            <w:vAlign w:val="bottom"/>
          </w:tcPr>
          <w:p>
            <w:pPr>
              <w:jc w:val="right"/>
              <w:ind w:right="432"/>
              <w:spacing w:after="0" w:line="136" w:lineRule="exact"/>
              <w:rPr>
                <w:sz w:val="20"/>
                <w:szCs w:val="20"/>
                <w:color w:val="auto"/>
              </w:rPr>
            </w:pPr>
            <w:r>
              <w:rPr>
                <w:rFonts w:ascii="Arial" w:cs="Arial" w:eastAsia="Arial" w:hAnsi="Arial"/>
                <w:sz w:val="14"/>
                <w:szCs w:val="14"/>
                <w:b w:val="1"/>
                <w:bCs w:val="1"/>
                <w:color w:val="auto"/>
              </w:rPr>
              <w:t>%</w:t>
            </w:r>
          </w:p>
        </w:tc>
      </w:tr>
      <w:tr>
        <w:trPr>
          <w:trHeight w:val="168"/>
        </w:trPr>
        <w:tc>
          <w:tcPr>
            <w:tcW w:w="4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 except percent and per share data)</w:t>
            </w:r>
          </w:p>
        </w:tc>
        <w:tc>
          <w:tcPr>
            <w:tcW w:w="10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2009</w:t>
            </w:r>
          </w:p>
        </w:tc>
        <w:tc>
          <w:tcPr>
            <w:tcW w:w="14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 of Revenues</w:t>
            </w: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2008</w:t>
            </w:r>
          </w:p>
        </w:tc>
        <w:tc>
          <w:tcPr>
            <w:tcW w:w="13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 of Revenues</w:t>
            </w:r>
          </w:p>
        </w:tc>
        <w:tc>
          <w:tcPr>
            <w:tcW w:w="116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4"/>
              </w:rPr>
              <w:t>Increase</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r>
    </w:tbl>
    <w:p>
      <w:pPr>
        <w:sectPr>
          <w:pgSz w:w="11900" w:h="16838" w:orient="portrait"/>
          <w:cols w:equalWidth="0" w:num="1">
            <w:col w:w="11420"/>
          </w:cols>
          <w:pgMar w:left="240" w:top="125" w:right="2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360" w:type="dxa"/>
            <w:vAlign w:val="bottom"/>
            <w:tcBorders>
              <w:top w:val="single" w:sz="8" w:color="auto"/>
            </w:tcBorders>
            <w:gridSpan w:val="2"/>
            <w:shd w:val="clear" w:color="auto" w:fill="D6F3E8"/>
          </w:tcPr>
          <w:p>
            <w:pPr>
              <w:spacing w:after="0"/>
              <w:rPr>
                <w:sz w:val="20"/>
                <w:szCs w:val="20"/>
                <w:color w:val="auto"/>
              </w:rPr>
            </w:pPr>
            <w:r>
              <w:rPr>
                <w:rFonts w:ascii="Arial" w:cs="Arial" w:eastAsia="Arial" w:hAnsi="Arial"/>
                <w:sz w:val="18"/>
                <w:szCs w:val="18"/>
                <w:color w:val="auto"/>
              </w:rPr>
              <w:t>Net revenues</w:t>
            </w:r>
          </w:p>
        </w:tc>
        <w:tc>
          <w:tcPr>
            <w:tcW w:w="340" w:type="dxa"/>
            <w:vAlign w:val="bottom"/>
            <w:tcBorders>
              <w:top w:val="single" w:sz="8" w:color="auto"/>
            </w:tcBorders>
            <w:shd w:val="clear" w:color="auto" w:fill="D6F3E8"/>
          </w:tcPr>
          <w:p>
            <w:pPr>
              <w:jc w:val="right"/>
              <w:ind w:right="18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50,848</w:t>
            </w:r>
          </w:p>
        </w:tc>
        <w:tc>
          <w:tcPr>
            <w:tcW w:w="220" w:type="dxa"/>
            <w:vAlign w:val="bottom"/>
            <w:tcBorders>
              <w:top w:val="single" w:sz="8" w:color="auto"/>
            </w:tcBorders>
            <w:shd w:val="clear" w:color="auto" w:fill="D6F3E8"/>
          </w:tcPr>
          <w:p>
            <w:pPr>
              <w:spacing w:after="0"/>
              <w:rPr>
                <w:sz w:val="21"/>
                <w:szCs w:val="21"/>
                <w:color w:val="auto"/>
              </w:rPr>
            </w:pPr>
          </w:p>
        </w:tc>
        <w:tc>
          <w:tcPr>
            <w:tcW w:w="1160" w:type="dxa"/>
            <w:vAlign w:val="bottom"/>
            <w:tcBorders>
              <w:top w:val="single" w:sz="8" w:color="auto"/>
            </w:tcBorders>
            <w:shd w:val="clear" w:color="auto" w:fill="D6F3E8"/>
          </w:tcPr>
          <w:p>
            <w:pPr>
              <w:jc w:val="right"/>
              <w:ind w:right="154"/>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auto"/>
            </w:tcBorders>
            <w:shd w:val="clear" w:color="auto" w:fill="D6F3E8"/>
          </w:tcPr>
          <w:p>
            <w:pPr>
              <w:jc w:val="right"/>
              <w:ind w:right="10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139,736</w:t>
            </w:r>
          </w:p>
        </w:tc>
        <w:tc>
          <w:tcPr>
            <w:tcW w:w="320" w:type="dxa"/>
            <w:vAlign w:val="bottom"/>
            <w:tcBorders>
              <w:top w:val="single" w:sz="8" w:color="auto"/>
            </w:tcBorders>
            <w:shd w:val="clear" w:color="auto" w:fill="D6F3E8"/>
          </w:tcPr>
          <w:p>
            <w:pPr>
              <w:spacing w:after="0"/>
              <w:rPr>
                <w:sz w:val="21"/>
                <w:szCs w:val="21"/>
                <w:color w:val="auto"/>
              </w:rPr>
            </w:pPr>
          </w:p>
        </w:tc>
        <w:tc>
          <w:tcPr>
            <w:tcW w:w="980" w:type="dxa"/>
            <w:vAlign w:val="bottom"/>
            <w:tcBorders>
              <w:top w:val="single" w:sz="8" w:color="auto"/>
            </w:tcBorders>
            <w:shd w:val="clear" w:color="auto" w:fill="D6F3E8"/>
          </w:tcPr>
          <w:p>
            <w:pPr>
              <w:jc w:val="right"/>
              <w:ind w:right="74"/>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auto"/>
            </w:tcBorders>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D6F3E8"/>
          </w:tcPr>
          <w:p>
            <w:pPr>
              <w:jc w:val="right"/>
              <w:ind w:right="114"/>
              <w:spacing w:after="0"/>
              <w:rPr>
                <w:sz w:val="20"/>
                <w:szCs w:val="20"/>
                <w:color w:val="auto"/>
              </w:rPr>
            </w:pPr>
            <w:r>
              <w:rPr>
                <w:rFonts w:ascii="Arial" w:cs="Arial" w:eastAsia="Arial" w:hAnsi="Arial"/>
                <w:sz w:val="18"/>
                <w:szCs w:val="18"/>
                <w:color w:val="auto"/>
              </w:rPr>
              <w:t>(88,888)</w:t>
            </w:r>
          </w:p>
        </w:tc>
        <w:tc>
          <w:tcPr>
            <w:tcW w:w="9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D6F3E8"/>
            </w:tcBorders>
            <w:gridSpan w:val="2"/>
          </w:tcPr>
          <w:p>
            <w:pPr>
              <w:spacing w:after="0"/>
              <w:rPr>
                <w:sz w:val="20"/>
                <w:szCs w:val="20"/>
                <w:color w:val="auto"/>
              </w:rPr>
            </w:pPr>
            <w:r>
              <w:rPr>
                <w:rFonts w:ascii="Arial" w:cs="Arial" w:eastAsia="Arial" w:hAnsi="Arial"/>
                <w:sz w:val="18"/>
                <w:szCs w:val="18"/>
                <w:color w:val="auto"/>
              </w:rPr>
              <w:t>Cost of goods sold</w:t>
            </w: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59,133</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116.3</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137,112</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98.1</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(77,979)</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0"/>
        </w:trPr>
        <w:tc>
          <w:tcPr>
            <w:tcW w:w="4360" w:type="dxa"/>
            <w:vAlign w:val="bottom"/>
            <w:gridSpan w:val="2"/>
            <w:shd w:val="clear" w:color="auto" w:fill="D6F3E8"/>
          </w:tcPr>
          <w:p>
            <w:pPr>
              <w:spacing w:after="0" w:line="202" w:lineRule="exact"/>
              <w:rPr>
                <w:sz w:val="20"/>
                <w:szCs w:val="20"/>
                <w:color w:val="auto"/>
              </w:rPr>
            </w:pPr>
            <w:r>
              <w:rPr>
                <w:rFonts w:ascii="Arial" w:cs="Arial" w:eastAsia="Arial" w:hAnsi="Arial"/>
                <w:sz w:val="18"/>
                <w:szCs w:val="18"/>
                <w:color w:val="auto"/>
              </w:rPr>
              <w:t>Gross (deficit) profit</w:t>
            </w:r>
          </w:p>
        </w:tc>
        <w:tc>
          <w:tcPr>
            <w:tcW w:w="340" w:type="dxa"/>
            <w:vAlign w:val="bottom"/>
            <w:tcBorders>
              <w:bottom w:val="single" w:sz="8" w:color="auto"/>
            </w:tcBorders>
            <w:shd w:val="clear" w:color="auto" w:fill="D6F3E8"/>
          </w:tcPr>
          <w:p>
            <w:pPr>
              <w:spacing w:after="0"/>
              <w:rPr>
                <w:sz w:val="18"/>
                <w:szCs w:val="18"/>
                <w:color w:val="auto"/>
              </w:rPr>
            </w:pPr>
          </w:p>
        </w:tc>
        <w:tc>
          <w:tcPr>
            <w:tcW w:w="920" w:type="dxa"/>
            <w:vAlign w:val="bottom"/>
            <w:tcBorders>
              <w:bottom w:val="single" w:sz="8" w:color="auto"/>
            </w:tcBorders>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(8,285)</w:t>
            </w:r>
          </w:p>
        </w:tc>
        <w:tc>
          <w:tcPr>
            <w:tcW w:w="1160" w:type="dxa"/>
            <w:vAlign w:val="bottom"/>
            <w:tcBorders>
              <w:bottom w:val="single" w:sz="8" w:color="auto"/>
            </w:tcBorders>
            <w:shd w:val="clear" w:color="auto" w:fill="D6F3E8"/>
          </w:tcPr>
          <w:p>
            <w:pPr>
              <w:jc w:val="right"/>
              <w:ind w:right="94"/>
              <w:spacing w:after="0"/>
              <w:rPr>
                <w:sz w:val="20"/>
                <w:szCs w:val="20"/>
                <w:color w:val="auto"/>
              </w:rPr>
            </w:pPr>
            <w:r>
              <w:rPr>
                <w:rFonts w:ascii="Arial" w:cs="Arial" w:eastAsia="Arial" w:hAnsi="Arial"/>
                <w:sz w:val="18"/>
                <w:szCs w:val="18"/>
                <w:color w:val="auto"/>
              </w:rPr>
              <w:t>(16.3)</w:t>
            </w:r>
          </w:p>
        </w:tc>
        <w:tc>
          <w:tcPr>
            <w:tcW w:w="260" w:type="dxa"/>
            <w:vAlign w:val="bottom"/>
            <w:tcBorders>
              <w:bottom w:val="single" w:sz="8" w:color="auto"/>
            </w:tcBorders>
            <w:shd w:val="clear" w:color="auto" w:fill="D6F3E8"/>
          </w:tcPr>
          <w:p>
            <w:pPr>
              <w:spacing w:after="0"/>
              <w:rPr>
                <w:sz w:val="18"/>
                <w:szCs w:val="18"/>
                <w:color w:val="auto"/>
              </w:rPr>
            </w:pPr>
          </w:p>
        </w:tc>
        <w:tc>
          <w:tcPr>
            <w:tcW w:w="7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2,624</w:t>
            </w:r>
          </w:p>
        </w:tc>
        <w:tc>
          <w:tcPr>
            <w:tcW w:w="320" w:type="dxa"/>
            <w:vAlign w:val="bottom"/>
            <w:tcBorders>
              <w:bottom w:val="single" w:sz="8" w:color="auto"/>
            </w:tcBorders>
            <w:shd w:val="clear" w:color="auto" w:fill="D6F3E8"/>
          </w:tcPr>
          <w:p>
            <w:pPr>
              <w:spacing w:after="0"/>
              <w:rPr>
                <w:sz w:val="18"/>
                <w:szCs w:val="18"/>
                <w:color w:val="auto"/>
              </w:rPr>
            </w:pPr>
          </w:p>
        </w:tc>
        <w:tc>
          <w:tcPr>
            <w:tcW w:w="980" w:type="dxa"/>
            <w:vAlign w:val="bottom"/>
            <w:tcBorders>
              <w:bottom w:val="single" w:sz="8" w:color="auto"/>
            </w:tcBorders>
            <w:shd w:val="clear" w:color="auto" w:fill="D6F3E8"/>
          </w:tcPr>
          <w:p>
            <w:pPr>
              <w:jc w:val="right"/>
              <w:ind w:right="74"/>
              <w:spacing w:after="0"/>
              <w:rPr>
                <w:sz w:val="20"/>
                <w:szCs w:val="20"/>
                <w:color w:val="auto"/>
              </w:rPr>
            </w:pPr>
            <w:r>
              <w:rPr>
                <w:rFonts w:ascii="Arial" w:cs="Arial" w:eastAsia="Arial" w:hAnsi="Arial"/>
                <w:sz w:val="18"/>
                <w:szCs w:val="18"/>
                <w:color w:val="auto"/>
              </w:rPr>
              <w:t>1.9</w:t>
            </w:r>
          </w:p>
        </w:tc>
        <w:tc>
          <w:tcPr>
            <w:tcW w:w="60" w:type="dxa"/>
            <w:vAlign w:val="bottom"/>
            <w:tcBorders>
              <w:bottom w:val="single" w:sz="8" w:color="auto"/>
            </w:tcBorders>
            <w:shd w:val="clear" w:color="auto" w:fill="D6F3E8"/>
          </w:tcPr>
          <w:p>
            <w:pPr>
              <w:spacing w:after="0"/>
              <w:rPr>
                <w:sz w:val="18"/>
                <w:szCs w:val="18"/>
                <w:color w:val="auto"/>
              </w:rPr>
            </w:pPr>
          </w:p>
        </w:tc>
        <w:tc>
          <w:tcPr>
            <w:tcW w:w="180" w:type="dxa"/>
            <w:vAlign w:val="bottom"/>
            <w:tcBorders>
              <w:bottom w:val="single" w:sz="8" w:color="auto"/>
            </w:tcBorders>
            <w:shd w:val="clear" w:color="auto" w:fill="D6F3E8"/>
          </w:tcPr>
          <w:p>
            <w:pPr>
              <w:spacing w:after="0"/>
              <w:rPr>
                <w:sz w:val="18"/>
                <w:szCs w:val="18"/>
                <w:color w:val="auto"/>
              </w:rPr>
            </w:pPr>
          </w:p>
        </w:tc>
        <w:tc>
          <w:tcPr>
            <w:tcW w:w="1080" w:type="dxa"/>
            <w:vAlign w:val="bottom"/>
            <w:tcBorders>
              <w:bottom w:val="single" w:sz="8" w:color="auto"/>
            </w:tcBorders>
            <w:shd w:val="clear" w:color="auto" w:fill="D6F3E8"/>
          </w:tcPr>
          <w:p>
            <w:pPr>
              <w:jc w:val="right"/>
              <w:ind w:right="114"/>
              <w:spacing w:after="0"/>
              <w:rPr>
                <w:sz w:val="20"/>
                <w:szCs w:val="20"/>
                <w:color w:val="auto"/>
              </w:rPr>
            </w:pPr>
            <w:r>
              <w:rPr>
                <w:rFonts w:ascii="Arial" w:cs="Arial" w:eastAsia="Arial" w:hAnsi="Arial"/>
                <w:sz w:val="18"/>
                <w:szCs w:val="18"/>
                <w:color w:val="auto"/>
              </w:rPr>
              <w:t>(10,909)</w:t>
            </w:r>
          </w:p>
        </w:tc>
        <w:tc>
          <w:tcPr>
            <w:tcW w:w="9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(415.7)</w:t>
            </w:r>
          </w:p>
        </w:tc>
        <w:tc>
          <w:tcPr>
            <w:tcW w:w="0" w:type="dxa"/>
            <w:vAlign w:val="bottom"/>
          </w:tcPr>
          <w:p>
            <w:pPr>
              <w:spacing w:after="0"/>
              <w:rPr>
                <w:sz w:val="1"/>
                <w:szCs w:val="1"/>
                <w:color w:val="auto"/>
              </w:rPr>
            </w:pPr>
          </w:p>
        </w:tc>
      </w:tr>
      <w:tr>
        <w:trPr>
          <w:trHeight w:val="210"/>
        </w:trPr>
        <w:tc>
          <w:tcPr>
            <w:tcW w:w="43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Selling</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3,083</w:t>
            </w:r>
          </w:p>
        </w:tc>
        <w:tc>
          <w:tcPr>
            <w:tcW w:w="220" w:type="dxa"/>
            <w:vAlign w:val="bottom"/>
          </w:tcPr>
          <w:p>
            <w:pPr>
              <w:spacing w:after="0"/>
              <w:rPr>
                <w:sz w:val="18"/>
                <w:szCs w:val="18"/>
                <w:color w:val="auto"/>
              </w:rPr>
            </w:pPr>
          </w:p>
        </w:tc>
        <w:tc>
          <w:tcPr>
            <w:tcW w:w="1160" w:type="dxa"/>
            <w:vAlign w:val="bottom"/>
          </w:tcPr>
          <w:p>
            <w:pPr>
              <w:jc w:val="right"/>
              <w:ind w:right="154"/>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5,085</w:t>
            </w:r>
          </w:p>
        </w:tc>
        <w:tc>
          <w:tcPr>
            <w:tcW w:w="320" w:type="dxa"/>
            <w:vAlign w:val="bottom"/>
          </w:tcPr>
          <w:p>
            <w:pPr>
              <w:spacing w:after="0"/>
              <w:rPr>
                <w:sz w:val="18"/>
                <w:szCs w:val="18"/>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14"/>
              <w:spacing w:after="0"/>
              <w:rPr>
                <w:sz w:val="20"/>
                <w:szCs w:val="20"/>
                <w:color w:val="auto"/>
              </w:rPr>
            </w:pPr>
            <w:r>
              <w:rPr>
                <w:rFonts w:ascii="Arial" w:cs="Arial" w:eastAsia="Arial" w:hAnsi="Arial"/>
                <w:sz w:val="18"/>
                <w:szCs w:val="18"/>
                <w:color w:val="auto"/>
              </w:rPr>
              <w:t>(2,002)</w:t>
            </w:r>
          </w:p>
        </w:tc>
        <w:tc>
          <w:tcPr>
            <w:tcW w:w="980" w:type="dxa"/>
            <w:vAlign w:val="bottom"/>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D6F3E8"/>
          </w:tcPr>
          <w:p>
            <w:pPr>
              <w:ind w:left="16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shd w:val="clear" w:color="auto" w:fill="D6F3E8"/>
          </w:tcPr>
          <w:p>
            <w:pPr>
              <w:spacing w:after="0"/>
              <w:rPr>
                <w:sz w:val="18"/>
                <w:szCs w:val="18"/>
                <w:color w:val="auto"/>
              </w:rPr>
            </w:pPr>
          </w:p>
        </w:tc>
        <w:tc>
          <w:tcPr>
            <w:tcW w:w="7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3,414</w:t>
            </w:r>
          </w:p>
        </w:tc>
        <w:tc>
          <w:tcPr>
            <w:tcW w:w="220" w:type="dxa"/>
            <w:vAlign w:val="bottom"/>
            <w:tcBorders>
              <w:bottom w:val="single" w:sz="8" w:color="auto"/>
            </w:tcBorders>
            <w:shd w:val="clear" w:color="auto" w:fill="D6F3E8"/>
          </w:tcPr>
          <w:p>
            <w:pPr>
              <w:spacing w:after="0"/>
              <w:rPr>
                <w:sz w:val="18"/>
                <w:szCs w:val="18"/>
                <w:color w:val="auto"/>
              </w:rPr>
            </w:pPr>
          </w:p>
        </w:tc>
        <w:tc>
          <w:tcPr>
            <w:tcW w:w="1160" w:type="dxa"/>
            <w:vAlign w:val="bottom"/>
            <w:tcBorders>
              <w:bottom w:val="single" w:sz="8" w:color="auto"/>
            </w:tcBorders>
            <w:shd w:val="clear" w:color="auto" w:fill="D6F3E8"/>
          </w:tcPr>
          <w:p>
            <w:pPr>
              <w:jc w:val="right"/>
              <w:ind w:right="154"/>
              <w:spacing w:after="0"/>
              <w:rPr>
                <w:sz w:val="20"/>
                <w:szCs w:val="20"/>
                <w:color w:val="auto"/>
              </w:rPr>
            </w:pPr>
            <w:r>
              <w:rPr>
                <w:rFonts w:ascii="Arial" w:cs="Arial" w:eastAsia="Arial" w:hAnsi="Arial"/>
                <w:sz w:val="18"/>
                <w:szCs w:val="18"/>
                <w:color w:val="auto"/>
              </w:rPr>
              <w:t>6.7</w:t>
            </w:r>
          </w:p>
        </w:tc>
        <w:tc>
          <w:tcPr>
            <w:tcW w:w="260" w:type="dxa"/>
            <w:vAlign w:val="bottom"/>
            <w:tcBorders>
              <w:bottom w:val="single" w:sz="8" w:color="auto"/>
            </w:tcBorders>
            <w:shd w:val="clear" w:color="auto" w:fill="D6F3E8"/>
          </w:tcPr>
          <w:p>
            <w:pPr>
              <w:spacing w:after="0"/>
              <w:rPr>
                <w:sz w:val="18"/>
                <w:szCs w:val="18"/>
                <w:color w:val="auto"/>
              </w:rPr>
            </w:pPr>
          </w:p>
        </w:tc>
        <w:tc>
          <w:tcPr>
            <w:tcW w:w="7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4,442</w:t>
            </w:r>
          </w:p>
        </w:tc>
        <w:tc>
          <w:tcPr>
            <w:tcW w:w="320" w:type="dxa"/>
            <w:vAlign w:val="bottom"/>
            <w:tcBorders>
              <w:bottom w:val="single" w:sz="8" w:color="auto"/>
            </w:tcBorders>
            <w:shd w:val="clear" w:color="auto" w:fill="D6F3E8"/>
          </w:tcPr>
          <w:p>
            <w:pPr>
              <w:spacing w:after="0"/>
              <w:rPr>
                <w:sz w:val="18"/>
                <w:szCs w:val="18"/>
                <w:color w:val="auto"/>
              </w:rPr>
            </w:pPr>
          </w:p>
        </w:tc>
        <w:tc>
          <w:tcPr>
            <w:tcW w:w="980" w:type="dxa"/>
            <w:vAlign w:val="bottom"/>
            <w:tcBorders>
              <w:bottom w:val="single" w:sz="8" w:color="auto"/>
            </w:tcBorders>
            <w:shd w:val="clear" w:color="auto" w:fill="D6F3E8"/>
          </w:tcPr>
          <w:p>
            <w:pPr>
              <w:jc w:val="right"/>
              <w:ind w:right="74"/>
              <w:spacing w:after="0"/>
              <w:rPr>
                <w:sz w:val="20"/>
                <w:szCs w:val="20"/>
                <w:color w:val="auto"/>
              </w:rPr>
            </w:pPr>
            <w:r>
              <w:rPr>
                <w:rFonts w:ascii="Arial" w:cs="Arial" w:eastAsia="Arial" w:hAnsi="Arial"/>
                <w:sz w:val="18"/>
                <w:szCs w:val="18"/>
                <w:color w:val="auto"/>
              </w:rPr>
              <w:t>3.2</w:t>
            </w:r>
          </w:p>
        </w:tc>
        <w:tc>
          <w:tcPr>
            <w:tcW w:w="60" w:type="dxa"/>
            <w:vAlign w:val="bottom"/>
            <w:tcBorders>
              <w:bottom w:val="single" w:sz="8" w:color="auto"/>
            </w:tcBorders>
            <w:shd w:val="clear" w:color="auto" w:fill="D6F3E8"/>
          </w:tcPr>
          <w:p>
            <w:pPr>
              <w:spacing w:after="0"/>
              <w:rPr>
                <w:sz w:val="18"/>
                <w:szCs w:val="18"/>
                <w:color w:val="auto"/>
              </w:rPr>
            </w:pPr>
          </w:p>
        </w:tc>
        <w:tc>
          <w:tcPr>
            <w:tcW w:w="180" w:type="dxa"/>
            <w:vAlign w:val="bottom"/>
            <w:tcBorders>
              <w:bottom w:val="single" w:sz="8" w:color="auto"/>
            </w:tcBorders>
            <w:shd w:val="clear" w:color="auto" w:fill="D6F3E8"/>
          </w:tcPr>
          <w:p>
            <w:pPr>
              <w:spacing w:after="0"/>
              <w:rPr>
                <w:sz w:val="18"/>
                <w:szCs w:val="18"/>
                <w:color w:val="auto"/>
              </w:rPr>
            </w:pPr>
          </w:p>
        </w:tc>
        <w:tc>
          <w:tcPr>
            <w:tcW w:w="1080" w:type="dxa"/>
            <w:vAlign w:val="bottom"/>
            <w:tcBorders>
              <w:bottom w:val="single" w:sz="8" w:color="auto"/>
            </w:tcBorders>
            <w:shd w:val="clear" w:color="auto" w:fill="D6F3E8"/>
          </w:tcPr>
          <w:p>
            <w:pPr>
              <w:jc w:val="right"/>
              <w:ind w:right="114"/>
              <w:spacing w:after="0"/>
              <w:rPr>
                <w:sz w:val="20"/>
                <w:szCs w:val="20"/>
                <w:color w:val="auto"/>
              </w:rPr>
            </w:pPr>
            <w:r>
              <w:rPr>
                <w:rFonts w:ascii="Arial" w:cs="Arial" w:eastAsia="Arial" w:hAnsi="Arial"/>
                <w:sz w:val="18"/>
                <w:szCs w:val="18"/>
                <w:color w:val="auto"/>
              </w:rPr>
              <w:t>(1,028)</w:t>
            </w:r>
          </w:p>
        </w:tc>
        <w:tc>
          <w:tcPr>
            <w:tcW w:w="9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0"/>
        </w:trPr>
        <w:tc>
          <w:tcPr>
            <w:tcW w:w="4360" w:type="dxa"/>
            <w:vAlign w:val="bottom"/>
            <w:tcBorders>
              <w:bottom w:val="single" w:sz="8" w:color="D6F3E8"/>
            </w:tcBorders>
            <w:gridSpan w:val="2"/>
          </w:tcPr>
          <w:p>
            <w:pPr>
              <w:ind w:left="320"/>
              <w:spacing w:after="0" w:line="202" w:lineRule="exact"/>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6,497</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12.8</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9,527</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6.8</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(3,030)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0"/>
        </w:trPr>
        <w:tc>
          <w:tcPr>
            <w:tcW w:w="4360" w:type="dxa"/>
            <w:vAlign w:val="bottom"/>
            <w:gridSpan w:val="2"/>
            <w:shd w:val="clear" w:color="auto" w:fill="D6F3E8"/>
          </w:tcPr>
          <w:p>
            <w:pPr>
              <w:spacing w:after="0" w:line="202" w:lineRule="exact"/>
              <w:rPr>
                <w:sz w:val="20"/>
                <w:szCs w:val="20"/>
                <w:color w:val="auto"/>
              </w:rPr>
            </w:pPr>
            <w:r>
              <w:rPr>
                <w:rFonts w:ascii="Arial" w:cs="Arial" w:eastAsia="Arial" w:hAnsi="Arial"/>
                <w:sz w:val="18"/>
                <w:szCs w:val="18"/>
                <w:color w:val="auto"/>
              </w:rPr>
              <w:t>Operating loss</w:t>
            </w:r>
          </w:p>
        </w:tc>
        <w:tc>
          <w:tcPr>
            <w:tcW w:w="340" w:type="dxa"/>
            <w:vAlign w:val="bottom"/>
            <w:shd w:val="clear" w:color="auto" w:fill="D6F3E8"/>
          </w:tcPr>
          <w:p>
            <w:pPr>
              <w:spacing w:after="0"/>
              <w:rPr>
                <w:sz w:val="18"/>
                <w:szCs w:val="18"/>
                <w:color w:val="auto"/>
              </w:rPr>
            </w:pPr>
          </w:p>
        </w:tc>
        <w:tc>
          <w:tcPr>
            <w:tcW w:w="92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(14,782)</w:t>
            </w:r>
          </w:p>
        </w:tc>
        <w:tc>
          <w:tcPr>
            <w:tcW w:w="1160" w:type="dxa"/>
            <w:vAlign w:val="bottom"/>
            <w:shd w:val="clear" w:color="auto" w:fill="D6F3E8"/>
          </w:tcPr>
          <w:p>
            <w:pPr>
              <w:jc w:val="right"/>
              <w:ind w:right="94"/>
              <w:spacing w:after="0"/>
              <w:rPr>
                <w:sz w:val="20"/>
                <w:szCs w:val="20"/>
                <w:color w:val="auto"/>
              </w:rPr>
            </w:pPr>
            <w:r>
              <w:rPr>
                <w:rFonts w:ascii="Arial" w:cs="Arial" w:eastAsia="Arial" w:hAnsi="Arial"/>
                <w:sz w:val="18"/>
                <w:szCs w:val="18"/>
                <w:color w:val="auto"/>
              </w:rPr>
              <w:t>(29.1)</w:t>
            </w:r>
          </w:p>
        </w:tc>
        <w:tc>
          <w:tcPr>
            <w:tcW w:w="26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(6,903)</w:t>
            </w:r>
          </w:p>
        </w:tc>
        <w:tc>
          <w:tcPr>
            <w:tcW w:w="980" w:type="dxa"/>
            <w:vAlign w:val="bottom"/>
            <w:shd w:val="clear" w:color="auto" w:fill="D6F3E8"/>
          </w:tcPr>
          <w:p>
            <w:pPr>
              <w:jc w:val="right"/>
              <w:ind w:right="14"/>
              <w:spacing w:after="0"/>
              <w:rPr>
                <w:sz w:val="20"/>
                <w:szCs w:val="20"/>
                <w:color w:val="auto"/>
              </w:rPr>
            </w:pPr>
            <w:r>
              <w:rPr>
                <w:rFonts w:ascii="Arial" w:cs="Arial" w:eastAsia="Arial" w:hAnsi="Arial"/>
                <w:sz w:val="18"/>
                <w:szCs w:val="18"/>
                <w:color w:val="auto"/>
              </w:rPr>
              <w:t>(4.9)</w:t>
            </w:r>
          </w:p>
        </w:tc>
        <w:tc>
          <w:tcPr>
            <w:tcW w:w="6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080" w:type="dxa"/>
            <w:vAlign w:val="bottom"/>
            <w:shd w:val="clear" w:color="auto" w:fill="D6F3E8"/>
          </w:tcPr>
          <w:p>
            <w:pPr>
              <w:jc w:val="right"/>
              <w:ind w:right="114"/>
              <w:spacing w:after="0"/>
              <w:rPr>
                <w:sz w:val="20"/>
                <w:szCs w:val="20"/>
                <w:color w:val="auto"/>
              </w:rPr>
            </w:pPr>
            <w:r>
              <w:rPr>
                <w:rFonts w:ascii="Arial" w:cs="Arial" w:eastAsia="Arial" w:hAnsi="Arial"/>
                <w:sz w:val="18"/>
                <w:szCs w:val="18"/>
                <w:color w:val="auto"/>
              </w:rPr>
              <w:t>(7,879)</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D6F3E8"/>
            </w:tcBorders>
            <w:gridSpan w:val="2"/>
          </w:tcPr>
          <w:p>
            <w:pPr>
              <w:spacing w:after="0"/>
              <w:rPr>
                <w:sz w:val="20"/>
                <w:szCs w:val="20"/>
                <w:color w:val="auto"/>
              </w:rPr>
            </w:pPr>
            <w:r>
              <w:rPr>
                <w:rFonts w:ascii="Arial" w:cs="Arial" w:eastAsia="Arial" w:hAnsi="Arial"/>
                <w:sz w:val="18"/>
                <w:szCs w:val="18"/>
                <w:color w:val="auto"/>
              </w:rPr>
              <w:t>Financial income</w:t>
            </w: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0.4</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0.7</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(844)</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0"/>
        </w:trPr>
        <w:tc>
          <w:tcPr>
            <w:tcW w:w="4360" w:type="dxa"/>
            <w:vAlign w:val="bottom"/>
            <w:gridSpan w:val="2"/>
            <w:shd w:val="clear" w:color="auto" w:fill="D6F3E8"/>
          </w:tcPr>
          <w:p>
            <w:pPr>
              <w:spacing w:after="0" w:line="202" w:lineRule="exact"/>
              <w:rPr>
                <w:sz w:val="20"/>
                <w:szCs w:val="20"/>
                <w:color w:val="auto"/>
              </w:rPr>
            </w:pPr>
            <w:r>
              <w:rPr>
                <w:rFonts w:ascii="Arial" w:cs="Arial" w:eastAsia="Arial" w:hAnsi="Arial"/>
                <w:sz w:val="18"/>
                <w:szCs w:val="18"/>
                <w:color w:val="auto"/>
              </w:rPr>
              <w:t>Loss before income taxes</w:t>
            </w:r>
          </w:p>
        </w:tc>
        <w:tc>
          <w:tcPr>
            <w:tcW w:w="340" w:type="dxa"/>
            <w:vAlign w:val="bottom"/>
            <w:shd w:val="clear" w:color="auto" w:fill="D6F3E8"/>
          </w:tcPr>
          <w:p>
            <w:pPr>
              <w:spacing w:after="0"/>
              <w:rPr>
                <w:sz w:val="18"/>
                <w:szCs w:val="18"/>
                <w:color w:val="auto"/>
              </w:rPr>
            </w:pPr>
          </w:p>
        </w:tc>
        <w:tc>
          <w:tcPr>
            <w:tcW w:w="92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(14,573)</w:t>
            </w:r>
          </w:p>
        </w:tc>
        <w:tc>
          <w:tcPr>
            <w:tcW w:w="1160" w:type="dxa"/>
            <w:vAlign w:val="bottom"/>
            <w:shd w:val="clear" w:color="auto" w:fill="D6F3E8"/>
          </w:tcPr>
          <w:p>
            <w:pPr>
              <w:jc w:val="right"/>
              <w:ind w:right="94"/>
              <w:spacing w:after="0"/>
              <w:rPr>
                <w:sz w:val="20"/>
                <w:szCs w:val="20"/>
                <w:color w:val="auto"/>
              </w:rPr>
            </w:pPr>
            <w:r>
              <w:rPr>
                <w:rFonts w:ascii="Arial" w:cs="Arial" w:eastAsia="Arial" w:hAnsi="Arial"/>
                <w:sz w:val="18"/>
                <w:szCs w:val="18"/>
                <w:color w:val="auto"/>
              </w:rPr>
              <w:t>(28.7)</w:t>
            </w:r>
          </w:p>
        </w:tc>
        <w:tc>
          <w:tcPr>
            <w:tcW w:w="26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(5,850)</w:t>
            </w:r>
          </w:p>
        </w:tc>
        <w:tc>
          <w:tcPr>
            <w:tcW w:w="980" w:type="dxa"/>
            <w:vAlign w:val="bottom"/>
            <w:shd w:val="clear" w:color="auto" w:fill="D6F3E8"/>
          </w:tcPr>
          <w:p>
            <w:pPr>
              <w:jc w:val="right"/>
              <w:ind w:right="14"/>
              <w:spacing w:after="0"/>
              <w:rPr>
                <w:sz w:val="20"/>
                <w:szCs w:val="20"/>
                <w:color w:val="auto"/>
              </w:rPr>
            </w:pPr>
            <w:r>
              <w:rPr>
                <w:rFonts w:ascii="Arial" w:cs="Arial" w:eastAsia="Arial" w:hAnsi="Arial"/>
                <w:sz w:val="18"/>
                <w:szCs w:val="18"/>
                <w:color w:val="auto"/>
              </w:rPr>
              <w:t>(4.2)</w:t>
            </w:r>
          </w:p>
        </w:tc>
        <w:tc>
          <w:tcPr>
            <w:tcW w:w="6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080" w:type="dxa"/>
            <w:vAlign w:val="bottom"/>
            <w:shd w:val="clear" w:color="auto" w:fill="D6F3E8"/>
          </w:tcPr>
          <w:p>
            <w:pPr>
              <w:jc w:val="right"/>
              <w:ind w:right="114"/>
              <w:spacing w:after="0"/>
              <w:rPr>
                <w:sz w:val="20"/>
                <w:szCs w:val="20"/>
                <w:color w:val="auto"/>
              </w:rPr>
            </w:pPr>
            <w:r>
              <w:rPr>
                <w:rFonts w:ascii="Arial" w:cs="Arial" w:eastAsia="Arial" w:hAnsi="Arial"/>
                <w:sz w:val="18"/>
                <w:szCs w:val="18"/>
                <w:color w:val="auto"/>
              </w:rPr>
              <w:t>(8,723)</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D6F3E8"/>
            </w:tcBorders>
            <w:gridSpan w:val="2"/>
          </w:tcPr>
          <w:p>
            <w:pPr>
              <w:spacing w:after="0"/>
              <w:rPr>
                <w:sz w:val="20"/>
                <w:szCs w:val="20"/>
                <w:color w:val="auto"/>
              </w:rPr>
            </w:pPr>
            <w:r>
              <w:rPr>
                <w:rFonts w:ascii="Arial" w:cs="Arial" w:eastAsia="Arial" w:hAnsi="Arial"/>
                <w:sz w:val="18"/>
                <w:szCs w:val="18"/>
                <w:color w:val="auto"/>
              </w:rPr>
              <w:t>Benefit for taxes</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(6,020)</w:t>
            </w:r>
          </w:p>
        </w:tc>
        <w:tc>
          <w:tcPr>
            <w:tcW w:w="11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(11.9)</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(8,850)</w:t>
            </w: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(6.3)</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2,830</w:t>
            </w: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0"/>
        </w:trPr>
        <w:tc>
          <w:tcPr>
            <w:tcW w:w="4360" w:type="dxa"/>
            <w:vAlign w:val="bottom"/>
            <w:tcBorders>
              <w:bottom w:val="single" w:sz="8" w:color="D6F3E8"/>
            </w:tcBorders>
            <w:gridSpan w:val="2"/>
            <w:shd w:val="clear" w:color="auto" w:fill="D6F3E8"/>
          </w:tcPr>
          <w:p>
            <w:pPr>
              <w:spacing w:after="0" w:line="202" w:lineRule="exact"/>
              <w:rPr>
                <w:sz w:val="20"/>
                <w:szCs w:val="20"/>
                <w:color w:val="auto"/>
              </w:rPr>
            </w:pPr>
            <w:r>
              <w:rPr>
                <w:rFonts w:ascii="Arial" w:cs="Arial" w:eastAsia="Arial" w:hAnsi="Arial"/>
                <w:sz w:val="18"/>
                <w:szCs w:val="18"/>
                <w:color w:val="auto"/>
              </w:rPr>
              <w:t>Net (loss) income</w:t>
            </w:r>
          </w:p>
        </w:tc>
        <w:tc>
          <w:tcPr>
            <w:tcW w:w="340" w:type="dxa"/>
            <w:vAlign w:val="bottom"/>
            <w:tcBorders>
              <w:bottom w:val="single" w:sz="8" w:color="auto"/>
            </w:tcBorders>
            <w:shd w:val="clear" w:color="auto" w:fill="D6F3E8"/>
          </w:tcPr>
          <w:p>
            <w:pPr>
              <w:jc w:val="right"/>
              <w:ind w:right="18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(8,553)</w:t>
            </w:r>
          </w:p>
        </w:tc>
        <w:tc>
          <w:tcPr>
            <w:tcW w:w="1160" w:type="dxa"/>
            <w:vAlign w:val="bottom"/>
            <w:tcBorders>
              <w:bottom w:val="single" w:sz="8" w:color="auto"/>
            </w:tcBorders>
            <w:shd w:val="clear" w:color="auto" w:fill="D6F3E8"/>
          </w:tcPr>
          <w:p>
            <w:pPr>
              <w:jc w:val="right"/>
              <w:ind w:right="94"/>
              <w:spacing w:after="0"/>
              <w:rPr>
                <w:sz w:val="20"/>
                <w:szCs w:val="20"/>
                <w:color w:val="auto"/>
              </w:rPr>
            </w:pPr>
            <w:r>
              <w:rPr>
                <w:rFonts w:ascii="Arial" w:cs="Arial" w:eastAsia="Arial" w:hAnsi="Arial"/>
                <w:sz w:val="18"/>
                <w:szCs w:val="18"/>
                <w:color w:val="auto"/>
              </w:rPr>
              <w:t>(16.8)</w:t>
            </w:r>
          </w:p>
        </w:tc>
        <w:tc>
          <w:tcPr>
            <w:tcW w:w="260" w:type="dxa"/>
            <w:vAlign w:val="bottom"/>
            <w:tcBorders>
              <w:bottom w:val="single" w:sz="8" w:color="auto"/>
            </w:tcBorders>
            <w:shd w:val="clear" w:color="auto" w:fill="D6F3E8"/>
          </w:tcPr>
          <w:p>
            <w:pPr>
              <w:jc w:val="right"/>
              <w:ind w:right="103"/>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3,000</w:t>
            </w:r>
          </w:p>
        </w:tc>
        <w:tc>
          <w:tcPr>
            <w:tcW w:w="320" w:type="dxa"/>
            <w:vAlign w:val="bottom"/>
            <w:tcBorders>
              <w:bottom w:val="single" w:sz="8" w:color="auto"/>
            </w:tcBorders>
            <w:shd w:val="clear" w:color="auto" w:fill="D6F3E8"/>
          </w:tcPr>
          <w:p>
            <w:pPr>
              <w:spacing w:after="0"/>
              <w:rPr>
                <w:sz w:val="18"/>
                <w:szCs w:val="18"/>
                <w:color w:val="auto"/>
              </w:rPr>
            </w:pPr>
          </w:p>
        </w:tc>
        <w:tc>
          <w:tcPr>
            <w:tcW w:w="980" w:type="dxa"/>
            <w:vAlign w:val="bottom"/>
            <w:tcBorders>
              <w:bottom w:val="single" w:sz="8" w:color="auto"/>
            </w:tcBorders>
            <w:shd w:val="clear" w:color="auto" w:fill="D6F3E8"/>
          </w:tcPr>
          <w:p>
            <w:pPr>
              <w:jc w:val="right"/>
              <w:ind w:right="74"/>
              <w:spacing w:after="0"/>
              <w:rPr>
                <w:sz w:val="20"/>
                <w:szCs w:val="20"/>
                <w:color w:val="auto"/>
              </w:rPr>
            </w:pPr>
            <w:r>
              <w:rPr>
                <w:rFonts w:ascii="Arial" w:cs="Arial" w:eastAsia="Arial" w:hAnsi="Arial"/>
                <w:sz w:val="18"/>
                <w:szCs w:val="18"/>
                <w:color w:val="auto"/>
              </w:rPr>
              <w:t>2.1</w:t>
            </w:r>
          </w:p>
        </w:tc>
        <w:tc>
          <w:tcPr>
            <w:tcW w:w="240" w:type="dxa"/>
            <w:vAlign w:val="bottom"/>
            <w:tcBorders>
              <w:bottom w:val="single" w:sz="8" w:color="auto"/>
            </w:tcBorders>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D6F3E8"/>
          </w:tcPr>
          <w:p>
            <w:pPr>
              <w:jc w:val="right"/>
              <w:ind w:right="114"/>
              <w:spacing w:after="0"/>
              <w:rPr>
                <w:sz w:val="20"/>
                <w:szCs w:val="20"/>
                <w:color w:val="auto"/>
              </w:rPr>
            </w:pPr>
            <w:r>
              <w:rPr>
                <w:rFonts w:ascii="Arial" w:cs="Arial" w:eastAsia="Arial" w:hAnsi="Arial"/>
                <w:sz w:val="18"/>
                <w:szCs w:val="18"/>
                <w:color w:val="auto"/>
              </w:rPr>
              <w:t>(11,553)</w:t>
            </w:r>
          </w:p>
        </w:tc>
        <w:tc>
          <w:tcPr>
            <w:tcW w:w="9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(385.1)</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4360" w:type="dxa"/>
            <w:vAlign w:val="bottom"/>
            <w:gridSpan w:val="2"/>
          </w:tcPr>
          <w:p>
            <w:pPr>
              <w:spacing w:after="0"/>
              <w:rPr>
                <w:sz w:val="20"/>
                <w:szCs w:val="20"/>
                <w:color w:val="auto"/>
              </w:rPr>
            </w:pPr>
            <w:r>
              <w:rPr>
                <w:rFonts w:ascii="Arial" w:cs="Arial" w:eastAsia="Arial" w:hAnsi="Arial"/>
                <w:sz w:val="18"/>
                <w:szCs w:val="18"/>
                <w:color w:val="auto"/>
              </w:rPr>
              <w:t>Diluted (loss) income per share</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(0.29)</w:t>
            </w:r>
          </w:p>
        </w:tc>
        <w:tc>
          <w:tcPr>
            <w:tcW w:w="116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0.10</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4"/>
              <w:spacing w:after="0"/>
              <w:rPr>
                <w:sz w:val="20"/>
                <w:szCs w:val="20"/>
                <w:color w:val="auto"/>
              </w:rPr>
            </w:pPr>
            <w:r>
              <w:rPr>
                <w:rFonts w:ascii="Arial" w:cs="Arial" w:eastAsia="Arial" w:hAnsi="Arial"/>
                <w:sz w:val="18"/>
                <w:szCs w:val="18"/>
                <w:color w:val="auto"/>
              </w:rPr>
              <w:t>(0.39)</w:t>
            </w:r>
          </w:p>
        </w:tc>
        <w:tc>
          <w:tcPr>
            <w:tcW w:w="980" w:type="dxa"/>
            <w:vAlign w:val="bottom"/>
          </w:tcPr>
          <w:p>
            <w:pPr>
              <w:jc w:val="right"/>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198"/>
        </w:trPr>
        <w:tc>
          <w:tcPr>
            <w:tcW w:w="4360" w:type="dxa"/>
            <w:vAlign w:val="bottom"/>
            <w:tcBorders>
              <w:top w:val="single" w:sz="8" w:color="D6F3E8"/>
              <w:bottom w:val="single" w:sz="8" w:color="D6F3E8"/>
            </w:tcBorders>
            <w:gridSpan w:val="2"/>
            <w:shd w:val="clear" w:color="auto" w:fill="D6F3E8"/>
          </w:tcPr>
          <w:p>
            <w:pPr>
              <w:spacing w:after="0" w:line="182" w:lineRule="exact"/>
              <w:rPr>
                <w:sz w:val="20"/>
                <w:szCs w:val="20"/>
                <w:color w:val="auto"/>
              </w:rPr>
            </w:pPr>
            <w:r>
              <w:rPr>
                <w:rFonts w:ascii="Arial" w:cs="Arial" w:eastAsia="Arial" w:hAnsi="Arial"/>
                <w:sz w:val="18"/>
                <w:szCs w:val="18"/>
                <w:color w:val="auto"/>
              </w:rPr>
              <w:t>Fully diluted average shares outstanding</w:t>
            </w:r>
          </w:p>
        </w:tc>
        <w:tc>
          <w:tcPr>
            <w:tcW w:w="340" w:type="dxa"/>
            <w:vAlign w:val="bottom"/>
            <w:tcBorders>
              <w:top w:val="single" w:sz="8" w:color="auto"/>
              <w:bottom w:val="single" w:sz="8" w:color="auto"/>
            </w:tcBorders>
            <w:shd w:val="clear" w:color="auto" w:fill="D6F3E8"/>
          </w:tcPr>
          <w:p>
            <w:pPr>
              <w:spacing w:after="0"/>
              <w:rPr>
                <w:sz w:val="17"/>
                <w:szCs w:val="17"/>
                <w:color w:val="auto"/>
              </w:rPr>
            </w:pPr>
          </w:p>
        </w:tc>
        <w:tc>
          <w:tcPr>
            <w:tcW w:w="700" w:type="dxa"/>
            <w:vAlign w:val="bottom"/>
            <w:tcBorders>
              <w:top w:val="single" w:sz="8" w:color="auto"/>
              <w:bottom w:val="single" w:sz="8" w:color="auto"/>
            </w:tcBorders>
            <w:shd w:val="clear" w:color="auto" w:fill="D6F3E8"/>
          </w:tcPr>
          <w:p>
            <w:pPr>
              <w:jc w:val="right"/>
              <w:spacing w:after="0" w:line="198" w:lineRule="exact"/>
              <w:rPr>
                <w:sz w:val="20"/>
                <w:szCs w:val="20"/>
                <w:color w:val="auto"/>
              </w:rPr>
            </w:pPr>
            <w:r>
              <w:rPr>
                <w:rFonts w:ascii="Arial" w:cs="Arial" w:eastAsia="Arial" w:hAnsi="Arial"/>
                <w:sz w:val="18"/>
                <w:szCs w:val="18"/>
                <w:color w:val="auto"/>
              </w:rPr>
              <w:t>29,056</w:t>
            </w:r>
          </w:p>
        </w:tc>
        <w:tc>
          <w:tcPr>
            <w:tcW w:w="220" w:type="dxa"/>
            <w:vAlign w:val="bottom"/>
            <w:tcBorders>
              <w:top w:val="single" w:sz="8" w:color="D6F3E8"/>
              <w:bottom w:val="single" w:sz="8" w:color="D6F3E8"/>
            </w:tcBorders>
            <w:shd w:val="clear" w:color="auto" w:fill="D6F3E8"/>
          </w:tcPr>
          <w:p>
            <w:pPr>
              <w:spacing w:after="0"/>
              <w:rPr>
                <w:sz w:val="17"/>
                <w:szCs w:val="17"/>
                <w:color w:val="auto"/>
              </w:rPr>
            </w:pPr>
          </w:p>
        </w:tc>
        <w:tc>
          <w:tcPr>
            <w:tcW w:w="1160" w:type="dxa"/>
            <w:vAlign w:val="bottom"/>
            <w:tcBorders>
              <w:top w:val="single" w:sz="8" w:color="D6F3E8"/>
              <w:bottom w:val="single" w:sz="8" w:color="D6F3E8"/>
            </w:tcBorders>
            <w:shd w:val="clear" w:color="auto" w:fill="D6F3E8"/>
          </w:tcPr>
          <w:p>
            <w:pPr>
              <w:spacing w:after="0"/>
              <w:rPr>
                <w:sz w:val="17"/>
                <w:szCs w:val="17"/>
                <w:color w:val="auto"/>
              </w:rPr>
            </w:pPr>
          </w:p>
        </w:tc>
        <w:tc>
          <w:tcPr>
            <w:tcW w:w="260" w:type="dxa"/>
            <w:vAlign w:val="bottom"/>
            <w:tcBorders>
              <w:top w:val="single" w:sz="8" w:color="auto"/>
              <w:bottom w:val="single" w:sz="8" w:color="auto"/>
            </w:tcBorders>
            <w:shd w:val="clear" w:color="auto" w:fill="D6F3E8"/>
          </w:tcPr>
          <w:p>
            <w:pPr>
              <w:jc w:val="right"/>
              <w:ind w:right="10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D6F3E8"/>
          </w:tcPr>
          <w:p>
            <w:pPr>
              <w:jc w:val="right"/>
              <w:spacing w:after="0" w:line="198" w:lineRule="exact"/>
              <w:rPr>
                <w:sz w:val="20"/>
                <w:szCs w:val="20"/>
                <w:color w:val="auto"/>
              </w:rPr>
            </w:pPr>
            <w:r>
              <w:rPr>
                <w:rFonts w:ascii="Arial" w:cs="Arial" w:eastAsia="Arial" w:hAnsi="Arial"/>
                <w:sz w:val="18"/>
                <w:szCs w:val="18"/>
                <w:color w:val="auto"/>
              </w:rPr>
              <w:t>29,048</w:t>
            </w:r>
          </w:p>
        </w:tc>
        <w:tc>
          <w:tcPr>
            <w:tcW w:w="320" w:type="dxa"/>
            <w:vAlign w:val="bottom"/>
            <w:tcBorders>
              <w:top w:val="single" w:sz="8" w:color="D6F3E8"/>
              <w:bottom w:val="single" w:sz="8" w:color="D6F3E8"/>
            </w:tcBorders>
            <w:shd w:val="clear" w:color="auto" w:fill="D6F3E8"/>
          </w:tcPr>
          <w:p>
            <w:pPr>
              <w:spacing w:after="0"/>
              <w:rPr>
                <w:sz w:val="17"/>
                <w:szCs w:val="17"/>
                <w:color w:val="auto"/>
              </w:rPr>
            </w:pPr>
          </w:p>
        </w:tc>
        <w:tc>
          <w:tcPr>
            <w:tcW w:w="980" w:type="dxa"/>
            <w:vAlign w:val="bottom"/>
            <w:tcBorders>
              <w:top w:val="single" w:sz="8" w:color="D6F3E8"/>
              <w:bottom w:val="single" w:sz="8" w:color="D6F3E8"/>
            </w:tcBorders>
            <w:shd w:val="clear" w:color="auto" w:fill="D6F3E8"/>
          </w:tcPr>
          <w:p>
            <w:pPr>
              <w:spacing w:after="0"/>
              <w:rPr>
                <w:sz w:val="17"/>
                <w:szCs w:val="17"/>
                <w:color w:val="auto"/>
              </w:rPr>
            </w:pPr>
          </w:p>
        </w:tc>
        <w:tc>
          <w:tcPr>
            <w:tcW w:w="60" w:type="dxa"/>
            <w:vAlign w:val="bottom"/>
            <w:tcBorders>
              <w:top w:val="single" w:sz="8" w:color="D6F3E8"/>
              <w:bottom w:val="single" w:sz="8" w:color="D6F3E8"/>
            </w:tcBorders>
            <w:shd w:val="clear" w:color="auto" w:fill="D6F3E8"/>
          </w:tcPr>
          <w:p>
            <w:pPr>
              <w:spacing w:after="0"/>
              <w:rPr>
                <w:sz w:val="17"/>
                <w:szCs w:val="17"/>
                <w:color w:val="auto"/>
              </w:rPr>
            </w:pPr>
          </w:p>
        </w:tc>
        <w:tc>
          <w:tcPr>
            <w:tcW w:w="180" w:type="dxa"/>
            <w:vAlign w:val="bottom"/>
            <w:tcBorders>
              <w:top w:val="single" w:sz="8" w:color="auto"/>
              <w:bottom w:val="single" w:sz="8" w:color="auto"/>
            </w:tcBorders>
            <w:shd w:val="clear" w:color="auto" w:fill="D6F3E8"/>
          </w:tcPr>
          <w:p>
            <w:pPr>
              <w:spacing w:after="0"/>
              <w:rPr>
                <w:sz w:val="17"/>
                <w:szCs w:val="17"/>
                <w:color w:val="auto"/>
              </w:rPr>
            </w:pPr>
          </w:p>
        </w:tc>
        <w:tc>
          <w:tcPr>
            <w:tcW w:w="1080" w:type="dxa"/>
            <w:vAlign w:val="bottom"/>
            <w:tcBorders>
              <w:top w:val="single" w:sz="8" w:color="auto"/>
              <w:bottom w:val="single" w:sz="8" w:color="auto"/>
            </w:tcBorders>
            <w:shd w:val="clear" w:color="auto" w:fill="D6F3E8"/>
          </w:tcPr>
          <w:p>
            <w:pPr>
              <w:jc w:val="right"/>
              <w:ind w:right="154"/>
              <w:spacing w:after="0" w:line="198" w:lineRule="exact"/>
              <w:rPr>
                <w:sz w:val="20"/>
                <w:szCs w:val="20"/>
                <w:color w:val="auto"/>
              </w:rPr>
            </w:pPr>
            <w:r>
              <w:rPr>
                <w:rFonts w:ascii="Arial" w:cs="Arial" w:eastAsia="Arial" w:hAnsi="Arial"/>
                <w:sz w:val="18"/>
                <w:szCs w:val="18"/>
                <w:color w:val="auto"/>
              </w:rPr>
              <w:t>8</w:t>
            </w:r>
          </w:p>
        </w:tc>
        <w:tc>
          <w:tcPr>
            <w:tcW w:w="980" w:type="dxa"/>
            <w:vAlign w:val="bottom"/>
            <w:tcBorders>
              <w:top w:val="single" w:sz="8" w:color="auto"/>
              <w:bottom w:val="single" w:sz="8" w:color="auto"/>
            </w:tcBorders>
            <w:shd w:val="clear" w:color="auto" w:fill="D6F3E8"/>
          </w:tcPr>
          <w:p>
            <w:pPr>
              <w:jc w:val="right"/>
              <w:ind w:right="14"/>
              <w:spacing w:after="0" w:line="19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vMerge w:val="restart"/>
          </w:tcPr>
          <w:p>
            <w:pPr>
              <w:jc w:val="right"/>
              <w:ind w:right="894"/>
              <w:spacing w:after="0"/>
              <w:rPr>
                <w:sz w:val="20"/>
                <w:szCs w:val="20"/>
                <w:color w:val="auto"/>
              </w:rPr>
            </w:pPr>
            <w:r>
              <w:rPr>
                <w:rFonts w:ascii="Arial" w:cs="Arial" w:eastAsia="Arial" w:hAnsi="Arial"/>
                <w:sz w:val="18"/>
                <w:szCs w:val="18"/>
                <w:color w:val="auto"/>
                <w:w w:val="79"/>
              </w:rPr>
              <w:t>17</w:t>
            </w: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7"/>
        </w:trPr>
        <w:tc>
          <w:tcPr>
            <w:tcW w:w="12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1260" w:type="dxa"/>
            <w:vAlign w:val="bottom"/>
            <w:tcBorders>
              <w:bottom w:val="single" w:sz="8" w:color="808080"/>
            </w:tcBorders>
          </w:tcPr>
          <w:p>
            <w:pPr>
              <w:spacing w:after="0"/>
              <w:rPr>
                <w:sz w:val="24"/>
                <w:szCs w:val="24"/>
                <w:color w:val="auto"/>
              </w:rPr>
            </w:pPr>
          </w:p>
        </w:tc>
        <w:tc>
          <w:tcPr>
            <w:tcW w:w="31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1">
              <w:r>
                <w:rPr>
                  <w:rFonts w:ascii="Arial" w:cs="Arial" w:eastAsia="Arial" w:hAnsi="Arial"/>
                  <w:sz w:val="18"/>
                  <w:szCs w:val="18"/>
                  <w:color w:val="0000EE"/>
                  <w:w w:val="87"/>
                </w:rPr>
                <w:t>Table of Contents</w:t>
              </w:r>
            </w:hyperlink>
          </w:p>
        </w:tc>
        <w:tc>
          <w:tcPr>
            <w:tcW w:w="3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4360" w:type="dxa"/>
            <w:vAlign w:val="bottom"/>
            <w:gridSpan w:val="2"/>
          </w:tcPr>
          <w:p>
            <w:pPr>
              <w:spacing w:after="0"/>
              <w:rPr>
                <w:sz w:val="20"/>
                <w:szCs w:val="20"/>
                <w:color w:val="auto"/>
              </w:rPr>
            </w:pPr>
            <w:r>
              <w:rPr>
                <w:rFonts w:ascii="Arial" w:cs="Arial" w:eastAsia="Arial" w:hAnsi="Arial"/>
                <w:sz w:val="18"/>
                <w:szCs w:val="18"/>
                <w:color w:val="auto"/>
              </w:rPr>
              <w:t>Unit deliveries consisted of the following:</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12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right"/>
              <w:ind w:right="594"/>
              <w:spacing w:after="0"/>
              <w:rPr>
                <w:sz w:val="20"/>
                <w:szCs w:val="20"/>
                <w:color w:val="auto"/>
              </w:rPr>
            </w:pPr>
            <w:r>
              <w:rPr>
                <w:rFonts w:ascii="Arial" w:cs="Arial" w:eastAsia="Arial" w:hAnsi="Arial"/>
                <w:sz w:val="14"/>
                <w:szCs w:val="14"/>
                <w:b w:val="1"/>
                <w:bCs w:val="1"/>
                <w:color w:val="auto"/>
              </w:rPr>
              <w:t>Quarter Ended</w:t>
            </w: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126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gridSpan w:val="2"/>
          </w:tcPr>
          <w:p>
            <w:pPr>
              <w:jc w:val="right"/>
              <w:ind w:right="240"/>
              <w:spacing w:after="0" w:line="136" w:lineRule="exact"/>
              <w:rPr>
                <w:sz w:val="20"/>
                <w:szCs w:val="20"/>
                <w:color w:val="auto"/>
              </w:rPr>
            </w:pPr>
            <w:r>
              <w:rPr>
                <w:rFonts w:ascii="Arial" w:cs="Arial" w:eastAsia="Arial" w:hAnsi="Arial"/>
                <w:sz w:val="14"/>
                <w:szCs w:val="14"/>
                <w:b w:val="1"/>
                <w:bCs w:val="1"/>
                <w:color w:val="auto"/>
              </w:rPr>
              <w:t>May 30,</w:t>
            </w:r>
          </w:p>
        </w:tc>
        <w:tc>
          <w:tcPr>
            <w:tcW w:w="1160" w:type="dxa"/>
            <w:vAlign w:val="bottom"/>
          </w:tcPr>
          <w:p>
            <w:pPr>
              <w:jc w:val="right"/>
              <w:ind w:right="154"/>
              <w:spacing w:after="0" w:line="136" w:lineRule="exact"/>
              <w:rPr>
                <w:sz w:val="20"/>
                <w:szCs w:val="20"/>
                <w:color w:val="auto"/>
              </w:rPr>
            </w:pPr>
            <w:r>
              <w:rPr>
                <w:rFonts w:ascii="Arial" w:cs="Arial" w:eastAsia="Arial" w:hAnsi="Arial"/>
                <w:sz w:val="14"/>
                <w:szCs w:val="14"/>
                <w:b w:val="1"/>
                <w:bCs w:val="1"/>
                <w:color w:val="auto"/>
              </w:rPr>
              <w:t>Product</w:t>
            </w:r>
          </w:p>
        </w:tc>
        <w:tc>
          <w:tcPr>
            <w:tcW w:w="260" w:type="dxa"/>
            <w:vAlign w:val="bottom"/>
          </w:tcPr>
          <w:p>
            <w:pPr>
              <w:spacing w:after="0"/>
              <w:rPr>
                <w:sz w:val="11"/>
                <w:szCs w:val="11"/>
                <w:color w:val="auto"/>
              </w:rPr>
            </w:pPr>
          </w:p>
        </w:tc>
        <w:tc>
          <w:tcPr>
            <w:tcW w:w="1100" w:type="dxa"/>
            <w:vAlign w:val="bottom"/>
            <w:gridSpan w:val="2"/>
          </w:tcPr>
          <w:p>
            <w:pPr>
              <w:jc w:val="right"/>
              <w:ind w:right="460"/>
              <w:spacing w:after="0" w:line="136" w:lineRule="exact"/>
              <w:rPr>
                <w:sz w:val="20"/>
                <w:szCs w:val="20"/>
                <w:color w:val="auto"/>
              </w:rPr>
            </w:pPr>
            <w:r>
              <w:rPr>
                <w:rFonts w:ascii="Arial" w:cs="Arial" w:eastAsia="Arial" w:hAnsi="Arial"/>
                <w:sz w:val="14"/>
                <w:szCs w:val="14"/>
                <w:b w:val="1"/>
                <w:bCs w:val="1"/>
                <w:color w:val="auto"/>
              </w:rPr>
              <w:t>May 31,</w:t>
            </w:r>
          </w:p>
        </w:tc>
        <w:tc>
          <w:tcPr>
            <w:tcW w:w="980" w:type="dxa"/>
            <w:vAlign w:val="bottom"/>
          </w:tcPr>
          <w:p>
            <w:pPr>
              <w:jc w:val="right"/>
              <w:ind w:right="214"/>
              <w:spacing w:after="0" w:line="136" w:lineRule="exact"/>
              <w:rPr>
                <w:sz w:val="20"/>
                <w:szCs w:val="20"/>
                <w:color w:val="auto"/>
              </w:rPr>
            </w:pPr>
            <w:r>
              <w:rPr>
                <w:rFonts w:ascii="Arial" w:cs="Arial" w:eastAsia="Arial" w:hAnsi="Arial"/>
                <w:sz w:val="14"/>
                <w:szCs w:val="14"/>
                <w:b w:val="1"/>
                <w:bCs w:val="1"/>
                <w:color w:val="auto"/>
              </w:rPr>
              <w:t>Product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right"/>
              <w:ind w:right="314"/>
              <w:spacing w:after="0" w:line="136" w:lineRule="exact"/>
              <w:rPr>
                <w:sz w:val="20"/>
                <w:szCs w:val="20"/>
                <w:color w:val="auto"/>
              </w:rPr>
            </w:pPr>
            <w:r>
              <w:rPr>
                <w:rFonts w:ascii="Arial" w:cs="Arial" w:eastAsia="Arial" w:hAnsi="Arial"/>
                <w:sz w:val="14"/>
                <w:szCs w:val="14"/>
                <w:b w:val="1"/>
                <w:bCs w:val="1"/>
                <w:color w:val="auto"/>
                <w:w w:val="92"/>
              </w:rPr>
              <w:t>(Decrease)</w:t>
            </w:r>
          </w:p>
        </w:tc>
        <w:tc>
          <w:tcPr>
            <w:tcW w:w="980" w:type="dxa"/>
            <w:vAlign w:val="bottom"/>
          </w:tcPr>
          <w:p>
            <w:pPr>
              <w:jc w:val="right"/>
              <w:ind w:right="414"/>
              <w:spacing w:after="0" w:line="136"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8"/>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units)</w:t>
            </w: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2009</w:t>
            </w: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Mix %</w:t>
            </w: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2008</w:t>
            </w: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Mix %</w:t>
            </w: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Increase</w:t>
            </w:r>
          </w:p>
        </w:tc>
        <w:tc>
          <w:tcPr>
            <w:tcW w:w="9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Class A gas</w:t>
            </w:r>
          </w:p>
        </w:tc>
        <w:tc>
          <w:tcPr>
            <w:tcW w:w="340" w:type="dxa"/>
            <w:vAlign w:val="bottom"/>
            <w:shd w:val="clear" w:color="auto" w:fill="D6F3E8"/>
          </w:tcPr>
          <w:p>
            <w:pPr>
              <w:spacing w:after="0"/>
              <w:rPr>
                <w:sz w:val="18"/>
                <w:szCs w:val="18"/>
                <w:color w:val="auto"/>
              </w:rPr>
            </w:pPr>
          </w:p>
        </w:tc>
        <w:tc>
          <w:tcPr>
            <w:tcW w:w="9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114</w:t>
            </w: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18.4</w:t>
            </w:r>
          </w:p>
        </w:tc>
        <w:tc>
          <w:tcPr>
            <w:tcW w:w="26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457</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28.1</w:t>
            </w:r>
          </w:p>
        </w:tc>
        <w:tc>
          <w:tcPr>
            <w:tcW w:w="6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080" w:type="dxa"/>
            <w:vAlign w:val="bottom"/>
            <w:shd w:val="clear" w:color="auto" w:fill="D6F3E8"/>
          </w:tcPr>
          <w:p>
            <w:pPr>
              <w:jc w:val="right"/>
              <w:ind w:right="114"/>
              <w:spacing w:after="0"/>
              <w:rPr>
                <w:sz w:val="20"/>
                <w:szCs w:val="20"/>
                <w:color w:val="auto"/>
              </w:rPr>
            </w:pPr>
            <w:r>
              <w:rPr>
                <w:rFonts w:ascii="Arial" w:cs="Arial" w:eastAsia="Arial" w:hAnsi="Arial"/>
                <w:sz w:val="18"/>
                <w:szCs w:val="18"/>
                <w:color w:val="auto"/>
              </w:rPr>
              <w:t>(343)</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D6F3E8"/>
            </w:tcBorders>
            <w:gridSpan w:val="2"/>
          </w:tcPr>
          <w:p>
            <w:pPr>
              <w:spacing w:after="0"/>
              <w:rPr>
                <w:sz w:val="20"/>
                <w:szCs w:val="20"/>
                <w:color w:val="auto"/>
              </w:rPr>
            </w:pPr>
            <w:r>
              <w:rPr>
                <w:rFonts w:ascii="Arial" w:cs="Arial" w:eastAsia="Arial" w:hAnsi="Arial"/>
                <w:sz w:val="18"/>
                <w:szCs w:val="18"/>
                <w:color w:val="auto"/>
              </w:rPr>
              <w:t>Class A diesel</w:t>
            </w:r>
          </w:p>
        </w:tc>
        <w:tc>
          <w:tcPr>
            <w:tcW w:w="340" w:type="dxa"/>
            <w:vAlign w:val="bottom"/>
            <w:tcBorders>
              <w:bottom w:val="single" w:sz="8" w:color="D6F3E8"/>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62</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151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(89)</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0"/>
        </w:trPr>
        <w:tc>
          <w:tcPr>
            <w:tcW w:w="4360" w:type="dxa"/>
            <w:vAlign w:val="bottom"/>
            <w:gridSpan w:val="2"/>
            <w:shd w:val="clear" w:color="auto" w:fill="D6F3E8"/>
          </w:tcPr>
          <w:p>
            <w:pPr>
              <w:spacing w:after="0" w:line="202" w:lineRule="exact"/>
              <w:rPr>
                <w:sz w:val="20"/>
                <w:szCs w:val="20"/>
                <w:color w:val="auto"/>
              </w:rPr>
            </w:pPr>
            <w:r>
              <w:rPr>
                <w:rFonts w:ascii="Arial" w:cs="Arial" w:eastAsia="Arial" w:hAnsi="Arial"/>
                <w:sz w:val="18"/>
                <w:szCs w:val="18"/>
                <w:color w:val="auto"/>
              </w:rPr>
              <w:t>Total Class A</w:t>
            </w:r>
          </w:p>
        </w:tc>
        <w:tc>
          <w:tcPr>
            <w:tcW w:w="340" w:type="dxa"/>
            <w:vAlign w:val="bottom"/>
            <w:shd w:val="clear" w:color="auto" w:fill="D6F3E8"/>
          </w:tcPr>
          <w:p>
            <w:pPr>
              <w:spacing w:after="0"/>
              <w:rPr>
                <w:sz w:val="18"/>
                <w:szCs w:val="18"/>
                <w:color w:val="auto"/>
              </w:rPr>
            </w:pPr>
          </w:p>
        </w:tc>
        <w:tc>
          <w:tcPr>
            <w:tcW w:w="9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176</w:t>
            </w: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28.4</w:t>
            </w:r>
          </w:p>
        </w:tc>
        <w:tc>
          <w:tcPr>
            <w:tcW w:w="26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608</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37.4</w:t>
            </w:r>
          </w:p>
        </w:tc>
        <w:tc>
          <w:tcPr>
            <w:tcW w:w="6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080" w:type="dxa"/>
            <w:vAlign w:val="bottom"/>
            <w:shd w:val="clear" w:color="auto" w:fill="D6F3E8"/>
          </w:tcPr>
          <w:p>
            <w:pPr>
              <w:jc w:val="right"/>
              <w:ind w:right="114"/>
              <w:spacing w:after="0"/>
              <w:rPr>
                <w:sz w:val="20"/>
                <w:szCs w:val="20"/>
                <w:color w:val="auto"/>
              </w:rPr>
            </w:pPr>
            <w:r>
              <w:rPr>
                <w:rFonts w:ascii="Arial" w:cs="Arial" w:eastAsia="Arial" w:hAnsi="Arial"/>
                <w:sz w:val="18"/>
                <w:szCs w:val="18"/>
                <w:color w:val="auto"/>
              </w:rPr>
              <w:t>(432)</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Class B</w:t>
            </w:r>
          </w:p>
        </w:tc>
        <w:tc>
          <w:tcPr>
            <w:tcW w:w="3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1160" w:type="dxa"/>
            <w:vAlign w:val="bottom"/>
          </w:tcPr>
          <w:p>
            <w:pPr>
              <w:jc w:val="right"/>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47</w:t>
            </w: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54"/>
              <w:spacing w:after="0"/>
              <w:rPr>
                <w:sz w:val="20"/>
                <w:szCs w:val="20"/>
                <w:color w:val="auto"/>
              </w:rPr>
            </w:pPr>
            <w:r>
              <w:rPr>
                <w:rFonts w:ascii="Arial" w:cs="Arial" w:eastAsia="Arial" w:hAnsi="Arial"/>
                <w:sz w:val="18"/>
                <w:szCs w:val="18"/>
                <w:color w:val="auto"/>
              </w:rPr>
              <w:t>9</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Class C</w:t>
            </w:r>
          </w:p>
        </w:tc>
        <w:tc>
          <w:tcPr>
            <w:tcW w:w="340" w:type="dxa"/>
            <w:vAlign w:val="bottom"/>
            <w:shd w:val="clear" w:color="auto" w:fill="D6F3E8"/>
          </w:tcPr>
          <w:p>
            <w:pPr>
              <w:spacing w:after="0"/>
              <w:rPr>
                <w:sz w:val="18"/>
                <w:szCs w:val="18"/>
                <w:color w:val="auto"/>
              </w:rPr>
            </w:pPr>
          </w:p>
        </w:tc>
        <w:tc>
          <w:tcPr>
            <w:tcW w:w="920" w:type="dxa"/>
            <w:vAlign w:val="bottom"/>
            <w:tcBorders>
              <w:bottom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388</w:t>
            </w:r>
          </w:p>
        </w:tc>
        <w:tc>
          <w:tcPr>
            <w:tcW w:w="11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62.6</w:t>
            </w:r>
          </w:p>
        </w:tc>
        <w:tc>
          <w:tcPr>
            <w:tcW w:w="260" w:type="dxa"/>
            <w:vAlign w:val="bottom"/>
            <w:tcBorders>
              <w:bottom w:val="single" w:sz="8" w:color="auto"/>
            </w:tcBorders>
            <w:shd w:val="clear" w:color="auto" w:fill="D6F3E8"/>
          </w:tcPr>
          <w:p>
            <w:pPr>
              <w:spacing w:after="0"/>
              <w:rPr>
                <w:sz w:val="18"/>
                <w:szCs w:val="18"/>
                <w:color w:val="auto"/>
              </w:rPr>
            </w:pPr>
          </w:p>
        </w:tc>
        <w:tc>
          <w:tcPr>
            <w:tcW w:w="1100" w:type="dxa"/>
            <w:vAlign w:val="bottom"/>
            <w:tcBorders>
              <w:bottom w:val="single" w:sz="8" w:color="auto"/>
            </w:tcBorders>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972</w:t>
            </w:r>
          </w:p>
        </w:tc>
        <w:tc>
          <w:tcPr>
            <w:tcW w:w="9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59.7</w:t>
            </w:r>
          </w:p>
        </w:tc>
        <w:tc>
          <w:tcPr>
            <w:tcW w:w="60" w:type="dxa"/>
            <w:vAlign w:val="bottom"/>
            <w:tcBorders>
              <w:bottom w:val="single" w:sz="8" w:color="auto"/>
            </w:tcBorders>
            <w:shd w:val="clear" w:color="auto" w:fill="D6F3E8"/>
          </w:tcPr>
          <w:p>
            <w:pPr>
              <w:spacing w:after="0"/>
              <w:rPr>
                <w:sz w:val="18"/>
                <w:szCs w:val="18"/>
                <w:color w:val="auto"/>
              </w:rPr>
            </w:pPr>
          </w:p>
        </w:tc>
        <w:tc>
          <w:tcPr>
            <w:tcW w:w="180" w:type="dxa"/>
            <w:vAlign w:val="bottom"/>
            <w:tcBorders>
              <w:bottom w:val="single" w:sz="8" w:color="auto"/>
            </w:tcBorders>
            <w:shd w:val="clear" w:color="auto" w:fill="D6F3E8"/>
          </w:tcPr>
          <w:p>
            <w:pPr>
              <w:spacing w:after="0"/>
              <w:rPr>
                <w:sz w:val="18"/>
                <w:szCs w:val="18"/>
                <w:color w:val="auto"/>
              </w:rPr>
            </w:pPr>
          </w:p>
        </w:tc>
        <w:tc>
          <w:tcPr>
            <w:tcW w:w="1080" w:type="dxa"/>
            <w:vAlign w:val="bottom"/>
            <w:tcBorders>
              <w:bottom w:val="single" w:sz="8" w:color="auto"/>
            </w:tcBorders>
            <w:shd w:val="clear" w:color="auto" w:fill="D6F3E8"/>
          </w:tcPr>
          <w:p>
            <w:pPr>
              <w:jc w:val="right"/>
              <w:ind w:right="114"/>
              <w:spacing w:after="0"/>
              <w:rPr>
                <w:sz w:val="20"/>
                <w:szCs w:val="20"/>
                <w:color w:val="auto"/>
              </w:rPr>
            </w:pPr>
            <w:r>
              <w:rPr>
                <w:rFonts w:ascii="Arial" w:cs="Arial" w:eastAsia="Arial" w:hAnsi="Arial"/>
                <w:sz w:val="18"/>
                <w:szCs w:val="18"/>
                <w:color w:val="auto"/>
              </w:rPr>
              <w:t>(584)</w:t>
            </w:r>
          </w:p>
        </w:tc>
        <w:tc>
          <w:tcPr>
            <w:tcW w:w="9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0"/>
        </w:trPr>
        <w:tc>
          <w:tcPr>
            <w:tcW w:w="43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Total deliveries</w:t>
            </w:r>
          </w:p>
        </w:tc>
        <w:tc>
          <w:tcPr>
            <w:tcW w:w="340" w:type="dxa"/>
            <w:vAlign w:val="bottom"/>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620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1,627</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(1,007)</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-2700655</wp:posOffset>
            </wp:positionV>
            <wp:extent cx="1460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-1896745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-1896745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Net revenues for the quarter ended May 30, 2009 decreased $88.9 million, or 63.6 percent, due to the following:</w:t>
      </w:r>
    </w:p>
    <w:p>
      <w:pPr>
        <w:spacing w:after="0" w:line="15" w:lineRule="exact"/>
        <w:rPr>
          <w:sz w:val="20"/>
          <w:szCs w:val="20"/>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Volume decline: The primary reason for the net revenue decline was due to unit deliveries decreasing by 61.9 percent.</w:t>
      </w:r>
    </w:p>
    <w:p>
      <w:pPr>
        <w:spacing w:after="0" w:line="9" w:lineRule="exact"/>
        <w:rPr>
          <w:rFonts w:ascii="Arial" w:cs="Arial" w:eastAsia="Arial" w:hAnsi="Arial"/>
          <w:sz w:val="18"/>
          <w:szCs w:val="18"/>
          <w:color w:val="auto"/>
        </w:rPr>
      </w:pPr>
    </w:p>
    <w:p>
      <w:pPr>
        <w:ind w:left="540" w:right="60" w:hanging="316"/>
        <w:spacing w:after="0" w:line="281" w:lineRule="auto"/>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Pricing and mix: Our motor home average selling price (ASP), net of discounts, decreased 3.7 percent. The decrease in our ASP was due to an increase of product discounts we offered at the wholesale level and a shift in mix to lower-priced products, partially offset by the increase in the current model year pricing. Our sales mix for the quarter was more heavily weighted to lower-priced products as 72 percent of our volume in the quarter was Class B and Class C products as compared to a 63 percent mix of Class B and Class C products in the same quarter last year.</w:t>
      </w:r>
    </w:p>
    <w:p>
      <w:pPr>
        <w:spacing w:after="0" w:line="2" w:lineRule="exact"/>
        <w:rPr>
          <w:rFonts w:ascii="Arial" w:cs="Arial" w:eastAsia="Arial" w:hAnsi="Arial"/>
          <w:sz w:val="16"/>
          <w:szCs w:val="16"/>
          <w:color w:val="auto"/>
        </w:rPr>
      </w:pPr>
    </w:p>
    <w:p>
      <w:pPr>
        <w:jc w:val="both"/>
        <w:ind w:left="540" w:right="20" w:hanging="316"/>
        <w:spacing w:after="0" w:line="300" w:lineRule="auto"/>
        <w:tabs>
          <w:tab w:leader="none" w:pos="5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Promotional incentives: Our retail and other incentives increased 4.7 percent (as a percentage of net revenues) due to increased retail promotional activity on significantly lower revenues. We have retail incentive programs in place to help stimulate dealer retail traffic and these programs have had a substantial impact in reducing the dealer inventory level, as our dealer inventory in units is down 46.5 percent at May 30, 2009 compared to May 31, 2008.</w:t>
      </w:r>
    </w:p>
    <w:p>
      <w:pPr>
        <w:spacing w:after="0" w:line="1" w:lineRule="exact"/>
        <w:rPr>
          <w:rFonts w:ascii="Arial" w:cs="Arial" w:eastAsia="Arial" w:hAnsi="Arial"/>
          <w:sz w:val="15"/>
          <w:szCs w:val="15"/>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revenues: Revenues for motor home parts and services and other manufactured products decreased by 46.7 percent.</w:t>
      </w:r>
    </w:p>
    <w:p>
      <w:pPr>
        <w:spacing w:after="0" w:line="219"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Gross (deficit) profit for the quarter ended May 30, 2009 was a deficit of $8.3 million, or (16.3 percent) of net revenues, compared to gross profit of $2.6 million or 1.9 percent of net revenues during the quarter ended May 31, 2008. The third quarter of Fiscal 2009 margins were negatively impacted by lower motor home deliveries, low absorption of fixed costs and higher production inefficiencies due to lower production volumes, significant increases of wholesale and retail promotions due to challenging market conditions and a higher mix of lower-priced Class C and Class B motor home deliveries. There was a positive benefit to costs of good sold for the quarter ended May 30, 2009, however, from the liquidation of LIFO inventory values due to a significant reduction of inventory levels.</w:t>
      </w:r>
    </w:p>
    <w:p>
      <w:pPr>
        <w:spacing w:after="0" w:line="17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Selling expenses decreased $2.0 million, or 39.4 percent, for the quarter ended May 30, 2009, but as a percent of net revenues, selling expenses were 6.1 percent and 3.6 percent for the quarters ended May 30, 2009 and May 31, 2008, respectively. The decrease in dollars for the quarter ended May 30, 2009 was due to reductions in advertising expenses of $1.5 million ($1.1 million attributed to the decision to forgo the traditional annual company dealer days meeting), labor-related expenses of $300,000 as a result of reduced headcount and travel expenses of $200,000.</w:t>
      </w:r>
    </w:p>
    <w:p>
      <w:pPr>
        <w:spacing w:after="0" w:line="167"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General and administrative expenses decreased $1.0 million, or 23.1 percent, for the quarter ended May 30, 2009 but, as a percent of net revenues, general and administrative expenses were 6.7 percent and 3.2 percent for the quarters ended May 30, 2009 and May 31, 2008, respectively. The decrease in dollars for the quarter ended May 30, 2009 was due to reductions in labor-related expenses of $400,000, a result of reduced headcount, stock compensation expenses of $400,000 and legal expenses of $200,000.</w:t>
      </w:r>
    </w:p>
    <w:p>
      <w:pPr>
        <w:spacing w:after="0" w:line="197"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Financial income decreased $844,000, or 80.2 percent, for the quarter ended May 30, 2009. The decrease in financial income was due primarily to a decrease in the average yield of 3.58 percent and to a lesser extent, due to a decrease in average investment balances of approximately $14.3 million.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overall effective income tax rate for the quarter ended May 30, 2009 was a benefit of (41.3) percent compared to a benefit of (151.3) percent for the quarter ended May 31, 2008. The following table breaks down the two aforementioned tax rates: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5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Quarter Ended</w:t>
            </w:r>
          </w:p>
        </w:tc>
        <w:tc>
          <w:tcPr>
            <w:tcW w:w="1900" w:type="dxa"/>
            <w:vAlign w:val="bottom"/>
            <w:tcBorders>
              <w:bottom w:val="single" w:sz="8" w:color="auto"/>
            </w:tcBorders>
          </w:tcPr>
          <w:p>
            <w:pPr>
              <w:spacing w:after="0"/>
              <w:rPr>
                <w:sz w:val="14"/>
                <w:szCs w:val="14"/>
                <w:color w:val="auto"/>
              </w:rPr>
            </w:pPr>
          </w:p>
        </w:tc>
      </w:tr>
      <w:tr>
        <w:trPr>
          <w:trHeight w:val="156"/>
        </w:trPr>
        <w:tc>
          <w:tcPr>
            <w:tcW w:w="550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ind w:left="60"/>
              <w:spacing w:after="0" w:line="149" w:lineRule="exact"/>
              <w:rPr>
                <w:sz w:val="20"/>
                <w:szCs w:val="20"/>
                <w:color w:val="auto"/>
              </w:rPr>
            </w:pPr>
            <w:r>
              <w:rPr>
                <w:rFonts w:ascii="Arial" w:cs="Arial" w:eastAsia="Arial" w:hAnsi="Arial"/>
                <w:sz w:val="14"/>
                <w:szCs w:val="14"/>
                <w:b w:val="1"/>
                <w:bCs w:val="1"/>
                <w:color w:val="auto"/>
              </w:rPr>
              <w:t>May 30, 2009</w:t>
            </w:r>
          </w:p>
        </w:tc>
        <w:tc>
          <w:tcPr>
            <w:tcW w:w="156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ind w:left="60"/>
              <w:spacing w:after="0" w:line="149" w:lineRule="exact"/>
              <w:rPr>
                <w:sz w:val="20"/>
                <w:szCs w:val="20"/>
                <w:color w:val="auto"/>
              </w:rPr>
            </w:pPr>
            <w:r>
              <w:rPr>
                <w:rFonts w:ascii="Arial" w:cs="Arial" w:eastAsia="Arial" w:hAnsi="Arial"/>
                <w:sz w:val="14"/>
                <w:szCs w:val="14"/>
                <w:b w:val="1"/>
                <w:bCs w:val="1"/>
                <w:color w:val="auto"/>
              </w:rPr>
              <w:t>May 31, 2008</w:t>
            </w:r>
          </w:p>
        </w:tc>
      </w:tr>
      <w:tr>
        <w:trPr>
          <w:trHeight w:val="136"/>
        </w:trPr>
        <w:tc>
          <w:tcPr>
            <w:tcW w:w="5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20" w:type="dxa"/>
            <w:vAlign w:val="bottom"/>
          </w:tcPr>
          <w:p>
            <w:pPr>
              <w:ind w:left="1000"/>
              <w:spacing w:after="0" w:line="136" w:lineRule="exact"/>
              <w:rPr>
                <w:sz w:val="20"/>
                <w:szCs w:val="20"/>
                <w:color w:val="auto"/>
              </w:rPr>
            </w:pPr>
            <w:r>
              <w:rPr>
                <w:rFonts w:ascii="Arial" w:cs="Arial" w:eastAsia="Arial" w:hAnsi="Arial"/>
                <w:sz w:val="14"/>
                <w:szCs w:val="14"/>
                <w:b w:val="1"/>
                <w:bCs w:val="1"/>
                <w:color w:val="auto"/>
                <w:w w:val="85"/>
              </w:rPr>
              <w:t>Effective</w:t>
            </w:r>
          </w:p>
        </w:tc>
        <w:tc>
          <w:tcPr>
            <w:tcW w:w="1560" w:type="dxa"/>
            <w:vAlign w:val="bottom"/>
          </w:tcPr>
          <w:p>
            <w:pPr>
              <w:spacing w:after="0"/>
              <w:rPr>
                <w:sz w:val="11"/>
                <w:szCs w:val="11"/>
                <w:color w:val="auto"/>
              </w:rPr>
            </w:pPr>
          </w:p>
        </w:tc>
        <w:tc>
          <w:tcPr>
            <w:tcW w:w="1900" w:type="dxa"/>
            <w:vAlign w:val="bottom"/>
          </w:tcPr>
          <w:p>
            <w:pPr>
              <w:ind w:left="960"/>
              <w:spacing w:after="0" w:line="136" w:lineRule="exact"/>
              <w:rPr>
                <w:sz w:val="20"/>
                <w:szCs w:val="20"/>
                <w:color w:val="auto"/>
              </w:rPr>
            </w:pPr>
            <w:r>
              <w:rPr>
                <w:rFonts w:ascii="Arial" w:cs="Arial" w:eastAsia="Arial" w:hAnsi="Arial"/>
                <w:sz w:val="14"/>
                <w:szCs w:val="14"/>
                <w:b w:val="1"/>
                <w:bCs w:val="1"/>
                <w:color w:val="auto"/>
              </w:rPr>
              <w:t>Effective</w:t>
            </w:r>
          </w:p>
        </w:tc>
      </w:tr>
      <w:tr>
        <w:trPr>
          <w:trHeight w:val="168"/>
        </w:trPr>
        <w:tc>
          <w:tcPr>
            <w:tcW w:w="5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thousands)</w:t>
            </w:r>
          </w:p>
        </w:tc>
        <w:tc>
          <w:tcPr>
            <w:tcW w:w="94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w w:val="98"/>
              </w:rPr>
              <w:t>Amount</w:t>
            </w:r>
          </w:p>
        </w:tc>
        <w:tc>
          <w:tcPr>
            <w:tcW w:w="152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w w:val="92"/>
              </w:rPr>
              <w:t>Rate (%)</w:t>
            </w:r>
          </w:p>
        </w:tc>
        <w:tc>
          <w:tcPr>
            <w:tcW w:w="156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w w:val="98"/>
              </w:rPr>
              <w:t>Amount</w:t>
            </w:r>
          </w:p>
        </w:tc>
        <w:tc>
          <w:tcPr>
            <w:tcW w:w="190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Rate (%)</w:t>
            </w:r>
          </w:p>
        </w:tc>
      </w:tr>
    </w:tbl>
    <w:p>
      <w:pPr>
        <w:sectPr>
          <w:pgSz w:w="11900" w:h="16838" w:orient="portrait"/>
          <w:cols w:equalWidth="0" w:num="1">
            <w:col w:w="11420"/>
          </w:cols>
          <w:pgMar w:left="240" w:top="120" w:right="23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5500" w:type="dxa"/>
            <w:vAlign w:val="bottom"/>
            <w:tcBorders>
              <w:top w:val="single" w:sz="8" w:color="auto"/>
            </w:tcBorders>
            <w:shd w:val="clear" w:color="auto" w:fill="D6F3E8"/>
          </w:tcPr>
          <w:p>
            <w:pPr>
              <w:spacing w:after="0" w:line="284" w:lineRule="exact"/>
              <w:rPr>
                <w:sz w:val="20"/>
                <w:szCs w:val="20"/>
                <w:color w:val="auto"/>
              </w:rPr>
            </w:pPr>
            <w:r>
              <w:rPr>
                <w:rFonts w:ascii="Arial" w:cs="Arial" w:eastAsia="Arial" w:hAnsi="Arial"/>
                <w:sz w:val="18"/>
                <w:szCs w:val="18"/>
                <w:color w:val="auto"/>
              </w:rPr>
              <w:t xml:space="preserve">Tax benefit before discrete items </w:t>
            </w:r>
            <w:r>
              <w:rPr>
                <w:rFonts w:ascii="Arial" w:cs="Arial" w:eastAsia="Arial" w:hAnsi="Arial"/>
                <w:sz w:val="29"/>
                <w:szCs w:val="29"/>
                <w:color w:val="auto"/>
                <w:vertAlign w:val="superscript"/>
              </w:rPr>
              <w:t>(1)</w:t>
            </w:r>
          </w:p>
        </w:tc>
        <w:tc>
          <w:tcPr>
            <w:tcW w:w="460" w:type="dxa"/>
            <w:vAlign w:val="bottom"/>
            <w:tcBorders>
              <w:top w:val="single" w:sz="8" w:color="auto"/>
            </w:tcBorders>
            <w:gridSpan w:val="2"/>
            <w:shd w:val="clear" w:color="auto" w:fill="D6F3E8"/>
          </w:tcPr>
          <w:p>
            <w:pPr>
              <w:jc w:val="right"/>
              <w:ind w:right="283"/>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D6F3E8"/>
          </w:tcPr>
          <w:p>
            <w:pPr>
              <w:jc w:val="right"/>
              <w:ind w:right="372"/>
              <w:spacing w:after="0"/>
              <w:rPr>
                <w:sz w:val="20"/>
                <w:szCs w:val="20"/>
                <w:color w:val="auto"/>
              </w:rPr>
            </w:pPr>
            <w:r>
              <w:rPr>
                <w:rFonts w:ascii="Arial" w:cs="Arial" w:eastAsia="Arial" w:hAnsi="Arial"/>
                <w:sz w:val="18"/>
                <w:szCs w:val="18"/>
                <w:color w:val="auto"/>
              </w:rPr>
              <w:t>(5,434)</w:t>
            </w:r>
          </w:p>
        </w:tc>
        <w:tc>
          <w:tcPr>
            <w:tcW w:w="1160" w:type="dxa"/>
            <w:vAlign w:val="bottom"/>
            <w:tcBorders>
              <w:top w:val="single" w:sz="8" w:color="auto"/>
            </w:tcBorders>
            <w:shd w:val="clear" w:color="auto" w:fill="D6F3E8"/>
          </w:tcPr>
          <w:p>
            <w:pPr>
              <w:jc w:val="right"/>
              <w:ind w:right="52"/>
              <w:spacing w:after="0"/>
              <w:rPr>
                <w:sz w:val="20"/>
                <w:szCs w:val="20"/>
                <w:color w:val="auto"/>
              </w:rPr>
            </w:pPr>
            <w:r>
              <w:rPr>
                <w:rFonts w:ascii="Arial" w:cs="Arial" w:eastAsia="Arial" w:hAnsi="Arial"/>
                <w:sz w:val="18"/>
                <w:szCs w:val="18"/>
                <w:color w:val="auto"/>
              </w:rPr>
              <w:t>(37.3%)</w:t>
            </w:r>
          </w:p>
        </w:tc>
        <w:tc>
          <w:tcPr>
            <w:tcW w:w="580" w:type="dxa"/>
            <w:vAlign w:val="bottom"/>
            <w:tcBorders>
              <w:top w:val="single" w:sz="8" w:color="auto"/>
            </w:tcBorders>
            <w:shd w:val="clear" w:color="auto" w:fill="D6F3E8"/>
          </w:tcPr>
          <w:p>
            <w:pPr>
              <w:jc w:val="right"/>
              <w:ind w:right="272"/>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D6F3E8"/>
          </w:tcPr>
          <w:p>
            <w:pPr>
              <w:jc w:val="right"/>
              <w:ind w:right="312"/>
              <w:spacing w:after="0"/>
              <w:rPr>
                <w:sz w:val="20"/>
                <w:szCs w:val="20"/>
                <w:color w:val="auto"/>
              </w:rPr>
            </w:pPr>
            <w:r>
              <w:rPr>
                <w:rFonts w:ascii="Arial" w:cs="Arial" w:eastAsia="Arial" w:hAnsi="Arial"/>
                <w:sz w:val="18"/>
                <w:szCs w:val="18"/>
                <w:color w:val="auto"/>
              </w:rPr>
              <w:t>(1,363)</w:t>
            </w:r>
          </w:p>
        </w:tc>
        <w:tc>
          <w:tcPr>
            <w:tcW w:w="11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(23.3%)</w:t>
            </w:r>
          </w:p>
        </w:tc>
      </w:tr>
      <w:tr>
        <w:trPr>
          <w:trHeight w:val="209"/>
        </w:trPr>
        <w:tc>
          <w:tcPr>
            <w:tcW w:w="5500" w:type="dxa"/>
            <w:vAlign w:val="bottom"/>
          </w:tcPr>
          <w:p>
            <w:pPr>
              <w:spacing w:after="0"/>
              <w:rPr>
                <w:sz w:val="20"/>
                <w:szCs w:val="20"/>
                <w:color w:val="auto"/>
              </w:rPr>
            </w:pPr>
            <w:r>
              <w:rPr>
                <w:rFonts w:ascii="Arial" w:cs="Arial" w:eastAsia="Arial" w:hAnsi="Arial"/>
                <w:sz w:val="18"/>
                <w:szCs w:val="18"/>
                <w:color w:val="auto"/>
              </w:rPr>
              <w:t>Discrete items:</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64"/>
        </w:trPr>
        <w:tc>
          <w:tcPr>
            <w:tcW w:w="5500" w:type="dxa"/>
            <w:vAlign w:val="bottom"/>
          </w:tcPr>
          <w:p>
            <w:pPr>
              <w:ind w:left="160"/>
              <w:spacing w:after="0" w:line="263" w:lineRule="exact"/>
              <w:rPr>
                <w:sz w:val="20"/>
                <w:szCs w:val="20"/>
                <w:color w:val="auto"/>
              </w:rPr>
            </w:pPr>
            <w:r>
              <w:rPr>
                <w:rFonts w:ascii="Arial" w:cs="Arial" w:eastAsia="Arial" w:hAnsi="Arial"/>
                <w:sz w:val="18"/>
                <w:szCs w:val="18"/>
                <w:color w:val="auto"/>
              </w:rPr>
              <w:t xml:space="preserve">Settlements of uncertain tax positions </w:t>
            </w:r>
            <w:r>
              <w:rPr>
                <w:rFonts w:ascii="Arial" w:cs="Arial" w:eastAsia="Arial" w:hAnsi="Arial"/>
                <w:sz w:val="29"/>
                <w:szCs w:val="29"/>
                <w:color w:val="auto"/>
                <w:vertAlign w:val="superscript"/>
              </w:rPr>
              <w:t>(2)</w:t>
            </w: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40" w:type="dxa"/>
            <w:vAlign w:val="bottom"/>
          </w:tcPr>
          <w:p>
            <w:pPr>
              <w:jc w:val="right"/>
              <w:ind w:right="372"/>
              <w:spacing w:after="0"/>
              <w:rPr>
                <w:sz w:val="20"/>
                <w:szCs w:val="20"/>
                <w:color w:val="auto"/>
              </w:rPr>
            </w:pPr>
            <w:r>
              <w:rPr>
                <w:rFonts w:ascii="Arial" w:cs="Arial" w:eastAsia="Arial" w:hAnsi="Arial"/>
                <w:sz w:val="18"/>
                <w:szCs w:val="18"/>
                <w:color w:val="auto"/>
              </w:rPr>
              <w:t>(500)</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(3.4%)</w:t>
            </w:r>
          </w:p>
        </w:tc>
        <w:tc>
          <w:tcPr>
            <w:tcW w:w="580" w:type="dxa"/>
            <w:vAlign w:val="bottom"/>
          </w:tcPr>
          <w:p>
            <w:pPr>
              <w:spacing w:after="0"/>
              <w:rPr>
                <w:sz w:val="22"/>
                <w:szCs w:val="22"/>
                <w:color w:val="auto"/>
              </w:rPr>
            </w:pPr>
          </w:p>
        </w:tc>
        <w:tc>
          <w:tcPr>
            <w:tcW w:w="1260" w:type="dxa"/>
            <w:vAlign w:val="bottom"/>
          </w:tcPr>
          <w:p>
            <w:pPr>
              <w:jc w:val="right"/>
              <w:ind w:right="312"/>
              <w:spacing w:after="0"/>
              <w:rPr>
                <w:sz w:val="20"/>
                <w:szCs w:val="20"/>
                <w:color w:val="auto"/>
              </w:rPr>
            </w:pPr>
            <w:r>
              <w:rPr>
                <w:rFonts w:ascii="Arial" w:cs="Arial" w:eastAsia="Arial" w:hAnsi="Arial"/>
                <w:sz w:val="18"/>
                <w:szCs w:val="18"/>
                <w:color w:val="auto"/>
              </w:rPr>
              <w:t>(4,175)</w:t>
            </w:r>
          </w:p>
        </w:tc>
        <w:tc>
          <w:tcPr>
            <w:tcW w:w="1120" w:type="dxa"/>
            <w:vAlign w:val="bottom"/>
          </w:tcPr>
          <w:p>
            <w:pPr>
              <w:jc w:val="right"/>
              <w:spacing w:after="0"/>
              <w:rPr>
                <w:sz w:val="20"/>
                <w:szCs w:val="20"/>
                <w:color w:val="auto"/>
              </w:rPr>
            </w:pPr>
            <w:r>
              <w:rPr>
                <w:rFonts w:ascii="Arial" w:cs="Arial" w:eastAsia="Arial" w:hAnsi="Arial"/>
                <w:sz w:val="18"/>
                <w:szCs w:val="18"/>
                <w:color w:val="auto"/>
              </w:rPr>
              <w:t>(71.4%)</w:t>
            </w:r>
          </w:p>
        </w:tc>
      </w:tr>
      <w:tr>
        <w:trPr>
          <w:trHeight w:val="257"/>
        </w:trPr>
        <w:tc>
          <w:tcPr>
            <w:tcW w:w="5500" w:type="dxa"/>
            <w:vAlign w:val="bottom"/>
            <w:shd w:val="clear" w:color="auto" w:fill="D6F3E8"/>
          </w:tcPr>
          <w:p>
            <w:pPr>
              <w:ind w:left="160"/>
              <w:spacing w:after="0" w:line="256" w:lineRule="exact"/>
              <w:rPr>
                <w:sz w:val="20"/>
                <w:szCs w:val="20"/>
                <w:color w:val="auto"/>
              </w:rPr>
            </w:pPr>
            <w:r>
              <w:rPr>
                <w:rFonts w:ascii="Arial" w:cs="Arial" w:eastAsia="Arial" w:hAnsi="Arial"/>
                <w:sz w:val="18"/>
                <w:szCs w:val="18"/>
                <w:color w:val="auto"/>
              </w:rPr>
              <w:t xml:space="preserve">Reduction of tax previously recorded </w:t>
            </w:r>
            <w:r>
              <w:rPr>
                <w:rFonts w:ascii="Arial" w:cs="Arial" w:eastAsia="Arial" w:hAnsi="Arial"/>
                <w:sz w:val="29"/>
                <w:szCs w:val="29"/>
                <w:color w:val="auto"/>
                <w:vertAlign w:val="superscript"/>
              </w:rPr>
              <w:t>(3)</w:t>
            </w:r>
          </w:p>
        </w:tc>
        <w:tc>
          <w:tcPr>
            <w:tcW w:w="20" w:type="dxa"/>
            <w:vAlign w:val="bottom"/>
            <w:shd w:val="clear" w:color="auto" w:fill="D6F3E8"/>
          </w:tcPr>
          <w:p>
            <w:pPr>
              <w:spacing w:after="0"/>
              <w:rPr>
                <w:sz w:val="22"/>
                <w:szCs w:val="22"/>
                <w:color w:val="auto"/>
              </w:rPr>
            </w:pPr>
          </w:p>
        </w:tc>
        <w:tc>
          <w:tcPr>
            <w:tcW w:w="440" w:type="dxa"/>
            <w:vAlign w:val="bottom"/>
            <w:shd w:val="clear" w:color="auto" w:fill="D6F3E8"/>
          </w:tcPr>
          <w:p>
            <w:pPr>
              <w:spacing w:after="0"/>
              <w:rPr>
                <w:sz w:val="22"/>
                <w:szCs w:val="22"/>
                <w:color w:val="auto"/>
              </w:rPr>
            </w:pPr>
          </w:p>
        </w:tc>
        <w:tc>
          <w:tcPr>
            <w:tcW w:w="1340" w:type="dxa"/>
            <w:vAlign w:val="bottom"/>
            <w:shd w:val="clear" w:color="auto" w:fill="D6F3E8"/>
          </w:tcPr>
          <w:p>
            <w:pPr>
              <w:jc w:val="right"/>
              <w:ind w:right="432"/>
              <w:spacing w:after="0"/>
              <w:rPr>
                <w:sz w:val="20"/>
                <w:szCs w:val="20"/>
                <w:color w:val="auto"/>
              </w:rPr>
            </w:pPr>
            <w:r>
              <w:rPr>
                <w:rFonts w:ascii="Arial" w:cs="Arial" w:eastAsia="Arial" w:hAnsi="Arial"/>
                <w:sz w:val="18"/>
                <w:szCs w:val="18"/>
                <w:color w:val="auto"/>
              </w:rPr>
              <w:t>—</w:t>
            </w:r>
          </w:p>
        </w:tc>
        <w:tc>
          <w:tcPr>
            <w:tcW w:w="1160" w:type="dxa"/>
            <w:vAlign w:val="bottom"/>
            <w:shd w:val="clear" w:color="auto" w:fill="D6F3E8"/>
          </w:tcPr>
          <w:p>
            <w:pPr>
              <w:jc w:val="right"/>
              <w:ind w:right="112"/>
              <w:spacing w:after="0"/>
              <w:rPr>
                <w:sz w:val="20"/>
                <w:szCs w:val="20"/>
                <w:color w:val="auto"/>
              </w:rPr>
            </w:pPr>
            <w:r>
              <w:rPr>
                <w:rFonts w:ascii="Arial" w:cs="Arial" w:eastAsia="Arial" w:hAnsi="Arial"/>
                <w:sz w:val="18"/>
                <w:szCs w:val="18"/>
                <w:color w:val="auto"/>
              </w:rPr>
              <w:t>—</w:t>
            </w:r>
          </w:p>
        </w:tc>
        <w:tc>
          <w:tcPr>
            <w:tcW w:w="580" w:type="dxa"/>
            <w:vAlign w:val="bottom"/>
            <w:shd w:val="clear" w:color="auto" w:fill="D6F3E8"/>
          </w:tcPr>
          <w:p>
            <w:pPr>
              <w:spacing w:after="0"/>
              <w:rPr>
                <w:sz w:val="22"/>
                <w:szCs w:val="22"/>
                <w:color w:val="auto"/>
              </w:rPr>
            </w:pPr>
          </w:p>
        </w:tc>
        <w:tc>
          <w:tcPr>
            <w:tcW w:w="1260" w:type="dxa"/>
            <w:vAlign w:val="bottom"/>
            <w:shd w:val="clear" w:color="auto" w:fill="D6F3E8"/>
          </w:tcPr>
          <w:p>
            <w:pPr>
              <w:jc w:val="right"/>
              <w:ind w:right="312"/>
              <w:spacing w:after="0"/>
              <w:rPr>
                <w:sz w:val="20"/>
                <w:szCs w:val="20"/>
                <w:color w:val="auto"/>
              </w:rPr>
            </w:pPr>
            <w:r>
              <w:rPr>
                <w:rFonts w:ascii="Arial" w:cs="Arial" w:eastAsia="Arial" w:hAnsi="Arial"/>
                <w:sz w:val="18"/>
                <w:szCs w:val="18"/>
                <w:color w:val="auto"/>
              </w:rPr>
              <w:t>(1,722)</w:t>
            </w: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(29.4%)</w:t>
            </w:r>
          </w:p>
        </w:tc>
      </w:tr>
      <w:tr>
        <w:trPr>
          <w:trHeight w:val="257"/>
        </w:trPr>
        <w:tc>
          <w:tcPr>
            <w:tcW w:w="550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Tax planning initiatives </w:t>
            </w:r>
            <w:r>
              <w:rPr>
                <w:rFonts w:ascii="Arial" w:cs="Arial" w:eastAsia="Arial" w:hAnsi="Arial"/>
                <w:sz w:val="29"/>
                <w:szCs w:val="29"/>
                <w:color w:val="auto"/>
                <w:vertAlign w:val="superscript"/>
              </w:rPr>
              <w:t>(4)</w:t>
            </w: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40" w:type="dxa"/>
            <w:vAlign w:val="bottom"/>
          </w:tcPr>
          <w:p>
            <w:pPr>
              <w:jc w:val="right"/>
              <w:ind w:right="372"/>
              <w:spacing w:after="0"/>
              <w:rPr>
                <w:sz w:val="20"/>
                <w:szCs w:val="20"/>
                <w:color w:val="auto"/>
              </w:rPr>
            </w:pPr>
            <w:r>
              <w:rPr>
                <w:rFonts w:ascii="Arial" w:cs="Arial" w:eastAsia="Arial" w:hAnsi="Arial"/>
                <w:sz w:val="18"/>
                <w:szCs w:val="18"/>
                <w:color w:val="auto"/>
              </w:rPr>
              <w:t>(86)</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(0.6%)</w:t>
            </w:r>
          </w:p>
        </w:tc>
        <w:tc>
          <w:tcPr>
            <w:tcW w:w="580" w:type="dxa"/>
            <w:vAlign w:val="bottom"/>
          </w:tcPr>
          <w:p>
            <w:pPr>
              <w:spacing w:after="0"/>
              <w:rPr>
                <w:sz w:val="22"/>
                <w:szCs w:val="22"/>
                <w:color w:val="auto"/>
              </w:rPr>
            </w:pPr>
          </w:p>
        </w:tc>
        <w:tc>
          <w:tcPr>
            <w:tcW w:w="1260" w:type="dxa"/>
            <w:vAlign w:val="bottom"/>
          </w:tcPr>
          <w:p>
            <w:pPr>
              <w:jc w:val="right"/>
              <w:ind w:right="312"/>
              <w:spacing w:after="0"/>
              <w:rPr>
                <w:sz w:val="20"/>
                <w:szCs w:val="20"/>
                <w:color w:val="auto"/>
              </w:rPr>
            </w:pPr>
            <w:r>
              <w:rPr>
                <w:rFonts w:ascii="Arial" w:cs="Arial" w:eastAsia="Arial" w:hAnsi="Arial"/>
                <w:sz w:val="18"/>
                <w:szCs w:val="18"/>
                <w:color w:val="auto"/>
              </w:rPr>
              <w:t>(1,391)</w:t>
            </w:r>
          </w:p>
        </w:tc>
        <w:tc>
          <w:tcPr>
            <w:tcW w:w="112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16"/>
        </w:trPr>
        <w:tc>
          <w:tcPr>
            <w:tcW w:w="5500" w:type="dxa"/>
            <w:vAlign w:val="bottom"/>
            <w:shd w:val="clear" w:color="auto" w:fill="D6F3E8"/>
          </w:tcPr>
          <w:p>
            <w:pPr>
              <w:ind w:left="1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D6F3E8"/>
          </w:tcPr>
          <w:p>
            <w:pPr>
              <w:spacing w:after="0"/>
              <w:rPr>
                <w:sz w:val="18"/>
                <w:szCs w:val="18"/>
                <w:color w:val="auto"/>
              </w:rPr>
            </w:pPr>
          </w:p>
        </w:tc>
        <w:tc>
          <w:tcPr>
            <w:tcW w:w="440" w:type="dxa"/>
            <w:vAlign w:val="bottom"/>
            <w:tcBorders>
              <w:bottom w:val="single" w:sz="8" w:color="auto"/>
            </w:tcBorders>
            <w:shd w:val="clear" w:color="auto" w:fill="D6F3E8"/>
          </w:tcPr>
          <w:p>
            <w:pPr>
              <w:spacing w:after="0"/>
              <w:rPr>
                <w:sz w:val="18"/>
                <w:szCs w:val="18"/>
                <w:color w:val="auto"/>
              </w:rPr>
            </w:pPr>
          </w:p>
        </w:tc>
        <w:tc>
          <w:tcPr>
            <w:tcW w:w="1340" w:type="dxa"/>
            <w:vAlign w:val="bottom"/>
            <w:tcBorders>
              <w:bottom w:val="single" w:sz="8" w:color="auto"/>
            </w:tcBorders>
            <w:shd w:val="clear" w:color="auto" w:fill="D6F3E8"/>
          </w:tcPr>
          <w:p>
            <w:pPr>
              <w:jc w:val="right"/>
              <w:ind w:right="432"/>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D6F3E8"/>
          </w:tcPr>
          <w:p>
            <w:pPr>
              <w:jc w:val="right"/>
              <w:ind w:right="112"/>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D6F3E8"/>
          </w:tcPr>
          <w:p>
            <w:pPr>
              <w:spacing w:after="0"/>
              <w:rPr>
                <w:sz w:val="18"/>
                <w:szCs w:val="18"/>
                <w:color w:val="auto"/>
              </w:rPr>
            </w:pPr>
          </w:p>
        </w:tc>
        <w:tc>
          <w:tcPr>
            <w:tcW w:w="1260" w:type="dxa"/>
            <w:vAlign w:val="bottom"/>
            <w:tcBorders>
              <w:bottom w:val="single" w:sz="8" w:color="auto"/>
            </w:tcBorders>
            <w:shd w:val="clear" w:color="auto" w:fill="D6F3E8"/>
          </w:tcPr>
          <w:p>
            <w:pPr>
              <w:jc w:val="right"/>
              <w:ind w:right="312"/>
              <w:spacing w:after="0"/>
              <w:rPr>
                <w:sz w:val="20"/>
                <w:szCs w:val="20"/>
                <w:color w:val="auto"/>
              </w:rPr>
            </w:pPr>
            <w:r>
              <w:rPr>
                <w:rFonts w:ascii="Arial" w:cs="Arial" w:eastAsia="Arial" w:hAnsi="Arial"/>
                <w:sz w:val="18"/>
                <w:szCs w:val="18"/>
                <w:color w:val="auto"/>
              </w:rPr>
              <w:t>(199)</w:t>
            </w:r>
          </w:p>
        </w:tc>
        <w:tc>
          <w:tcPr>
            <w:tcW w:w="11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(3.4%)</w:t>
            </w:r>
          </w:p>
        </w:tc>
      </w:tr>
      <w:tr>
        <w:trPr>
          <w:trHeight w:val="210"/>
        </w:trPr>
        <w:tc>
          <w:tcPr>
            <w:tcW w:w="5500" w:type="dxa"/>
            <w:vAlign w:val="bottom"/>
          </w:tcPr>
          <w:p>
            <w:pPr>
              <w:spacing w:after="0" w:line="202" w:lineRule="exact"/>
              <w:rPr>
                <w:sz w:val="20"/>
                <w:szCs w:val="20"/>
                <w:color w:val="auto"/>
              </w:rPr>
            </w:pPr>
            <w:r>
              <w:rPr>
                <w:rFonts w:ascii="Arial" w:cs="Arial" w:eastAsia="Arial" w:hAnsi="Arial"/>
                <w:sz w:val="18"/>
                <w:szCs w:val="18"/>
                <w:color w:val="auto"/>
              </w:rPr>
              <w:t>Total benefit for taxes</w:t>
            </w: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(6,020)</w:t>
            </w: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(41.3%)</w:t>
            </w:r>
          </w:p>
        </w:tc>
        <w:tc>
          <w:tcPr>
            <w:tcW w:w="5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(8,850)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w:t>
            </w: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540" w:right="140" w:hanging="316"/>
        <w:spacing w:after="0" w:line="186" w:lineRule="auto"/>
        <w:tabs>
          <w:tab w:leader="none" w:pos="540" w:val="left"/>
        </w:tabs>
        <w:numPr>
          <w:ilvl w:val="0"/>
          <w:numId w:val="11"/>
        </w:numPr>
        <w:rPr>
          <w:rFonts w:ascii="Arial" w:cs="Arial" w:eastAsia="Arial" w:hAnsi="Arial"/>
          <w:sz w:val="22"/>
          <w:szCs w:val="22"/>
          <w:color w:val="auto"/>
          <w:vertAlign w:val="superscript"/>
        </w:rPr>
      </w:pPr>
      <w:r>
        <w:rPr>
          <w:rFonts w:ascii="Arial" w:cs="Arial" w:eastAsia="Arial" w:hAnsi="Arial"/>
          <w:sz w:val="14"/>
          <w:szCs w:val="14"/>
          <w:color w:val="auto"/>
        </w:rPr>
        <w:t>The effective tax benefit rate, before discrete items, of (37.3%) as compared to (23.3%) is primarily attributable to the third quarter of Fiscal 2009 pre-tax loss of $14.6 million versus the third quarter of Fiscal 2008 pre-tax loss of $5.9 million.</w:t>
      </w:r>
    </w:p>
    <w:p>
      <w:pPr>
        <w:spacing w:after="0" w:line="30" w:lineRule="exact"/>
        <w:rPr>
          <w:rFonts w:ascii="Arial" w:cs="Arial" w:eastAsia="Arial" w:hAnsi="Arial"/>
          <w:sz w:val="22"/>
          <w:szCs w:val="22"/>
          <w:color w:val="auto"/>
          <w:vertAlign w:val="superscript"/>
        </w:rPr>
      </w:pPr>
    </w:p>
    <w:p>
      <w:pPr>
        <w:ind w:left="540" w:right="80" w:hanging="316"/>
        <w:spacing w:after="0" w:line="186" w:lineRule="auto"/>
        <w:tabs>
          <w:tab w:leader="none" w:pos="540" w:val="left"/>
        </w:tabs>
        <w:numPr>
          <w:ilvl w:val="0"/>
          <w:numId w:val="11"/>
        </w:numPr>
        <w:rPr>
          <w:rFonts w:ascii="Arial" w:cs="Arial" w:eastAsia="Arial" w:hAnsi="Arial"/>
          <w:sz w:val="22"/>
          <w:szCs w:val="22"/>
          <w:color w:val="auto"/>
          <w:vertAlign w:val="superscript"/>
        </w:rPr>
      </w:pPr>
      <w:r>
        <w:rPr>
          <w:rFonts w:ascii="Arial" w:cs="Arial" w:eastAsia="Arial" w:hAnsi="Arial"/>
          <w:sz w:val="14"/>
          <w:szCs w:val="14"/>
          <w:color w:val="auto"/>
        </w:rPr>
        <w:t>Benefits of $500,000 and $4.2 million were recorded during the third fiscal quarters ending May 30, 2009 and May 31, 2008, respectively, as a result of favorable settlements of uncertain tax positions with various taxing jurisdictions.</w:t>
      </w:r>
    </w:p>
    <w:p>
      <w:pPr>
        <w:spacing w:after="0" w:line="30" w:lineRule="exact"/>
        <w:rPr>
          <w:rFonts w:ascii="Arial" w:cs="Arial" w:eastAsia="Arial" w:hAnsi="Arial"/>
          <w:sz w:val="22"/>
          <w:szCs w:val="22"/>
          <w:color w:val="auto"/>
          <w:vertAlign w:val="superscript"/>
        </w:rPr>
      </w:pPr>
    </w:p>
    <w:p>
      <w:pPr>
        <w:ind w:left="540" w:right="380" w:hanging="316"/>
        <w:spacing w:after="0" w:line="186" w:lineRule="auto"/>
        <w:tabs>
          <w:tab w:leader="none" w:pos="540" w:val="left"/>
        </w:tabs>
        <w:numPr>
          <w:ilvl w:val="0"/>
          <w:numId w:val="11"/>
        </w:numPr>
        <w:rPr>
          <w:rFonts w:ascii="Arial" w:cs="Arial" w:eastAsia="Arial" w:hAnsi="Arial"/>
          <w:sz w:val="22"/>
          <w:szCs w:val="22"/>
          <w:color w:val="auto"/>
          <w:vertAlign w:val="superscript"/>
        </w:rPr>
      </w:pPr>
      <w:r>
        <w:rPr>
          <w:rFonts w:ascii="Arial" w:cs="Arial" w:eastAsia="Arial" w:hAnsi="Arial"/>
          <w:sz w:val="14"/>
          <w:szCs w:val="14"/>
          <w:color w:val="auto"/>
        </w:rPr>
        <w:t>During the third quarter of Fiscal 2008, the effective tax rate was reduced to 23.3 percent from 32.6 percent due to lower year-to-date pre-tax income, which resulted in a reduction of tax expense previously recorded of $1.7 million.</w:t>
      </w:r>
    </w:p>
    <w:p>
      <w:pPr>
        <w:ind w:left="540" w:hanging="316"/>
        <w:spacing w:after="0" w:line="192" w:lineRule="auto"/>
        <w:tabs>
          <w:tab w:leader="none" w:pos="540" w:val="left"/>
        </w:tabs>
        <w:numPr>
          <w:ilvl w:val="0"/>
          <w:numId w:val="11"/>
        </w:numPr>
        <w:rPr>
          <w:rFonts w:ascii="Arial" w:cs="Arial" w:eastAsia="Arial" w:hAnsi="Arial"/>
          <w:sz w:val="22"/>
          <w:szCs w:val="22"/>
          <w:color w:val="auto"/>
          <w:vertAlign w:val="superscript"/>
        </w:rPr>
      </w:pPr>
      <w:r>
        <w:rPr>
          <w:rFonts w:ascii="Arial" w:cs="Arial" w:eastAsia="Arial" w:hAnsi="Arial"/>
          <w:sz w:val="14"/>
          <w:szCs w:val="14"/>
          <w:color w:val="auto"/>
        </w:rPr>
        <w:t>Benefits of $86,000 and $1.4 million were recorded due to tax planning initiatives that were recognized during the third quarter of Fiscal 2009 and Fiscal 2008,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First Thirty-Nine Weeks of Fiscal 2009 Compared to the First Forty Weeks of Fiscal 2008</w:t>
      </w:r>
    </w:p>
    <w:p>
      <w:pPr>
        <w:spacing w:after="0" w:line="231"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The following is an analysis of changes in key items included in the consolidated statements of operations for the thirty-nine weeks ended May 30, 2009 compared to the forty weeks ended May 31, 2008:</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3"/>
          </w:tcPr>
          <w:p>
            <w:pPr>
              <w:jc w:val="right"/>
              <w:ind w:right="895"/>
              <w:spacing w:after="0"/>
              <w:rPr>
                <w:sz w:val="20"/>
                <w:szCs w:val="20"/>
                <w:color w:val="auto"/>
              </w:rPr>
            </w:pPr>
            <w:r>
              <w:rPr>
                <w:rFonts w:ascii="Arial" w:cs="Arial" w:eastAsia="Arial" w:hAnsi="Arial"/>
                <w:sz w:val="14"/>
                <w:szCs w:val="14"/>
                <w:b w:val="1"/>
                <w:bCs w:val="1"/>
                <w:color w:val="auto"/>
              </w:rPr>
              <w:t>Thirty-Nine</w:t>
            </w:r>
          </w:p>
        </w:tc>
        <w:tc>
          <w:tcPr>
            <w:tcW w:w="18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Forty</w:t>
            </w: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ind w:right="855"/>
              <w:spacing w:after="0"/>
              <w:rPr>
                <w:sz w:val="20"/>
                <w:szCs w:val="20"/>
                <w:color w:val="auto"/>
              </w:rPr>
            </w:pPr>
            <w:r>
              <w:rPr>
                <w:rFonts w:ascii="Arial" w:cs="Arial" w:eastAsia="Arial" w:hAnsi="Arial"/>
                <w:sz w:val="14"/>
                <w:szCs w:val="14"/>
                <w:b w:val="1"/>
                <w:bCs w:val="1"/>
                <w:color w:val="auto"/>
              </w:rPr>
              <w:t>Weeks Ended</w:t>
            </w:r>
          </w:p>
        </w:tc>
        <w:tc>
          <w:tcPr>
            <w:tcW w:w="1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ind w:right="775"/>
              <w:spacing w:after="0"/>
              <w:rPr>
                <w:sz w:val="20"/>
                <w:szCs w:val="20"/>
                <w:color w:val="auto"/>
              </w:rPr>
            </w:pPr>
            <w:r>
              <w:rPr>
                <w:rFonts w:ascii="Arial" w:cs="Arial" w:eastAsia="Arial" w:hAnsi="Arial"/>
                <w:sz w:val="14"/>
                <w:szCs w:val="14"/>
                <w:b w:val="1"/>
                <w:bCs w:val="1"/>
                <w:color w:val="auto"/>
              </w:rPr>
              <w:t>Weeks Ended</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26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3"/>
          </w:tcPr>
          <w:p>
            <w:pPr>
              <w:jc w:val="right"/>
              <w:ind w:right="520"/>
              <w:spacing w:after="0" w:line="136" w:lineRule="exact"/>
              <w:rPr>
                <w:sz w:val="20"/>
                <w:szCs w:val="20"/>
                <w:color w:val="auto"/>
              </w:rPr>
            </w:pPr>
            <w:r>
              <w:rPr>
                <w:rFonts w:ascii="Arial" w:cs="Arial" w:eastAsia="Arial" w:hAnsi="Arial"/>
                <w:sz w:val="14"/>
                <w:szCs w:val="14"/>
                <w:b w:val="1"/>
                <w:bCs w:val="1"/>
                <w:color w:val="auto"/>
              </w:rPr>
              <w:t>May 30,</w:t>
            </w: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right"/>
              <w:ind w:right="472"/>
              <w:spacing w:after="0" w:line="136" w:lineRule="exact"/>
              <w:rPr>
                <w:sz w:val="20"/>
                <w:szCs w:val="20"/>
                <w:color w:val="auto"/>
              </w:rPr>
            </w:pPr>
            <w:r>
              <w:rPr>
                <w:rFonts w:ascii="Arial" w:cs="Arial" w:eastAsia="Arial" w:hAnsi="Arial"/>
                <w:sz w:val="14"/>
                <w:szCs w:val="14"/>
                <w:b w:val="1"/>
                <w:bCs w:val="1"/>
                <w:color w:val="auto"/>
              </w:rPr>
              <w:t>May 31,</w:t>
            </w: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jc w:val="center"/>
              <w:ind w:right="56"/>
              <w:spacing w:after="0" w:line="136"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68"/>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 except percent and per share data)</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307"/>
              <w:spacing w:after="0"/>
              <w:rPr>
                <w:sz w:val="20"/>
                <w:szCs w:val="20"/>
                <w:color w:val="auto"/>
              </w:rPr>
            </w:pPr>
            <w:r>
              <w:rPr>
                <w:rFonts w:ascii="Arial" w:cs="Arial" w:eastAsia="Arial" w:hAnsi="Arial"/>
                <w:sz w:val="14"/>
                <w:szCs w:val="14"/>
                <w:b w:val="1"/>
                <w:bCs w:val="1"/>
                <w:color w:val="auto"/>
              </w:rPr>
              <w:t>2009</w:t>
            </w: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88"/>
              </w:rPr>
              <w:t>% of Revenues</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2008</w:t>
            </w: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of Revenues</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w w:val="93"/>
              </w:rPr>
              <w:t>Decrease</w:t>
            </w:r>
          </w:p>
        </w:tc>
        <w:tc>
          <w:tcPr>
            <w:tcW w:w="9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Net revenues</w:t>
            </w:r>
          </w:p>
        </w:tc>
        <w:tc>
          <w:tcPr>
            <w:tcW w:w="180" w:type="dxa"/>
            <w:vAlign w:val="bottom"/>
            <w:shd w:val="clear" w:color="auto" w:fill="D6F3E8"/>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152,054</w:t>
            </w:r>
          </w:p>
        </w:tc>
        <w:tc>
          <w:tcPr>
            <w:tcW w:w="220" w:type="dxa"/>
            <w:vAlign w:val="bottom"/>
            <w:shd w:val="clear" w:color="auto" w:fill="D6F3E8"/>
          </w:tcPr>
          <w:p>
            <w:pPr>
              <w:spacing w:after="0"/>
              <w:rPr>
                <w:sz w:val="18"/>
                <w:szCs w:val="18"/>
                <w:color w:val="auto"/>
              </w:rPr>
            </w:pPr>
          </w:p>
        </w:tc>
        <w:tc>
          <w:tcPr>
            <w:tcW w:w="1160" w:type="dxa"/>
            <w:vAlign w:val="bottom"/>
            <w:shd w:val="clear" w:color="auto" w:fill="D6F3E8"/>
          </w:tcPr>
          <w:p>
            <w:pPr>
              <w:jc w:val="right"/>
              <w:ind w:right="155"/>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D6F3E8"/>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519,081</w:t>
            </w:r>
          </w:p>
        </w:tc>
        <w:tc>
          <w:tcPr>
            <w:tcW w:w="240" w:type="dxa"/>
            <w:vAlign w:val="bottom"/>
            <w:shd w:val="clear" w:color="auto" w:fill="D6F3E8"/>
          </w:tcPr>
          <w:p>
            <w:pPr>
              <w:spacing w:after="0"/>
              <w:rPr>
                <w:sz w:val="18"/>
                <w:szCs w:val="18"/>
                <w:color w:val="auto"/>
              </w:rPr>
            </w:pPr>
          </w:p>
        </w:tc>
        <w:tc>
          <w:tcPr>
            <w:tcW w:w="1060" w:type="dxa"/>
            <w:vAlign w:val="bottom"/>
            <w:shd w:val="clear" w:color="auto" w:fill="D6F3E8"/>
          </w:tcPr>
          <w:p>
            <w:pPr>
              <w:jc w:val="right"/>
              <w:ind w:right="75"/>
              <w:spacing w:after="0"/>
              <w:rPr>
                <w:sz w:val="20"/>
                <w:szCs w:val="20"/>
                <w:color w:val="auto"/>
              </w:rPr>
            </w:pPr>
            <w:r>
              <w:rPr>
                <w:rFonts w:ascii="Arial" w:cs="Arial" w:eastAsia="Arial" w:hAnsi="Arial"/>
                <w:sz w:val="18"/>
                <w:szCs w:val="18"/>
                <w:color w:val="auto"/>
              </w:rPr>
              <w:t>100.0</w:t>
            </w:r>
          </w:p>
        </w:tc>
        <w:tc>
          <w:tcPr>
            <w:tcW w:w="22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6F3E8"/>
          </w:tcPr>
          <w:p>
            <w:pPr>
              <w:jc w:val="right"/>
              <w:ind w:right="115"/>
              <w:spacing w:after="0"/>
              <w:rPr>
                <w:sz w:val="20"/>
                <w:szCs w:val="20"/>
                <w:color w:val="auto"/>
              </w:rPr>
            </w:pPr>
            <w:r>
              <w:rPr>
                <w:rFonts w:ascii="Arial" w:cs="Arial" w:eastAsia="Arial" w:hAnsi="Arial"/>
                <w:sz w:val="18"/>
                <w:szCs w:val="18"/>
                <w:color w:val="auto"/>
              </w:rPr>
              <w:t>(367,027)</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D6F3E8"/>
            </w:tcBorders>
            <w:gridSpan w:val="2"/>
          </w:tcPr>
          <w:p>
            <w:pPr>
              <w:spacing w:after="0"/>
              <w:rPr>
                <w:sz w:val="20"/>
                <w:szCs w:val="20"/>
                <w:color w:val="auto"/>
              </w:rPr>
            </w:pPr>
            <w:r>
              <w:rPr>
                <w:rFonts w:ascii="Arial" w:cs="Arial" w:eastAsia="Arial" w:hAnsi="Arial"/>
                <w:sz w:val="18"/>
                <w:szCs w:val="18"/>
                <w:color w:val="auto"/>
              </w:rPr>
              <w:t>Cost of goods sold</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181,025</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119.1</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478,648</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92.2</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(297,623)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0"/>
        </w:trPr>
        <w:tc>
          <w:tcPr>
            <w:tcW w:w="4360" w:type="dxa"/>
            <w:vAlign w:val="bottom"/>
            <w:gridSpan w:val="2"/>
            <w:shd w:val="clear" w:color="auto" w:fill="D6F3E8"/>
          </w:tcPr>
          <w:p>
            <w:pPr>
              <w:spacing w:after="0" w:line="202" w:lineRule="exact"/>
              <w:rPr>
                <w:sz w:val="20"/>
                <w:szCs w:val="20"/>
                <w:color w:val="auto"/>
              </w:rPr>
            </w:pPr>
            <w:r>
              <w:rPr>
                <w:rFonts w:ascii="Arial" w:cs="Arial" w:eastAsia="Arial" w:hAnsi="Arial"/>
                <w:sz w:val="18"/>
                <w:szCs w:val="18"/>
                <w:color w:val="auto"/>
              </w:rPr>
              <w:t>Gross (deficit) profit</w:t>
            </w:r>
          </w:p>
        </w:tc>
        <w:tc>
          <w:tcPr>
            <w:tcW w:w="180" w:type="dxa"/>
            <w:vAlign w:val="bottom"/>
            <w:tcBorders>
              <w:bottom w:val="single" w:sz="8" w:color="auto"/>
            </w:tcBorders>
            <w:shd w:val="clear" w:color="auto" w:fill="D6F3E8"/>
          </w:tcPr>
          <w:p>
            <w:pPr>
              <w:spacing w:after="0"/>
              <w:rPr>
                <w:sz w:val="18"/>
                <w:szCs w:val="18"/>
                <w:color w:val="auto"/>
              </w:rPr>
            </w:pPr>
          </w:p>
        </w:tc>
        <w:tc>
          <w:tcPr>
            <w:tcW w:w="1080" w:type="dxa"/>
            <w:vAlign w:val="bottom"/>
            <w:tcBorders>
              <w:bottom w:val="single" w:sz="8" w:color="auto"/>
            </w:tcBorders>
            <w:gridSpan w:val="3"/>
            <w:shd w:val="clear" w:color="auto" w:fill="D6F3E8"/>
          </w:tcPr>
          <w:p>
            <w:pPr>
              <w:jc w:val="right"/>
              <w:ind w:right="160"/>
              <w:spacing w:after="0"/>
              <w:rPr>
                <w:sz w:val="20"/>
                <w:szCs w:val="20"/>
                <w:color w:val="auto"/>
              </w:rPr>
            </w:pPr>
            <w:r>
              <w:rPr>
                <w:rFonts w:ascii="Arial" w:cs="Arial" w:eastAsia="Arial" w:hAnsi="Arial"/>
                <w:sz w:val="18"/>
                <w:szCs w:val="18"/>
                <w:color w:val="auto"/>
              </w:rPr>
              <w:t>(28,971)</w:t>
            </w:r>
          </w:p>
        </w:tc>
        <w:tc>
          <w:tcPr>
            <w:tcW w:w="1160" w:type="dxa"/>
            <w:vAlign w:val="bottom"/>
            <w:tcBorders>
              <w:bottom w:val="single" w:sz="8" w:color="auto"/>
            </w:tcBorders>
            <w:shd w:val="clear" w:color="auto" w:fill="D6F3E8"/>
          </w:tcPr>
          <w:p>
            <w:pPr>
              <w:jc w:val="right"/>
              <w:ind w:right="95"/>
              <w:spacing w:after="0"/>
              <w:rPr>
                <w:sz w:val="20"/>
                <w:szCs w:val="20"/>
                <w:color w:val="auto"/>
              </w:rPr>
            </w:pPr>
            <w:r>
              <w:rPr>
                <w:rFonts w:ascii="Arial" w:cs="Arial" w:eastAsia="Arial" w:hAnsi="Arial"/>
                <w:sz w:val="18"/>
                <w:szCs w:val="18"/>
                <w:color w:val="auto"/>
              </w:rPr>
              <w:t>(19.1)</w:t>
            </w:r>
          </w:p>
        </w:tc>
        <w:tc>
          <w:tcPr>
            <w:tcW w:w="180" w:type="dxa"/>
            <w:vAlign w:val="bottom"/>
            <w:tcBorders>
              <w:bottom w:val="single" w:sz="8" w:color="auto"/>
            </w:tcBorders>
            <w:shd w:val="clear" w:color="auto" w:fill="D6F3E8"/>
          </w:tcPr>
          <w:p>
            <w:pPr>
              <w:spacing w:after="0"/>
              <w:rPr>
                <w:sz w:val="18"/>
                <w:szCs w:val="18"/>
                <w:color w:val="auto"/>
              </w:rPr>
            </w:pPr>
          </w:p>
        </w:tc>
        <w:tc>
          <w:tcPr>
            <w:tcW w:w="8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40,433</w:t>
            </w:r>
          </w:p>
        </w:tc>
        <w:tc>
          <w:tcPr>
            <w:tcW w:w="240" w:type="dxa"/>
            <w:vAlign w:val="bottom"/>
            <w:tcBorders>
              <w:bottom w:val="single" w:sz="8" w:color="auto"/>
            </w:tcBorders>
            <w:shd w:val="clear" w:color="auto" w:fill="D6F3E8"/>
          </w:tcPr>
          <w:p>
            <w:pPr>
              <w:spacing w:after="0"/>
              <w:rPr>
                <w:sz w:val="18"/>
                <w:szCs w:val="18"/>
                <w:color w:val="auto"/>
              </w:rPr>
            </w:pPr>
          </w:p>
        </w:tc>
        <w:tc>
          <w:tcPr>
            <w:tcW w:w="1060" w:type="dxa"/>
            <w:vAlign w:val="bottom"/>
            <w:tcBorders>
              <w:bottom w:val="single" w:sz="8" w:color="auto"/>
            </w:tcBorders>
            <w:shd w:val="clear" w:color="auto" w:fill="D6F3E8"/>
          </w:tcPr>
          <w:p>
            <w:pPr>
              <w:ind w:left="680"/>
              <w:spacing w:after="0"/>
              <w:rPr>
                <w:sz w:val="20"/>
                <w:szCs w:val="20"/>
                <w:color w:val="auto"/>
              </w:rPr>
            </w:pPr>
            <w:r>
              <w:rPr>
                <w:rFonts w:ascii="Arial" w:cs="Arial" w:eastAsia="Arial" w:hAnsi="Arial"/>
                <w:sz w:val="18"/>
                <w:szCs w:val="18"/>
                <w:color w:val="auto"/>
              </w:rPr>
              <w:t>7.8</w:t>
            </w:r>
          </w:p>
        </w:tc>
        <w:tc>
          <w:tcPr>
            <w:tcW w:w="60" w:type="dxa"/>
            <w:vAlign w:val="bottom"/>
            <w:tcBorders>
              <w:bottom w:val="single" w:sz="8" w:color="auto"/>
            </w:tcBorders>
            <w:shd w:val="clear" w:color="auto" w:fill="D6F3E8"/>
          </w:tcPr>
          <w:p>
            <w:pPr>
              <w:spacing w:after="0"/>
              <w:rPr>
                <w:sz w:val="18"/>
                <w:szCs w:val="18"/>
                <w:color w:val="auto"/>
              </w:rPr>
            </w:pPr>
          </w:p>
        </w:tc>
        <w:tc>
          <w:tcPr>
            <w:tcW w:w="160" w:type="dxa"/>
            <w:vAlign w:val="bottom"/>
            <w:tcBorders>
              <w:bottom w:val="single" w:sz="8" w:color="auto"/>
            </w:tcBorders>
            <w:shd w:val="clear" w:color="auto" w:fill="D6F3E8"/>
          </w:tcPr>
          <w:p>
            <w:pPr>
              <w:spacing w:after="0"/>
              <w:rPr>
                <w:sz w:val="18"/>
                <w:szCs w:val="18"/>
                <w:color w:val="auto"/>
              </w:rPr>
            </w:pPr>
          </w:p>
        </w:tc>
        <w:tc>
          <w:tcPr>
            <w:tcW w:w="1100" w:type="dxa"/>
            <w:vAlign w:val="bottom"/>
            <w:tcBorders>
              <w:bottom w:val="single" w:sz="8" w:color="auto"/>
            </w:tcBorders>
            <w:shd w:val="clear" w:color="auto" w:fill="D6F3E8"/>
          </w:tcPr>
          <w:p>
            <w:pPr>
              <w:jc w:val="right"/>
              <w:ind w:right="115"/>
              <w:spacing w:after="0"/>
              <w:rPr>
                <w:sz w:val="20"/>
                <w:szCs w:val="20"/>
                <w:color w:val="auto"/>
              </w:rPr>
            </w:pPr>
            <w:r>
              <w:rPr>
                <w:rFonts w:ascii="Arial" w:cs="Arial" w:eastAsia="Arial" w:hAnsi="Arial"/>
                <w:sz w:val="18"/>
                <w:szCs w:val="18"/>
                <w:color w:val="auto"/>
              </w:rPr>
              <w:t>(69,404)</w:t>
            </w:r>
          </w:p>
        </w:tc>
        <w:tc>
          <w:tcPr>
            <w:tcW w:w="9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10"/>
        </w:trPr>
        <w:tc>
          <w:tcPr>
            <w:tcW w:w="43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Selling</w:t>
            </w: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9,564</w:t>
            </w:r>
          </w:p>
        </w:tc>
        <w:tc>
          <w:tcPr>
            <w:tcW w:w="220" w:type="dxa"/>
            <w:vAlign w:val="bottom"/>
          </w:tcPr>
          <w:p>
            <w:pPr>
              <w:spacing w:after="0"/>
              <w:rPr>
                <w:sz w:val="18"/>
                <w:szCs w:val="18"/>
                <w:color w:val="auto"/>
              </w:rPr>
            </w:pPr>
          </w:p>
        </w:tc>
        <w:tc>
          <w:tcPr>
            <w:tcW w:w="1160" w:type="dxa"/>
            <w:vAlign w:val="bottom"/>
          </w:tcPr>
          <w:p>
            <w:pPr>
              <w:jc w:val="right"/>
              <w:ind w:right="155"/>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14,948</w:t>
            </w:r>
          </w:p>
        </w:tc>
        <w:tc>
          <w:tcPr>
            <w:tcW w:w="240" w:type="dxa"/>
            <w:vAlign w:val="bottom"/>
          </w:tcPr>
          <w:p>
            <w:pPr>
              <w:spacing w:after="0"/>
              <w:rPr>
                <w:sz w:val="18"/>
                <w:szCs w:val="18"/>
                <w:color w:val="auto"/>
              </w:rPr>
            </w:pPr>
          </w:p>
        </w:tc>
        <w:tc>
          <w:tcPr>
            <w:tcW w:w="1060" w:type="dxa"/>
            <w:vAlign w:val="bottom"/>
          </w:tcPr>
          <w:p>
            <w:pPr>
              <w:ind w:left="68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15"/>
              <w:spacing w:after="0"/>
              <w:rPr>
                <w:sz w:val="20"/>
                <w:szCs w:val="20"/>
                <w:color w:val="auto"/>
              </w:rPr>
            </w:pPr>
            <w:r>
              <w:rPr>
                <w:rFonts w:ascii="Arial" w:cs="Arial" w:eastAsia="Arial" w:hAnsi="Arial"/>
                <w:sz w:val="18"/>
                <w:szCs w:val="18"/>
                <w:color w:val="auto"/>
              </w:rPr>
              <w:t>(5,384)</w:t>
            </w:r>
          </w:p>
        </w:tc>
        <w:tc>
          <w:tcPr>
            <w:tcW w:w="980" w:type="dxa"/>
            <w:vAlign w:val="bottom"/>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D6F3E8"/>
          </w:tcPr>
          <w:p>
            <w:pPr>
              <w:ind w:left="16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D6F3E8"/>
          </w:tcPr>
          <w:p>
            <w:pPr>
              <w:spacing w:after="0"/>
              <w:rPr>
                <w:sz w:val="18"/>
                <w:szCs w:val="18"/>
                <w:color w:val="auto"/>
              </w:rPr>
            </w:pPr>
          </w:p>
        </w:tc>
        <w:tc>
          <w:tcPr>
            <w:tcW w:w="860" w:type="dxa"/>
            <w:vAlign w:val="bottom"/>
            <w:tcBorders>
              <w:bottom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11,748</w:t>
            </w:r>
          </w:p>
        </w:tc>
        <w:tc>
          <w:tcPr>
            <w:tcW w:w="220" w:type="dxa"/>
            <w:vAlign w:val="bottom"/>
            <w:tcBorders>
              <w:bottom w:val="single" w:sz="8" w:color="auto"/>
            </w:tcBorders>
            <w:shd w:val="clear" w:color="auto" w:fill="D6F3E8"/>
          </w:tcPr>
          <w:p>
            <w:pPr>
              <w:spacing w:after="0"/>
              <w:rPr>
                <w:sz w:val="18"/>
                <w:szCs w:val="18"/>
                <w:color w:val="auto"/>
              </w:rPr>
            </w:pPr>
          </w:p>
        </w:tc>
        <w:tc>
          <w:tcPr>
            <w:tcW w:w="1160" w:type="dxa"/>
            <w:vAlign w:val="bottom"/>
            <w:tcBorders>
              <w:bottom w:val="single" w:sz="8" w:color="auto"/>
            </w:tcBorders>
            <w:shd w:val="clear" w:color="auto" w:fill="D6F3E8"/>
          </w:tcPr>
          <w:p>
            <w:pPr>
              <w:jc w:val="right"/>
              <w:ind w:right="155"/>
              <w:spacing w:after="0"/>
              <w:rPr>
                <w:sz w:val="20"/>
                <w:szCs w:val="20"/>
                <w:color w:val="auto"/>
              </w:rPr>
            </w:pPr>
            <w:r>
              <w:rPr>
                <w:rFonts w:ascii="Arial" w:cs="Arial" w:eastAsia="Arial" w:hAnsi="Arial"/>
                <w:sz w:val="18"/>
                <w:szCs w:val="18"/>
                <w:color w:val="auto"/>
              </w:rPr>
              <w:t>7.7</w:t>
            </w:r>
          </w:p>
        </w:tc>
        <w:tc>
          <w:tcPr>
            <w:tcW w:w="180" w:type="dxa"/>
            <w:vAlign w:val="bottom"/>
            <w:tcBorders>
              <w:bottom w:val="single" w:sz="8" w:color="auto"/>
            </w:tcBorders>
            <w:shd w:val="clear" w:color="auto" w:fill="D6F3E8"/>
          </w:tcPr>
          <w:p>
            <w:pPr>
              <w:spacing w:after="0"/>
              <w:rPr>
                <w:sz w:val="18"/>
                <w:szCs w:val="18"/>
                <w:color w:val="auto"/>
              </w:rPr>
            </w:pPr>
          </w:p>
        </w:tc>
        <w:tc>
          <w:tcPr>
            <w:tcW w:w="8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16,350</w:t>
            </w:r>
          </w:p>
        </w:tc>
        <w:tc>
          <w:tcPr>
            <w:tcW w:w="240" w:type="dxa"/>
            <w:vAlign w:val="bottom"/>
            <w:tcBorders>
              <w:bottom w:val="single" w:sz="8" w:color="auto"/>
            </w:tcBorders>
            <w:shd w:val="clear" w:color="auto" w:fill="D6F3E8"/>
          </w:tcPr>
          <w:p>
            <w:pPr>
              <w:spacing w:after="0"/>
              <w:rPr>
                <w:sz w:val="18"/>
                <w:szCs w:val="18"/>
                <w:color w:val="auto"/>
              </w:rPr>
            </w:pPr>
          </w:p>
        </w:tc>
        <w:tc>
          <w:tcPr>
            <w:tcW w:w="1060" w:type="dxa"/>
            <w:vAlign w:val="bottom"/>
            <w:tcBorders>
              <w:bottom w:val="single" w:sz="8" w:color="auto"/>
            </w:tcBorders>
            <w:shd w:val="clear" w:color="auto" w:fill="D6F3E8"/>
          </w:tcPr>
          <w:p>
            <w:pPr>
              <w:ind w:left="680"/>
              <w:spacing w:after="0"/>
              <w:rPr>
                <w:sz w:val="20"/>
                <w:szCs w:val="20"/>
                <w:color w:val="auto"/>
              </w:rPr>
            </w:pPr>
            <w:r>
              <w:rPr>
                <w:rFonts w:ascii="Arial" w:cs="Arial" w:eastAsia="Arial" w:hAnsi="Arial"/>
                <w:sz w:val="18"/>
                <w:szCs w:val="18"/>
                <w:color w:val="auto"/>
              </w:rPr>
              <w:t>3.1</w:t>
            </w:r>
          </w:p>
        </w:tc>
        <w:tc>
          <w:tcPr>
            <w:tcW w:w="60" w:type="dxa"/>
            <w:vAlign w:val="bottom"/>
            <w:tcBorders>
              <w:bottom w:val="single" w:sz="8" w:color="auto"/>
            </w:tcBorders>
            <w:shd w:val="clear" w:color="auto" w:fill="D6F3E8"/>
          </w:tcPr>
          <w:p>
            <w:pPr>
              <w:spacing w:after="0"/>
              <w:rPr>
                <w:sz w:val="18"/>
                <w:szCs w:val="18"/>
                <w:color w:val="auto"/>
              </w:rPr>
            </w:pPr>
          </w:p>
        </w:tc>
        <w:tc>
          <w:tcPr>
            <w:tcW w:w="160" w:type="dxa"/>
            <w:vAlign w:val="bottom"/>
            <w:tcBorders>
              <w:bottom w:val="single" w:sz="8" w:color="auto"/>
            </w:tcBorders>
            <w:shd w:val="clear" w:color="auto" w:fill="D6F3E8"/>
          </w:tcPr>
          <w:p>
            <w:pPr>
              <w:spacing w:after="0"/>
              <w:rPr>
                <w:sz w:val="18"/>
                <w:szCs w:val="18"/>
                <w:color w:val="auto"/>
              </w:rPr>
            </w:pPr>
          </w:p>
        </w:tc>
        <w:tc>
          <w:tcPr>
            <w:tcW w:w="1100" w:type="dxa"/>
            <w:vAlign w:val="bottom"/>
            <w:tcBorders>
              <w:bottom w:val="single" w:sz="8" w:color="auto"/>
            </w:tcBorders>
            <w:shd w:val="clear" w:color="auto" w:fill="D6F3E8"/>
          </w:tcPr>
          <w:p>
            <w:pPr>
              <w:jc w:val="right"/>
              <w:ind w:right="115"/>
              <w:spacing w:after="0"/>
              <w:rPr>
                <w:sz w:val="20"/>
                <w:szCs w:val="20"/>
                <w:color w:val="auto"/>
              </w:rPr>
            </w:pPr>
            <w:r>
              <w:rPr>
                <w:rFonts w:ascii="Arial" w:cs="Arial" w:eastAsia="Arial" w:hAnsi="Arial"/>
                <w:sz w:val="18"/>
                <w:szCs w:val="18"/>
                <w:color w:val="auto"/>
              </w:rPr>
              <w:t>(4,602)</w:t>
            </w:r>
          </w:p>
        </w:tc>
        <w:tc>
          <w:tcPr>
            <w:tcW w:w="9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0"/>
        </w:trPr>
        <w:tc>
          <w:tcPr>
            <w:tcW w:w="4360" w:type="dxa"/>
            <w:vAlign w:val="bottom"/>
            <w:tcBorders>
              <w:bottom w:val="single" w:sz="8" w:color="D6F3E8"/>
            </w:tcBorders>
            <w:gridSpan w:val="2"/>
          </w:tcPr>
          <w:p>
            <w:pPr>
              <w:ind w:left="320"/>
              <w:spacing w:after="0" w:line="202" w:lineRule="exact"/>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21,312</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14.0</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31,298</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6.0</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(9,986)</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0"/>
        </w:trPr>
        <w:tc>
          <w:tcPr>
            <w:tcW w:w="4360" w:type="dxa"/>
            <w:vAlign w:val="bottom"/>
            <w:gridSpan w:val="2"/>
            <w:shd w:val="clear" w:color="auto" w:fill="D6F3E8"/>
          </w:tcPr>
          <w:p>
            <w:pPr>
              <w:spacing w:after="0" w:line="202" w:lineRule="exact"/>
              <w:rPr>
                <w:sz w:val="20"/>
                <w:szCs w:val="20"/>
                <w:color w:val="auto"/>
              </w:rPr>
            </w:pPr>
            <w:r>
              <w:rPr>
                <w:rFonts w:ascii="Arial" w:cs="Arial" w:eastAsia="Arial" w:hAnsi="Arial"/>
                <w:sz w:val="18"/>
                <w:szCs w:val="18"/>
                <w:color w:val="auto"/>
              </w:rPr>
              <w:t>Operating (loss) income</w:t>
            </w:r>
          </w:p>
        </w:tc>
        <w:tc>
          <w:tcPr>
            <w:tcW w:w="180" w:type="dxa"/>
            <w:vAlign w:val="bottom"/>
            <w:shd w:val="clear" w:color="auto" w:fill="D6F3E8"/>
          </w:tcPr>
          <w:p>
            <w:pPr>
              <w:spacing w:after="0"/>
              <w:rPr>
                <w:sz w:val="18"/>
                <w:szCs w:val="18"/>
                <w:color w:val="auto"/>
              </w:rPr>
            </w:pPr>
          </w:p>
        </w:tc>
        <w:tc>
          <w:tcPr>
            <w:tcW w:w="1080" w:type="dxa"/>
            <w:vAlign w:val="bottom"/>
            <w:gridSpan w:val="3"/>
            <w:shd w:val="clear" w:color="auto" w:fill="D6F3E8"/>
          </w:tcPr>
          <w:p>
            <w:pPr>
              <w:jc w:val="right"/>
              <w:ind w:right="160"/>
              <w:spacing w:after="0"/>
              <w:rPr>
                <w:sz w:val="20"/>
                <w:szCs w:val="20"/>
                <w:color w:val="auto"/>
              </w:rPr>
            </w:pPr>
            <w:r>
              <w:rPr>
                <w:rFonts w:ascii="Arial" w:cs="Arial" w:eastAsia="Arial" w:hAnsi="Arial"/>
                <w:sz w:val="18"/>
                <w:szCs w:val="18"/>
                <w:color w:val="auto"/>
              </w:rPr>
              <w:t>(50,283)</w:t>
            </w:r>
          </w:p>
        </w:tc>
        <w:tc>
          <w:tcPr>
            <w:tcW w:w="1160" w:type="dxa"/>
            <w:vAlign w:val="bottom"/>
            <w:shd w:val="clear" w:color="auto" w:fill="D6F3E8"/>
          </w:tcPr>
          <w:p>
            <w:pPr>
              <w:jc w:val="right"/>
              <w:ind w:right="95"/>
              <w:spacing w:after="0"/>
              <w:rPr>
                <w:sz w:val="20"/>
                <w:szCs w:val="20"/>
                <w:color w:val="auto"/>
              </w:rPr>
            </w:pPr>
            <w:r>
              <w:rPr>
                <w:rFonts w:ascii="Arial" w:cs="Arial" w:eastAsia="Arial" w:hAnsi="Arial"/>
                <w:sz w:val="18"/>
                <w:szCs w:val="18"/>
                <w:color w:val="auto"/>
              </w:rPr>
              <w:t>(33.1)</w:t>
            </w:r>
          </w:p>
        </w:tc>
        <w:tc>
          <w:tcPr>
            <w:tcW w:w="180" w:type="dxa"/>
            <w:vAlign w:val="bottom"/>
            <w:shd w:val="clear" w:color="auto" w:fill="D6F3E8"/>
          </w:tcPr>
          <w:p>
            <w:pPr>
              <w:spacing w:after="0"/>
              <w:rPr>
                <w:sz w:val="18"/>
                <w:szCs w:val="18"/>
                <w:color w:val="auto"/>
              </w:rPr>
            </w:pP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9,135</w:t>
            </w:r>
          </w:p>
        </w:tc>
        <w:tc>
          <w:tcPr>
            <w:tcW w:w="240" w:type="dxa"/>
            <w:vAlign w:val="bottom"/>
            <w:shd w:val="clear" w:color="auto" w:fill="D6F3E8"/>
          </w:tcPr>
          <w:p>
            <w:pPr>
              <w:spacing w:after="0"/>
              <w:rPr>
                <w:sz w:val="18"/>
                <w:szCs w:val="18"/>
                <w:color w:val="auto"/>
              </w:rPr>
            </w:pPr>
          </w:p>
        </w:tc>
        <w:tc>
          <w:tcPr>
            <w:tcW w:w="1060" w:type="dxa"/>
            <w:vAlign w:val="bottom"/>
            <w:shd w:val="clear" w:color="auto" w:fill="D6F3E8"/>
          </w:tcPr>
          <w:p>
            <w:pPr>
              <w:ind w:left="680"/>
              <w:spacing w:after="0"/>
              <w:rPr>
                <w:sz w:val="20"/>
                <w:szCs w:val="20"/>
                <w:color w:val="auto"/>
              </w:rPr>
            </w:pPr>
            <w:r>
              <w:rPr>
                <w:rFonts w:ascii="Arial" w:cs="Arial" w:eastAsia="Arial" w:hAnsi="Arial"/>
                <w:sz w:val="18"/>
                <w:szCs w:val="18"/>
                <w:color w:val="auto"/>
              </w:rPr>
              <w:t>1.8</w:t>
            </w:r>
          </w:p>
        </w:tc>
        <w:tc>
          <w:tcPr>
            <w:tcW w:w="6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100" w:type="dxa"/>
            <w:vAlign w:val="bottom"/>
            <w:shd w:val="clear" w:color="auto" w:fill="D6F3E8"/>
          </w:tcPr>
          <w:p>
            <w:pPr>
              <w:jc w:val="right"/>
              <w:ind w:right="115"/>
              <w:spacing w:after="0"/>
              <w:rPr>
                <w:sz w:val="20"/>
                <w:szCs w:val="20"/>
                <w:color w:val="auto"/>
              </w:rPr>
            </w:pPr>
            <w:r>
              <w:rPr>
                <w:rFonts w:ascii="Arial" w:cs="Arial" w:eastAsia="Arial" w:hAnsi="Arial"/>
                <w:sz w:val="18"/>
                <w:szCs w:val="18"/>
                <w:color w:val="auto"/>
              </w:rPr>
              <w:t>(59,418)</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(650.4)</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D6F3E8"/>
            </w:tcBorders>
            <w:gridSpan w:val="2"/>
          </w:tcPr>
          <w:p>
            <w:pPr>
              <w:spacing w:after="0"/>
              <w:rPr>
                <w:sz w:val="20"/>
                <w:szCs w:val="20"/>
                <w:color w:val="auto"/>
              </w:rPr>
            </w:pPr>
            <w:r>
              <w:rPr>
                <w:rFonts w:ascii="Arial" w:cs="Arial" w:eastAsia="Arial" w:hAnsi="Arial"/>
                <w:sz w:val="18"/>
                <w:szCs w:val="18"/>
                <w:color w:val="auto"/>
              </w:rPr>
              <w:t>Financial income</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1,366</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0.9</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3,529</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0.6</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(2,163)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0"/>
        </w:trPr>
        <w:tc>
          <w:tcPr>
            <w:tcW w:w="4360" w:type="dxa"/>
            <w:vAlign w:val="bottom"/>
            <w:gridSpan w:val="2"/>
            <w:shd w:val="clear" w:color="auto" w:fill="D6F3E8"/>
          </w:tcPr>
          <w:p>
            <w:pPr>
              <w:spacing w:after="0" w:line="202" w:lineRule="exact"/>
              <w:rPr>
                <w:sz w:val="20"/>
                <w:szCs w:val="20"/>
                <w:color w:val="auto"/>
              </w:rPr>
            </w:pPr>
            <w:r>
              <w:rPr>
                <w:rFonts w:ascii="Arial" w:cs="Arial" w:eastAsia="Arial" w:hAnsi="Arial"/>
                <w:sz w:val="18"/>
                <w:szCs w:val="18"/>
                <w:color w:val="auto"/>
              </w:rPr>
              <w:t>(Loss) income before income taxes</w:t>
            </w:r>
          </w:p>
        </w:tc>
        <w:tc>
          <w:tcPr>
            <w:tcW w:w="180" w:type="dxa"/>
            <w:vAlign w:val="bottom"/>
            <w:shd w:val="clear" w:color="auto" w:fill="D6F3E8"/>
          </w:tcPr>
          <w:p>
            <w:pPr>
              <w:spacing w:after="0"/>
              <w:rPr>
                <w:sz w:val="18"/>
                <w:szCs w:val="18"/>
                <w:color w:val="auto"/>
              </w:rPr>
            </w:pPr>
          </w:p>
        </w:tc>
        <w:tc>
          <w:tcPr>
            <w:tcW w:w="1080" w:type="dxa"/>
            <w:vAlign w:val="bottom"/>
            <w:gridSpan w:val="3"/>
            <w:shd w:val="clear" w:color="auto" w:fill="D6F3E8"/>
          </w:tcPr>
          <w:p>
            <w:pPr>
              <w:jc w:val="right"/>
              <w:ind w:right="160"/>
              <w:spacing w:after="0"/>
              <w:rPr>
                <w:sz w:val="20"/>
                <w:szCs w:val="20"/>
                <w:color w:val="auto"/>
              </w:rPr>
            </w:pPr>
            <w:r>
              <w:rPr>
                <w:rFonts w:ascii="Arial" w:cs="Arial" w:eastAsia="Arial" w:hAnsi="Arial"/>
                <w:sz w:val="18"/>
                <w:szCs w:val="18"/>
                <w:color w:val="auto"/>
              </w:rPr>
              <w:t>(48,917)</w:t>
            </w:r>
          </w:p>
        </w:tc>
        <w:tc>
          <w:tcPr>
            <w:tcW w:w="1160" w:type="dxa"/>
            <w:vAlign w:val="bottom"/>
            <w:shd w:val="clear" w:color="auto" w:fill="D6F3E8"/>
          </w:tcPr>
          <w:p>
            <w:pPr>
              <w:jc w:val="right"/>
              <w:ind w:right="95"/>
              <w:spacing w:after="0"/>
              <w:rPr>
                <w:sz w:val="20"/>
                <w:szCs w:val="20"/>
                <w:color w:val="auto"/>
              </w:rPr>
            </w:pPr>
            <w:r>
              <w:rPr>
                <w:rFonts w:ascii="Arial" w:cs="Arial" w:eastAsia="Arial" w:hAnsi="Arial"/>
                <w:sz w:val="18"/>
                <w:szCs w:val="18"/>
                <w:color w:val="auto"/>
              </w:rPr>
              <w:t>(32.2)</w:t>
            </w:r>
          </w:p>
        </w:tc>
        <w:tc>
          <w:tcPr>
            <w:tcW w:w="180" w:type="dxa"/>
            <w:vAlign w:val="bottom"/>
            <w:shd w:val="clear" w:color="auto" w:fill="D6F3E8"/>
          </w:tcPr>
          <w:p>
            <w:pPr>
              <w:spacing w:after="0"/>
              <w:rPr>
                <w:sz w:val="18"/>
                <w:szCs w:val="18"/>
                <w:color w:val="auto"/>
              </w:rPr>
            </w:pP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12,664</w:t>
            </w:r>
          </w:p>
        </w:tc>
        <w:tc>
          <w:tcPr>
            <w:tcW w:w="240" w:type="dxa"/>
            <w:vAlign w:val="bottom"/>
            <w:shd w:val="clear" w:color="auto" w:fill="D6F3E8"/>
          </w:tcPr>
          <w:p>
            <w:pPr>
              <w:spacing w:after="0"/>
              <w:rPr>
                <w:sz w:val="18"/>
                <w:szCs w:val="18"/>
                <w:color w:val="auto"/>
              </w:rPr>
            </w:pPr>
          </w:p>
        </w:tc>
        <w:tc>
          <w:tcPr>
            <w:tcW w:w="1060" w:type="dxa"/>
            <w:vAlign w:val="bottom"/>
            <w:shd w:val="clear" w:color="auto" w:fill="D6F3E8"/>
          </w:tcPr>
          <w:p>
            <w:pPr>
              <w:ind w:left="680"/>
              <w:spacing w:after="0"/>
              <w:rPr>
                <w:sz w:val="20"/>
                <w:szCs w:val="20"/>
                <w:color w:val="auto"/>
              </w:rPr>
            </w:pPr>
            <w:r>
              <w:rPr>
                <w:rFonts w:ascii="Arial" w:cs="Arial" w:eastAsia="Arial" w:hAnsi="Arial"/>
                <w:sz w:val="18"/>
                <w:szCs w:val="18"/>
                <w:color w:val="auto"/>
              </w:rPr>
              <w:t>2.4</w:t>
            </w:r>
          </w:p>
        </w:tc>
        <w:tc>
          <w:tcPr>
            <w:tcW w:w="6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100" w:type="dxa"/>
            <w:vAlign w:val="bottom"/>
            <w:shd w:val="clear" w:color="auto" w:fill="D6F3E8"/>
          </w:tcPr>
          <w:p>
            <w:pPr>
              <w:jc w:val="right"/>
              <w:ind w:right="115"/>
              <w:spacing w:after="0"/>
              <w:rPr>
                <w:sz w:val="20"/>
                <w:szCs w:val="20"/>
                <w:color w:val="auto"/>
              </w:rPr>
            </w:pPr>
            <w:r>
              <w:rPr>
                <w:rFonts w:ascii="Arial" w:cs="Arial" w:eastAsia="Arial" w:hAnsi="Arial"/>
                <w:sz w:val="18"/>
                <w:szCs w:val="18"/>
                <w:color w:val="auto"/>
              </w:rPr>
              <w:t>(61,581)</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(486.3)</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D6F3E8"/>
            </w:tcBorders>
            <w:gridSpan w:val="2"/>
          </w:tcPr>
          <w:p>
            <w:pPr>
              <w:spacing w:after="0"/>
              <w:rPr>
                <w:sz w:val="20"/>
                <w:szCs w:val="20"/>
                <w:color w:val="auto"/>
              </w:rPr>
            </w:pPr>
            <w:r>
              <w:rPr>
                <w:rFonts w:ascii="Arial" w:cs="Arial" w:eastAsia="Arial" w:hAnsi="Arial"/>
                <w:sz w:val="18"/>
                <w:szCs w:val="18"/>
                <w:color w:val="auto"/>
              </w:rPr>
              <w:t>Benefit for taxes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(20,387)</w:t>
            </w:r>
          </w:p>
        </w:tc>
        <w:tc>
          <w:tcPr>
            <w:tcW w:w="116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(13.4)</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8"/>
                <w:szCs w:val="18"/>
                <w:color w:val="auto"/>
              </w:rPr>
              <w:t>(2,815)</w:t>
            </w: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(0.6)</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(17,572)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(624.2)</w:t>
            </w:r>
          </w:p>
        </w:tc>
        <w:tc>
          <w:tcPr>
            <w:tcW w:w="0" w:type="dxa"/>
            <w:vAlign w:val="bottom"/>
          </w:tcPr>
          <w:p>
            <w:pPr>
              <w:spacing w:after="0"/>
              <w:rPr>
                <w:sz w:val="1"/>
                <w:szCs w:val="1"/>
                <w:color w:val="auto"/>
              </w:rPr>
            </w:pPr>
          </w:p>
        </w:tc>
      </w:tr>
      <w:tr>
        <w:trPr>
          <w:trHeight w:val="210"/>
        </w:trPr>
        <w:tc>
          <w:tcPr>
            <w:tcW w:w="4360" w:type="dxa"/>
            <w:vAlign w:val="bottom"/>
            <w:tcBorders>
              <w:bottom w:val="single" w:sz="8" w:color="D6F3E8"/>
            </w:tcBorders>
            <w:gridSpan w:val="2"/>
            <w:shd w:val="clear" w:color="auto" w:fill="D6F3E8"/>
          </w:tcPr>
          <w:p>
            <w:pPr>
              <w:spacing w:after="0" w:line="202" w:lineRule="exact"/>
              <w:rPr>
                <w:sz w:val="20"/>
                <w:szCs w:val="20"/>
                <w:color w:val="auto"/>
              </w:rPr>
            </w:pPr>
            <w:r>
              <w:rPr>
                <w:rFonts w:ascii="Arial" w:cs="Arial" w:eastAsia="Arial" w:hAnsi="Arial"/>
                <w:sz w:val="18"/>
                <w:szCs w:val="18"/>
                <w:color w:val="auto"/>
              </w:rPr>
              <w:t>Net (loss) income</w:t>
            </w:r>
          </w:p>
        </w:tc>
        <w:tc>
          <w:tcPr>
            <w:tcW w:w="180" w:type="dxa"/>
            <w:vAlign w:val="bottom"/>
            <w:tcBorders>
              <w:bottom w:val="single" w:sz="8" w:color="auto"/>
            </w:tcBorders>
            <w:shd w:val="clear" w:color="auto" w:fill="D6F3E8"/>
          </w:tcPr>
          <w:p>
            <w:pPr>
              <w:jc w:val="right"/>
              <w:ind w:right="23"/>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gridSpan w:val="3"/>
            <w:shd w:val="clear" w:color="auto" w:fill="D6F3E8"/>
          </w:tcPr>
          <w:p>
            <w:pPr>
              <w:jc w:val="right"/>
              <w:ind w:right="160"/>
              <w:spacing w:after="0"/>
              <w:rPr>
                <w:sz w:val="20"/>
                <w:szCs w:val="20"/>
                <w:color w:val="auto"/>
              </w:rPr>
            </w:pPr>
            <w:r>
              <w:rPr>
                <w:rFonts w:ascii="Arial" w:cs="Arial" w:eastAsia="Arial" w:hAnsi="Arial"/>
                <w:sz w:val="18"/>
                <w:szCs w:val="18"/>
                <w:color w:val="auto"/>
              </w:rPr>
              <w:t>(28,530)</w:t>
            </w:r>
          </w:p>
        </w:tc>
        <w:tc>
          <w:tcPr>
            <w:tcW w:w="1160" w:type="dxa"/>
            <w:vAlign w:val="bottom"/>
            <w:tcBorders>
              <w:bottom w:val="single" w:sz="8" w:color="auto"/>
            </w:tcBorders>
            <w:shd w:val="clear" w:color="auto" w:fill="D6F3E8"/>
          </w:tcPr>
          <w:p>
            <w:pPr>
              <w:jc w:val="right"/>
              <w:ind w:right="95"/>
              <w:spacing w:after="0"/>
              <w:rPr>
                <w:sz w:val="20"/>
                <w:szCs w:val="20"/>
                <w:color w:val="auto"/>
              </w:rPr>
            </w:pPr>
            <w:r>
              <w:rPr>
                <w:rFonts w:ascii="Arial" w:cs="Arial" w:eastAsia="Arial" w:hAnsi="Arial"/>
                <w:sz w:val="18"/>
                <w:szCs w:val="18"/>
                <w:color w:val="auto"/>
              </w:rPr>
              <w:t>(18.8)</w:t>
            </w:r>
          </w:p>
        </w:tc>
        <w:tc>
          <w:tcPr>
            <w:tcW w:w="180" w:type="dxa"/>
            <w:vAlign w:val="bottom"/>
            <w:tcBorders>
              <w:bottom w:val="single" w:sz="8" w:color="auto"/>
            </w:tcBorders>
            <w:shd w:val="clear" w:color="auto" w:fill="D6F3E8"/>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15,479</w:t>
            </w:r>
          </w:p>
        </w:tc>
        <w:tc>
          <w:tcPr>
            <w:tcW w:w="240" w:type="dxa"/>
            <w:vAlign w:val="bottom"/>
            <w:tcBorders>
              <w:bottom w:val="single" w:sz="8" w:color="auto"/>
            </w:tcBorders>
            <w:shd w:val="clear" w:color="auto" w:fill="D6F3E8"/>
          </w:tcPr>
          <w:p>
            <w:pPr>
              <w:spacing w:after="0"/>
              <w:rPr>
                <w:sz w:val="18"/>
                <w:szCs w:val="18"/>
                <w:color w:val="auto"/>
              </w:rPr>
            </w:pPr>
          </w:p>
        </w:tc>
        <w:tc>
          <w:tcPr>
            <w:tcW w:w="1060" w:type="dxa"/>
            <w:vAlign w:val="bottom"/>
            <w:tcBorders>
              <w:bottom w:val="single" w:sz="8" w:color="auto"/>
            </w:tcBorders>
            <w:shd w:val="clear" w:color="auto" w:fill="D6F3E8"/>
          </w:tcPr>
          <w:p>
            <w:pPr>
              <w:ind w:left="680"/>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auto"/>
            </w:tcBorders>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D6F3E8"/>
          </w:tcPr>
          <w:p>
            <w:pPr>
              <w:jc w:val="right"/>
              <w:ind w:right="115"/>
              <w:spacing w:after="0"/>
              <w:rPr>
                <w:sz w:val="20"/>
                <w:szCs w:val="20"/>
                <w:color w:val="auto"/>
              </w:rPr>
            </w:pPr>
            <w:r>
              <w:rPr>
                <w:rFonts w:ascii="Arial" w:cs="Arial" w:eastAsia="Arial" w:hAnsi="Arial"/>
                <w:sz w:val="18"/>
                <w:szCs w:val="18"/>
                <w:color w:val="auto"/>
              </w:rPr>
              <w:t>(44,009)</w:t>
            </w:r>
          </w:p>
        </w:tc>
        <w:tc>
          <w:tcPr>
            <w:tcW w:w="9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(284.3)</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4360" w:type="dxa"/>
            <w:vAlign w:val="bottom"/>
            <w:gridSpan w:val="2"/>
          </w:tcPr>
          <w:p>
            <w:pPr>
              <w:spacing w:after="0"/>
              <w:rPr>
                <w:sz w:val="20"/>
                <w:szCs w:val="20"/>
                <w:color w:val="auto"/>
              </w:rPr>
            </w:pPr>
            <w:r>
              <w:rPr>
                <w:rFonts w:ascii="Arial" w:cs="Arial" w:eastAsia="Arial" w:hAnsi="Arial"/>
                <w:sz w:val="18"/>
                <w:szCs w:val="18"/>
                <w:color w:val="auto"/>
              </w:rPr>
              <w:t>Diluted (loss) income per share</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(0.98)</w:t>
            </w:r>
          </w:p>
        </w:tc>
        <w:tc>
          <w:tcPr>
            <w:tcW w:w="116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0.53</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5"/>
              <w:spacing w:after="0"/>
              <w:rPr>
                <w:sz w:val="20"/>
                <w:szCs w:val="20"/>
                <w:color w:val="auto"/>
              </w:rPr>
            </w:pPr>
            <w:r>
              <w:rPr>
                <w:rFonts w:ascii="Arial" w:cs="Arial" w:eastAsia="Arial" w:hAnsi="Arial"/>
                <w:sz w:val="18"/>
                <w:szCs w:val="18"/>
                <w:color w:val="auto"/>
              </w:rPr>
              <w:t>(1.51)</w:t>
            </w:r>
          </w:p>
        </w:tc>
        <w:tc>
          <w:tcPr>
            <w:tcW w:w="980" w:type="dxa"/>
            <w:vAlign w:val="bottom"/>
          </w:tcPr>
          <w:p>
            <w:pPr>
              <w:jc w:val="right"/>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198"/>
        </w:trPr>
        <w:tc>
          <w:tcPr>
            <w:tcW w:w="4360" w:type="dxa"/>
            <w:vAlign w:val="bottom"/>
            <w:tcBorders>
              <w:top w:val="single" w:sz="8" w:color="D6F3E8"/>
              <w:bottom w:val="single" w:sz="8" w:color="D6F3E8"/>
            </w:tcBorders>
            <w:gridSpan w:val="2"/>
            <w:shd w:val="clear" w:color="auto" w:fill="D6F3E8"/>
          </w:tcPr>
          <w:p>
            <w:pPr>
              <w:spacing w:after="0" w:line="182" w:lineRule="exact"/>
              <w:rPr>
                <w:sz w:val="20"/>
                <w:szCs w:val="20"/>
                <w:color w:val="auto"/>
              </w:rPr>
            </w:pPr>
            <w:r>
              <w:rPr>
                <w:rFonts w:ascii="Arial" w:cs="Arial" w:eastAsia="Arial" w:hAnsi="Arial"/>
                <w:sz w:val="18"/>
                <w:szCs w:val="18"/>
                <w:color w:val="auto"/>
              </w:rPr>
              <w:t>Fully diluted average shares outstanding</w:t>
            </w:r>
          </w:p>
        </w:tc>
        <w:tc>
          <w:tcPr>
            <w:tcW w:w="180" w:type="dxa"/>
            <w:vAlign w:val="bottom"/>
            <w:tcBorders>
              <w:top w:val="single" w:sz="8" w:color="auto"/>
              <w:bottom w:val="single" w:sz="8" w:color="auto"/>
            </w:tcBorders>
            <w:shd w:val="clear" w:color="auto" w:fill="D6F3E8"/>
          </w:tcPr>
          <w:p>
            <w:pPr>
              <w:spacing w:after="0"/>
              <w:rPr>
                <w:sz w:val="17"/>
                <w:szCs w:val="17"/>
                <w:color w:val="auto"/>
              </w:rPr>
            </w:pPr>
          </w:p>
        </w:tc>
        <w:tc>
          <w:tcPr>
            <w:tcW w:w="860" w:type="dxa"/>
            <w:vAlign w:val="bottom"/>
            <w:tcBorders>
              <w:top w:val="single" w:sz="8" w:color="auto"/>
              <w:bottom w:val="single" w:sz="8" w:color="auto"/>
            </w:tcBorders>
            <w:gridSpan w:val="2"/>
            <w:shd w:val="clear" w:color="auto" w:fill="D6F3E8"/>
          </w:tcPr>
          <w:p>
            <w:pPr>
              <w:jc w:val="right"/>
              <w:spacing w:after="0" w:line="198" w:lineRule="exact"/>
              <w:rPr>
                <w:sz w:val="20"/>
                <w:szCs w:val="20"/>
                <w:color w:val="auto"/>
              </w:rPr>
            </w:pPr>
            <w:r>
              <w:rPr>
                <w:rFonts w:ascii="Arial" w:cs="Arial" w:eastAsia="Arial" w:hAnsi="Arial"/>
                <w:sz w:val="18"/>
                <w:szCs w:val="18"/>
                <w:color w:val="auto"/>
              </w:rPr>
              <w:t>29,046</w:t>
            </w:r>
          </w:p>
        </w:tc>
        <w:tc>
          <w:tcPr>
            <w:tcW w:w="220" w:type="dxa"/>
            <w:vAlign w:val="bottom"/>
            <w:tcBorders>
              <w:top w:val="single" w:sz="8" w:color="D6F3E8"/>
              <w:bottom w:val="single" w:sz="8" w:color="D6F3E8"/>
            </w:tcBorders>
            <w:shd w:val="clear" w:color="auto" w:fill="D6F3E8"/>
          </w:tcPr>
          <w:p>
            <w:pPr>
              <w:spacing w:after="0"/>
              <w:rPr>
                <w:sz w:val="17"/>
                <w:szCs w:val="17"/>
                <w:color w:val="auto"/>
              </w:rPr>
            </w:pPr>
          </w:p>
        </w:tc>
        <w:tc>
          <w:tcPr>
            <w:tcW w:w="1160" w:type="dxa"/>
            <w:vAlign w:val="bottom"/>
            <w:tcBorders>
              <w:top w:val="single" w:sz="8" w:color="D6F3E8"/>
              <w:bottom w:val="single" w:sz="8" w:color="D6F3E8"/>
            </w:tcBorders>
            <w:shd w:val="clear" w:color="auto" w:fill="D6F3E8"/>
          </w:tcPr>
          <w:p>
            <w:pPr>
              <w:spacing w:after="0"/>
              <w:rPr>
                <w:sz w:val="17"/>
                <w:szCs w:val="17"/>
                <w:color w:val="auto"/>
              </w:rPr>
            </w:pPr>
          </w:p>
        </w:tc>
        <w:tc>
          <w:tcPr>
            <w:tcW w:w="180" w:type="dxa"/>
            <w:vAlign w:val="bottom"/>
            <w:tcBorders>
              <w:top w:val="single" w:sz="8" w:color="auto"/>
              <w:bottom w:val="single" w:sz="8" w:color="auto"/>
            </w:tcBorders>
            <w:shd w:val="clear" w:color="auto" w:fill="D6F3E8"/>
          </w:tcPr>
          <w:p>
            <w:pPr>
              <w:spacing w:after="0"/>
              <w:rPr>
                <w:sz w:val="17"/>
                <w:szCs w:val="17"/>
                <w:color w:val="auto"/>
              </w:rPr>
            </w:pPr>
          </w:p>
        </w:tc>
        <w:tc>
          <w:tcPr>
            <w:tcW w:w="860" w:type="dxa"/>
            <w:vAlign w:val="bottom"/>
            <w:tcBorders>
              <w:top w:val="single" w:sz="8" w:color="auto"/>
              <w:bottom w:val="single" w:sz="8" w:color="auto"/>
            </w:tcBorders>
            <w:shd w:val="clear" w:color="auto" w:fill="D6F3E8"/>
          </w:tcPr>
          <w:p>
            <w:pPr>
              <w:jc w:val="right"/>
              <w:spacing w:after="0" w:line="198" w:lineRule="exact"/>
              <w:rPr>
                <w:sz w:val="20"/>
                <w:szCs w:val="20"/>
                <w:color w:val="auto"/>
              </w:rPr>
            </w:pPr>
            <w:r>
              <w:rPr>
                <w:rFonts w:ascii="Arial" w:cs="Arial" w:eastAsia="Arial" w:hAnsi="Arial"/>
                <w:sz w:val="18"/>
                <w:szCs w:val="18"/>
                <w:color w:val="auto"/>
              </w:rPr>
              <w:t>29,183</w:t>
            </w:r>
          </w:p>
        </w:tc>
        <w:tc>
          <w:tcPr>
            <w:tcW w:w="240" w:type="dxa"/>
            <w:vAlign w:val="bottom"/>
            <w:tcBorders>
              <w:top w:val="single" w:sz="8" w:color="D6F3E8"/>
              <w:bottom w:val="single" w:sz="8" w:color="D6F3E8"/>
            </w:tcBorders>
            <w:shd w:val="clear" w:color="auto" w:fill="D6F3E8"/>
          </w:tcPr>
          <w:p>
            <w:pPr>
              <w:spacing w:after="0"/>
              <w:rPr>
                <w:sz w:val="17"/>
                <w:szCs w:val="17"/>
                <w:color w:val="auto"/>
              </w:rPr>
            </w:pPr>
          </w:p>
        </w:tc>
        <w:tc>
          <w:tcPr>
            <w:tcW w:w="1060" w:type="dxa"/>
            <w:vAlign w:val="bottom"/>
            <w:tcBorders>
              <w:top w:val="single" w:sz="8" w:color="D6F3E8"/>
              <w:bottom w:val="single" w:sz="8" w:color="D6F3E8"/>
            </w:tcBorders>
            <w:shd w:val="clear" w:color="auto" w:fill="D6F3E8"/>
          </w:tcPr>
          <w:p>
            <w:pPr>
              <w:spacing w:after="0"/>
              <w:rPr>
                <w:sz w:val="17"/>
                <w:szCs w:val="17"/>
                <w:color w:val="auto"/>
              </w:rPr>
            </w:pPr>
          </w:p>
        </w:tc>
        <w:tc>
          <w:tcPr>
            <w:tcW w:w="60" w:type="dxa"/>
            <w:vAlign w:val="bottom"/>
            <w:tcBorders>
              <w:top w:val="single" w:sz="8" w:color="D6F3E8"/>
              <w:bottom w:val="single" w:sz="8" w:color="D6F3E8"/>
            </w:tcBorders>
            <w:shd w:val="clear" w:color="auto" w:fill="D6F3E8"/>
          </w:tcPr>
          <w:p>
            <w:pPr>
              <w:spacing w:after="0"/>
              <w:rPr>
                <w:sz w:val="17"/>
                <w:szCs w:val="17"/>
                <w:color w:val="auto"/>
              </w:rPr>
            </w:pPr>
          </w:p>
        </w:tc>
        <w:tc>
          <w:tcPr>
            <w:tcW w:w="160" w:type="dxa"/>
            <w:vAlign w:val="bottom"/>
            <w:tcBorders>
              <w:top w:val="single" w:sz="8" w:color="auto"/>
              <w:bottom w:val="single" w:sz="8" w:color="auto"/>
            </w:tcBorders>
            <w:shd w:val="clear" w:color="auto" w:fill="D6F3E8"/>
          </w:tcPr>
          <w:p>
            <w:pPr>
              <w:spacing w:after="0"/>
              <w:rPr>
                <w:sz w:val="17"/>
                <w:szCs w:val="17"/>
                <w:color w:val="auto"/>
              </w:rPr>
            </w:pPr>
          </w:p>
        </w:tc>
        <w:tc>
          <w:tcPr>
            <w:tcW w:w="1100" w:type="dxa"/>
            <w:vAlign w:val="bottom"/>
            <w:tcBorders>
              <w:top w:val="single" w:sz="8" w:color="auto"/>
              <w:bottom w:val="single" w:sz="8" w:color="auto"/>
            </w:tcBorders>
            <w:shd w:val="clear" w:color="auto" w:fill="D6F3E8"/>
          </w:tcPr>
          <w:p>
            <w:pPr>
              <w:jc w:val="right"/>
              <w:ind w:right="115"/>
              <w:spacing w:after="0" w:line="198" w:lineRule="exact"/>
              <w:rPr>
                <w:sz w:val="20"/>
                <w:szCs w:val="20"/>
                <w:color w:val="auto"/>
              </w:rPr>
            </w:pPr>
            <w:r>
              <w:rPr>
                <w:rFonts w:ascii="Arial" w:cs="Arial" w:eastAsia="Arial" w:hAnsi="Arial"/>
                <w:sz w:val="18"/>
                <w:szCs w:val="18"/>
                <w:color w:val="auto"/>
              </w:rPr>
              <w:t>(137)</w:t>
            </w:r>
          </w:p>
        </w:tc>
        <w:tc>
          <w:tcPr>
            <w:tcW w:w="980" w:type="dxa"/>
            <w:vAlign w:val="bottom"/>
            <w:tcBorders>
              <w:top w:val="single" w:sz="8" w:color="auto"/>
              <w:bottom w:val="single" w:sz="8" w:color="auto"/>
            </w:tcBorders>
            <w:shd w:val="clear" w:color="auto" w:fill="D6F3E8"/>
          </w:tcPr>
          <w:p>
            <w:pPr>
              <w:jc w:val="right"/>
              <w:spacing w:after="0" w:line="198"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vMerge w:val="restart"/>
          </w:tcPr>
          <w:p>
            <w:pPr>
              <w:jc w:val="center"/>
              <w:ind w:right="895"/>
              <w:spacing w:after="0"/>
              <w:rPr>
                <w:sz w:val="20"/>
                <w:szCs w:val="20"/>
                <w:color w:val="auto"/>
              </w:rPr>
            </w:pPr>
            <w:r>
              <w:rPr>
                <w:rFonts w:ascii="Arial" w:cs="Arial" w:eastAsia="Arial" w:hAnsi="Arial"/>
                <w:sz w:val="18"/>
                <w:szCs w:val="18"/>
                <w:color w:val="auto"/>
                <w:w w:val="89"/>
              </w:rPr>
              <w:t>19</w:t>
            </w: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7"/>
        </w:trPr>
        <w:tc>
          <w:tcPr>
            <w:tcW w:w="12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1260" w:type="dxa"/>
            <w:vAlign w:val="bottom"/>
            <w:tcBorders>
              <w:bottom w:val="single" w:sz="8" w:color="808080"/>
            </w:tcBorders>
          </w:tcPr>
          <w:p>
            <w:pPr>
              <w:spacing w:after="0"/>
              <w:rPr>
                <w:sz w:val="24"/>
                <w:szCs w:val="24"/>
                <w:color w:val="auto"/>
              </w:rPr>
            </w:pPr>
          </w:p>
        </w:tc>
        <w:tc>
          <w:tcPr>
            <w:tcW w:w="31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1">
              <w:r>
                <w:rPr>
                  <w:rFonts w:ascii="Arial" w:cs="Arial" w:eastAsia="Arial" w:hAnsi="Arial"/>
                  <w:sz w:val="18"/>
                  <w:szCs w:val="18"/>
                  <w:color w:val="0000EE"/>
                  <w:w w:val="87"/>
                </w:rPr>
                <w:t>Table of Contents</w:t>
              </w:r>
            </w:hyperlink>
          </w:p>
        </w:tc>
        <w:tc>
          <w:tcPr>
            <w:tcW w:w="3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4360" w:type="dxa"/>
            <w:vAlign w:val="bottom"/>
            <w:gridSpan w:val="2"/>
          </w:tcPr>
          <w:p>
            <w:pPr>
              <w:spacing w:after="0"/>
              <w:rPr>
                <w:sz w:val="20"/>
                <w:szCs w:val="20"/>
                <w:color w:val="auto"/>
              </w:rPr>
            </w:pPr>
            <w:r>
              <w:rPr>
                <w:rFonts w:ascii="Arial" w:cs="Arial" w:eastAsia="Arial" w:hAnsi="Arial"/>
                <w:sz w:val="18"/>
                <w:szCs w:val="18"/>
                <w:color w:val="auto"/>
              </w:rPr>
              <w:t>Unit deliveries consisted of the following:</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2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Thirty-Nine</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jc w:val="right"/>
              <w:ind w:right="855"/>
              <w:spacing w:after="0"/>
              <w:rPr>
                <w:sz w:val="20"/>
                <w:szCs w:val="20"/>
                <w:color w:val="auto"/>
              </w:rPr>
            </w:pPr>
            <w:r>
              <w:rPr>
                <w:rFonts w:ascii="Arial" w:cs="Arial" w:eastAsia="Arial" w:hAnsi="Arial"/>
                <w:sz w:val="14"/>
                <w:szCs w:val="14"/>
                <w:b w:val="1"/>
                <w:bCs w:val="1"/>
                <w:color w:val="auto"/>
                <w:w w:val="97"/>
              </w:rPr>
              <w:t>Forty</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2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Weeks Ended</w:t>
            </w:r>
          </w:p>
        </w:tc>
        <w:tc>
          <w:tcPr>
            <w:tcW w:w="1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ind w:right="615"/>
              <w:spacing w:after="0"/>
              <w:rPr>
                <w:sz w:val="20"/>
                <w:szCs w:val="20"/>
                <w:color w:val="auto"/>
              </w:rPr>
            </w:pPr>
            <w:r>
              <w:rPr>
                <w:rFonts w:ascii="Arial" w:cs="Arial" w:eastAsia="Arial" w:hAnsi="Arial"/>
                <w:sz w:val="14"/>
                <w:szCs w:val="14"/>
                <w:b w:val="1"/>
                <w:bCs w:val="1"/>
                <w:color w:val="auto"/>
              </w:rPr>
              <w:t>Weeks Ended</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26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right"/>
              <w:ind w:right="240"/>
              <w:spacing w:after="0" w:line="136" w:lineRule="exact"/>
              <w:rPr>
                <w:sz w:val="20"/>
                <w:szCs w:val="20"/>
                <w:color w:val="auto"/>
              </w:rPr>
            </w:pPr>
            <w:r>
              <w:rPr>
                <w:rFonts w:ascii="Arial" w:cs="Arial" w:eastAsia="Arial" w:hAnsi="Arial"/>
                <w:sz w:val="14"/>
                <w:szCs w:val="14"/>
                <w:b w:val="1"/>
                <w:bCs w:val="1"/>
                <w:color w:val="auto"/>
              </w:rPr>
              <w:t>May 30,</w:t>
            </w:r>
          </w:p>
        </w:tc>
        <w:tc>
          <w:tcPr>
            <w:tcW w:w="1160" w:type="dxa"/>
            <w:vAlign w:val="bottom"/>
          </w:tcPr>
          <w:p>
            <w:pPr>
              <w:jc w:val="right"/>
              <w:ind w:right="155"/>
              <w:spacing w:after="0" w:line="136" w:lineRule="exact"/>
              <w:rPr>
                <w:sz w:val="20"/>
                <w:szCs w:val="20"/>
                <w:color w:val="auto"/>
              </w:rPr>
            </w:pPr>
            <w:r>
              <w:rPr>
                <w:rFonts w:ascii="Arial" w:cs="Arial" w:eastAsia="Arial" w:hAnsi="Arial"/>
                <w:sz w:val="14"/>
                <w:szCs w:val="14"/>
                <w:b w:val="1"/>
                <w:bCs w:val="1"/>
                <w:color w:val="auto"/>
              </w:rPr>
              <w:t>Product</w:t>
            </w:r>
          </w:p>
        </w:tc>
        <w:tc>
          <w:tcPr>
            <w:tcW w:w="180" w:type="dxa"/>
            <w:vAlign w:val="bottom"/>
          </w:tcPr>
          <w:p>
            <w:pPr>
              <w:spacing w:after="0"/>
              <w:rPr>
                <w:sz w:val="11"/>
                <w:szCs w:val="11"/>
                <w:color w:val="auto"/>
              </w:rPr>
            </w:pPr>
          </w:p>
        </w:tc>
        <w:tc>
          <w:tcPr>
            <w:tcW w:w="1100" w:type="dxa"/>
            <w:vAlign w:val="bottom"/>
            <w:gridSpan w:val="2"/>
          </w:tcPr>
          <w:p>
            <w:pPr>
              <w:jc w:val="right"/>
              <w:ind w:right="312"/>
              <w:spacing w:after="0" w:line="136" w:lineRule="exact"/>
              <w:rPr>
                <w:sz w:val="20"/>
                <w:szCs w:val="20"/>
                <w:color w:val="auto"/>
              </w:rPr>
            </w:pPr>
            <w:r>
              <w:rPr>
                <w:rFonts w:ascii="Arial" w:cs="Arial" w:eastAsia="Arial" w:hAnsi="Arial"/>
                <w:sz w:val="14"/>
                <w:szCs w:val="14"/>
                <w:b w:val="1"/>
                <w:bCs w:val="1"/>
                <w:color w:val="auto"/>
              </w:rPr>
              <w:t>May 31,</w:t>
            </w:r>
          </w:p>
        </w:tc>
        <w:tc>
          <w:tcPr>
            <w:tcW w:w="1060" w:type="dxa"/>
            <w:vAlign w:val="bottom"/>
          </w:tcPr>
          <w:p>
            <w:pPr>
              <w:ind w:left="300"/>
              <w:spacing w:after="0" w:line="136" w:lineRule="exact"/>
              <w:rPr>
                <w:sz w:val="20"/>
                <w:szCs w:val="20"/>
                <w:color w:val="auto"/>
              </w:rPr>
            </w:pPr>
            <w:r>
              <w:rPr>
                <w:rFonts w:ascii="Arial" w:cs="Arial" w:eastAsia="Arial" w:hAnsi="Arial"/>
                <w:sz w:val="14"/>
                <w:szCs w:val="14"/>
                <w:b w:val="1"/>
                <w:bCs w:val="1"/>
                <w:color w:val="auto"/>
              </w:rPr>
              <w:t>Product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315"/>
              <w:spacing w:after="0" w:line="136" w:lineRule="exact"/>
              <w:rPr>
                <w:sz w:val="20"/>
                <w:szCs w:val="20"/>
                <w:color w:val="auto"/>
              </w:rPr>
            </w:pPr>
            <w:r>
              <w:rPr>
                <w:rFonts w:ascii="Arial" w:cs="Arial" w:eastAsia="Arial" w:hAnsi="Arial"/>
                <w:sz w:val="14"/>
                <w:szCs w:val="14"/>
                <w:b w:val="1"/>
                <w:bCs w:val="1"/>
                <w:color w:val="auto"/>
                <w:w w:val="94"/>
              </w:rPr>
              <w:t>(Decrease)</w:t>
            </w:r>
          </w:p>
        </w:tc>
        <w:tc>
          <w:tcPr>
            <w:tcW w:w="980" w:type="dxa"/>
            <w:vAlign w:val="bottom"/>
          </w:tcPr>
          <w:p>
            <w:pPr>
              <w:jc w:val="center"/>
              <w:ind w:right="56"/>
              <w:spacing w:after="0" w:line="136"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68"/>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units)</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47"/>
              <w:spacing w:after="0"/>
              <w:rPr>
                <w:sz w:val="20"/>
                <w:szCs w:val="20"/>
                <w:color w:val="auto"/>
              </w:rPr>
            </w:pPr>
            <w:r>
              <w:rPr>
                <w:rFonts w:ascii="Arial" w:cs="Arial" w:eastAsia="Arial" w:hAnsi="Arial"/>
                <w:sz w:val="14"/>
                <w:szCs w:val="14"/>
                <w:b w:val="1"/>
                <w:bCs w:val="1"/>
                <w:color w:val="auto"/>
              </w:rPr>
              <w:t>2009</w:t>
            </w: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Mix %</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2008</w:t>
            </w: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Mix %</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Increase</w:t>
            </w:r>
          </w:p>
        </w:tc>
        <w:tc>
          <w:tcPr>
            <w:tcW w:w="9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Class A gas</w:t>
            </w:r>
          </w:p>
        </w:tc>
        <w:tc>
          <w:tcPr>
            <w:tcW w:w="180" w:type="dxa"/>
            <w:vAlign w:val="bottom"/>
            <w:shd w:val="clear" w:color="auto" w:fill="D6F3E8"/>
          </w:tcPr>
          <w:p>
            <w:pPr>
              <w:spacing w:after="0"/>
              <w:rPr>
                <w:sz w:val="18"/>
                <w:szCs w:val="18"/>
                <w:color w:val="auto"/>
              </w:rPr>
            </w:pPr>
          </w:p>
        </w:tc>
        <w:tc>
          <w:tcPr>
            <w:tcW w:w="108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356</w:t>
            </w: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22.4</w:t>
            </w:r>
          </w:p>
        </w:tc>
        <w:tc>
          <w:tcPr>
            <w:tcW w:w="18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92"/>
              <w:spacing w:after="0"/>
              <w:rPr>
                <w:sz w:val="20"/>
                <w:szCs w:val="20"/>
                <w:color w:val="auto"/>
              </w:rPr>
            </w:pPr>
            <w:r>
              <w:rPr>
                <w:rFonts w:ascii="Arial" w:cs="Arial" w:eastAsia="Arial" w:hAnsi="Arial"/>
                <w:sz w:val="18"/>
                <w:szCs w:val="18"/>
                <w:color w:val="auto"/>
              </w:rPr>
              <w:t>1,844</w:t>
            </w:r>
          </w:p>
        </w:tc>
        <w:tc>
          <w:tcPr>
            <w:tcW w:w="1060" w:type="dxa"/>
            <w:vAlign w:val="bottom"/>
            <w:shd w:val="clear" w:color="auto" w:fill="D6F3E8"/>
          </w:tcPr>
          <w:p>
            <w:pPr>
              <w:ind w:left="680"/>
              <w:spacing w:after="0"/>
              <w:rPr>
                <w:sz w:val="20"/>
                <w:szCs w:val="20"/>
                <w:color w:val="auto"/>
              </w:rPr>
            </w:pPr>
            <w:r>
              <w:rPr>
                <w:rFonts w:ascii="Arial" w:cs="Arial" w:eastAsia="Arial" w:hAnsi="Arial"/>
                <w:sz w:val="18"/>
                <w:szCs w:val="18"/>
                <w:color w:val="auto"/>
              </w:rPr>
              <w:t>33.7</w:t>
            </w:r>
          </w:p>
        </w:tc>
        <w:tc>
          <w:tcPr>
            <w:tcW w:w="6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100" w:type="dxa"/>
            <w:vAlign w:val="bottom"/>
            <w:shd w:val="clear" w:color="auto" w:fill="D6F3E8"/>
          </w:tcPr>
          <w:p>
            <w:pPr>
              <w:jc w:val="right"/>
              <w:ind w:right="115"/>
              <w:spacing w:after="0"/>
              <w:rPr>
                <w:sz w:val="20"/>
                <w:szCs w:val="20"/>
                <w:color w:val="auto"/>
              </w:rPr>
            </w:pPr>
            <w:r>
              <w:rPr>
                <w:rFonts w:ascii="Arial" w:cs="Arial" w:eastAsia="Arial" w:hAnsi="Arial"/>
                <w:sz w:val="18"/>
                <w:szCs w:val="18"/>
                <w:color w:val="auto"/>
              </w:rPr>
              <w:t>(1,488)</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Class A diesel</w:t>
            </w:r>
          </w:p>
        </w:tc>
        <w:tc>
          <w:tcPr>
            <w:tcW w:w="18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225</w:t>
            </w:r>
          </w:p>
        </w:tc>
        <w:tc>
          <w:tcPr>
            <w:tcW w:w="1160" w:type="dxa"/>
            <w:vAlign w:val="bottom"/>
          </w:tcPr>
          <w:p>
            <w:pPr>
              <w:jc w:val="right"/>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18"/>
                <w:szCs w:val="18"/>
                <w:color w:val="auto"/>
              </w:rPr>
            </w:pPr>
          </w:p>
        </w:tc>
        <w:tc>
          <w:tcPr>
            <w:tcW w:w="1100" w:type="dxa"/>
            <w:vAlign w:val="bottom"/>
            <w:gridSpan w:val="2"/>
          </w:tcPr>
          <w:p>
            <w:pPr>
              <w:jc w:val="right"/>
              <w:ind w:right="92"/>
              <w:spacing w:after="0"/>
              <w:rPr>
                <w:sz w:val="20"/>
                <w:szCs w:val="20"/>
                <w:color w:val="auto"/>
              </w:rPr>
            </w:pPr>
            <w:r>
              <w:rPr>
                <w:rFonts w:ascii="Arial" w:cs="Arial" w:eastAsia="Arial" w:hAnsi="Arial"/>
                <w:sz w:val="18"/>
                <w:szCs w:val="18"/>
                <w:color w:val="auto"/>
              </w:rPr>
              <w:t>801</w:t>
            </w:r>
          </w:p>
        </w:tc>
        <w:tc>
          <w:tcPr>
            <w:tcW w:w="1060" w:type="dxa"/>
            <w:vAlign w:val="bottom"/>
          </w:tcPr>
          <w:p>
            <w:pPr>
              <w:ind w:left="680"/>
              <w:spacing w:after="0"/>
              <w:rPr>
                <w:sz w:val="20"/>
                <w:szCs w:val="20"/>
                <w:color w:val="auto"/>
              </w:rPr>
            </w:pPr>
            <w:r>
              <w:rPr>
                <w:rFonts w:ascii="Arial" w:cs="Arial" w:eastAsia="Arial" w:hAnsi="Arial"/>
                <w:sz w:val="18"/>
                <w:szCs w:val="18"/>
                <w:color w:val="auto"/>
              </w:rPr>
              <w:t>14.6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15"/>
              <w:spacing w:after="0"/>
              <w:rPr>
                <w:sz w:val="20"/>
                <w:szCs w:val="20"/>
                <w:color w:val="auto"/>
              </w:rPr>
            </w:pPr>
            <w:r>
              <w:rPr>
                <w:rFonts w:ascii="Arial" w:cs="Arial" w:eastAsia="Arial" w:hAnsi="Arial"/>
                <w:sz w:val="18"/>
                <w:szCs w:val="18"/>
                <w:color w:val="auto"/>
              </w:rPr>
              <w:t>(576)</w:t>
            </w:r>
          </w:p>
        </w:tc>
        <w:tc>
          <w:tcPr>
            <w:tcW w:w="980" w:type="dxa"/>
            <w:vAlign w:val="bottom"/>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0"/>
        </w:trPr>
        <w:tc>
          <w:tcPr>
            <w:tcW w:w="4360" w:type="dxa"/>
            <w:vAlign w:val="bottom"/>
            <w:tcBorders>
              <w:top w:val="single" w:sz="8" w:color="D6F3E8"/>
            </w:tcBorders>
            <w:gridSpan w:val="2"/>
            <w:shd w:val="clear" w:color="auto" w:fill="D6F3E8"/>
          </w:tcPr>
          <w:p>
            <w:pPr>
              <w:spacing w:after="0" w:line="202" w:lineRule="exact"/>
              <w:rPr>
                <w:sz w:val="20"/>
                <w:szCs w:val="20"/>
                <w:color w:val="auto"/>
              </w:rPr>
            </w:pPr>
            <w:r>
              <w:rPr>
                <w:rFonts w:ascii="Arial" w:cs="Arial" w:eastAsia="Arial" w:hAnsi="Arial"/>
                <w:sz w:val="18"/>
                <w:szCs w:val="18"/>
                <w:color w:val="auto"/>
              </w:rPr>
              <w:t>Total Class A</w:t>
            </w:r>
          </w:p>
        </w:tc>
        <w:tc>
          <w:tcPr>
            <w:tcW w:w="180" w:type="dxa"/>
            <w:vAlign w:val="bottom"/>
            <w:tcBorders>
              <w:top w:val="single" w:sz="8" w:color="D6F3E8"/>
            </w:tcBorders>
            <w:shd w:val="clear" w:color="auto" w:fill="D6F3E8"/>
          </w:tcPr>
          <w:p>
            <w:pPr>
              <w:spacing w:after="0"/>
              <w:rPr>
                <w:sz w:val="18"/>
                <w:szCs w:val="18"/>
                <w:color w:val="auto"/>
              </w:rPr>
            </w:pPr>
          </w:p>
        </w:tc>
        <w:tc>
          <w:tcPr>
            <w:tcW w:w="160" w:type="dxa"/>
            <w:vAlign w:val="bottom"/>
            <w:tcBorders>
              <w:top w:val="single" w:sz="8" w:color="D6F3E8"/>
            </w:tcBorders>
            <w:shd w:val="clear" w:color="auto" w:fill="D6F3E8"/>
          </w:tcPr>
          <w:p>
            <w:pPr>
              <w:spacing w:after="0"/>
              <w:rPr>
                <w:sz w:val="18"/>
                <w:szCs w:val="18"/>
                <w:color w:val="auto"/>
              </w:rPr>
            </w:pPr>
          </w:p>
        </w:tc>
        <w:tc>
          <w:tcPr>
            <w:tcW w:w="92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581</w:t>
            </w:r>
          </w:p>
        </w:tc>
        <w:tc>
          <w:tcPr>
            <w:tcW w:w="11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36.5</w:t>
            </w:r>
          </w:p>
        </w:tc>
        <w:tc>
          <w:tcPr>
            <w:tcW w:w="180" w:type="dxa"/>
            <w:vAlign w:val="bottom"/>
            <w:tcBorders>
              <w:top w:val="single" w:sz="8" w:color="auto"/>
            </w:tcBorders>
            <w:shd w:val="clear" w:color="auto" w:fill="D6F3E8"/>
          </w:tcPr>
          <w:p>
            <w:pPr>
              <w:spacing w:after="0"/>
              <w:rPr>
                <w:sz w:val="18"/>
                <w:szCs w:val="18"/>
                <w:color w:val="auto"/>
              </w:rPr>
            </w:pPr>
          </w:p>
        </w:tc>
        <w:tc>
          <w:tcPr>
            <w:tcW w:w="1100" w:type="dxa"/>
            <w:vAlign w:val="bottom"/>
            <w:tcBorders>
              <w:top w:val="single" w:sz="8" w:color="auto"/>
            </w:tcBorders>
            <w:gridSpan w:val="2"/>
            <w:shd w:val="clear" w:color="auto" w:fill="D6F3E8"/>
          </w:tcPr>
          <w:p>
            <w:pPr>
              <w:jc w:val="right"/>
              <w:ind w:right="92"/>
              <w:spacing w:after="0"/>
              <w:rPr>
                <w:sz w:val="20"/>
                <w:szCs w:val="20"/>
                <w:color w:val="auto"/>
              </w:rPr>
            </w:pPr>
            <w:r>
              <w:rPr>
                <w:rFonts w:ascii="Arial" w:cs="Arial" w:eastAsia="Arial" w:hAnsi="Arial"/>
                <w:sz w:val="18"/>
                <w:szCs w:val="18"/>
                <w:color w:val="auto"/>
              </w:rPr>
              <w:t>2,645</w:t>
            </w:r>
          </w:p>
        </w:tc>
        <w:tc>
          <w:tcPr>
            <w:tcW w:w="1060" w:type="dxa"/>
            <w:vAlign w:val="bottom"/>
            <w:tcBorders>
              <w:top w:val="single" w:sz="8" w:color="auto"/>
            </w:tcBorders>
            <w:shd w:val="clear" w:color="auto" w:fill="D6F3E8"/>
          </w:tcPr>
          <w:p>
            <w:pPr>
              <w:ind w:left="680"/>
              <w:spacing w:after="0"/>
              <w:rPr>
                <w:sz w:val="20"/>
                <w:szCs w:val="20"/>
                <w:color w:val="auto"/>
              </w:rPr>
            </w:pPr>
            <w:r>
              <w:rPr>
                <w:rFonts w:ascii="Arial" w:cs="Arial" w:eastAsia="Arial" w:hAnsi="Arial"/>
                <w:sz w:val="18"/>
                <w:szCs w:val="18"/>
                <w:color w:val="auto"/>
              </w:rPr>
              <w:t>48.3</w:t>
            </w:r>
          </w:p>
        </w:tc>
        <w:tc>
          <w:tcPr>
            <w:tcW w:w="60" w:type="dxa"/>
            <w:vAlign w:val="bottom"/>
            <w:tcBorders>
              <w:top w:val="single" w:sz="8" w:color="auto"/>
            </w:tcBorders>
            <w:shd w:val="clear" w:color="auto" w:fill="D6F3E8"/>
          </w:tcPr>
          <w:p>
            <w:pPr>
              <w:spacing w:after="0"/>
              <w:rPr>
                <w:sz w:val="18"/>
                <w:szCs w:val="18"/>
                <w:color w:val="auto"/>
              </w:rPr>
            </w:pPr>
          </w:p>
        </w:tc>
        <w:tc>
          <w:tcPr>
            <w:tcW w:w="160" w:type="dxa"/>
            <w:vAlign w:val="bottom"/>
            <w:tcBorders>
              <w:top w:val="single" w:sz="8" w:color="auto"/>
            </w:tcBorders>
            <w:shd w:val="clear" w:color="auto" w:fill="D6F3E8"/>
          </w:tcPr>
          <w:p>
            <w:pPr>
              <w:spacing w:after="0"/>
              <w:rPr>
                <w:sz w:val="18"/>
                <w:szCs w:val="18"/>
                <w:color w:val="auto"/>
              </w:rPr>
            </w:pPr>
          </w:p>
        </w:tc>
        <w:tc>
          <w:tcPr>
            <w:tcW w:w="1100" w:type="dxa"/>
            <w:vAlign w:val="bottom"/>
            <w:tcBorders>
              <w:top w:val="single" w:sz="8" w:color="auto"/>
            </w:tcBorders>
            <w:shd w:val="clear" w:color="auto" w:fill="D6F3E8"/>
          </w:tcPr>
          <w:p>
            <w:pPr>
              <w:jc w:val="right"/>
              <w:ind w:right="115"/>
              <w:spacing w:after="0"/>
              <w:rPr>
                <w:sz w:val="20"/>
                <w:szCs w:val="20"/>
                <w:color w:val="auto"/>
              </w:rPr>
            </w:pPr>
            <w:r>
              <w:rPr>
                <w:rFonts w:ascii="Arial" w:cs="Arial" w:eastAsia="Arial" w:hAnsi="Arial"/>
                <w:sz w:val="18"/>
                <w:szCs w:val="18"/>
                <w:color w:val="auto"/>
              </w:rPr>
              <w:t>(2,064)</w:t>
            </w:r>
          </w:p>
        </w:tc>
        <w:tc>
          <w:tcPr>
            <w:tcW w:w="9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Class B</w:t>
            </w:r>
          </w:p>
        </w:tc>
        <w:tc>
          <w:tcPr>
            <w:tcW w:w="18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99</w:t>
            </w:r>
          </w:p>
        </w:tc>
        <w:tc>
          <w:tcPr>
            <w:tcW w:w="1160" w:type="dxa"/>
            <w:vAlign w:val="bottom"/>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8"/>
                <w:szCs w:val="18"/>
                <w:color w:val="auto"/>
              </w:rPr>
            </w:pPr>
          </w:p>
        </w:tc>
        <w:tc>
          <w:tcPr>
            <w:tcW w:w="1100" w:type="dxa"/>
            <w:vAlign w:val="bottom"/>
            <w:gridSpan w:val="2"/>
          </w:tcPr>
          <w:p>
            <w:pPr>
              <w:jc w:val="right"/>
              <w:ind w:right="92"/>
              <w:spacing w:after="0"/>
              <w:rPr>
                <w:sz w:val="20"/>
                <w:szCs w:val="20"/>
                <w:color w:val="auto"/>
              </w:rPr>
            </w:pPr>
            <w:r>
              <w:rPr>
                <w:rFonts w:ascii="Arial" w:cs="Arial" w:eastAsia="Arial" w:hAnsi="Arial"/>
                <w:sz w:val="18"/>
                <w:szCs w:val="18"/>
                <w:color w:val="auto"/>
              </w:rPr>
              <w:t>48</w:t>
            </w:r>
          </w:p>
        </w:tc>
        <w:tc>
          <w:tcPr>
            <w:tcW w:w="1060" w:type="dxa"/>
            <w:vAlign w:val="bottom"/>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color w:val="auto"/>
              </w:rPr>
              <w:t>51</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Class C</w:t>
            </w:r>
          </w:p>
        </w:tc>
        <w:tc>
          <w:tcPr>
            <w:tcW w:w="180" w:type="dxa"/>
            <w:vAlign w:val="bottom"/>
            <w:shd w:val="clear" w:color="auto" w:fill="D6F3E8"/>
          </w:tcPr>
          <w:p>
            <w:pPr>
              <w:spacing w:after="0"/>
              <w:rPr>
                <w:sz w:val="18"/>
                <w:szCs w:val="18"/>
                <w:color w:val="auto"/>
              </w:rPr>
            </w:pPr>
          </w:p>
        </w:tc>
        <w:tc>
          <w:tcPr>
            <w:tcW w:w="108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911</w:t>
            </w: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57.3</w:t>
            </w:r>
          </w:p>
        </w:tc>
        <w:tc>
          <w:tcPr>
            <w:tcW w:w="18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92"/>
              <w:spacing w:after="0"/>
              <w:rPr>
                <w:sz w:val="20"/>
                <w:szCs w:val="20"/>
                <w:color w:val="auto"/>
              </w:rPr>
            </w:pPr>
            <w:r>
              <w:rPr>
                <w:rFonts w:ascii="Arial" w:cs="Arial" w:eastAsia="Arial" w:hAnsi="Arial"/>
                <w:sz w:val="18"/>
                <w:szCs w:val="18"/>
                <w:color w:val="auto"/>
              </w:rPr>
              <w:t>2,786</w:t>
            </w:r>
          </w:p>
        </w:tc>
        <w:tc>
          <w:tcPr>
            <w:tcW w:w="1060" w:type="dxa"/>
            <w:vAlign w:val="bottom"/>
            <w:shd w:val="clear" w:color="auto" w:fill="D6F3E8"/>
          </w:tcPr>
          <w:p>
            <w:pPr>
              <w:ind w:left="680"/>
              <w:spacing w:after="0"/>
              <w:rPr>
                <w:sz w:val="20"/>
                <w:szCs w:val="20"/>
                <w:color w:val="auto"/>
              </w:rPr>
            </w:pPr>
            <w:r>
              <w:rPr>
                <w:rFonts w:ascii="Arial" w:cs="Arial" w:eastAsia="Arial" w:hAnsi="Arial"/>
                <w:sz w:val="18"/>
                <w:szCs w:val="18"/>
                <w:color w:val="auto"/>
              </w:rPr>
              <w:t>50.8</w:t>
            </w:r>
          </w:p>
        </w:tc>
        <w:tc>
          <w:tcPr>
            <w:tcW w:w="6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100" w:type="dxa"/>
            <w:vAlign w:val="bottom"/>
            <w:shd w:val="clear" w:color="auto" w:fill="D6F3E8"/>
          </w:tcPr>
          <w:p>
            <w:pPr>
              <w:jc w:val="right"/>
              <w:ind w:right="115"/>
              <w:spacing w:after="0"/>
              <w:rPr>
                <w:sz w:val="20"/>
                <w:szCs w:val="20"/>
                <w:color w:val="auto"/>
              </w:rPr>
            </w:pPr>
            <w:r>
              <w:rPr>
                <w:rFonts w:ascii="Arial" w:cs="Arial" w:eastAsia="Arial" w:hAnsi="Arial"/>
                <w:sz w:val="18"/>
                <w:szCs w:val="18"/>
                <w:color w:val="auto"/>
              </w:rPr>
              <w:t>(1,875)</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0"/>
        </w:trPr>
        <w:tc>
          <w:tcPr>
            <w:tcW w:w="43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Total deliveries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1,591</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gridSpan w:val="2"/>
          </w:tcPr>
          <w:p>
            <w:pPr>
              <w:jc w:val="right"/>
              <w:ind w:right="92"/>
              <w:spacing w:after="0"/>
              <w:rPr>
                <w:sz w:val="20"/>
                <w:szCs w:val="20"/>
                <w:color w:val="auto"/>
              </w:rPr>
            </w:pPr>
            <w:r>
              <w:rPr>
                <w:rFonts w:ascii="Arial" w:cs="Arial" w:eastAsia="Arial" w:hAnsi="Arial"/>
                <w:sz w:val="18"/>
                <w:szCs w:val="18"/>
                <w:color w:val="auto"/>
              </w:rPr>
              <w:t>5,479</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8"/>
                <w:szCs w:val="18"/>
                <w:color w:val="auto"/>
              </w:rPr>
              <w:t>(3,888)</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-2795270</wp:posOffset>
            </wp:positionV>
            <wp:extent cx="1460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-1990725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-1990725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Net revenues for the thirty-nine weeks ended May 30, 2009 decreased $367.0 million, or 70.7 percent, due to the following:</w:t>
      </w:r>
    </w:p>
    <w:p>
      <w:pPr>
        <w:spacing w:after="0" w:line="15" w:lineRule="exact"/>
        <w:rPr>
          <w:sz w:val="20"/>
          <w:szCs w:val="20"/>
          <w:color w:val="auto"/>
        </w:rPr>
      </w:pPr>
    </w:p>
    <w:p>
      <w:pPr>
        <w:ind w:left="540" w:hanging="316"/>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Volume decline: The primary reason for the net revenue decline was due to unit deliveries decreasing by 71.0 percent.</w:t>
      </w:r>
    </w:p>
    <w:p>
      <w:pPr>
        <w:spacing w:after="0" w:line="9"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Pricing and mix: Our motor home ASP, net of discounts, decreased 2.6 percent. The decrease in our ASP was due to a higher mix of lower-priced products partially offset by the increase in the current model year pricing. Our sales mix for the first thirty-nine weeks of Fiscal 2009 was more heavily weighted to lower-priced products as 63.5 percent of our volume was Class B and Class C products as compared to a 51.7 percent mix of Class B and Class C products in the first forty weeks of Fiscal 2008.</w:t>
      </w:r>
    </w:p>
    <w:p>
      <w:pPr>
        <w:spacing w:after="0" w:line="1" w:lineRule="exact"/>
        <w:rPr>
          <w:rFonts w:ascii="Arial" w:cs="Arial" w:eastAsia="Arial" w:hAnsi="Arial"/>
          <w:sz w:val="18"/>
          <w:szCs w:val="18"/>
          <w:color w:val="auto"/>
        </w:rPr>
      </w:pPr>
    </w:p>
    <w:p>
      <w:pPr>
        <w:jc w:val="both"/>
        <w:ind w:left="540" w:right="20" w:hanging="316"/>
        <w:spacing w:after="0" w:line="300" w:lineRule="auto"/>
        <w:tabs>
          <w:tab w:leader="none" w:pos="5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Promotional incentives: Our retail and other incentives increased 3.5 percent (as a percentage of net revenues) due to increased retail promotional activity on significantly lower revenues. We have retail incentive programs in place to help stimulate dealer retail traffic and these programs have had a substantial impact in reducing the dealer inventory level, as our dealer inventory in units is down 46.5 percent at May 30, 2009 compared to May 31, 2008.</w:t>
      </w:r>
    </w:p>
    <w:p>
      <w:pPr>
        <w:spacing w:after="0" w:line="1" w:lineRule="exact"/>
        <w:rPr>
          <w:rFonts w:ascii="Arial" w:cs="Arial" w:eastAsia="Arial" w:hAnsi="Arial"/>
          <w:sz w:val="15"/>
          <w:szCs w:val="15"/>
          <w:color w:val="auto"/>
        </w:rPr>
      </w:pPr>
    </w:p>
    <w:p>
      <w:pPr>
        <w:ind w:left="540" w:right="260" w:hanging="316"/>
        <w:spacing w:after="0" w:line="300" w:lineRule="auto"/>
        <w:tabs>
          <w:tab w:leader="none" w:pos="5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Repurchase activity: Our repurchase loss reserve provision, which is a deduction from gross revenues, increased 2.1 percent (as a percentage of net revenues). In the past three quarters, we have incurred a significant increase in the number of units we have had to repurchase and the losses associated with reselling these units due to the challenging motor home industry conditions. As a result, we have also increased the repurchase loss reserve.</w:t>
      </w:r>
    </w:p>
    <w:p>
      <w:pPr>
        <w:spacing w:after="0" w:line="1" w:lineRule="exact"/>
        <w:rPr>
          <w:rFonts w:ascii="Arial" w:cs="Arial" w:eastAsia="Arial" w:hAnsi="Arial"/>
          <w:sz w:val="15"/>
          <w:szCs w:val="15"/>
          <w:color w:val="auto"/>
        </w:rPr>
      </w:pPr>
    </w:p>
    <w:p>
      <w:pPr>
        <w:ind w:left="540" w:hanging="316"/>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Revenues for motor home parts and services and other manufactured products decreased by 36.7 percent.</w:t>
      </w:r>
    </w:p>
    <w:p>
      <w:pPr>
        <w:spacing w:after="0" w:line="219"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Gross (deficit) profit for the thirty-nine weeks ended May 30, 2009 was a deficit of $29.0 million, or (19.1 percent), of net revenues, compared to a gross profit of $40.4 million, or 7.8 percent, of net revenues during the forty weeks ended May 31, 2008. Gross margins were negatively impacted by lower motor home deliveries, low absorption of fixed costs and higher production inefficiencies due to lower production volumes, significant increases of wholesale and retail promotions due to challenging market conditions and a higher mix of lower-priced Class C and Class B motor home deliveries. There was a positive benefit to</w:t>
      </w:r>
    </w:p>
    <w:p>
      <w:pPr>
        <w:sectPr>
          <w:pgSz w:w="11900" w:h="16838" w:orient="portrait"/>
          <w:cols w:equalWidth="0" w:num="1">
            <w:col w:w="11420"/>
          </w:cols>
          <w:pgMar w:left="240" w:top="120" w:right="239" w:bottom="0" w:gutter="0" w:footer="0" w:header="0"/>
        </w:sectPr>
      </w:pPr>
    </w:p>
    <w:bookmarkStart w:id="15" w:name="page16"/>
    <w:bookmarkEnd w:id="15"/>
    <w:p>
      <w:pPr>
        <w:ind w:right="660"/>
        <w:spacing w:after="0" w:line="268" w:lineRule="auto"/>
        <w:rPr>
          <w:sz w:val="20"/>
          <w:szCs w:val="20"/>
          <w:color w:val="auto"/>
        </w:rPr>
      </w:pPr>
      <w:r>
        <w:rPr>
          <w:rFonts w:ascii="Arial" w:cs="Arial" w:eastAsia="Arial" w:hAnsi="Arial"/>
          <w:sz w:val="18"/>
          <w:szCs w:val="18"/>
          <w:color w:val="auto"/>
        </w:rPr>
        <w:t>costs of good sold in the thirty-nine weeks ended May 30, 2009, however, from the liquidation of LIFO inventory values due to a significant reduction of inventory levels.</w:t>
      </w:r>
    </w:p>
    <w:p>
      <w:pPr>
        <w:spacing w:after="0" w:line="186"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Selling expenses decreased $5.4 million, or 36.0 percent, for the thirty-nine weeks ended May 30, 2009 but, as a percent of net revenues, selling expenses were 6.3 percent and 2.9 percent during the thirty-nine weeks ended May 30, 2009 and the forty weeks ended May 31, 2008, respectively. The decrease in dollars for the thirty-nine weeks ended May 30, 2009 was due to reductions in advertising expenses of $2.6 million, labor-related expenses of $1.8 million as a result of reduced headcount, salesmen incentives of $400,000 and stock compensation.</w:t>
      </w:r>
    </w:p>
    <w:p>
      <w:pPr>
        <w:spacing w:after="0" w:line="16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General and administrative expenses decreased $4.6 million, or 28.1 percent, for the thirty-nine weeks ended May 30, 2009 but, as a percent of net revenues, general and administrative expenses were 7.7 percent and 3.1 percent during the thirty-nine weeks ended May 30, 2009 and the forty weeks ended May 31, 2008, respectively. The decrease in dollars for the thirty-nine weeks ended May 30, 2009 was due to reductions of $1.9 million in management incentive compensation expenses, labor-related expenses of $1.5 million as a result of reduced headcount, product liability expenses of $400,000 and legal expenses of $400,000. Also during the thirty-nine weeks ended May 30, 2009, we incurred ongoing expenses of $840,000 on our idle facilities. During the forty weeks ended May 31, 2008, $500,000 in severance payments were made in connection with our restructuring activities.</w:t>
      </w:r>
    </w:p>
    <w:p>
      <w:pPr>
        <w:spacing w:after="0" w:line="17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Financial income decreased $2.2 million, or 61.3 percent, for the thirty-nine weeks ended May 30, 2009. The decrease in financial income was due primarily to a decrease in the average yield of 2.56 percent and to a lesser extent, a decrease in average investment balances of approximately $25.7 million. In addition, the realized impairment on ARS of $484,000 was partially offset by the valuation of the Put Options of $375,000. See Note 4 to the Consolidated Financial Statements.</w:t>
      </w:r>
    </w:p>
    <w:p>
      <w:pPr>
        <w:spacing w:after="0" w:line="19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overall effective income tax rate for the thirty-nine weeks ended May 30, 2009 was a benefit of (41.7) percent compared to a benefit of (22.2) percent for the forty weeks ended May 31, 2008. The following table breaks down the two aforementioned tax rates: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jc w:val="center"/>
              <w:ind w:left="582"/>
              <w:spacing w:after="0"/>
              <w:rPr>
                <w:sz w:val="20"/>
                <w:szCs w:val="20"/>
                <w:color w:val="auto"/>
              </w:rPr>
            </w:pPr>
            <w:r>
              <w:rPr>
                <w:rFonts w:ascii="Arial" w:cs="Arial" w:eastAsia="Arial" w:hAnsi="Arial"/>
                <w:sz w:val="14"/>
                <w:szCs w:val="14"/>
                <w:b w:val="1"/>
                <w:bCs w:val="1"/>
                <w:color w:val="auto"/>
                <w:w w:val="91"/>
              </w:rPr>
              <w:t>Thirty-Nine</w:t>
            </w: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80" w:type="dxa"/>
            <w:vAlign w:val="bottom"/>
          </w:tcPr>
          <w:p>
            <w:pPr>
              <w:jc w:val="center"/>
              <w:ind w:left="582"/>
              <w:spacing w:after="0"/>
              <w:rPr>
                <w:sz w:val="20"/>
                <w:szCs w:val="20"/>
                <w:color w:val="auto"/>
              </w:rPr>
            </w:pPr>
            <w:r>
              <w:rPr>
                <w:rFonts w:ascii="Arial" w:cs="Arial" w:eastAsia="Arial" w:hAnsi="Arial"/>
                <w:sz w:val="14"/>
                <w:szCs w:val="14"/>
                <w:b w:val="1"/>
                <w:bCs w:val="1"/>
                <w:color w:val="auto"/>
                <w:w w:val="91"/>
              </w:rPr>
              <w:t>Forty</w:t>
            </w:r>
          </w:p>
        </w:tc>
        <w:tc>
          <w:tcPr>
            <w:tcW w:w="1000" w:type="dxa"/>
            <w:vAlign w:val="bottom"/>
          </w:tcPr>
          <w:p>
            <w:pPr>
              <w:spacing w:after="0"/>
              <w:rPr>
                <w:sz w:val="14"/>
                <w:szCs w:val="14"/>
                <w:color w:val="auto"/>
              </w:rPr>
            </w:pPr>
          </w:p>
        </w:tc>
      </w:tr>
      <w:tr>
        <w:trPr>
          <w:trHeight w:val="168"/>
        </w:trPr>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center"/>
              <w:ind w:left="602"/>
              <w:spacing w:after="0"/>
              <w:rPr>
                <w:sz w:val="20"/>
                <w:szCs w:val="20"/>
                <w:color w:val="auto"/>
              </w:rPr>
            </w:pPr>
            <w:r>
              <w:rPr>
                <w:rFonts w:ascii="Arial" w:cs="Arial" w:eastAsia="Arial" w:hAnsi="Arial"/>
                <w:sz w:val="14"/>
                <w:szCs w:val="14"/>
                <w:b w:val="1"/>
                <w:bCs w:val="1"/>
                <w:color w:val="auto"/>
                <w:w w:val="85"/>
              </w:rPr>
              <w:t>Weeks Ended</w:t>
            </w:r>
          </w:p>
        </w:tc>
        <w:tc>
          <w:tcPr>
            <w:tcW w:w="1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center"/>
              <w:ind w:left="562"/>
              <w:spacing w:after="0"/>
              <w:rPr>
                <w:sz w:val="20"/>
                <w:szCs w:val="20"/>
                <w:color w:val="auto"/>
              </w:rPr>
            </w:pPr>
            <w:r>
              <w:rPr>
                <w:rFonts w:ascii="Arial" w:cs="Arial" w:eastAsia="Arial" w:hAnsi="Arial"/>
                <w:sz w:val="14"/>
                <w:szCs w:val="14"/>
                <w:b w:val="1"/>
                <w:bCs w:val="1"/>
                <w:color w:val="auto"/>
                <w:w w:val="85"/>
              </w:rPr>
              <w:t>Weeks Ended</w:t>
            </w:r>
          </w:p>
        </w:tc>
        <w:tc>
          <w:tcPr>
            <w:tcW w:w="1000" w:type="dxa"/>
            <w:vAlign w:val="bottom"/>
            <w:tcBorders>
              <w:bottom w:val="single" w:sz="8" w:color="auto"/>
            </w:tcBorders>
          </w:tcPr>
          <w:p>
            <w:pPr>
              <w:spacing w:after="0"/>
              <w:rPr>
                <w:sz w:val="14"/>
                <w:szCs w:val="14"/>
                <w:color w:val="auto"/>
              </w:rPr>
            </w:pPr>
          </w:p>
        </w:tc>
      </w:tr>
      <w:tr>
        <w:trPr>
          <w:trHeight w:val="156"/>
        </w:trPr>
        <w:tc>
          <w:tcPr>
            <w:tcW w:w="5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center"/>
              <w:ind w:left="582"/>
              <w:spacing w:after="0" w:line="149" w:lineRule="exact"/>
              <w:rPr>
                <w:sz w:val="20"/>
                <w:szCs w:val="20"/>
                <w:color w:val="auto"/>
              </w:rPr>
            </w:pPr>
            <w:r>
              <w:rPr>
                <w:rFonts w:ascii="Arial" w:cs="Arial" w:eastAsia="Arial" w:hAnsi="Arial"/>
                <w:sz w:val="14"/>
                <w:szCs w:val="14"/>
                <w:b w:val="1"/>
                <w:bCs w:val="1"/>
                <w:color w:val="auto"/>
                <w:w w:val="88"/>
              </w:rPr>
              <w:t>May 30, 2009</w:t>
            </w:r>
          </w:p>
        </w:tc>
        <w:tc>
          <w:tcPr>
            <w:tcW w:w="1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center"/>
              <w:ind w:left="582"/>
              <w:spacing w:after="0" w:line="149" w:lineRule="exact"/>
              <w:rPr>
                <w:sz w:val="20"/>
                <w:szCs w:val="20"/>
                <w:color w:val="auto"/>
              </w:rPr>
            </w:pPr>
            <w:r>
              <w:rPr>
                <w:rFonts w:ascii="Arial" w:cs="Arial" w:eastAsia="Arial" w:hAnsi="Arial"/>
                <w:sz w:val="14"/>
                <w:szCs w:val="14"/>
                <w:b w:val="1"/>
                <w:bCs w:val="1"/>
                <w:color w:val="auto"/>
                <w:w w:val="88"/>
              </w:rPr>
              <w:t>May 31, 2008</w:t>
            </w:r>
          </w:p>
        </w:tc>
        <w:tc>
          <w:tcPr>
            <w:tcW w:w="1000" w:type="dxa"/>
            <w:vAlign w:val="bottom"/>
            <w:tcBorders>
              <w:bottom w:val="single" w:sz="8" w:color="auto"/>
            </w:tcBorders>
          </w:tcPr>
          <w:p>
            <w:pPr>
              <w:spacing w:after="0"/>
              <w:rPr>
                <w:sz w:val="13"/>
                <w:szCs w:val="13"/>
                <w:color w:val="auto"/>
              </w:rPr>
            </w:pPr>
          </w:p>
        </w:tc>
      </w:tr>
      <w:tr>
        <w:trPr>
          <w:trHeight w:val="136"/>
        </w:trPr>
        <w:tc>
          <w:tcPr>
            <w:tcW w:w="5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00" w:type="dxa"/>
            <w:vAlign w:val="bottom"/>
          </w:tcPr>
          <w:p>
            <w:pPr>
              <w:jc w:val="right"/>
              <w:ind w:right="439"/>
              <w:spacing w:after="0" w:line="136" w:lineRule="exact"/>
              <w:rPr>
                <w:sz w:val="20"/>
                <w:szCs w:val="20"/>
                <w:color w:val="auto"/>
              </w:rPr>
            </w:pPr>
            <w:r>
              <w:rPr>
                <w:rFonts w:ascii="Arial" w:cs="Arial" w:eastAsia="Arial" w:hAnsi="Arial"/>
                <w:sz w:val="14"/>
                <w:szCs w:val="14"/>
                <w:b w:val="1"/>
                <w:bCs w:val="1"/>
                <w:color w:val="auto"/>
                <w:w w:val="95"/>
              </w:rPr>
              <w:t>Effective</w:t>
            </w:r>
          </w:p>
        </w:tc>
        <w:tc>
          <w:tcPr>
            <w:tcW w:w="3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0" w:type="dxa"/>
            <w:vAlign w:val="bottom"/>
          </w:tcPr>
          <w:p>
            <w:pPr>
              <w:jc w:val="right"/>
              <w:ind w:right="339"/>
              <w:spacing w:after="0" w:line="136" w:lineRule="exact"/>
              <w:rPr>
                <w:sz w:val="20"/>
                <w:szCs w:val="20"/>
                <w:color w:val="auto"/>
              </w:rPr>
            </w:pPr>
            <w:r>
              <w:rPr>
                <w:rFonts w:ascii="Arial" w:cs="Arial" w:eastAsia="Arial" w:hAnsi="Arial"/>
                <w:sz w:val="14"/>
                <w:szCs w:val="14"/>
                <w:b w:val="1"/>
                <w:bCs w:val="1"/>
                <w:color w:val="auto"/>
                <w:w w:val="95"/>
              </w:rPr>
              <w:t>Effective</w:t>
            </w:r>
          </w:p>
        </w:tc>
      </w:tr>
      <w:tr>
        <w:trPr>
          <w:trHeight w:val="168"/>
        </w:trPr>
        <w:tc>
          <w:tcPr>
            <w:tcW w:w="5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thousands)</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902"/>
              <w:spacing w:after="0"/>
              <w:rPr>
                <w:sz w:val="20"/>
                <w:szCs w:val="20"/>
                <w:color w:val="auto"/>
              </w:rPr>
            </w:pPr>
            <w:r>
              <w:rPr>
                <w:rFonts w:ascii="Arial" w:cs="Arial" w:eastAsia="Arial" w:hAnsi="Arial"/>
                <w:sz w:val="14"/>
                <w:szCs w:val="14"/>
                <w:b w:val="1"/>
                <w:bCs w:val="1"/>
                <w:color w:val="auto"/>
              </w:rPr>
              <w:t>Amount</w:t>
            </w: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Rate (%)</w:t>
            </w:r>
          </w:p>
        </w:tc>
        <w:tc>
          <w:tcPr>
            <w:tcW w:w="3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882"/>
              <w:spacing w:after="0"/>
              <w:rPr>
                <w:sz w:val="20"/>
                <w:szCs w:val="20"/>
                <w:color w:val="auto"/>
              </w:rPr>
            </w:pPr>
            <w:r>
              <w:rPr>
                <w:rFonts w:ascii="Arial" w:cs="Arial" w:eastAsia="Arial" w:hAnsi="Arial"/>
                <w:sz w:val="14"/>
                <w:szCs w:val="14"/>
                <w:b w:val="1"/>
                <w:bCs w:val="1"/>
                <w:color w:val="auto"/>
              </w:rPr>
              <w:t>Amount</w:t>
            </w: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w w:val="99"/>
              </w:rPr>
              <w:t>Rate (%)</w:t>
            </w:r>
          </w:p>
        </w:tc>
      </w:tr>
      <w:tr>
        <w:trPr>
          <w:trHeight w:val="257"/>
        </w:trPr>
        <w:tc>
          <w:tcPr>
            <w:tcW w:w="5500" w:type="dxa"/>
            <w:vAlign w:val="bottom"/>
            <w:shd w:val="clear" w:color="auto" w:fill="D6F3E8"/>
          </w:tcPr>
          <w:p>
            <w:pPr>
              <w:spacing w:after="0" w:line="256" w:lineRule="exact"/>
              <w:rPr>
                <w:sz w:val="20"/>
                <w:szCs w:val="20"/>
                <w:color w:val="auto"/>
              </w:rPr>
            </w:pPr>
            <w:r>
              <w:rPr>
                <w:rFonts w:ascii="Arial" w:cs="Arial" w:eastAsia="Arial" w:hAnsi="Arial"/>
                <w:sz w:val="18"/>
                <w:szCs w:val="18"/>
                <w:color w:val="auto"/>
              </w:rPr>
              <w:t xml:space="preserve">Tax (benefit) provision before discrete items </w:t>
            </w:r>
            <w:r>
              <w:rPr>
                <w:rFonts w:ascii="Arial" w:cs="Arial" w:eastAsia="Arial" w:hAnsi="Arial"/>
                <w:sz w:val="29"/>
                <w:szCs w:val="29"/>
                <w:color w:val="auto"/>
                <w:vertAlign w:val="superscript"/>
              </w:rPr>
              <w:t>(1)</w:t>
            </w:r>
          </w:p>
        </w:tc>
        <w:tc>
          <w:tcPr>
            <w:tcW w:w="240" w:type="dxa"/>
            <w:vAlign w:val="bottom"/>
            <w:gridSpan w:val="2"/>
            <w:shd w:val="clear" w:color="auto" w:fill="D6F3E8"/>
          </w:tcPr>
          <w:p>
            <w:pPr>
              <w:jc w:val="right"/>
              <w:ind w:right="63"/>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D6F3E8"/>
          </w:tcPr>
          <w:p>
            <w:pPr>
              <w:jc w:val="right"/>
              <w:ind w:right="442"/>
              <w:spacing w:after="0"/>
              <w:rPr>
                <w:sz w:val="20"/>
                <w:szCs w:val="20"/>
                <w:color w:val="auto"/>
              </w:rPr>
            </w:pPr>
            <w:r>
              <w:rPr>
                <w:rFonts w:ascii="Arial" w:cs="Arial" w:eastAsia="Arial" w:hAnsi="Arial"/>
                <w:sz w:val="18"/>
                <w:szCs w:val="18"/>
                <w:color w:val="auto"/>
              </w:rPr>
              <w:t>(19,151)</w:t>
            </w:r>
          </w:p>
        </w:tc>
        <w:tc>
          <w:tcPr>
            <w:tcW w:w="1100" w:type="dxa"/>
            <w:vAlign w:val="bottom"/>
            <w:shd w:val="clear" w:color="auto" w:fill="D6F3E8"/>
          </w:tcPr>
          <w:p>
            <w:pPr>
              <w:jc w:val="right"/>
              <w:ind w:right="59"/>
              <w:spacing w:after="0"/>
              <w:rPr>
                <w:sz w:val="20"/>
                <w:szCs w:val="20"/>
                <w:color w:val="auto"/>
              </w:rPr>
            </w:pPr>
            <w:r>
              <w:rPr>
                <w:rFonts w:ascii="Arial" w:cs="Arial" w:eastAsia="Arial" w:hAnsi="Arial"/>
                <w:sz w:val="18"/>
                <w:szCs w:val="18"/>
                <w:color w:val="auto"/>
              </w:rPr>
              <w:t>(39.2%)</w:t>
            </w:r>
          </w:p>
        </w:tc>
        <w:tc>
          <w:tcPr>
            <w:tcW w:w="380" w:type="dxa"/>
            <w:vAlign w:val="bottom"/>
            <w:shd w:val="clear" w:color="auto" w:fill="D6F3E8"/>
          </w:tcPr>
          <w:p>
            <w:pPr>
              <w:jc w:val="right"/>
              <w:ind w:right="72"/>
              <w:spacing w:after="0"/>
              <w:rPr>
                <w:sz w:val="20"/>
                <w:szCs w:val="20"/>
                <w:color w:val="auto"/>
              </w:rPr>
            </w:pPr>
            <w:r>
              <w:rPr>
                <w:rFonts w:ascii="Arial" w:cs="Arial" w:eastAsia="Arial" w:hAnsi="Arial"/>
                <w:sz w:val="18"/>
                <w:szCs w:val="18"/>
                <w:color w:val="auto"/>
              </w:rPr>
              <w:t>$</w:t>
            </w:r>
          </w:p>
        </w:tc>
        <w:tc>
          <w:tcPr>
            <w:tcW w:w="1580" w:type="dxa"/>
            <w:vAlign w:val="bottom"/>
            <w:shd w:val="clear" w:color="auto" w:fill="D6F3E8"/>
          </w:tcPr>
          <w:p>
            <w:pPr>
              <w:jc w:val="right"/>
              <w:ind w:right="502"/>
              <w:spacing w:after="0"/>
              <w:rPr>
                <w:sz w:val="20"/>
                <w:szCs w:val="20"/>
                <w:color w:val="auto"/>
              </w:rPr>
            </w:pPr>
            <w:r>
              <w:rPr>
                <w:rFonts w:ascii="Arial" w:cs="Arial" w:eastAsia="Arial" w:hAnsi="Arial"/>
                <w:sz w:val="18"/>
                <w:szCs w:val="18"/>
                <w:color w:val="auto"/>
              </w:rPr>
              <w:t>2,951</w:t>
            </w:r>
          </w:p>
        </w:tc>
        <w:tc>
          <w:tcPr>
            <w:tcW w:w="1000" w:type="dxa"/>
            <w:vAlign w:val="bottom"/>
            <w:shd w:val="clear" w:color="auto" w:fill="D6F3E8"/>
          </w:tcPr>
          <w:p>
            <w:pPr>
              <w:jc w:val="right"/>
              <w:ind w:right="19"/>
              <w:spacing w:after="0"/>
              <w:rPr>
                <w:sz w:val="20"/>
                <w:szCs w:val="20"/>
                <w:color w:val="auto"/>
              </w:rPr>
            </w:pPr>
            <w:r>
              <w:rPr>
                <w:rFonts w:ascii="Arial" w:cs="Arial" w:eastAsia="Arial" w:hAnsi="Arial"/>
                <w:sz w:val="18"/>
                <w:szCs w:val="18"/>
                <w:color w:val="auto"/>
              </w:rPr>
              <w:t>23.3%</w:t>
            </w:r>
          </w:p>
        </w:tc>
      </w:tr>
      <w:tr>
        <w:trPr>
          <w:trHeight w:val="209"/>
        </w:trPr>
        <w:tc>
          <w:tcPr>
            <w:tcW w:w="5500" w:type="dxa"/>
            <w:vAlign w:val="bottom"/>
          </w:tcPr>
          <w:p>
            <w:pPr>
              <w:spacing w:after="0"/>
              <w:rPr>
                <w:sz w:val="20"/>
                <w:szCs w:val="20"/>
                <w:color w:val="auto"/>
              </w:rPr>
            </w:pPr>
            <w:r>
              <w:rPr>
                <w:rFonts w:ascii="Arial" w:cs="Arial" w:eastAsia="Arial" w:hAnsi="Arial"/>
                <w:sz w:val="18"/>
                <w:szCs w:val="18"/>
                <w:color w:val="auto"/>
              </w:rPr>
              <w:t>Discrete items: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64"/>
        </w:trPr>
        <w:tc>
          <w:tcPr>
            <w:tcW w:w="5500" w:type="dxa"/>
            <w:vAlign w:val="bottom"/>
          </w:tcPr>
          <w:p>
            <w:pPr>
              <w:ind w:left="160"/>
              <w:spacing w:after="0" w:line="263" w:lineRule="exact"/>
              <w:rPr>
                <w:sz w:val="20"/>
                <w:szCs w:val="20"/>
                <w:color w:val="auto"/>
              </w:rPr>
            </w:pPr>
            <w:r>
              <w:rPr>
                <w:rFonts w:ascii="Arial" w:cs="Arial" w:eastAsia="Arial" w:hAnsi="Arial"/>
                <w:sz w:val="18"/>
                <w:szCs w:val="18"/>
                <w:color w:val="auto"/>
              </w:rPr>
              <w:t xml:space="preserve">Settlements of uncertain tax positions </w:t>
            </w:r>
            <w:r>
              <w:rPr>
                <w:rFonts w:ascii="Arial" w:cs="Arial" w:eastAsia="Arial" w:hAnsi="Arial"/>
                <w:sz w:val="29"/>
                <w:szCs w:val="29"/>
                <w:color w:val="auto"/>
                <w:vertAlign w:val="superscript"/>
              </w:rPr>
              <w:t>(2)</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tcPr>
          <w:p>
            <w:pPr>
              <w:jc w:val="right"/>
              <w:ind w:right="442"/>
              <w:spacing w:after="0"/>
              <w:rPr>
                <w:sz w:val="20"/>
                <w:szCs w:val="20"/>
                <w:color w:val="auto"/>
              </w:rPr>
            </w:pPr>
            <w:r>
              <w:rPr>
                <w:rFonts w:ascii="Arial" w:cs="Arial" w:eastAsia="Arial" w:hAnsi="Arial"/>
                <w:sz w:val="18"/>
                <w:szCs w:val="18"/>
                <w:color w:val="auto"/>
              </w:rPr>
              <w:t>(500)</w:t>
            </w:r>
          </w:p>
        </w:tc>
        <w:tc>
          <w:tcPr>
            <w:tcW w:w="1100" w:type="dxa"/>
            <w:vAlign w:val="bottom"/>
          </w:tcPr>
          <w:p>
            <w:pPr>
              <w:jc w:val="right"/>
              <w:ind w:right="59"/>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22"/>
                <w:szCs w:val="22"/>
                <w:color w:val="auto"/>
              </w:rPr>
            </w:pPr>
          </w:p>
        </w:tc>
        <w:tc>
          <w:tcPr>
            <w:tcW w:w="1580" w:type="dxa"/>
            <w:vAlign w:val="bottom"/>
          </w:tcPr>
          <w:p>
            <w:pPr>
              <w:jc w:val="right"/>
              <w:ind w:right="442"/>
              <w:spacing w:after="0"/>
              <w:rPr>
                <w:sz w:val="20"/>
                <w:szCs w:val="20"/>
                <w:color w:val="auto"/>
              </w:rPr>
            </w:pPr>
            <w:r>
              <w:rPr>
                <w:rFonts w:ascii="Arial" w:cs="Arial" w:eastAsia="Arial" w:hAnsi="Arial"/>
                <w:sz w:val="18"/>
                <w:szCs w:val="18"/>
                <w:color w:val="auto"/>
              </w:rPr>
              <w:t>(5,117)</w:t>
            </w:r>
          </w:p>
        </w:tc>
        <w:tc>
          <w:tcPr>
            <w:tcW w:w="1000" w:type="dxa"/>
            <w:vAlign w:val="bottom"/>
          </w:tcPr>
          <w:p>
            <w:pPr>
              <w:jc w:val="right"/>
              <w:spacing w:after="0"/>
              <w:rPr>
                <w:sz w:val="20"/>
                <w:szCs w:val="20"/>
                <w:color w:val="auto"/>
              </w:rPr>
            </w:pPr>
            <w:r>
              <w:rPr>
                <w:rFonts w:ascii="Arial" w:cs="Arial" w:eastAsia="Arial" w:hAnsi="Arial"/>
                <w:sz w:val="18"/>
                <w:szCs w:val="18"/>
                <w:color w:val="auto"/>
              </w:rPr>
              <w:t>(40.4%)</w:t>
            </w:r>
          </w:p>
        </w:tc>
      </w:tr>
      <w:tr>
        <w:trPr>
          <w:trHeight w:val="257"/>
        </w:trPr>
        <w:tc>
          <w:tcPr>
            <w:tcW w:w="5500" w:type="dxa"/>
            <w:vAlign w:val="bottom"/>
            <w:shd w:val="clear" w:color="auto" w:fill="D6F3E8"/>
          </w:tcPr>
          <w:p>
            <w:pPr>
              <w:ind w:left="160"/>
              <w:spacing w:after="0" w:line="256" w:lineRule="exact"/>
              <w:rPr>
                <w:sz w:val="20"/>
                <w:szCs w:val="20"/>
                <w:color w:val="auto"/>
              </w:rPr>
            </w:pPr>
            <w:r>
              <w:rPr>
                <w:rFonts w:ascii="Arial" w:cs="Arial" w:eastAsia="Arial" w:hAnsi="Arial"/>
                <w:sz w:val="18"/>
                <w:szCs w:val="18"/>
                <w:color w:val="auto"/>
              </w:rPr>
              <w:t xml:space="preserve">Tax planning initiative </w:t>
            </w:r>
            <w:r>
              <w:rPr>
                <w:rFonts w:ascii="Arial" w:cs="Arial" w:eastAsia="Arial" w:hAnsi="Arial"/>
                <w:sz w:val="29"/>
                <w:szCs w:val="29"/>
                <w:color w:val="auto"/>
                <w:vertAlign w:val="superscript"/>
              </w:rPr>
              <w:t>(3)</w:t>
            </w:r>
          </w:p>
        </w:tc>
        <w:tc>
          <w:tcPr>
            <w:tcW w:w="20" w:type="dxa"/>
            <w:vAlign w:val="bottom"/>
            <w:shd w:val="clear" w:color="auto" w:fill="D6F3E8"/>
          </w:tcPr>
          <w:p>
            <w:pPr>
              <w:spacing w:after="0"/>
              <w:rPr>
                <w:sz w:val="22"/>
                <w:szCs w:val="22"/>
                <w:color w:val="auto"/>
              </w:rPr>
            </w:pPr>
          </w:p>
        </w:tc>
        <w:tc>
          <w:tcPr>
            <w:tcW w:w="220" w:type="dxa"/>
            <w:vAlign w:val="bottom"/>
            <w:tcBorders>
              <w:bottom w:val="single" w:sz="8" w:color="auto"/>
            </w:tcBorders>
            <w:shd w:val="clear" w:color="auto" w:fill="D6F3E8"/>
          </w:tcPr>
          <w:p>
            <w:pPr>
              <w:spacing w:after="0"/>
              <w:rPr>
                <w:sz w:val="22"/>
                <w:szCs w:val="22"/>
                <w:color w:val="auto"/>
              </w:rPr>
            </w:pPr>
          </w:p>
        </w:tc>
        <w:tc>
          <w:tcPr>
            <w:tcW w:w="1620" w:type="dxa"/>
            <w:vAlign w:val="bottom"/>
            <w:tcBorders>
              <w:bottom w:val="single" w:sz="8" w:color="auto"/>
            </w:tcBorders>
            <w:shd w:val="clear" w:color="auto" w:fill="D6F3E8"/>
          </w:tcPr>
          <w:p>
            <w:pPr>
              <w:jc w:val="right"/>
              <w:ind w:right="442"/>
              <w:spacing w:after="0"/>
              <w:rPr>
                <w:sz w:val="20"/>
                <w:szCs w:val="20"/>
                <w:color w:val="auto"/>
              </w:rPr>
            </w:pPr>
            <w:r>
              <w:rPr>
                <w:rFonts w:ascii="Arial" w:cs="Arial" w:eastAsia="Arial" w:hAnsi="Arial"/>
                <w:sz w:val="18"/>
                <w:szCs w:val="18"/>
                <w:color w:val="auto"/>
              </w:rPr>
              <w:t>(736)</w:t>
            </w:r>
          </w:p>
        </w:tc>
        <w:tc>
          <w:tcPr>
            <w:tcW w:w="1100" w:type="dxa"/>
            <w:vAlign w:val="bottom"/>
            <w:tcBorders>
              <w:bottom w:val="single" w:sz="8" w:color="auto"/>
            </w:tcBorders>
            <w:shd w:val="clear" w:color="auto" w:fill="D6F3E8"/>
          </w:tcPr>
          <w:p>
            <w:pPr>
              <w:jc w:val="right"/>
              <w:ind w:right="59"/>
              <w:spacing w:after="0"/>
              <w:rPr>
                <w:sz w:val="20"/>
                <w:szCs w:val="20"/>
                <w:color w:val="auto"/>
              </w:rPr>
            </w:pPr>
            <w:r>
              <w:rPr>
                <w:rFonts w:ascii="Arial" w:cs="Arial" w:eastAsia="Arial" w:hAnsi="Arial"/>
                <w:sz w:val="18"/>
                <w:szCs w:val="18"/>
                <w:color w:val="auto"/>
              </w:rPr>
              <w:t>(1.5%)</w:t>
            </w:r>
          </w:p>
        </w:tc>
        <w:tc>
          <w:tcPr>
            <w:tcW w:w="380" w:type="dxa"/>
            <w:vAlign w:val="bottom"/>
            <w:tcBorders>
              <w:bottom w:val="single" w:sz="8" w:color="auto"/>
            </w:tcBorders>
            <w:shd w:val="clear" w:color="auto" w:fill="D6F3E8"/>
          </w:tcPr>
          <w:p>
            <w:pPr>
              <w:spacing w:after="0"/>
              <w:rPr>
                <w:sz w:val="22"/>
                <w:szCs w:val="22"/>
                <w:color w:val="auto"/>
              </w:rPr>
            </w:pPr>
          </w:p>
        </w:tc>
        <w:tc>
          <w:tcPr>
            <w:tcW w:w="1580" w:type="dxa"/>
            <w:vAlign w:val="bottom"/>
            <w:tcBorders>
              <w:bottom w:val="single" w:sz="8" w:color="auto"/>
            </w:tcBorders>
            <w:shd w:val="clear" w:color="auto" w:fill="D6F3E8"/>
          </w:tcPr>
          <w:p>
            <w:pPr>
              <w:jc w:val="right"/>
              <w:ind w:right="442"/>
              <w:spacing w:after="0"/>
              <w:rPr>
                <w:sz w:val="20"/>
                <w:szCs w:val="20"/>
                <w:color w:val="auto"/>
              </w:rPr>
            </w:pPr>
            <w:r>
              <w:rPr>
                <w:rFonts w:ascii="Arial" w:cs="Arial" w:eastAsia="Arial" w:hAnsi="Arial"/>
                <w:sz w:val="18"/>
                <w:szCs w:val="18"/>
                <w:color w:val="auto"/>
              </w:rPr>
              <w:t>(649)</w:t>
            </w:r>
          </w:p>
        </w:tc>
        <w:tc>
          <w:tcPr>
            <w:tcW w:w="10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(5.1%)</w:t>
            </w:r>
          </w:p>
        </w:tc>
      </w:tr>
      <w:tr>
        <w:trPr>
          <w:trHeight w:val="210"/>
        </w:trPr>
        <w:tc>
          <w:tcPr>
            <w:tcW w:w="5500" w:type="dxa"/>
            <w:vAlign w:val="bottom"/>
          </w:tcPr>
          <w:p>
            <w:pPr>
              <w:spacing w:after="0" w:line="202" w:lineRule="exact"/>
              <w:rPr>
                <w:sz w:val="20"/>
                <w:szCs w:val="20"/>
                <w:color w:val="auto"/>
              </w:rPr>
            </w:pPr>
            <w:r>
              <w:rPr>
                <w:rFonts w:ascii="Arial" w:cs="Arial" w:eastAsia="Arial" w:hAnsi="Arial"/>
                <w:sz w:val="18"/>
                <w:szCs w:val="18"/>
                <w:color w:val="auto"/>
              </w:rPr>
              <w:t>Total benefit for taxes</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ind w:right="442"/>
              <w:spacing w:after="0"/>
              <w:rPr>
                <w:sz w:val="20"/>
                <w:szCs w:val="20"/>
                <w:color w:val="auto"/>
              </w:rPr>
            </w:pPr>
            <w:r>
              <w:rPr>
                <w:rFonts w:ascii="Arial" w:cs="Arial" w:eastAsia="Arial" w:hAnsi="Arial"/>
                <w:sz w:val="18"/>
                <w:szCs w:val="18"/>
                <w:color w:val="auto"/>
              </w:rPr>
              <w:t>(20,387)</w:t>
            </w: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(41.7%)</w:t>
            </w:r>
          </w:p>
        </w:tc>
        <w:tc>
          <w:tcPr>
            <w:tcW w:w="3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442"/>
              <w:spacing w:after="0"/>
              <w:rPr>
                <w:sz w:val="20"/>
                <w:szCs w:val="20"/>
                <w:color w:val="auto"/>
              </w:rPr>
            </w:pPr>
            <w:r>
              <w:rPr>
                <w:rFonts w:ascii="Arial" w:cs="Arial" w:eastAsia="Arial" w:hAnsi="Arial"/>
                <w:sz w:val="18"/>
                <w:szCs w:val="18"/>
                <w:color w:val="auto"/>
              </w:rPr>
              <w:t>(2,815)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59" w:lineRule="exact"/>
        <w:rPr>
          <w:sz w:val="20"/>
          <w:szCs w:val="20"/>
          <w:color w:val="auto"/>
        </w:rPr>
      </w:pPr>
    </w:p>
    <w:p>
      <w:pPr>
        <w:ind w:left="340" w:hanging="332"/>
        <w:spacing w:after="0" w:line="214" w:lineRule="auto"/>
        <w:tabs>
          <w:tab w:leader="none" w:pos="340" w:val="left"/>
        </w:tabs>
        <w:numPr>
          <w:ilvl w:val="0"/>
          <w:numId w:val="13"/>
        </w:numPr>
        <w:rPr>
          <w:rFonts w:ascii="Arial" w:cs="Arial" w:eastAsia="Arial" w:hAnsi="Arial"/>
          <w:sz w:val="21"/>
          <w:szCs w:val="21"/>
          <w:color w:val="auto"/>
          <w:vertAlign w:val="superscript"/>
        </w:rPr>
      </w:pPr>
      <w:r>
        <w:rPr>
          <w:rFonts w:ascii="Arial" w:cs="Arial" w:eastAsia="Arial" w:hAnsi="Arial"/>
          <w:sz w:val="13"/>
          <w:szCs w:val="13"/>
          <w:color w:val="auto"/>
        </w:rPr>
        <w:t>The effective tax benefit rate, before discrete items, of (39.2) percent as compared to 23.3 expense is primarily attributable to the Fiscal 2009 pre-tax loss of $48.9 million versus the Fiscal 2008 pre-tax income of $12.7 million. Included within the Fiscal 2009 pre-tax loss of $48.9 million was $1.4 million of financial income which is primarily tax-free investment income from investments in life insurance assets and student loan related securities and resulted in an increase to the tax benefit of $984,000 and increased the effective tax benefit rate of approximately 2.0 percent. In Fiscal 2008, tax-free investment income resulted in a tax benefit of $1.7 million and decreased the effective tax rate by approximately 13.1 percent.</w:t>
      </w:r>
    </w:p>
    <w:p>
      <w:pPr>
        <w:spacing w:after="0" w:line="33" w:lineRule="exact"/>
        <w:rPr>
          <w:rFonts w:ascii="Arial" w:cs="Arial" w:eastAsia="Arial" w:hAnsi="Arial"/>
          <w:sz w:val="21"/>
          <w:szCs w:val="21"/>
          <w:color w:val="auto"/>
          <w:vertAlign w:val="superscript"/>
        </w:rPr>
      </w:pPr>
    </w:p>
    <w:p>
      <w:pPr>
        <w:ind w:left="340" w:right="160" w:hanging="332"/>
        <w:spacing w:after="0" w:line="186" w:lineRule="auto"/>
        <w:tabs>
          <w:tab w:leader="none" w:pos="340" w:val="left"/>
        </w:tabs>
        <w:numPr>
          <w:ilvl w:val="0"/>
          <w:numId w:val="13"/>
        </w:numPr>
        <w:rPr>
          <w:rFonts w:ascii="Arial" w:cs="Arial" w:eastAsia="Arial" w:hAnsi="Arial"/>
          <w:sz w:val="22"/>
          <w:szCs w:val="22"/>
          <w:color w:val="auto"/>
          <w:vertAlign w:val="superscript"/>
        </w:rPr>
      </w:pPr>
      <w:r>
        <w:rPr>
          <w:rFonts w:ascii="Arial" w:cs="Arial" w:eastAsia="Arial" w:hAnsi="Arial"/>
          <w:sz w:val="14"/>
          <w:szCs w:val="14"/>
          <w:color w:val="auto"/>
        </w:rPr>
        <w:t>Benefits of $500,000 and $5.1 million were recorded during the first 39 weeks of Fiscal 2009 and first 40 weeks of Fiscal 2008, respectively, as a result of favorable settlements of uncertain tax positions with various taxing jurisdictions.</w:t>
      </w:r>
    </w:p>
    <w:p>
      <w:pPr>
        <w:ind w:left="340" w:hanging="332"/>
        <w:spacing w:after="0" w:line="222" w:lineRule="auto"/>
        <w:tabs>
          <w:tab w:leader="none" w:pos="340" w:val="left"/>
        </w:tabs>
        <w:numPr>
          <w:ilvl w:val="0"/>
          <w:numId w:val="13"/>
        </w:numPr>
        <w:rPr>
          <w:rFonts w:ascii="Arial" w:cs="Arial" w:eastAsia="Arial" w:hAnsi="Arial"/>
          <w:sz w:val="19"/>
          <w:szCs w:val="19"/>
          <w:color w:val="auto"/>
          <w:vertAlign w:val="superscript"/>
        </w:rPr>
      </w:pPr>
      <w:r>
        <w:rPr>
          <w:rFonts w:ascii="Arial" w:cs="Arial" w:eastAsia="Arial" w:hAnsi="Arial"/>
          <w:sz w:val="12"/>
          <w:szCs w:val="12"/>
          <w:color w:val="auto"/>
        </w:rPr>
        <w:t>Benefits of $736,000 and $649,000 were recorded during the first 39 weeks of Fiscal 2009 and first 40 weeks of Fiscal 2008, respectively, as a result of a tax planning initiative recognized during the year.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Financial Condition, Liquidity and Resources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totaled $41.3 million and $17.9 million as of May 30, 2009 and August 30, 2008, respectively.</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Short-term and long-term investments net of temporary impairments totaled $33.5 million as of May 30, 2009 and $40.6 million as of August 30, 2008. These investments were comprised of ARSs. During our second fiscal quarter of Fiscal 2009, we borrowed $9.1 million on a portion of our ARS portfolio. See Note 4 to the Consolidated Financial Statements for further disclosures and developments related to our investments in ARSs. In June 2009, our fiscal fourth quarter, we received an additional $400,000 partial redemption of ARS at par. We have classified this amount as a short-term investment during our fiscal third quarter.</w:t>
      </w:r>
    </w:p>
    <w:p>
      <w:pPr>
        <w:spacing w:after="0" w:line="167"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During the third quarter of Fiscal 2009, we received tax refunds from various taxing authorities totaling $6.8 million as a result of filing our Fiscal 2008 federal tax return. At the end of the third quarter, we had generated an income tax receivable of $19.1 million primarily due to the current fiscal year’s loss, which we have the ability to carryback to Fiscal 2007. We expect to receive this amount in Fiscal 2010. Incremental tax benefits in future periods will not generate additional tax receivables due to full utilization of our Fiscal 2007 carryback, however, we do have the ability to carryforward future losses for up to 20 years.</w:t>
      </w:r>
    </w:p>
    <w:p>
      <w:pPr>
        <w:spacing w:after="0" w:line="16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September 17, 2008, we entered into a Credit and Security Agreement with Wells Fargo (Credit Agreement). The Credit Agreement provides for a $25.0 million maximum revolving credit facility (Credit Facility), based on certain accounts receivable and inventory accounts, expiring on September 17, 2010, unless terminated earlier in accordance with its terms. Interest on loans under the Credit Agreement will be a rate equal to either LIBOR plus 1.5 percent to 2.5 percent or prime rate plus (0.75 percent) to 0.25 percent. No borrowings have been made under the Credit Facility through July 7, 2009. The Credit Facility provides increased financial flexibility and, if needed, will be used for working capital and for other general corporate purposes. The Credit Agreement contains typical covenants that may limit our ability, among other things, to pay certain dividends, distributions and to make stock repurchases. Certain covenants are structured in a manner that may limit us from paying cash dividends from sources other than cash generated from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On October 16, 2008, the Company announced that it would suspend cash dividends payments in order to conserve capital and maintain liquidity.</w:t>
      </w:r>
    </w:p>
    <w:p>
      <w:pPr>
        <w:spacing w:after="0" w:line="24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Working capital at May 30, 2009 and August 30, 2008 was $84.9 million and $108.5 million, respectively, a decrease of $23.6 million. We currently expect cash on hand, the availability on the Credit Facility and funds generated from operations (if any) to be sufficient to cover both short-term and long-term operation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ectPr>
          <w:pgSz w:w="11900" w:h="16838" w:orient="portrait"/>
          <w:cols w:equalWidth="0" w:num="1">
            <w:col w:w="11420"/>
          </w:cols>
          <w:pgMar w:left="240" w:top="131" w:right="239" w:bottom="0" w:gutter="0" w:footer="0" w:header="0"/>
        </w:sectPr>
      </w:pPr>
    </w:p>
    <w:bookmarkStart w:id="16" w:name="page17"/>
    <w:bookmarkEnd w:id="16"/>
    <w:p>
      <w:pPr>
        <w:ind w:right="220"/>
        <w:spacing w:after="0" w:line="332" w:lineRule="auto"/>
        <w:rPr>
          <w:sz w:val="20"/>
          <w:szCs w:val="20"/>
          <w:color w:val="auto"/>
        </w:rPr>
      </w:pPr>
      <w:r>
        <w:rPr>
          <w:rFonts w:ascii="Arial" w:cs="Arial" w:eastAsia="Arial" w:hAnsi="Arial"/>
          <w:sz w:val="16"/>
          <w:szCs w:val="16"/>
          <w:color w:val="auto"/>
        </w:rPr>
        <w:t>Cash provided by operating activities of $12.5 million for the thirty-nine weeks ended May 30, 2009 was due to inventory reductions of $57.4 million offset by net operating losses of $28.5 million and reductions in income taxes, accounts payable and other accrued expenses of $23 million.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3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Cash provided by investing activities was due primarily to ARS redemptions of $8.5 million in the thirty-nine weeks ended May 30, 2009 offset by capital spending of $2.5 million. During the forty weeks ended May 31, 2008, cash provided by investing activities was due to proceeds from the sale and maturity of investments.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Cash provided by financing activities of $5.4 million for the thirty-nine weeks ended May 30, 2009 was due to a borrowing on our ARS portfolio offset by a first quarter dividend payment. Primary uses of cash in financing activities for the forty weeks ended May 31, 2008 were for dividends payments and repurchases of Company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Anticipated Use of Funds</w:t>
      </w:r>
    </w:p>
    <w:p>
      <w:pPr>
        <w:spacing w:after="0" w:line="231"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Estimated uses of our liquid assets, at May 30, 2009 for the remainder of Fiscal 2009, consist of capital spending of approximately $900,000 primarily for manufacturing equipment and facilities. In addition, liquid assets may be used to fund all or part of any operating losses incurred in the balance of the fiscal year.</w:t>
      </w:r>
    </w:p>
    <w:p>
      <w:pPr>
        <w:spacing w:after="0" w:line="97"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Quantitative and Qualitative Disclosures About Market Risk</w:t>
      </w:r>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are exposed to market risks related to fluctuations in interest rates on marketable investments, investments underlying a company-owned life insurance program (COLI) and variable rate debt under our revolving credit facility. With respect to the COLI program, the underlying investments are subject to both interest rate risk and equity market risk. We have not drawn on the Credit Facility as of July 7, 2009. We do not currently use interest rate swaps, futures contracts or options on futures, or other types of derivative financial instruments.</w:t>
      </w:r>
    </w:p>
    <w:p>
      <w:pPr>
        <w:spacing w:after="0" w:line="19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investments are comprised of ARSs. These securities have historically traded at par and are callable at par at the option of the issuer. Interest is typically paid at the end of each auction period or semiannually. As of July 7, 2009 and at the end of the fiscal quarter, the vast majority of the long-term ARSs we hold are AAA/Aaa rated with most collateralized by student loans guaranteed by the U.S. Government under the Federal Family Education Loan Program. Until Fiscal 2008, the auction rate securities market was highly liquid. During Fiscal 2008, a substantial number of auctions “failed,” meaning that there was not enough demand to sell the entire issue of the securities that holders desired to sell at auction. The immediate effect of a failed auction is that certain holders cannot sell the securities at auction and the interest or dividend rate on the security generally resets to a maximum auction rate. In the case of a failed auction, with respect to the ARSs held by us, the ARS is deemed not currently liquid. In the case of funds invested by us in ARSs which are the subject of a failed auction, we may not be able to access the funds prior to maturity without a loss of principal, unless a future auction on these investments is successful or the issuer calls the security pursuant to a mandatory tender or redemption.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our investment portfolio is detailed in Note 4 to the Consolidated Financial Statements.</w:t>
      </w:r>
    </w:p>
    <w:p>
      <w:pPr>
        <w:spacing w:after="0" w:line="22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We do not believe that future market equity or interest rate risks related to our marketable investments or debt obligations will have a material impact on our results.</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Controls and Procedures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are responsible for establishing and maintaining adequate internal control over financial reporting as defined in Exchange Act Rule 13a-15(f), to provide reasonable assurance regarding the reliability of financial reporting and the preparation of consolidated financial statements for external purposes in accordance with generally accepted accounting principles.</w:t>
      </w:r>
    </w:p>
    <w:p>
      <w:pPr>
        <w:spacing w:after="0" w:line="19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i w:val="1"/>
          <w:iCs w:val="1"/>
          <w:color w:val="auto"/>
        </w:rPr>
        <w:t xml:space="preserve">Disclosure Controls and Procedures. </w:t>
      </w:r>
      <w:r>
        <w:rPr>
          <w:rFonts w:ascii="Arial" w:cs="Arial" w:eastAsia="Arial" w:hAnsi="Arial"/>
          <w:sz w:val="16"/>
          <w:szCs w:val="16"/>
          <w:color w:val="auto"/>
        </w:rPr>
        <w:t>As of the end of the period covered by this report, we, with the participation of our Chief Executive Officer and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Officer, conducted an evaluation of the effectiveness of the design and operation of our disclosure controls and procedures, as required by the Securities Exchange Act of 1934, as amended (the “Exchange Act”) Rule 13a-15(e). Based on this evaluation, the Chief Executive Officer and Chief Financial Officer have concluded that our disclosure controls and procedures were effective to ensure that information required to be disclosed by us in the reports that we file or submit under the Exchange Act is accumulated and communicated to management, including the Chief Executive Officer and Chief Financial Officer, as appropriate, to allow timely decisions regarding required disclosure and are effective to provide reasonable assurance that such information is recorded, processed, summarized and reported within the time periods specified by the SEC’s rules and forms.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We, including the Chief Executive Officer and the Chief Financial Officer, do not expect that our disclosure controls and procedures will prevent all errors or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w:t>
      </w:r>
    </w:p>
    <w:p>
      <w:pPr>
        <w:sectPr>
          <w:pgSz w:w="11900" w:h="16838" w:orient="portrait"/>
          <w:cols w:equalWidth="0" w:num="1">
            <w:col w:w="11420"/>
          </w:cols>
          <w:pgMar w:left="240" w:top="131" w:right="239" w:bottom="137" w:gutter="0" w:footer="0" w:header="0"/>
        </w:sectPr>
      </w:pPr>
    </w:p>
    <w:bookmarkStart w:id="17" w:name="page18"/>
    <w:bookmarkEnd w:id="17"/>
    <w:p>
      <w:pPr>
        <w:spacing w:after="0" w:line="294" w:lineRule="auto"/>
        <w:rPr>
          <w:sz w:val="20"/>
          <w:szCs w:val="20"/>
          <w:color w:val="auto"/>
        </w:rPr>
      </w:pPr>
      <w:r>
        <w:rPr>
          <w:rFonts w:ascii="Arial" w:cs="Arial" w:eastAsia="Arial" w:hAnsi="Arial"/>
          <w:sz w:val="16"/>
          <w:szCs w:val="16"/>
          <w:color w:val="auto"/>
        </w:rPr>
        <w:t>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70" w:lineRule="exact"/>
        <w:rPr>
          <w:sz w:val="20"/>
          <w:szCs w:val="20"/>
          <w:color w:val="auto"/>
        </w:rPr>
      </w:pPr>
    </w:p>
    <w:p>
      <w:pPr>
        <w:ind w:right="420"/>
        <w:spacing w:after="0" w:line="370" w:lineRule="auto"/>
        <w:rPr>
          <w:sz w:val="20"/>
          <w:szCs w:val="20"/>
          <w:color w:val="auto"/>
        </w:rPr>
      </w:pPr>
      <w:r>
        <w:rPr>
          <w:rFonts w:ascii="Arial" w:cs="Arial" w:eastAsia="Arial" w:hAnsi="Arial"/>
          <w:sz w:val="15"/>
          <w:szCs w:val="15"/>
          <w:b w:val="1"/>
          <w:bCs w:val="1"/>
          <w:i w:val="1"/>
          <w:iCs w:val="1"/>
          <w:color w:val="auto"/>
        </w:rPr>
        <w:t xml:space="preserve">Changes in Internal Control Over Financial Reporting. </w:t>
      </w:r>
      <w:r>
        <w:rPr>
          <w:rFonts w:ascii="Arial" w:cs="Arial" w:eastAsia="Arial" w:hAnsi="Arial"/>
          <w:sz w:val="15"/>
          <w:szCs w:val="15"/>
          <w:color w:val="auto"/>
        </w:rPr>
        <w:t>There have been no significant changes in our internal controls over financial reporting or in other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factors that occurred during the quarter covered by this report that has, or is reasonably likely to, affect internal controls over financial reporting materially.</w:t>
      </w:r>
    </w:p>
    <w:p>
      <w:pPr>
        <w:spacing w:after="0" w:line="273"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PART II.</w:t>
      </w:r>
      <w:r>
        <w:rPr>
          <w:sz w:val="20"/>
          <w:szCs w:val="20"/>
          <w:color w:val="auto"/>
        </w:rPr>
        <w:tab/>
      </w:r>
      <w:r>
        <w:rPr>
          <w:rFonts w:ascii="Arial" w:cs="Arial" w:eastAsia="Arial" w:hAnsi="Arial"/>
          <w:sz w:val="22"/>
          <w:szCs w:val="22"/>
          <w:b w:val="1"/>
          <w:bCs w:val="1"/>
          <w:color w:val="auto"/>
        </w:rPr>
        <w:t>OTHER INFORMATION</w:t>
      </w:r>
    </w:p>
    <w:p>
      <w:pPr>
        <w:spacing w:after="0" w:line="20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5" w:lineRule="exact"/>
        <w:rPr>
          <w:sz w:val="20"/>
          <w:szCs w:val="20"/>
          <w:color w:val="auto"/>
        </w:rPr>
      </w:pPr>
    </w:p>
    <w:p>
      <w:pPr>
        <w:ind w:left="1300" w:right="340"/>
        <w:spacing w:after="0" w:line="255" w:lineRule="auto"/>
        <w:rPr>
          <w:sz w:val="20"/>
          <w:szCs w:val="20"/>
          <w:color w:val="auto"/>
        </w:rPr>
      </w:pPr>
      <w:r>
        <w:rPr>
          <w:rFonts w:ascii="Arial" w:cs="Arial" w:eastAsia="Arial" w:hAnsi="Arial"/>
          <w:sz w:val="18"/>
          <w:szCs w:val="18"/>
          <w:color w:val="auto"/>
        </w:rPr>
        <w:t>We are involved in various legal proceedings which are ordinary routine litigation incidental to our business, some of which are covered in whole or in part by insurance. While it is impossible to estimate with certainty the ultimate legal and financial liability with respect to this litigation, we believe that while the final resolution of any such litigation may have an impact on our consolidated results for a particular reporting period, the ultimate disposition of such litigation will not have any material adverse effect on our financial position, results of operations or liquidity.</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1A.</w:t>
      </w:r>
      <w:r>
        <w:rPr>
          <w:sz w:val="20"/>
          <w:szCs w:val="20"/>
          <w:color w:val="auto"/>
        </w:rPr>
        <w:tab/>
      </w:r>
      <w:r>
        <w:rPr>
          <w:rFonts w:ascii="Arial" w:cs="Arial" w:eastAsia="Arial" w:hAnsi="Arial"/>
          <w:sz w:val="19"/>
          <w:szCs w:val="19"/>
          <w:b w:val="1"/>
          <w:bCs w:val="1"/>
          <w:color w:val="auto"/>
        </w:rPr>
        <w:t>Risk Factors</w:t>
      </w:r>
    </w:p>
    <w:p>
      <w:pPr>
        <w:spacing w:after="0" w:line="225" w:lineRule="exact"/>
        <w:rPr>
          <w:sz w:val="20"/>
          <w:szCs w:val="20"/>
          <w:color w:val="auto"/>
        </w:rPr>
      </w:pPr>
    </w:p>
    <w:p>
      <w:pPr>
        <w:ind w:left="1300" w:right="140"/>
        <w:spacing w:after="0" w:line="268" w:lineRule="auto"/>
        <w:rPr>
          <w:sz w:val="20"/>
          <w:szCs w:val="20"/>
          <w:color w:val="auto"/>
        </w:rPr>
      </w:pPr>
      <w:r>
        <w:rPr>
          <w:rFonts w:ascii="Arial" w:cs="Arial" w:eastAsia="Arial" w:hAnsi="Arial"/>
          <w:sz w:val="18"/>
          <w:szCs w:val="18"/>
          <w:color w:val="auto"/>
        </w:rPr>
        <w:t>There have been no material changes from our risk factors as previously disclosed in Part 1, Item 1A, in our Annual Report on Form 10-K for the fiscal year ended August 30, 2008 except as provided below:</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Potential Repurchase Liabilities</w:t>
      </w:r>
    </w:p>
    <w:p>
      <w:pPr>
        <w:spacing w:after="0" w:line="231" w:lineRule="exact"/>
        <w:rPr>
          <w:sz w:val="20"/>
          <w:szCs w:val="20"/>
          <w:color w:val="auto"/>
        </w:rPr>
      </w:pPr>
    </w:p>
    <w:p>
      <w:pPr>
        <w:ind w:left="1300" w:right="60"/>
        <w:spacing w:after="0" w:line="291" w:lineRule="auto"/>
        <w:rPr>
          <w:sz w:val="20"/>
          <w:szCs w:val="20"/>
          <w:color w:val="auto"/>
        </w:rPr>
      </w:pPr>
      <w:r>
        <w:rPr>
          <w:rFonts w:ascii="Arial" w:cs="Arial" w:eastAsia="Arial" w:hAnsi="Arial"/>
          <w:sz w:val="16"/>
          <w:szCs w:val="16"/>
          <w:color w:val="auto"/>
        </w:rPr>
        <w:t>In accordance with customary practice in the recreation vehicle industry, we enter into formal repurchase agreements with lending institutions pursuant to which it is agreed, in the event of a default by an independent retailer in its obligation to a lender and repossession of the unit(s) by the lending institution, we will repurchase units at declining prices over the term of the agreements, which can last up to 18 months. The difference between the gross repurchase price and the price at which the repurchased product can then be resold, which is typically at a discount to the gross repurchase price, represents a potential expense to us. Our maximum potential exposure under these formal repurchase agreements was approximately $113.4 million at May 30, 2009.</w:t>
      </w:r>
    </w:p>
    <w:p>
      <w:pPr>
        <w:spacing w:after="0" w:line="174" w:lineRule="exact"/>
        <w:rPr>
          <w:sz w:val="20"/>
          <w:szCs w:val="20"/>
          <w:color w:val="auto"/>
        </w:rPr>
      </w:pPr>
    </w:p>
    <w:p>
      <w:pPr>
        <w:ind w:left="1300" w:right="240"/>
        <w:spacing w:after="0" w:line="370" w:lineRule="auto"/>
        <w:rPr>
          <w:sz w:val="20"/>
          <w:szCs w:val="20"/>
          <w:color w:val="auto"/>
        </w:rPr>
      </w:pPr>
      <w:r>
        <w:rPr>
          <w:rFonts w:ascii="Arial" w:cs="Arial" w:eastAsia="Arial" w:hAnsi="Arial"/>
          <w:sz w:val="15"/>
          <w:szCs w:val="15"/>
          <w:color w:val="auto"/>
        </w:rPr>
        <w:t>In certain instances, we also repurchase inventory from our dealers due to state law or regulatory requirements that govern voluntary or involuntary terminations. Incremental repurchase exposure beyond repurchase agreements was approximately $6.2 million at May 30, 2009.</w:t>
      </w:r>
    </w:p>
    <w:p>
      <w:pPr>
        <w:spacing w:after="0" w:line="116" w:lineRule="exact"/>
        <w:rPr>
          <w:sz w:val="20"/>
          <w:szCs w:val="20"/>
          <w:color w:val="auto"/>
        </w:rPr>
      </w:pPr>
    </w:p>
    <w:p>
      <w:pPr>
        <w:ind w:left="1300" w:right="40"/>
        <w:spacing w:after="0" w:line="306" w:lineRule="auto"/>
        <w:rPr>
          <w:sz w:val="20"/>
          <w:szCs w:val="20"/>
          <w:color w:val="auto"/>
        </w:rPr>
      </w:pPr>
      <w:r>
        <w:rPr>
          <w:rFonts w:ascii="Arial" w:cs="Arial" w:eastAsia="Arial" w:hAnsi="Arial"/>
          <w:sz w:val="16"/>
          <w:szCs w:val="16"/>
          <w:color w:val="auto"/>
        </w:rPr>
        <w:t>Historically, our losses associated with repurchases have not been material. However, the substantial decrease in retail demand for recreation vehicles in the past 12 months and tightened credit standards by lenders could result in a significant increase in defaults by our dealers. Thus, if we are obligated to repurchase a larger number of motor homes in the future, this would increase our costs, and could be material.</w:t>
      </w:r>
    </w:p>
    <w:p>
      <w:pPr>
        <w:spacing w:after="0" w:line="14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9"/>
          <w:szCs w:val="19"/>
          <w:b w:val="1"/>
          <w:bCs w:val="1"/>
          <w:color w:val="auto"/>
        </w:rPr>
        <w:t>Unregistered Sales of Equity Securities and Use of Proceeds</w:t>
      </w:r>
    </w:p>
    <w:p>
      <w:pPr>
        <w:spacing w:after="0" w:line="225" w:lineRule="exact"/>
        <w:rPr>
          <w:sz w:val="20"/>
          <w:szCs w:val="20"/>
          <w:color w:val="auto"/>
        </w:rPr>
      </w:pPr>
    </w:p>
    <w:p>
      <w:pPr>
        <w:ind w:left="1300" w:right="300"/>
        <w:spacing w:after="0" w:line="332" w:lineRule="auto"/>
        <w:rPr>
          <w:sz w:val="20"/>
          <w:szCs w:val="20"/>
          <w:color w:val="auto"/>
        </w:rPr>
      </w:pPr>
      <w:r>
        <w:rPr>
          <w:rFonts w:ascii="Arial" w:cs="Arial" w:eastAsia="Arial" w:hAnsi="Arial"/>
          <w:sz w:val="16"/>
          <w:szCs w:val="16"/>
          <w:color w:val="auto"/>
        </w:rPr>
        <w:t>On December 19, 2007, the Board of Directors authorized the repurchase of outstanding shares of our common stock, depending on market conditions, for an aggregate consideration of up to $60 million. There is no time restriction on this authorization.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300" w:right="60"/>
        <w:spacing w:after="0" w:line="268" w:lineRule="auto"/>
        <w:rPr>
          <w:sz w:val="20"/>
          <w:szCs w:val="20"/>
          <w:color w:val="auto"/>
        </w:rPr>
      </w:pPr>
      <w:r>
        <w:rPr>
          <w:rFonts w:ascii="Arial" w:cs="Arial" w:eastAsia="Arial" w:hAnsi="Arial"/>
          <w:sz w:val="18"/>
          <w:szCs w:val="18"/>
          <w:color w:val="auto"/>
        </w:rPr>
        <w:t>This table provides information with respect to purchases by us of shares of our common stock during each month of the third quarter of Fiscal 2009:</w:t>
      </w:r>
    </w:p>
    <w:p>
      <w:pPr>
        <w:spacing w:after="0" w:line="169"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60" w:type="dxa"/>
            <w:vAlign w:val="bottom"/>
          </w:tcPr>
          <w:p>
            <w:pPr>
              <w:jc w:val="center"/>
              <w:ind w:right="283"/>
              <w:spacing w:after="0"/>
              <w:rPr>
                <w:sz w:val="20"/>
                <w:szCs w:val="20"/>
                <w:color w:val="auto"/>
              </w:rPr>
            </w:pPr>
            <w:r>
              <w:rPr>
                <w:rFonts w:ascii="Arial" w:cs="Arial" w:eastAsia="Arial" w:hAnsi="Arial"/>
                <w:sz w:val="14"/>
                <w:szCs w:val="14"/>
                <w:b w:val="1"/>
                <w:bCs w:val="1"/>
                <w:color w:val="auto"/>
                <w:w w:val="91"/>
              </w:rPr>
              <w:t>Approximate Dollar</w:t>
            </w:r>
          </w:p>
        </w:tc>
      </w:tr>
      <w:tr>
        <w:trPr>
          <w:trHeight w:val="149"/>
        </w:trPr>
        <w:tc>
          <w:tcPr>
            <w:tcW w:w="2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40" w:type="dxa"/>
            <w:vAlign w:val="bottom"/>
          </w:tcPr>
          <w:p>
            <w:pPr>
              <w:jc w:val="center"/>
              <w:ind w:left="192"/>
              <w:spacing w:after="0" w:line="149" w:lineRule="exact"/>
              <w:rPr>
                <w:sz w:val="20"/>
                <w:szCs w:val="20"/>
                <w:color w:val="auto"/>
              </w:rPr>
            </w:pPr>
            <w:r>
              <w:rPr>
                <w:rFonts w:ascii="Arial" w:cs="Arial" w:eastAsia="Arial" w:hAnsi="Arial"/>
                <w:sz w:val="14"/>
                <w:szCs w:val="14"/>
                <w:b w:val="1"/>
                <w:bCs w:val="1"/>
                <w:color w:val="auto"/>
                <w:w w:val="86"/>
              </w:rPr>
              <w:t>Number of Shares</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60" w:type="dxa"/>
            <w:vAlign w:val="bottom"/>
          </w:tcPr>
          <w:p>
            <w:pPr>
              <w:jc w:val="center"/>
              <w:ind w:right="283"/>
              <w:spacing w:after="0" w:line="149" w:lineRule="exact"/>
              <w:rPr>
                <w:sz w:val="20"/>
                <w:szCs w:val="20"/>
                <w:color w:val="auto"/>
              </w:rPr>
            </w:pPr>
            <w:r>
              <w:rPr>
                <w:rFonts w:ascii="Arial" w:cs="Arial" w:eastAsia="Arial" w:hAnsi="Arial"/>
                <w:sz w:val="14"/>
                <w:szCs w:val="14"/>
                <w:b w:val="1"/>
                <w:bCs w:val="1"/>
                <w:color w:val="auto"/>
                <w:w w:val="88"/>
              </w:rPr>
              <w:t>Value of Shares That</w:t>
            </w:r>
          </w:p>
        </w:tc>
      </w:tr>
      <w:tr>
        <w:trPr>
          <w:trHeight w:val="149"/>
        </w:trPr>
        <w:tc>
          <w:tcPr>
            <w:tcW w:w="2360" w:type="dxa"/>
            <w:vAlign w:val="bottom"/>
          </w:tcPr>
          <w:p>
            <w:pPr>
              <w:spacing w:after="0"/>
              <w:rPr>
                <w:sz w:val="12"/>
                <w:szCs w:val="12"/>
                <w:color w:val="auto"/>
              </w:rPr>
            </w:pPr>
          </w:p>
        </w:tc>
        <w:tc>
          <w:tcPr>
            <w:tcW w:w="140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0"/>
              </w:rPr>
              <w:t>Total Number</w:t>
            </w: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40" w:type="dxa"/>
            <w:vAlign w:val="bottom"/>
          </w:tcPr>
          <w:p>
            <w:pPr>
              <w:jc w:val="center"/>
              <w:ind w:left="192"/>
              <w:spacing w:after="0" w:line="149" w:lineRule="exact"/>
              <w:rPr>
                <w:sz w:val="20"/>
                <w:szCs w:val="20"/>
                <w:color w:val="auto"/>
              </w:rPr>
            </w:pPr>
            <w:r>
              <w:rPr>
                <w:rFonts w:ascii="Arial" w:cs="Arial" w:eastAsia="Arial" w:hAnsi="Arial"/>
                <w:sz w:val="14"/>
                <w:szCs w:val="14"/>
                <w:b w:val="1"/>
                <w:bCs w:val="1"/>
                <w:color w:val="auto"/>
                <w:w w:val="86"/>
              </w:rPr>
              <w:t>Purchased as Part of</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60" w:type="dxa"/>
            <w:vAlign w:val="bottom"/>
          </w:tcPr>
          <w:p>
            <w:pPr>
              <w:jc w:val="center"/>
              <w:ind w:right="283"/>
              <w:spacing w:after="0" w:line="149" w:lineRule="exact"/>
              <w:rPr>
                <w:sz w:val="20"/>
                <w:szCs w:val="20"/>
                <w:color w:val="auto"/>
              </w:rPr>
            </w:pPr>
            <w:r>
              <w:rPr>
                <w:rFonts w:ascii="Arial" w:cs="Arial" w:eastAsia="Arial" w:hAnsi="Arial"/>
                <w:sz w:val="14"/>
                <w:szCs w:val="14"/>
                <w:b w:val="1"/>
                <w:bCs w:val="1"/>
                <w:color w:val="auto"/>
                <w:w w:val="88"/>
              </w:rPr>
              <w:t>May Yet Be</w:t>
            </w:r>
          </w:p>
        </w:tc>
      </w:tr>
      <w:tr>
        <w:trPr>
          <w:trHeight w:val="149"/>
        </w:trPr>
        <w:tc>
          <w:tcPr>
            <w:tcW w:w="2360" w:type="dxa"/>
            <w:vAlign w:val="bottom"/>
          </w:tcPr>
          <w:p>
            <w:pPr>
              <w:spacing w:after="0"/>
              <w:rPr>
                <w:sz w:val="12"/>
                <w:szCs w:val="12"/>
                <w:color w:val="auto"/>
              </w:rPr>
            </w:pPr>
          </w:p>
        </w:tc>
        <w:tc>
          <w:tcPr>
            <w:tcW w:w="140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84"/>
              </w:rPr>
              <w:t>of Shares</w:t>
            </w:r>
          </w:p>
        </w:tc>
        <w:tc>
          <w:tcPr>
            <w:tcW w:w="320" w:type="dxa"/>
            <w:vAlign w:val="bottom"/>
          </w:tcPr>
          <w:p>
            <w:pPr>
              <w:spacing w:after="0"/>
              <w:rPr>
                <w:sz w:val="12"/>
                <w:szCs w:val="12"/>
                <w:color w:val="auto"/>
              </w:rPr>
            </w:pPr>
          </w:p>
        </w:tc>
        <w:tc>
          <w:tcPr>
            <w:tcW w:w="1480" w:type="dxa"/>
            <w:vAlign w:val="bottom"/>
          </w:tcPr>
          <w:p>
            <w:pPr>
              <w:jc w:val="right"/>
              <w:ind w:right="519"/>
              <w:spacing w:after="0" w:line="149" w:lineRule="exact"/>
              <w:rPr>
                <w:sz w:val="20"/>
                <w:szCs w:val="20"/>
                <w:color w:val="auto"/>
              </w:rPr>
            </w:pPr>
            <w:r>
              <w:rPr>
                <w:rFonts w:ascii="Arial" w:cs="Arial" w:eastAsia="Arial" w:hAnsi="Arial"/>
                <w:sz w:val="14"/>
                <w:szCs w:val="14"/>
                <w:b w:val="1"/>
                <w:bCs w:val="1"/>
                <w:color w:val="auto"/>
                <w:w w:val="92"/>
              </w:rPr>
              <w:t>Average Price</w:t>
            </w:r>
          </w:p>
        </w:tc>
        <w:tc>
          <w:tcPr>
            <w:tcW w:w="1540" w:type="dxa"/>
            <w:vAlign w:val="bottom"/>
          </w:tcPr>
          <w:p>
            <w:pPr>
              <w:jc w:val="center"/>
              <w:ind w:left="192"/>
              <w:spacing w:after="0" w:line="149" w:lineRule="exact"/>
              <w:rPr>
                <w:sz w:val="20"/>
                <w:szCs w:val="20"/>
                <w:color w:val="auto"/>
              </w:rPr>
            </w:pPr>
            <w:r>
              <w:rPr>
                <w:rFonts w:ascii="Arial" w:cs="Arial" w:eastAsia="Arial" w:hAnsi="Arial"/>
                <w:sz w:val="14"/>
                <w:szCs w:val="14"/>
                <w:b w:val="1"/>
                <w:bCs w:val="1"/>
                <w:color w:val="auto"/>
                <w:w w:val="86"/>
              </w:rPr>
              <w:t>Publicly Announced</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60" w:type="dxa"/>
            <w:vAlign w:val="bottom"/>
          </w:tcPr>
          <w:p>
            <w:pPr>
              <w:jc w:val="center"/>
              <w:ind w:right="283"/>
              <w:spacing w:after="0" w:line="149" w:lineRule="exact"/>
              <w:rPr>
                <w:sz w:val="20"/>
                <w:szCs w:val="20"/>
                <w:color w:val="auto"/>
              </w:rPr>
            </w:pPr>
            <w:r>
              <w:rPr>
                <w:rFonts w:ascii="Arial" w:cs="Arial" w:eastAsia="Arial" w:hAnsi="Arial"/>
                <w:sz w:val="14"/>
                <w:szCs w:val="14"/>
                <w:b w:val="1"/>
                <w:bCs w:val="1"/>
                <w:color w:val="auto"/>
                <w:w w:val="86"/>
              </w:rPr>
              <w:t>Purchased Under the</w:t>
            </w:r>
          </w:p>
        </w:tc>
      </w:tr>
      <w:tr>
        <w:trPr>
          <w:trHeight w:val="168"/>
        </w:trPr>
        <w:tc>
          <w:tcPr>
            <w:tcW w:w="2360" w:type="dxa"/>
            <w:vAlign w:val="bottom"/>
            <w:tcBorders>
              <w:bottom w:val="single" w:sz="8" w:color="auto"/>
            </w:tcBorders>
          </w:tcPr>
          <w:p>
            <w:pPr>
              <w:jc w:val="right"/>
              <w:ind w:right="1056"/>
              <w:spacing w:after="0"/>
              <w:rPr>
                <w:sz w:val="20"/>
                <w:szCs w:val="20"/>
                <w:color w:val="auto"/>
              </w:rPr>
            </w:pPr>
            <w:r>
              <w:rPr>
                <w:rFonts w:ascii="Arial" w:cs="Arial" w:eastAsia="Arial" w:hAnsi="Arial"/>
                <w:sz w:val="14"/>
                <w:szCs w:val="14"/>
                <w:b w:val="1"/>
                <w:bCs w:val="1"/>
                <w:color w:val="auto"/>
              </w:rPr>
              <w:t>Period</w:t>
            </w:r>
          </w:p>
        </w:tc>
        <w:tc>
          <w:tcPr>
            <w:tcW w:w="14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6"/>
              </w:rPr>
              <w:t>Purchased</w:t>
            </w:r>
          </w:p>
        </w:tc>
        <w:tc>
          <w:tcPr>
            <w:tcW w:w="3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w w:val="91"/>
              </w:rPr>
              <w:t>Paid per Share</w:t>
            </w:r>
          </w:p>
        </w:tc>
        <w:tc>
          <w:tcPr>
            <w:tcW w:w="1540" w:type="dxa"/>
            <w:vAlign w:val="bottom"/>
            <w:tcBorders>
              <w:bottom w:val="single" w:sz="8" w:color="auto"/>
            </w:tcBorders>
          </w:tcPr>
          <w:p>
            <w:pPr>
              <w:jc w:val="center"/>
              <w:ind w:left="232"/>
              <w:spacing w:after="0"/>
              <w:rPr>
                <w:sz w:val="20"/>
                <w:szCs w:val="20"/>
                <w:color w:val="auto"/>
              </w:rPr>
            </w:pPr>
            <w:r>
              <w:rPr>
                <w:rFonts w:ascii="Arial" w:cs="Arial" w:eastAsia="Arial" w:hAnsi="Arial"/>
                <w:sz w:val="14"/>
                <w:szCs w:val="14"/>
                <w:b w:val="1"/>
                <w:bCs w:val="1"/>
                <w:color w:val="auto"/>
                <w:w w:val="86"/>
              </w:rPr>
              <w:t>Plans or Programs</w:t>
            </w:r>
          </w:p>
        </w:tc>
        <w:tc>
          <w:tcPr>
            <w:tcW w:w="4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center"/>
              <w:ind w:right="263"/>
              <w:spacing w:after="0"/>
              <w:rPr>
                <w:sz w:val="20"/>
                <w:szCs w:val="20"/>
                <w:color w:val="auto"/>
              </w:rPr>
            </w:pPr>
            <w:r>
              <w:rPr>
                <w:rFonts w:ascii="Arial" w:cs="Arial" w:eastAsia="Arial" w:hAnsi="Arial"/>
                <w:sz w:val="14"/>
                <w:szCs w:val="14"/>
                <w:b w:val="1"/>
                <w:bCs w:val="1"/>
                <w:color w:val="auto"/>
                <w:w w:val="86"/>
              </w:rPr>
              <w:t>Plans or Programs</w:t>
            </w:r>
          </w:p>
        </w:tc>
      </w:tr>
      <w:tr>
        <w:trPr>
          <w:trHeight w:val="216"/>
        </w:trPr>
        <w:tc>
          <w:tcPr>
            <w:tcW w:w="2360" w:type="dxa"/>
            <w:vAlign w:val="bottom"/>
            <w:shd w:val="clear" w:color="auto" w:fill="D6F3E8"/>
          </w:tcPr>
          <w:p>
            <w:pPr>
              <w:jc w:val="right"/>
              <w:ind w:right="876"/>
              <w:spacing w:after="0"/>
              <w:rPr>
                <w:sz w:val="20"/>
                <w:szCs w:val="20"/>
                <w:color w:val="auto"/>
              </w:rPr>
            </w:pPr>
            <w:r>
              <w:rPr>
                <w:rFonts w:ascii="Arial" w:cs="Arial" w:eastAsia="Arial" w:hAnsi="Arial"/>
                <w:sz w:val="18"/>
                <w:szCs w:val="18"/>
                <w:color w:val="auto"/>
                <w:w w:val="88"/>
              </w:rPr>
              <w:t>03/01/09 - 04/04/09</w:t>
            </w:r>
          </w:p>
        </w:tc>
        <w:tc>
          <w:tcPr>
            <w:tcW w:w="1400" w:type="dxa"/>
            <w:vAlign w:val="bottom"/>
            <w:shd w:val="clear" w:color="auto" w:fill="D6F3E8"/>
          </w:tcPr>
          <w:p>
            <w:pPr>
              <w:jc w:val="right"/>
              <w:ind w:right="61"/>
              <w:spacing w:after="0"/>
              <w:rPr>
                <w:sz w:val="20"/>
                <w:szCs w:val="20"/>
                <w:color w:val="auto"/>
              </w:rPr>
            </w:pPr>
            <w:r>
              <w:rPr>
                <w:rFonts w:ascii="Arial" w:cs="Arial" w:eastAsia="Arial" w:hAnsi="Arial"/>
                <w:sz w:val="18"/>
                <w:szCs w:val="18"/>
                <w:color w:val="auto"/>
              </w:rPr>
              <w:t>—</w:t>
            </w:r>
          </w:p>
        </w:tc>
        <w:tc>
          <w:tcPr>
            <w:tcW w:w="3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D6F3E8"/>
          </w:tcPr>
          <w:p>
            <w:pPr>
              <w:jc w:val="right"/>
              <w:ind w:right="239"/>
              <w:spacing w:after="0"/>
              <w:rPr>
                <w:sz w:val="20"/>
                <w:szCs w:val="20"/>
                <w:color w:val="auto"/>
              </w:rPr>
            </w:pPr>
            <w:r>
              <w:rPr>
                <w:rFonts w:ascii="Arial" w:cs="Arial" w:eastAsia="Arial" w:hAnsi="Arial"/>
                <w:sz w:val="18"/>
                <w:szCs w:val="18"/>
                <w:color w:val="auto"/>
              </w:rPr>
              <w:t>—</w:t>
            </w:r>
          </w:p>
        </w:tc>
        <w:tc>
          <w:tcPr>
            <w:tcW w:w="154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380" w:type="dxa"/>
            <w:vAlign w:val="bottom"/>
            <w:shd w:val="clear" w:color="auto" w:fill="D6F3E8"/>
          </w:tcPr>
          <w:p>
            <w:pPr>
              <w:jc w:val="right"/>
              <w:ind w:right="52"/>
              <w:spacing w:after="0"/>
              <w:rPr>
                <w:sz w:val="20"/>
                <w:szCs w:val="20"/>
                <w:color w:val="auto"/>
              </w:rPr>
            </w:pPr>
            <w:r>
              <w:rPr>
                <w:rFonts w:ascii="Arial" w:cs="Arial" w:eastAsia="Arial" w:hAnsi="Arial"/>
                <w:sz w:val="18"/>
                <w:szCs w:val="18"/>
                <w:color w:val="auto"/>
              </w:rPr>
              <w:t>$</w:t>
            </w:r>
          </w:p>
        </w:tc>
        <w:tc>
          <w:tcPr>
            <w:tcW w:w="1860" w:type="dxa"/>
            <w:vAlign w:val="bottom"/>
            <w:shd w:val="clear" w:color="auto" w:fill="D6F3E8"/>
          </w:tcPr>
          <w:p>
            <w:pPr>
              <w:jc w:val="right"/>
              <w:ind w:right="23"/>
              <w:spacing w:after="0"/>
              <w:rPr>
                <w:sz w:val="20"/>
                <w:szCs w:val="20"/>
                <w:color w:val="auto"/>
              </w:rPr>
            </w:pPr>
            <w:r>
              <w:rPr>
                <w:rFonts w:ascii="Arial" w:cs="Arial" w:eastAsia="Arial" w:hAnsi="Arial"/>
                <w:sz w:val="18"/>
                <w:szCs w:val="18"/>
                <w:color w:val="auto"/>
              </w:rPr>
              <w:t>59,585,379</w:t>
            </w:r>
          </w:p>
        </w:tc>
      </w:tr>
      <w:tr>
        <w:trPr>
          <w:trHeight w:val="216"/>
        </w:trPr>
        <w:tc>
          <w:tcPr>
            <w:tcW w:w="2360" w:type="dxa"/>
            <w:vAlign w:val="bottom"/>
          </w:tcPr>
          <w:p>
            <w:pPr>
              <w:jc w:val="right"/>
              <w:ind w:right="876"/>
              <w:spacing w:after="0"/>
              <w:rPr>
                <w:sz w:val="20"/>
                <w:szCs w:val="20"/>
                <w:color w:val="auto"/>
              </w:rPr>
            </w:pPr>
            <w:r>
              <w:rPr>
                <w:rFonts w:ascii="Arial" w:cs="Arial" w:eastAsia="Arial" w:hAnsi="Arial"/>
                <w:sz w:val="18"/>
                <w:szCs w:val="18"/>
                <w:color w:val="auto"/>
                <w:w w:val="88"/>
              </w:rPr>
              <w:t>04/05/09 - 05/02/09</w:t>
            </w:r>
          </w:p>
        </w:tc>
        <w:tc>
          <w:tcPr>
            <w:tcW w:w="1400" w:type="dxa"/>
            <w:vAlign w:val="bottom"/>
          </w:tcPr>
          <w:p>
            <w:pPr>
              <w:jc w:val="right"/>
              <w:ind w:right="61"/>
              <w:spacing w:after="0"/>
              <w:rPr>
                <w:sz w:val="20"/>
                <w:szCs w:val="20"/>
                <w:color w:val="auto"/>
              </w:rPr>
            </w:pPr>
            <w:r>
              <w:rPr>
                <w:rFonts w:ascii="Arial" w:cs="Arial" w:eastAsia="Arial" w:hAnsi="Arial"/>
                <w:sz w:val="18"/>
                <w:szCs w:val="18"/>
                <w:color w:val="auto"/>
              </w:rPr>
              <w:t>232</w:t>
            </w:r>
          </w:p>
        </w:tc>
        <w:tc>
          <w:tcPr>
            <w:tcW w:w="320" w:type="dxa"/>
            <w:vAlign w:val="bottom"/>
          </w:tcPr>
          <w:p>
            <w:pPr>
              <w:spacing w:after="0"/>
              <w:rPr>
                <w:sz w:val="18"/>
                <w:szCs w:val="18"/>
                <w:color w:val="auto"/>
              </w:rPr>
            </w:pPr>
          </w:p>
        </w:tc>
        <w:tc>
          <w:tcPr>
            <w:tcW w:w="1480" w:type="dxa"/>
            <w:vAlign w:val="bottom"/>
          </w:tcPr>
          <w:p>
            <w:pPr>
              <w:jc w:val="right"/>
              <w:ind w:right="239"/>
              <w:spacing w:after="0"/>
              <w:rPr>
                <w:sz w:val="20"/>
                <w:szCs w:val="20"/>
                <w:color w:val="auto"/>
              </w:rPr>
            </w:pPr>
            <w:r>
              <w:rPr>
                <w:rFonts w:ascii="Arial" w:cs="Arial" w:eastAsia="Arial" w:hAnsi="Arial"/>
                <w:sz w:val="18"/>
                <w:szCs w:val="18"/>
                <w:color w:val="auto"/>
              </w:rPr>
              <w:t>6.83</w:t>
            </w:r>
          </w:p>
        </w:tc>
        <w:tc>
          <w:tcPr>
            <w:tcW w:w="1540" w:type="dxa"/>
            <w:vAlign w:val="bottom"/>
          </w:tcPr>
          <w:p>
            <w:pPr>
              <w:spacing w:after="0"/>
              <w:rPr>
                <w:sz w:val="18"/>
                <w:szCs w:val="18"/>
                <w:color w:val="auto"/>
              </w:rPr>
            </w:pPr>
          </w:p>
        </w:tc>
        <w:tc>
          <w:tcPr>
            <w:tcW w:w="460" w:type="dxa"/>
            <w:vAlign w:val="bottom"/>
          </w:tcPr>
          <w:p>
            <w:pPr>
              <w:jc w:val="right"/>
              <w:ind w:right="52"/>
              <w:spacing w:after="0"/>
              <w:rPr>
                <w:sz w:val="20"/>
                <w:szCs w:val="20"/>
                <w:color w:val="auto"/>
              </w:rPr>
            </w:pPr>
            <w:r>
              <w:rPr>
                <w:rFonts w:ascii="Arial" w:cs="Arial" w:eastAsia="Arial" w:hAnsi="Arial"/>
                <w:sz w:val="18"/>
                <w:szCs w:val="18"/>
                <w:color w:val="auto"/>
                <w:w w:val="99"/>
              </w:rPr>
              <w:t>232</w:t>
            </w:r>
          </w:p>
        </w:tc>
        <w:tc>
          <w:tcPr>
            <w:tcW w:w="380" w:type="dxa"/>
            <w:vAlign w:val="bottom"/>
          </w:tcPr>
          <w:p>
            <w:pPr>
              <w:spacing w:after="0"/>
              <w:rPr>
                <w:sz w:val="18"/>
                <w:szCs w:val="18"/>
                <w:color w:val="auto"/>
              </w:rPr>
            </w:pPr>
          </w:p>
        </w:tc>
        <w:tc>
          <w:tcPr>
            <w:tcW w:w="1860" w:type="dxa"/>
            <w:vAlign w:val="bottom"/>
          </w:tcPr>
          <w:p>
            <w:pPr>
              <w:jc w:val="right"/>
              <w:ind w:right="23"/>
              <w:spacing w:after="0"/>
              <w:rPr>
                <w:sz w:val="20"/>
                <w:szCs w:val="20"/>
                <w:color w:val="auto"/>
              </w:rPr>
            </w:pPr>
            <w:r>
              <w:rPr>
                <w:rFonts w:ascii="Arial" w:cs="Arial" w:eastAsia="Arial" w:hAnsi="Arial"/>
                <w:sz w:val="18"/>
                <w:szCs w:val="18"/>
                <w:color w:val="auto"/>
              </w:rPr>
              <w:t>59,583,794</w:t>
            </w:r>
          </w:p>
        </w:tc>
      </w:tr>
      <w:tr>
        <w:trPr>
          <w:trHeight w:val="216"/>
        </w:trPr>
        <w:tc>
          <w:tcPr>
            <w:tcW w:w="2360" w:type="dxa"/>
            <w:vAlign w:val="bottom"/>
            <w:shd w:val="clear" w:color="auto" w:fill="D6F3E8"/>
          </w:tcPr>
          <w:p>
            <w:pPr>
              <w:jc w:val="right"/>
              <w:ind w:right="876"/>
              <w:spacing w:after="0"/>
              <w:rPr>
                <w:sz w:val="20"/>
                <w:szCs w:val="20"/>
                <w:color w:val="auto"/>
              </w:rPr>
            </w:pPr>
            <w:r>
              <w:rPr>
                <w:rFonts w:ascii="Arial" w:cs="Arial" w:eastAsia="Arial" w:hAnsi="Arial"/>
                <w:sz w:val="18"/>
                <w:szCs w:val="18"/>
                <w:color w:val="auto"/>
                <w:w w:val="88"/>
              </w:rPr>
              <w:t>05/03/09 - 05/30/09</w:t>
            </w:r>
          </w:p>
        </w:tc>
        <w:tc>
          <w:tcPr>
            <w:tcW w:w="1400" w:type="dxa"/>
            <w:vAlign w:val="bottom"/>
            <w:tcBorders>
              <w:bottom w:val="single" w:sz="8" w:color="auto"/>
            </w:tcBorders>
            <w:shd w:val="clear" w:color="auto" w:fill="D6F3E8"/>
          </w:tcPr>
          <w:p>
            <w:pPr>
              <w:jc w:val="right"/>
              <w:ind w:right="6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D6F3E8"/>
          </w:tcPr>
          <w:p>
            <w:pPr>
              <w:spacing w:after="0"/>
              <w:rPr>
                <w:sz w:val="18"/>
                <w:szCs w:val="18"/>
                <w:color w:val="auto"/>
              </w:rPr>
            </w:pPr>
          </w:p>
        </w:tc>
        <w:tc>
          <w:tcPr>
            <w:tcW w:w="1480" w:type="dxa"/>
            <w:vAlign w:val="bottom"/>
            <w:tcBorders>
              <w:bottom w:val="single" w:sz="8" w:color="auto"/>
            </w:tcBorders>
            <w:shd w:val="clear" w:color="auto" w:fill="D6F3E8"/>
          </w:tcPr>
          <w:p>
            <w:pPr>
              <w:jc w:val="right"/>
              <w:ind w:right="239"/>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D6F3E8"/>
          </w:tcPr>
          <w:p>
            <w:pPr>
              <w:spacing w:after="0"/>
              <w:rPr>
                <w:sz w:val="18"/>
                <w:szCs w:val="18"/>
                <w:color w:val="auto"/>
              </w:rPr>
            </w:pPr>
          </w:p>
        </w:tc>
        <w:tc>
          <w:tcPr>
            <w:tcW w:w="460" w:type="dxa"/>
            <w:vAlign w:val="bottom"/>
            <w:tcBorders>
              <w:bottom w:val="single" w:sz="8" w:color="auto"/>
            </w:tcBorders>
            <w:shd w:val="clear" w:color="auto" w:fill="D6F3E8"/>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D6F3E8"/>
          </w:tcPr>
          <w:p>
            <w:pPr>
              <w:spacing w:after="0"/>
              <w:rPr>
                <w:sz w:val="18"/>
                <w:szCs w:val="18"/>
                <w:color w:val="auto"/>
              </w:rPr>
            </w:pPr>
          </w:p>
        </w:tc>
        <w:tc>
          <w:tcPr>
            <w:tcW w:w="1860" w:type="dxa"/>
            <w:vAlign w:val="bottom"/>
            <w:tcBorders>
              <w:bottom w:val="single" w:sz="8" w:color="auto"/>
            </w:tcBorders>
            <w:shd w:val="clear" w:color="auto" w:fill="D6F3E8"/>
          </w:tcPr>
          <w:p>
            <w:pPr>
              <w:jc w:val="right"/>
              <w:ind w:right="23"/>
              <w:spacing w:after="0"/>
              <w:rPr>
                <w:sz w:val="20"/>
                <w:szCs w:val="20"/>
                <w:color w:val="auto"/>
              </w:rPr>
            </w:pPr>
            <w:r>
              <w:rPr>
                <w:rFonts w:ascii="Arial" w:cs="Arial" w:eastAsia="Arial" w:hAnsi="Arial"/>
                <w:sz w:val="18"/>
                <w:szCs w:val="18"/>
                <w:color w:val="auto"/>
              </w:rPr>
              <w:t>59,583,794</w:t>
            </w:r>
          </w:p>
        </w:tc>
      </w:tr>
      <w:tr>
        <w:trPr>
          <w:trHeight w:val="210"/>
        </w:trPr>
        <w:tc>
          <w:tcPr>
            <w:tcW w:w="2360" w:type="dxa"/>
            <w:vAlign w:val="bottom"/>
          </w:tcPr>
          <w:p>
            <w:pPr>
              <w:jc w:val="right"/>
              <w:ind w:right="1596"/>
              <w:spacing w:after="0" w:line="202" w:lineRule="exact"/>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tcPr>
          <w:p>
            <w:pPr>
              <w:jc w:val="right"/>
              <w:ind w:right="61"/>
              <w:spacing w:after="0"/>
              <w:rPr>
                <w:sz w:val="20"/>
                <w:szCs w:val="20"/>
                <w:color w:val="auto"/>
              </w:rPr>
            </w:pPr>
            <w:r>
              <w:rPr>
                <w:rFonts w:ascii="Arial" w:cs="Arial" w:eastAsia="Arial" w:hAnsi="Arial"/>
                <w:sz w:val="18"/>
                <w:szCs w:val="18"/>
                <w:color w:val="auto"/>
              </w:rPr>
              <w:t>232</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239"/>
              <w:spacing w:after="0"/>
              <w:rPr>
                <w:sz w:val="20"/>
                <w:szCs w:val="20"/>
                <w:color w:val="auto"/>
              </w:rPr>
            </w:pPr>
            <w:r>
              <w:rPr>
                <w:rFonts w:ascii="Arial" w:cs="Arial" w:eastAsia="Arial" w:hAnsi="Arial"/>
                <w:sz w:val="18"/>
                <w:szCs w:val="18"/>
                <w:color w:val="auto"/>
              </w:rPr>
              <w:t>6.83</w:t>
            </w:r>
          </w:p>
        </w:tc>
        <w:tc>
          <w:tcPr>
            <w:tcW w:w="15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232</w:t>
            </w:r>
          </w:p>
        </w:tc>
        <w:tc>
          <w:tcPr>
            <w:tcW w:w="3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jc w:val="right"/>
              <w:ind w:right="23"/>
              <w:spacing w:after="0"/>
              <w:rPr>
                <w:sz w:val="20"/>
                <w:szCs w:val="20"/>
                <w:color w:val="auto"/>
              </w:rPr>
            </w:pPr>
            <w:r>
              <w:rPr>
                <w:rFonts w:ascii="Arial" w:cs="Arial" w:eastAsia="Arial" w:hAnsi="Arial"/>
                <w:sz w:val="18"/>
                <w:szCs w:val="18"/>
                <w:color w:val="auto"/>
              </w:rPr>
              <w:t>59,583,794</w:t>
            </w:r>
          </w:p>
        </w:tc>
      </w:tr>
      <w:tr>
        <w:trPr>
          <w:trHeight w:val="20"/>
        </w:trPr>
        <w:tc>
          <w:tcPr>
            <w:tcW w:w="23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Exhibits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Exhibits - See Exhibit Index on page 26.</w:t>
      </w:r>
    </w:p>
    <w:p>
      <w:pPr>
        <w:sectPr>
          <w:pgSz w:w="11900" w:h="16838" w:orient="portrait"/>
          <w:cols w:equalWidth="0" w:num="1">
            <w:col w:w="11400"/>
          </w:cols>
          <w:pgMar w:left="240" w:top="131" w:right="259" w:bottom="1440" w:gutter="0" w:footer="0" w:header="0"/>
        </w:sectPr>
      </w:pPr>
    </w:p>
    <w:bookmarkStart w:id="18" w:name="page19"/>
    <w:bookmarkEnd w:id="18"/>
    <w:p>
      <w:pPr>
        <w:jc w:val="center"/>
        <w:ind w:right="-4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center"/>
        <w:ind w:right="-41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0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508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WINNEBAGO INDUSTRIES, INC.</w:t>
            </w:r>
          </w:p>
        </w:tc>
      </w:tr>
      <w:tr>
        <w:trPr>
          <w:trHeight w:val="217"/>
        </w:trPr>
        <w:tc>
          <w:tcPr>
            <w:tcW w:w="7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80" w:type="dxa"/>
            <w:vAlign w:val="bottom"/>
          </w:tcPr>
          <w:p>
            <w:pPr>
              <w:ind w:left="2120"/>
              <w:spacing w:after="0"/>
              <w:rPr>
                <w:sz w:val="20"/>
                <w:szCs w:val="20"/>
                <w:color w:val="auto"/>
              </w:rPr>
            </w:pPr>
            <w:r>
              <w:rPr>
                <w:rFonts w:ascii="Arial" w:cs="Arial" w:eastAsia="Arial" w:hAnsi="Arial"/>
                <w:sz w:val="18"/>
                <w:szCs w:val="18"/>
                <w:color w:val="auto"/>
              </w:rPr>
              <w:t>(Registrant)</w:t>
            </w:r>
          </w:p>
        </w:tc>
      </w:tr>
      <w:tr>
        <w:trPr>
          <w:trHeight w:val="654"/>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4460" w:type="dxa"/>
            <w:vAlign w:val="bottom"/>
            <w:gridSpan w:val="2"/>
          </w:tcPr>
          <w:p>
            <w:pPr>
              <w:ind w:left="800"/>
              <w:spacing w:after="0"/>
              <w:rPr>
                <w:sz w:val="20"/>
                <w:szCs w:val="20"/>
                <w:color w:val="auto"/>
              </w:rPr>
            </w:pPr>
            <w:r>
              <w:rPr>
                <w:rFonts w:ascii="Arial" w:cs="Arial" w:eastAsia="Arial" w:hAnsi="Arial"/>
                <w:sz w:val="18"/>
                <w:szCs w:val="18"/>
                <w:color w:val="auto"/>
              </w:rPr>
              <w:t>July 8, 2009</w:t>
            </w:r>
          </w:p>
        </w:tc>
        <w:tc>
          <w:tcPr>
            <w:tcW w:w="5080" w:type="dxa"/>
            <w:vAlign w:val="bottom"/>
          </w:tcPr>
          <w:p>
            <w:pPr>
              <w:spacing w:after="0"/>
              <w:rPr>
                <w:sz w:val="20"/>
                <w:szCs w:val="20"/>
                <w:color w:val="auto"/>
              </w:rPr>
            </w:pPr>
            <w:r>
              <w:rPr>
                <w:rFonts w:ascii="Arial" w:cs="Arial" w:eastAsia="Arial" w:hAnsi="Arial"/>
                <w:sz w:val="18"/>
                <w:szCs w:val="18"/>
                <w:color w:val="auto"/>
              </w:rPr>
              <w:t>/s/ Robert J. Olson</w:t>
            </w:r>
          </w:p>
        </w:tc>
      </w:tr>
      <w:tr>
        <w:trPr>
          <w:trHeight w:val="202"/>
        </w:trPr>
        <w:tc>
          <w:tcPr>
            <w:tcW w:w="740" w:type="dxa"/>
            <w:vAlign w:val="bottom"/>
          </w:tcPr>
          <w:p>
            <w:pPr>
              <w:spacing w:after="0"/>
              <w:rPr>
                <w:sz w:val="17"/>
                <w:szCs w:val="17"/>
                <w:color w:val="auto"/>
              </w:rPr>
            </w:pPr>
          </w:p>
        </w:tc>
        <w:tc>
          <w:tcPr>
            <w:tcW w:w="2460" w:type="dxa"/>
            <w:vAlign w:val="bottom"/>
            <w:tcBorders>
              <w:top w:val="single" w:sz="8" w:color="auto"/>
            </w:tcBorders>
          </w:tcPr>
          <w:p>
            <w:pPr>
              <w:spacing w:after="0"/>
              <w:rPr>
                <w:sz w:val="17"/>
                <w:szCs w:val="17"/>
                <w:color w:val="auto"/>
              </w:rPr>
            </w:pPr>
          </w:p>
        </w:tc>
        <w:tc>
          <w:tcPr>
            <w:tcW w:w="2000" w:type="dxa"/>
            <w:vAlign w:val="bottom"/>
          </w:tcPr>
          <w:p>
            <w:pPr>
              <w:spacing w:after="0"/>
              <w:rPr>
                <w:sz w:val="17"/>
                <w:szCs w:val="17"/>
                <w:color w:val="auto"/>
              </w:rPr>
            </w:pPr>
          </w:p>
        </w:tc>
        <w:tc>
          <w:tcPr>
            <w:tcW w:w="508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Robert J. Olson</w:t>
            </w:r>
          </w:p>
        </w:tc>
      </w:tr>
      <w:tr>
        <w:trPr>
          <w:trHeight w:val="216"/>
        </w:trPr>
        <w:tc>
          <w:tcPr>
            <w:tcW w:w="7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Chairman of the Board, Chief Executive Officer and President</w:t>
            </w:r>
          </w:p>
        </w:tc>
      </w:tr>
      <w:tr>
        <w:trPr>
          <w:trHeight w:val="222"/>
        </w:trPr>
        <w:tc>
          <w:tcPr>
            <w:tcW w:w="7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(Principal Executive Officer)</w:t>
            </w:r>
          </w:p>
        </w:tc>
      </w:tr>
      <w:tr>
        <w:trPr>
          <w:trHeight w:val="663"/>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4460" w:type="dxa"/>
            <w:vAlign w:val="bottom"/>
            <w:gridSpan w:val="2"/>
          </w:tcPr>
          <w:p>
            <w:pPr>
              <w:ind w:left="800"/>
              <w:spacing w:after="0"/>
              <w:rPr>
                <w:sz w:val="20"/>
                <w:szCs w:val="20"/>
                <w:color w:val="auto"/>
              </w:rPr>
            </w:pPr>
            <w:r>
              <w:rPr>
                <w:rFonts w:ascii="Arial" w:cs="Arial" w:eastAsia="Arial" w:hAnsi="Arial"/>
                <w:sz w:val="18"/>
                <w:szCs w:val="18"/>
                <w:color w:val="auto"/>
              </w:rPr>
              <w:t>July 8, 2009</w:t>
            </w:r>
          </w:p>
        </w:tc>
        <w:tc>
          <w:tcPr>
            <w:tcW w:w="5080" w:type="dxa"/>
            <w:vAlign w:val="bottom"/>
          </w:tcPr>
          <w:p>
            <w:pPr>
              <w:spacing w:after="0"/>
              <w:rPr>
                <w:sz w:val="20"/>
                <w:szCs w:val="20"/>
                <w:color w:val="auto"/>
              </w:rPr>
            </w:pPr>
            <w:r>
              <w:rPr>
                <w:rFonts w:ascii="Arial" w:cs="Arial" w:eastAsia="Arial" w:hAnsi="Arial"/>
                <w:sz w:val="18"/>
                <w:szCs w:val="18"/>
                <w:color w:val="auto"/>
              </w:rPr>
              <w:t>/s/ Sarah N. Nielsen</w:t>
            </w:r>
          </w:p>
        </w:tc>
      </w:tr>
      <w:tr>
        <w:trPr>
          <w:trHeight w:val="202"/>
        </w:trPr>
        <w:tc>
          <w:tcPr>
            <w:tcW w:w="740" w:type="dxa"/>
            <w:vAlign w:val="bottom"/>
          </w:tcPr>
          <w:p>
            <w:pPr>
              <w:spacing w:after="0"/>
              <w:rPr>
                <w:sz w:val="17"/>
                <w:szCs w:val="17"/>
                <w:color w:val="auto"/>
              </w:rPr>
            </w:pPr>
          </w:p>
        </w:tc>
        <w:tc>
          <w:tcPr>
            <w:tcW w:w="2460" w:type="dxa"/>
            <w:vAlign w:val="bottom"/>
            <w:tcBorders>
              <w:top w:val="single" w:sz="8" w:color="auto"/>
            </w:tcBorders>
          </w:tcPr>
          <w:p>
            <w:pPr>
              <w:spacing w:after="0"/>
              <w:rPr>
                <w:sz w:val="17"/>
                <w:szCs w:val="17"/>
                <w:color w:val="auto"/>
              </w:rPr>
            </w:pPr>
          </w:p>
        </w:tc>
        <w:tc>
          <w:tcPr>
            <w:tcW w:w="2000" w:type="dxa"/>
            <w:vAlign w:val="bottom"/>
          </w:tcPr>
          <w:p>
            <w:pPr>
              <w:spacing w:after="0"/>
              <w:rPr>
                <w:sz w:val="17"/>
                <w:szCs w:val="17"/>
                <w:color w:val="auto"/>
              </w:rPr>
            </w:pPr>
          </w:p>
        </w:tc>
        <w:tc>
          <w:tcPr>
            <w:tcW w:w="508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Sarah N. Nielsen</w:t>
            </w:r>
          </w:p>
        </w:tc>
      </w:tr>
      <w:tr>
        <w:trPr>
          <w:trHeight w:val="222"/>
        </w:trPr>
        <w:tc>
          <w:tcPr>
            <w:tcW w:w="7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Chief Financial Officer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center"/>
        <w:ind w:right="-419"/>
        <w:spacing w:after="0"/>
        <w:rPr>
          <w:sz w:val="20"/>
          <w:szCs w:val="20"/>
          <w:color w:val="auto"/>
        </w:rPr>
      </w:pPr>
      <w:r>
        <w:rPr>
          <w:rFonts w:ascii="Arial" w:cs="Arial" w:eastAsia="Arial" w:hAnsi="Arial"/>
          <w:sz w:val="22"/>
          <w:szCs w:val="22"/>
          <w:b w:val="1"/>
          <w:bCs w:val="1"/>
          <w:color w:val="auto"/>
        </w:rPr>
        <w:t>Exhibit Index</w:t>
      </w:r>
    </w:p>
    <w:p>
      <w:pPr>
        <w:spacing w:after="0" w:line="200" w:lineRule="exact"/>
        <w:rPr>
          <w:sz w:val="20"/>
          <w:szCs w:val="20"/>
          <w:color w:val="auto"/>
        </w:rPr>
      </w:pPr>
    </w:p>
    <w:p>
      <w:pPr>
        <w:spacing w:after="0" w:line="20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by the Chief Executive Officer pursuant to Section 302 of the Sarbanes-Oxley Act of 2002 dated July 8, 2009.</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by the Chief Financial Officer pursuant to Section 302 of the Sarbanes-Oxley Act of 2002 dated July 8, 2009.</w:t>
      </w:r>
    </w:p>
    <w:p>
      <w:pPr>
        <w:spacing w:after="0" w:line="225" w:lineRule="exact"/>
        <w:rPr>
          <w:sz w:val="20"/>
          <w:szCs w:val="20"/>
          <w:color w:val="auto"/>
        </w:rPr>
      </w:pPr>
    </w:p>
    <w:p>
      <w:pPr>
        <w:ind w:left="660" w:hanging="647"/>
        <w:spacing w:after="0" w:line="268" w:lineRule="auto"/>
        <w:tabs>
          <w:tab w:leader="none" w:pos="6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by the Chief Executive Officer pursuant to Section 1350, as adopted pursuant to Section 906 of the Sarbanes-Oxley Act of 2002 dated July 8, 2009.</w:t>
      </w:r>
    </w:p>
    <w:p>
      <w:pPr>
        <w:spacing w:after="0" w:line="186" w:lineRule="exact"/>
        <w:rPr>
          <w:sz w:val="20"/>
          <w:szCs w:val="20"/>
          <w:color w:val="auto"/>
        </w:rPr>
      </w:pPr>
    </w:p>
    <w:p>
      <w:pPr>
        <w:ind w:left="660" w:right="40" w:hanging="647"/>
        <w:spacing w:after="0" w:line="268" w:lineRule="auto"/>
        <w:tabs>
          <w:tab w:leader="none" w:pos="6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by the Chief Financial Officer pursuant to Section 1350, as adopted pursuant to Section 906 of the Sarbanes-Oxley Act of 2002 dated July 8, 2009.</w:t>
      </w:r>
    </w:p>
    <w:p>
      <w:pPr>
        <w:sectPr>
          <w:pgSz w:w="11900" w:h="16838" w:orient="portrait"/>
          <w:cols w:equalWidth="0" w:num="1">
            <w:col w:w="11000"/>
          </w:cols>
          <w:pgMar w:left="240" w:top="131"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246380</wp:posOffset>
            </wp:positionV>
            <wp:extent cx="725043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00"/>
          </w:cols>
          <w:pgMar w:left="240" w:top="131" w:right="65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22"/>
          <w:szCs w:val="22"/>
          <w:b w:val="1"/>
          <w:bCs w:val="1"/>
          <w:color w:val="auto"/>
        </w:rPr>
        <w:t>Exhibit 31.1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BY CHIEF EXECUTIVE OFFICER</w:t>
      </w:r>
    </w:p>
    <w:p>
      <w:pPr>
        <w:jc w:val="center"/>
        <w:spacing w:after="0" w:line="230" w:lineRule="auto"/>
        <w:rPr>
          <w:sz w:val="20"/>
          <w:szCs w:val="20"/>
          <w:color w:val="auto"/>
        </w:rPr>
      </w:pPr>
      <w:r>
        <w:rPr>
          <w:rFonts w:ascii="Arial" w:cs="Arial" w:eastAsia="Arial" w:hAnsi="Arial"/>
          <w:sz w:val="22"/>
          <w:szCs w:val="22"/>
          <w:b w:val="1"/>
          <w:bCs w:val="1"/>
          <w:color w:val="auto"/>
        </w:rPr>
        <w:t>PURSUANT TO 18 U.S.C. SECTION 1350,</w:t>
      </w:r>
    </w:p>
    <w:p>
      <w:pPr>
        <w:jc w:val="center"/>
        <w:spacing w:after="0" w:line="231" w:lineRule="auto"/>
        <w:rPr>
          <w:sz w:val="20"/>
          <w:szCs w:val="20"/>
          <w:color w:val="auto"/>
        </w:rPr>
      </w:pPr>
      <w:r>
        <w:rPr>
          <w:rFonts w:ascii="Arial" w:cs="Arial" w:eastAsia="Arial" w:hAnsi="Arial"/>
          <w:sz w:val="22"/>
          <w:szCs w:val="22"/>
          <w:b w:val="1"/>
          <w:bCs w:val="1"/>
          <w:color w:val="auto"/>
        </w:rPr>
        <w:t>AS ADOPTED PURSUANT TO SECTION 302</w:t>
      </w:r>
    </w:p>
    <w:p>
      <w:pPr>
        <w:jc w:val="center"/>
        <w:spacing w:after="0"/>
        <w:rPr>
          <w:sz w:val="20"/>
          <w:szCs w:val="20"/>
          <w:color w:val="auto"/>
        </w:rPr>
      </w:pPr>
      <w:r>
        <w:rPr>
          <w:rFonts w:ascii="Arial" w:cs="Arial" w:eastAsia="Arial" w:hAnsi="Arial"/>
          <w:sz w:val="22"/>
          <w:szCs w:val="22"/>
          <w:b w:val="1"/>
          <w:bCs w:val="1"/>
          <w:color w:val="auto"/>
        </w:rPr>
        <w:t>OF THE SARBANES-OXLEY ACT OF 2002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 Robert J. Olson, Chief Executive Officer of Winnebago Industries, Inc., certify that:</w:t>
      </w:r>
    </w:p>
    <w:p>
      <w:pPr>
        <w:spacing w:after="0" w:line="225" w:lineRule="exact"/>
        <w:rPr>
          <w:sz w:val="20"/>
          <w:szCs w:val="20"/>
          <w:color w:val="auto"/>
        </w:rPr>
      </w:pPr>
    </w:p>
    <w:p>
      <w:pPr>
        <w:ind w:left="1140" w:hanging="48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Winnebago Industries, Inc. (the “Registrant”);</w:t>
      </w:r>
    </w:p>
    <w:p>
      <w:pPr>
        <w:spacing w:after="0" w:line="225" w:lineRule="exact"/>
        <w:rPr>
          <w:rFonts w:ascii="Arial" w:cs="Arial" w:eastAsia="Arial" w:hAnsi="Arial"/>
          <w:sz w:val="18"/>
          <w:szCs w:val="18"/>
          <w:color w:val="auto"/>
        </w:rPr>
      </w:pPr>
    </w:p>
    <w:p>
      <w:pPr>
        <w:ind w:left="1140" w:right="140" w:hanging="484"/>
        <w:spacing w:after="0" w:line="259"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4" w:lineRule="exact"/>
        <w:rPr>
          <w:rFonts w:ascii="Arial" w:cs="Arial" w:eastAsia="Arial" w:hAnsi="Arial"/>
          <w:sz w:val="18"/>
          <w:szCs w:val="18"/>
          <w:color w:val="auto"/>
        </w:rPr>
      </w:pPr>
    </w:p>
    <w:p>
      <w:pPr>
        <w:ind w:left="1140" w:right="200" w:hanging="484"/>
        <w:spacing w:after="0" w:line="259"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94" w:lineRule="exact"/>
        <w:rPr>
          <w:rFonts w:ascii="Arial" w:cs="Arial" w:eastAsia="Arial" w:hAnsi="Arial"/>
          <w:sz w:val="18"/>
          <w:szCs w:val="18"/>
          <w:color w:val="auto"/>
        </w:rPr>
      </w:pPr>
    </w:p>
    <w:p>
      <w:pPr>
        <w:ind w:left="1140" w:right="180" w:hanging="484"/>
        <w:spacing w:after="0" w:line="259"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jc w:val="both"/>
        <w:ind w:left="1620" w:right="80" w:hanging="478"/>
        <w:spacing w:after="0" w:line="306" w:lineRule="auto"/>
        <w:tabs>
          <w:tab w:leader="none" w:pos="16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60" w:lineRule="exact"/>
        <w:rPr>
          <w:rFonts w:ascii="Arial" w:cs="Arial" w:eastAsia="Arial" w:hAnsi="Arial"/>
          <w:sz w:val="16"/>
          <w:szCs w:val="16"/>
          <w:color w:val="auto"/>
        </w:rPr>
      </w:pPr>
    </w:p>
    <w:p>
      <w:pPr>
        <w:ind w:left="1620" w:right="180" w:hanging="478"/>
        <w:spacing w:after="0" w:line="259" w:lineRule="auto"/>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jc w:val="both"/>
        <w:ind w:left="1620" w:right="220" w:hanging="478"/>
        <w:spacing w:after="0" w:line="259" w:lineRule="auto"/>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end of the period covered by this Quarterly Report based on such evaluation;</w:t>
      </w:r>
    </w:p>
    <w:p>
      <w:pPr>
        <w:spacing w:after="0" w:line="194" w:lineRule="exact"/>
        <w:rPr>
          <w:rFonts w:ascii="Arial" w:cs="Arial" w:eastAsia="Arial" w:hAnsi="Arial"/>
          <w:sz w:val="18"/>
          <w:szCs w:val="18"/>
          <w:color w:val="auto"/>
        </w:rPr>
      </w:pPr>
    </w:p>
    <w:p>
      <w:pPr>
        <w:ind w:left="1620" w:right="120" w:hanging="478"/>
        <w:spacing w:after="0" w:line="259" w:lineRule="auto"/>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third fiscal quarter in this case) that has materially affected, or is reasonably likely to materially affect, the Registrant’s internal control over financial reporting;</w:t>
      </w:r>
    </w:p>
    <w:p>
      <w:pPr>
        <w:spacing w:after="0" w:line="194" w:lineRule="exact"/>
        <w:rPr>
          <w:rFonts w:ascii="Arial" w:cs="Arial" w:eastAsia="Arial" w:hAnsi="Arial"/>
          <w:sz w:val="18"/>
          <w:szCs w:val="18"/>
          <w:color w:val="auto"/>
        </w:rPr>
      </w:pPr>
    </w:p>
    <w:p>
      <w:pPr>
        <w:ind w:left="1140" w:right="160" w:hanging="484"/>
        <w:spacing w:after="0" w:line="332" w:lineRule="auto"/>
        <w:tabs>
          <w:tab w:leader="none" w:pos="11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9" w:lineRule="exact"/>
        <w:rPr>
          <w:rFonts w:ascii="Arial" w:cs="Arial" w:eastAsia="Arial" w:hAnsi="Arial"/>
          <w:sz w:val="16"/>
          <w:szCs w:val="16"/>
          <w:color w:val="auto"/>
        </w:rPr>
      </w:pPr>
    </w:p>
    <w:p>
      <w:pPr>
        <w:ind w:left="1620" w:right="580" w:hanging="478"/>
        <w:spacing w:after="0" w:line="332" w:lineRule="auto"/>
        <w:tabs>
          <w:tab w:leader="none" w:pos="16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6"/>
          <w:szCs w:val="16"/>
          <w:color w:val="auto"/>
        </w:rPr>
      </w:pPr>
    </w:p>
    <w:p>
      <w:pPr>
        <w:ind w:left="1620" w:right="200" w:hanging="478"/>
        <w:spacing w:after="0" w:line="268" w:lineRule="auto"/>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involved management or other employees who have a significant role in the Registrant’s internal control over financial reporting.</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540" w:type="dxa"/>
            <w:vAlign w:val="bottom"/>
          </w:tcPr>
          <w:p>
            <w:pPr>
              <w:ind w:left="680"/>
              <w:spacing w:after="0"/>
              <w:rPr>
                <w:sz w:val="20"/>
                <w:szCs w:val="20"/>
                <w:color w:val="auto"/>
              </w:rPr>
            </w:pPr>
            <w:r>
              <w:rPr>
                <w:rFonts w:ascii="Arial" w:cs="Arial" w:eastAsia="Arial" w:hAnsi="Arial"/>
                <w:sz w:val="18"/>
                <w:szCs w:val="18"/>
                <w:color w:val="auto"/>
              </w:rPr>
              <w:t>Date:</w:t>
            </w:r>
          </w:p>
        </w:tc>
        <w:tc>
          <w:tcPr>
            <w:tcW w:w="230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July 8, 2009</w:t>
            </w:r>
          </w:p>
        </w:tc>
        <w:tc>
          <w:tcPr>
            <w:tcW w:w="3280" w:type="dxa"/>
            <w:vAlign w:val="bottom"/>
          </w:tcPr>
          <w:p>
            <w:pPr>
              <w:ind w:left="2620"/>
              <w:spacing w:after="0"/>
              <w:rPr>
                <w:sz w:val="20"/>
                <w:szCs w:val="20"/>
                <w:color w:val="auto"/>
              </w:rPr>
            </w:pPr>
            <w:r>
              <w:rPr>
                <w:rFonts w:ascii="Arial" w:cs="Arial" w:eastAsia="Arial" w:hAnsi="Arial"/>
                <w:sz w:val="18"/>
                <w:szCs w:val="18"/>
                <w:color w:val="auto"/>
              </w:rPr>
              <w:t>By:</w:t>
            </w:r>
          </w:p>
        </w:tc>
        <w:tc>
          <w:tcPr>
            <w:tcW w:w="3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Robert J. Olson</w:t>
            </w:r>
          </w:p>
        </w:tc>
        <w:tc>
          <w:tcPr>
            <w:tcW w:w="580" w:type="dxa"/>
            <w:vAlign w:val="bottom"/>
          </w:tcPr>
          <w:p>
            <w:pPr>
              <w:spacing w:after="0"/>
              <w:rPr>
                <w:sz w:val="19"/>
                <w:szCs w:val="19"/>
                <w:color w:val="auto"/>
              </w:rPr>
            </w:pPr>
          </w:p>
        </w:tc>
      </w:tr>
      <w:tr>
        <w:trPr>
          <w:trHeight w:val="202"/>
        </w:trPr>
        <w:tc>
          <w:tcPr>
            <w:tcW w:w="15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Robert J. Olson</w:t>
            </w:r>
          </w:p>
        </w:tc>
        <w:tc>
          <w:tcPr>
            <w:tcW w:w="580" w:type="dxa"/>
            <w:vAlign w:val="bottom"/>
          </w:tcPr>
          <w:p>
            <w:pPr>
              <w:spacing w:after="0"/>
              <w:rPr>
                <w:sz w:val="17"/>
                <w:szCs w:val="17"/>
                <w:color w:val="auto"/>
              </w:rPr>
            </w:pPr>
          </w:p>
        </w:tc>
      </w:tr>
      <w:tr>
        <w:trPr>
          <w:trHeight w:val="222"/>
        </w:trPr>
        <w:tc>
          <w:tcPr>
            <w:tcW w:w="15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3720" w:type="dxa"/>
            <w:vAlign w:val="bottom"/>
          </w:tcPr>
          <w:p>
            <w:pPr>
              <w:ind w:left="100"/>
              <w:spacing w:after="0"/>
              <w:rPr>
                <w:sz w:val="20"/>
                <w:szCs w:val="20"/>
                <w:color w:val="auto"/>
              </w:rPr>
            </w:pPr>
            <w:r>
              <w:rPr>
                <w:rFonts w:ascii="Arial" w:cs="Arial" w:eastAsia="Arial" w:hAnsi="Arial"/>
                <w:sz w:val="18"/>
                <w:szCs w:val="18"/>
                <w:color w:val="auto"/>
              </w:rPr>
              <w:t>Chief Executive Officer</w:t>
            </w:r>
          </w:p>
        </w:tc>
        <w:tc>
          <w:tcPr>
            <w:tcW w:w="580" w:type="dxa"/>
            <w:vAlign w:val="bottom"/>
          </w:tcPr>
          <w:p>
            <w:pPr>
              <w:spacing w:after="0"/>
              <w:rPr>
                <w:sz w:val="19"/>
                <w:szCs w:val="19"/>
                <w:color w:val="auto"/>
              </w:rPr>
            </w:pPr>
          </w:p>
        </w:tc>
      </w:tr>
      <w:tr>
        <w:trPr>
          <w:trHeight w:val="620"/>
        </w:trPr>
        <w:tc>
          <w:tcPr>
            <w:tcW w:w="154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3280" w:type="dxa"/>
            <w:vAlign w:val="bottom"/>
            <w:tcBorders>
              <w:bottom w:val="single" w:sz="8" w:color="808080"/>
            </w:tcBorders>
          </w:tcPr>
          <w:p>
            <w:pPr>
              <w:spacing w:after="0"/>
              <w:rPr>
                <w:sz w:val="24"/>
                <w:szCs w:val="24"/>
                <w:color w:val="auto"/>
              </w:rPr>
            </w:pPr>
          </w:p>
        </w:tc>
        <w:tc>
          <w:tcPr>
            <w:tcW w:w="37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22"/>
          <w:szCs w:val="22"/>
          <w:b w:val="1"/>
          <w:bCs w:val="1"/>
          <w:color w:val="auto"/>
        </w:rPr>
        <w:t>Exhibit 31.2</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BY CHIEF FINANCIAL OFFICER</w:t>
      </w:r>
    </w:p>
    <w:p>
      <w:pPr>
        <w:jc w:val="center"/>
        <w:spacing w:after="0" w:line="230" w:lineRule="auto"/>
        <w:rPr>
          <w:sz w:val="20"/>
          <w:szCs w:val="20"/>
          <w:color w:val="auto"/>
        </w:rPr>
      </w:pPr>
      <w:r>
        <w:rPr>
          <w:rFonts w:ascii="Arial" w:cs="Arial" w:eastAsia="Arial" w:hAnsi="Arial"/>
          <w:sz w:val="22"/>
          <w:szCs w:val="22"/>
          <w:b w:val="1"/>
          <w:bCs w:val="1"/>
          <w:color w:val="auto"/>
        </w:rPr>
        <w:t>PURSUANT TO 18 U.S.C. SECTION 1350,</w:t>
      </w:r>
    </w:p>
    <w:p>
      <w:pPr>
        <w:jc w:val="center"/>
        <w:spacing w:after="0" w:line="231" w:lineRule="auto"/>
        <w:rPr>
          <w:sz w:val="20"/>
          <w:szCs w:val="20"/>
          <w:color w:val="auto"/>
        </w:rPr>
      </w:pPr>
      <w:r>
        <w:rPr>
          <w:rFonts w:ascii="Arial" w:cs="Arial" w:eastAsia="Arial" w:hAnsi="Arial"/>
          <w:sz w:val="22"/>
          <w:szCs w:val="22"/>
          <w:b w:val="1"/>
          <w:bCs w:val="1"/>
          <w:color w:val="auto"/>
        </w:rPr>
        <w:t>AS ADOPTED PURSUANT TO SECTION 302</w:t>
      </w:r>
    </w:p>
    <w:p>
      <w:pPr>
        <w:jc w:val="center"/>
        <w:spacing w:after="0"/>
        <w:rPr>
          <w:sz w:val="20"/>
          <w:szCs w:val="20"/>
          <w:color w:val="auto"/>
        </w:rPr>
      </w:pPr>
      <w:r>
        <w:rPr>
          <w:rFonts w:ascii="Arial" w:cs="Arial" w:eastAsia="Arial" w:hAnsi="Arial"/>
          <w:sz w:val="22"/>
          <w:szCs w:val="22"/>
          <w:b w:val="1"/>
          <w:bCs w:val="1"/>
          <w:color w:val="auto"/>
        </w:rPr>
        <w:t>OF THE SARBANES-OXLEY ACT OF 2002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 Sarah N. Nielsen, Chief Financial Officer of Winnebago Industries, Inc., certify that:</w:t>
      </w:r>
    </w:p>
    <w:p>
      <w:pPr>
        <w:spacing w:after="0" w:line="225" w:lineRule="exact"/>
        <w:rPr>
          <w:sz w:val="20"/>
          <w:szCs w:val="20"/>
          <w:color w:val="auto"/>
        </w:rPr>
      </w:pPr>
    </w:p>
    <w:p>
      <w:pPr>
        <w:ind w:left="1140" w:hanging="484"/>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Winnebago Industries, Inc. (the “Registrant”);</w:t>
      </w:r>
    </w:p>
    <w:p>
      <w:pPr>
        <w:spacing w:after="0" w:line="225" w:lineRule="exact"/>
        <w:rPr>
          <w:rFonts w:ascii="Arial" w:cs="Arial" w:eastAsia="Arial" w:hAnsi="Arial"/>
          <w:sz w:val="18"/>
          <w:szCs w:val="18"/>
          <w:color w:val="auto"/>
        </w:rPr>
      </w:pPr>
    </w:p>
    <w:p>
      <w:pPr>
        <w:ind w:left="1140" w:right="140" w:hanging="484"/>
        <w:spacing w:after="0" w:line="259"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4" w:lineRule="exact"/>
        <w:rPr>
          <w:rFonts w:ascii="Arial" w:cs="Arial" w:eastAsia="Arial" w:hAnsi="Arial"/>
          <w:sz w:val="18"/>
          <w:szCs w:val="18"/>
          <w:color w:val="auto"/>
        </w:rPr>
      </w:pPr>
    </w:p>
    <w:p>
      <w:pPr>
        <w:ind w:left="1140" w:right="200" w:hanging="484"/>
        <w:spacing w:after="0" w:line="259"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94" w:lineRule="exact"/>
        <w:rPr>
          <w:rFonts w:ascii="Arial" w:cs="Arial" w:eastAsia="Arial" w:hAnsi="Arial"/>
          <w:sz w:val="18"/>
          <w:szCs w:val="18"/>
          <w:color w:val="auto"/>
        </w:rPr>
      </w:pPr>
    </w:p>
    <w:p>
      <w:pPr>
        <w:ind w:left="1140" w:right="180" w:hanging="484"/>
        <w:spacing w:after="0" w:line="259"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jc w:val="both"/>
        <w:ind w:left="1620" w:right="80" w:hanging="478"/>
        <w:spacing w:after="0" w:line="306" w:lineRule="auto"/>
        <w:tabs>
          <w:tab w:leader="none" w:pos="16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60" w:lineRule="exact"/>
        <w:rPr>
          <w:rFonts w:ascii="Arial" w:cs="Arial" w:eastAsia="Arial" w:hAnsi="Arial"/>
          <w:sz w:val="16"/>
          <w:szCs w:val="16"/>
          <w:color w:val="auto"/>
        </w:rPr>
      </w:pPr>
    </w:p>
    <w:p>
      <w:pPr>
        <w:ind w:left="1620" w:right="180" w:hanging="478"/>
        <w:spacing w:after="0" w:line="259" w:lineRule="auto"/>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jc w:val="both"/>
        <w:ind w:left="1620" w:right="220" w:hanging="478"/>
        <w:spacing w:after="0" w:line="259" w:lineRule="auto"/>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end of the period covered by this Quarterly Report based on such evaluation;</w:t>
      </w:r>
    </w:p>
    <w:p>
      <w:pPr>
        <w:spacing w:after="0" w:line="194" w:lineRule="exact"/>
        <w:rPr>
          <w:rFonts w:ascii="Arial" w:cs="Arial" w:eastAsia="Arial" w:hAnsi="Arial"/>
          <w:sz w:val="18"/>
          <w:szCs w:val="18"/>
          <w:color w:val="auto"/>
        </w:rPr>
      </w:pPr>
    </w:p>
    <w:p>
      <w:pPr>
        <w:ind w:left="1620" w:right="120" w:hanging="478"/>
        <w:spacing w:after="0" w:line="259" w:lineRule="auto"/>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third fiscal quarter in this case) that has materially affected, or is reasonably likely to materially affect, the Registrant’s internal control over financial reporting;</w:t>
      </w:r>
    </w:p>
    <w:p>
      <w:pPr>
        <w:spacing w:after="0" w:line="194" w:lineRule="exact"/>
        <w:rPr>
          <w:rFonts w:ascii="Arial" w:cs="Arial" w:eastAsia="Arial" w:hAnsi="Arial"/>
          <w:sz w:val="18"/>
          <w:szCs w:val="18"/>
          <w:color w:val="auto"/>
        </w:rPr>
      </w:pPr>
    </w:p>
    <w:p>
      <w:pPr>
        <w:ind w:left="1140" w:right="160" w:hanging="484"/>
        <w:spacing w:after="0" w:line="332" w:lineRule="auto"/>
        <w:tabs>
          <w:tab w:leader="none" w:pos="1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9" w:lineRule="exact"/>
        <w:rPr>
          <w:rFonts w:ascii="Arial" w:cs="Arial" w:eastAsia="Arial" w:hAnsi="Arial"/>
          <w:sz w:val="16"/>
          <w:szCs w:val="16"/>
          <w:color w:val="auto"/>
        </w:rPr>
      </w:pPr>
    </w:p>
    <w:p>
      <w:pPr>
        <w:ind w:left="1620" w:right="580" w:hanging="478"/>
        <w:spacing w:after="0" w:line="332" w:lineRule="auto"/>
        <w:tabs>
          <w:tab w:leader="none" w:pos="16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6"/>
          <w:szCs w:val="16"/>
          <w:color w:val="auto"/>
        </w:rPr>
      </w:pPr>
    </w:p>
    <w:p>
      <w:pPr>
        <w:ind w:left="1620" w:right="200" w:hanging="478"/>
        <w:spacing w:after="0" w:line="268" w:lineRule="auto"/>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involved management or other employees who have a significant role in the Registrant’s internal control over financial reporting.</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540" w:type="dxa"/>
            <w:vAlign w:val="bottom"/>
          </w:tcPr>
          <w:p>
            <w:pPr>
              <w:ind w:left="680"/>
              <w:spacing w:after="0"/>
              <w:rPr>
                <w:sz w:val="20"/>
                <w:szCs w:val="20"/>
                <w:color w:val="auto"/>
              </w:rPr>
            </w:pPr>
            <w:r>
              <w:rPr>
                <w:rFonts w:ascii="Arial" w:cs="Arial" w:eastAsia="Arial" w:hAnsi="Arial"/>
                <w:sz w:val="18"/>
                <w:szCs w:val="18"/>
                <w:color w:val="auto"/>
              </w:rPr>
              <w:t>Date:</w:t>
            </w:r>
          </w:p>
        </w:tc>
        <w:tc>
          <w:tcPr>
            <w:tcW w:w="230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July 8, 2009</w:t>
            </w:r>
          </w:p>
        </w:tc>
        <w:tc>
          <w:tcPr>
            <w:tcW w:w="3280" w:type="dxa"/>
            <w:vAlign w:val="bottom"/>
          </w:tcPr>
          <w:p>
            <w:pPr>
              <w:ind w:left="2620"/>
              <w:spacing w:after="0"/>
              <w:rPr>
                <w:sz w:val="20"/>
                <w:szCs w:val="20"/>
                <w:color w:val="auto"/>
              </w:rPr>
            </w:pPr>
            <w:r>
              <w:rPr>
                <w:rFonts w:ascii="Arial" w:cs="Arial" w:eastAsia="Arial" w:hAnsi="Arial"/>
                <w:sz w:val="18"/>
                <w:szCs w:val="18"/>
                <w:color w:val="auto"/>
              </w:rPr>
              <w:t>By:</w:t>
            </w:r>
          </w:p>
        </w:tc>
        <w:tc>
          <w:tcPr>
            <w:tcW w:w="3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Sarah N. Nielsen</w:t>
            </w:r>
          </w:p>
        </w:tc>
        <w:tc>
          <w:tcPr>
            <w:tcW w:w="580" w:type="dxa"/>
            <w:vAlign w:val="bottom"/>
          </w:tcPr>
          <w:p>
            <w:pPr>
              <w:spacing w:after="0"/>
              <w:rPr>
                <w:sz w:val="19"/>
                <w:szCs w:val="19"/>
                <w:color w:val="auto"/>
              </w:rPr>
            </w:pPr>
          </w:p>
        </w:tc>
      </w:tr>
      <w:tr>
        <w:trPr>
          <w:trHeight w:val="202"/>
        </w:trPr>
        <w:tc>
          <w:tcPr>
            <w:tcW w:w="15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Sarah N. Nielsen</w:t>
            </w:r>
          </w:p>
        </w:tc>
        <w:tc>
          <w:tcPr>
            <w:tcW w:w="580" w:type="dxa"/>
            <w:vAlign w:val="bottom"/>
          </w:tcPr>
          <w:p>
            <w:pPr>
              <w:spacing w:after="0"/>
              <w:rPr>
                <w:sz w:val="17"/>
                <w:szCs w:val="17"/>
                <w:color w:val="auto"/>
              </w:rPr>
            </w:pPr>
          </w:p>
        </w:tc>
      </w:tr>
      <w:tr>
        <w:trPr>
          <w:trHeight w:val="222"/>
        </w:trPr>
        <w:tc>
          <w:tcPr>
            <w:tcW w:w="15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3720" w:type="dxa"/>
            <w:vAlign w:val="bottom"/>
          </w:tcPr>
          <w:p>
            <w:pPr>
              <w:ind w:left="100"/>
              <w:spacing w:after="0"/>
              <w:rPr>
                <w:sz w:val="20"/>
                <w:szCs w:val="20"/>
                <w:color w:val="auto"/>
              </w:rPr>
            </w:pPr>
            <w:r>
              <w:rPr>
                <w:rFonts w:ascii="Arial" w:cs="Arial" w:eastAsia="Arial" w:hAnsi="Arial"/>
                <w:sz w:val="18"/>
                <w:szCs w:val="18"/>
                <w:color w:val="auto"/>
              </w:rPr>
              <w:t>Chief Financial Officer</w:t>
            </w:r>
          </w:p>
        </w:tc>
        <w:tc>
          <w:tcPr>
            <w:tcW w:w="580" w:type="dxa"/>
            <w:vAlign w:val="bottom"/>
          </w:tcPr>
          <w:p>
            <w:pPr>
              <w:spacing w:after="0"/>
              <w:rPr>
                <w:sz w:val="19"/>
                <w:szCs w:val="19"/>
                <w:color w:val="auto"/>
              </w:rPr>
            </w:pPr>
          </w:p>
        </w:tc>
      </w:tr>
      <w:tr>
        <w:trPr>
          <w:trHeight w:val="620"/>
        </w:trPr>
        <w:tc>
          <w:tcPr>
            <w:tcW w:w="154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3280" w:type="dxa"/>
            <w:vAlign w:val="bottom"/>
            <w:tcBorders>
              <w:bottom w:val="single" w:sz="8" w:color="808080"/>
            </w:tcBorders>
          </w:tcPr>
          <w:p>
            <w:pPr>
              <w:spacing w:after="0"/>
              <w:rPr>
                <w:sz w:val="24"/>
                <w:szCs w:val="24"/>
                <w:color w:val="auto"/>
              </w:rPr>
            </w:pPr>
          </w:p>
        </w:tc>
        <w:tc>
          <w:tcPr>
            <w:tcW w:w="37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1" w:name="page22"/>
    <w:bookmarkEnd w:id="21"/>
    <w:p>
      <w:pPr>
        <w:ind w:left="5160"/>
        <w:spacing w:after="0"/>
        <w:rPr>
          <w:sz w:val="20"/>
          <w:szCs w:val="20"/>
          <w:color w:val="auto"/>
        </w:rPr>
      </w:pPr>
      <w:r>
        <w:rPr>
          <w:rFonts w:ascii="Arial" w:cs="Arial" w:eastAsia="Arial" w:hAnsi="Arial"/>
          <w:sz w:val="22"/>
          <w:szCs w:val="22"/>
          <w:b w:val="1"/>
          <w:bCs w:val="1"/>
          <w:color w:val="auto"/>
        </w:rPr>
        <w:t>Exhibit 32.1</w:t>
      </w:r>
    </w:p>
    <w:p>
      <w:pPr>
        <w:spacing w:after="0" w:line="206"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CERTIFICATION PURSUANT TO SECTION 906</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THE SARBANES-OXLEY ACT OF 2002</w:t>
      </w:r>
    </w:p>
    <w:p>
      <w:pPr>
        <w:jc w:val="center"/>
        <w:spacing w:after="0"/>
        <w:rPr>
          <w:sz w:val="20"/>
          <w:szCs w:val="20"/>
          <w:color w:val="auto"/>
        </w:rPr>
      </w:pPr>
      <w:r>
        <w:rPr>
          <w:rFonts w:ascii="Arial" w:cs="Arial" w:eastAsia="Arial" w:hAnsi="Arial"/>
          <w:sz w:val="22"/>
          <w:szCs w:val="22"/>
          <w:b w:val="1"/>
          <w:bCs w:val="1"/>
          <w:color w:val="auto"/>
        </w:rPr>
        <w:t>(18 U.S.C. SECTION 1350)</w:t>
      </w:r>
    </w:p>
    <w:p>
      <w:pPr>
        <w:spacing w:after="0" w:line="20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 connection with this Quarterly Report on Form 10-Q of Winnebago Industries, Inc. for the period ended May 30, 2009, I, Robert J. Olson, Chairman of the Board, Chief Executive Officer and President of Winnebago Industries, Inc., certify that pursuant to 18 U.S.C. §1350 as adopted pursuant to §906 of the Sarbanes-Oxley Act of 2002, that:</w:t>
      </w:r>
    </w:p>
    <w:p>
      <w:pPr>
        <w:spacing w:after="0" w:line="194" w:lineRule="exact"/>
        <w:rPr>
          <w:sz w:val="20"/>
          <w:szCs w:val="20"/>
          <w:color w:val="auto"/>
        </w:rPr>
      </w:pPr>
    </w:p>
    <w:p>
      <w:pPr>
        <w:ind w:left="1140" w:right="80" w:hanging="484"/>
        <w:spacing w:after="0" w:line="259"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Quarterly Report on Form 10-Q (“periodic report”) of Winnebago Industries, Inc. (the “issuer”), for the quarter ended May 30, 2009 as filed with the Securities and Exchange Commission on the date of this certificate, which this statement accompanies, fully complies with the requirements of Section 13(a) or 15(d) of the Securities Exchange Act of 1934, and</w:t>
      </w:r>
    </w:p>
    <w:p>
      <w:pPr>
        <w:spacing w:after="0" w:line="194" w:lineRule="exact"/>
        <w:rPr>
          <w:rFonts w:ascii="Arial" w:cs="Arial" w:eastAsia="Arial" w:hAnsi="Arial"/>
          <w:sz w:val="18"/>
          <w:szCs w:val="18"/>
          <w:color w:val="auto"/>
        </w:rPr>
      </w:pPr>
    </w:p>
    <w:p>
      <w:pPr>
        <w:ind w:left="1140" w:right="160" w:hanging="484"/>
        <w:spacing w:after="0" w:line="268"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540" w:type="dxa"/>
            <w:vAlign w:val="bottom"/>
          </w:tcPr>
          <w:p>
            <w:pPr>
              <w:ind w:left="680"/>
              <w:spacing w:after="0"/>
              <w:rPr>
                <w:sz w:val="20"/>
                <w:szCs w:val="20"/>
                <w:color w:val="auto"/>
              </w:rPr>
            </w:pPr>
            <w:r>
              <w:rPr>
                <w:rFonts w:ascii="Arial" w:cs="Arial" w:eastAsia="Arial" w:hAnsi="Arial"/>
                <w:sz w:val="18"/>
                <w:szCs w:val="18"/>
                <w:color w:val="auto"/>
              </w:rPr>
              <w:t>Date:</w:t>
            </w:r>
          </w:p>
        </w:tc>
        <w:tc>
          <w:tcPr>
            <w:tcW w:w="230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July 8, 2009</w:t>
            </w:r>
          </w:p>
        </w:tc>
        <w:tc>
          <w:tcPr>
            <w:tcW w:w="3280" w:type="dxa"/>
            <w:vAlign w:val="bottom"/>
          </w:tcPr>
          <w:p>
            <w:pPr>
              <w:ind w:left="2620"/>
              <w:spacing w:after="0"/>
              <w:rPr>
                <w:sz w:val="20"/>
                <w:szCs w:val="20"/>
                <w:color w:val="auto"/>
              </w:rPr>
            </w:pPr>
            <w:r>
              <w:rPr>
                <w:rFonts w:ascii="Arial" w:cs="Arial" w:eastAsia="Arial" w:hAnsi="Arial"/>
                <w:sz w:val="18"/>
                <w:szCs w:val="18"/>
                <w:color w:val="auto"/>
              </w:rPr>
              <w:t>By:</w:t>
            </w:r>
          </w:p>
        </w:tc>
        <w:tc>
          <w:tcPr>
            <w:tcW w:w="3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Robert J. Olson</w:t>
            </w:r>
          </w:p>
        </w:tc>
        <w:tc>
          <w:tcPr>
            <w:tcW w:w="580" w:type="dxa"/>
            <w:vAlign w:val="bottom"/>
          </w:tcPr>
          <w:p>
            <w:pPr>
              <w:spacing w:after="0"/>
              <w:rPr>
                <w:sz w:val="19"/>
                <w:szCs w:val="19"/>
                <w:color w:val="auto"/>
              </w:rPr>
            </w:pPr>
          </w:p>
        </w:tc>
      </w:tr>
      <w:tr>
        <w:trPr>
          <w:trHeight w:val="202"/>
        </w:trPr>
        <w:tc>
          <w:tcPr>
            <w:tcW w:w="15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Robert J. Olson</w:t>
            </w:r>
          </w:p>
        </w:tc>
        <w:tc>
          <w:tcPr>
            <w:tcW w:w="580" w:type="dxa"/>
            <w:vAlign w:val="bottom"/>
          </w:tcPr>
          <w:p>
            <w:pPr>
              <w:spacing w:after="0"/>
              <w:rPr>
                <w:sz w:val="17"/>
                <w:szCs w:val="17"/>
                <w:color w:val="auto"/>
              </w:rPr>
            </w:pPr>
          </w:p>
        </w:tc>
      </w:tr>
      <w:tr>
        <w:trPr>
          <w:trHeight w:val="222"/>
        </w:trPr>
        <w:tc>
          <w:tcPr>
            <w:tcW w:w="15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3720" w:type="dxa"/>
            <w:vAlign w:val="bottom"/>
          </w:tcPr>
          <w:p>
            <w:pPr>
              <w:ind w:left="100"/>
              <w:spacing w:after="0"/>
              <w:rPr>
                <w:sz w:val="20"/>
                <w:szCs w:val="20"/>
                <w:color w:val="auto"/>
              </w:rPr>
            </w:pPr>
            <w:r>
              <w:rPr>
                <w:rFonts w:ascii="Arial" w:cs="Arial" w:eastAsia="Arial" w:hAnsi="Arial"/>
                <w:sz w:val="18"/>
                <w:szCs w:val="18"/>
                <w:color w:val="auto"/>
              </w:rPr>
              <w:t>Chief Executive Officer</w:t>
            </w:r>
          </w:p>
        </w:tc>
        <w:tc>
          <w:tcPr>
            <w:tcW w:w="580" w:type="dxa"/>
            <w:vAlign w:val="bottom"/>
          </w:tcPr>
          <w:p>
            <w:pPr>
              <w:spacing w:after="0"/>
              <w:rPr>
                <w:sz w:val="19"/>
                <w:szCs w:val="19"/>
                <w:color w:val="auto"/>
              </w:rPr>
            </w:pPr>
          </w:p>
        </w:tc>
      </w:tr>
      <w:tr>
        <w:trPr>
          <w:trHeight w:val="1835"/>
        </w:trPr>
        <w:tc>
          <w:tcPr>
            <w:tcW w:w="154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3280" w:type="dxa"/>
            <w:vAlign w:val="bottom"/>
            <w:tcBorders>
              <w:bottom w:val="single" w:sz="8" w:color="808080"/>
            </w:tcBorders>
          </w:tcPr>
          <w:p>
            <w:pPr>
              <w:spacing w:after="0"/>
              <w:rPr>
                <w:sz w:val="24"/>
                <w:szCs w:val="24"/>
                <w:color w:val="auto"/>
              </w:rPr>
            </w:pPr>
          </w:p>
        </w:tc>
        <w:tc>
          <w:tcPr>
            <w:tcW w:w="37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2" w:name="page23"/>
    <w:bookmarkEnd w:id="22"/>
    <w:p>
      <w:pPr>
        <w:ind w:left="5160"/>
        <w:spacing w:after="0"/>
        <w:rPr>
          <w:sz w:val="20"/>
          <w:szCs w:val="20"/>
          <w:color w:val="auto"/>
        </w:rPr>
      </w:pPr>
      <w:r>
        <w:rPr>
          <w:rFonts w:ascii="Arial" w:cs="Arial" w:eastAsia="Arial" w:hAnsi="Arial"/>
          <w:sz w:val="22"/>
          <w:szCs w:val="22"/>
          <w:b w:val="1"/>
          <w:bCs w:val="1"/>
          <w:color w:val="auto"/>
        </w:rPr>
        <w:t>Exhibit 32.2</w:t>
      </w:r>
    </w:p>
    <w:p>
      <w:pPr>
        <w:spacing w:after="0" w:line="206"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CERTIFICATION PURSUANT TO SECTION 906</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THE SARBANES-OXLEY ACT OF 2002</w:t>
      </w:r>
    </w:p>
    <w:p>
      <w:pPr>
        <w:jc w:val="center"/>
        <w:spacing w:after="0"/>
        <w:rPr>
          <w:sz w:val="20"/>
          <w:szCs w:val="20"/>
          <w:color w:val="auto"/>
        </w:rPr>
      </w:pPr>
      <w:r>
        <w:rPr>
          <w:rFonts w:ascii="Arial" w:cs="Arial" w:eastAsia="Arial" w:hAnsi="Arial"/>
          <w:sz w:val="22"/>
          <w:szCs w:val="22"/>
          <w:b w:val="1"/>
          <w:bCs w:val="1"/>
          <w:color w:val="auto"/>
        </w:rPr>
        <w:t>(18 U.S.C. SECTION 1350)</w:t>
      </w:r>
    </w:p>
    <w:p>
      <w:pPr>
        <w:spacing w:after="0" w:line="201"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In connection with this Quarterly Report on Form 10-Q of Winnebago Industries, Inc. for the period ended May 30, 2009, I, Sarah N. Nielsen, Chief Financial Officer of Winnebago Industries, Inc., certify that pursuant to 18 U.S.C. §1350 as adopted pursuant to §906 of the Sarbanes-Oxley Act of 2002, that:</w:t>
      </w:r>
    </w:p>
    <w:p>
      <w:pPr>
        <w:spacing w:after="0" w:line="139" w:lineRule="exact"/>
        <w:rPr>
          <w:sz w:val="20"/>
          <w:szCs w:val="20"/>
          <w:color w:val="auto"/>
        </w:rPr>
      </w:pPr>
    </w:p>
    <w:p>
      <w:pPr>
        <w:ind w:left="1140" w:right="80" w:hanging="484"/>
        <w:spacing w:after="0" w:line="259"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Quarterly Report on Form 10-Q (“periodic report”) of Winnebago Industries, Inc. (the “issuer”), for the quarter ended May 30, 2009 as filed with the Securities and Exchange Commission on the date of this certificate, which this statement accompanies, fully complies with the requirements of Section 13(a) or 15(d) of the Securities Exchange Act of 1934, and</w:t>
      </w:r>
    </w:p>
    <w:p>
      <w:pPr>
        <w:spacing w:after="0" w:line="194" w:lineRule="exact"/>
        <w:rPr>
          <w:rFonts w:ascii="Arial" w:cs="Arial" w:eastAsia="Arial" w:hAnsi="Arial"/>
          <w:sz w:val="18"/>
          <w:szCs w:val="18"/>
          <w:color w:val="auto"/>
        </w:rPr>
      </w:pPr>
    </w:p>
    <w:p>
      <w:pPr>
        <w:ind w:left="1140" w:right="160" w:hanging="484"/>
        <w:spacing w:after="0" w:line="268"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540" w:type="dxa"/>
            <w:vAlign w:val="bottom"/>
          </w:tcPr>
          <w:p>
            <w:pPr>
              <w:ind w:left="680"/>
              <w:spacing w:after="0"/>
              <w:rPr>
                <w:sz w:val="20"/>
                <w:szCs w:val="20"/>
                <w:color w:val="auto"/>
              </w:rPr>
            </w:pPr>
            <w:r>
              <w:rPr>
                <w:rFonts w:ascii="Arial" w:cs="Arial" w:eastAsia="Arial" w:hAnsi="Arial"/>
                <w:sz w:val="18"/>
                <w:szCs w:val="18"/>
                <w:color w:val="auto"/>
              </w:rPr>
              <w:t>Date:</w:t>
            </w:r>
          </w:p>
        </w:tc>
        <w:tc>
          <w:tcPr>
            <w:tcW w:w="230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July 8, 2009</w:t>
            </w:r>
          </w:p>
        </w:tc>
        <w:tc>
          <w:tcPr>
            <w:tcW w:w="3280" w:type="dxa"/>
            <w:vAlign w:val="bottom"/>
          </w:tcPr>
          <w:p>
            <w:pPr>
              <w:ind w:left="2620"/>
              <w:spacing w:after="0"/>
              <w:rPr>
                <w:sz w:val="20"/>
                <w:szCs w:val="20"/>
                <w:color w:val="auto"/>
              </w:rPr>
            </w:pPr>
            <w:r>
              <w:rPr>
                <w:rFonts w:ascii="Arial" w:cs="Arial" w:eastAsia="Arial" w:hAnsi="Arial"/>
                <w:sz w:val="18"/>
                <w:szCs w:val="18"/>
                <w:color w:val="auto"/>
              </w:rPr>
              <w:t>By:</w:t>
            </w:r>
          </w:p>
        </w:tc>
        <w:tc>
          <w:tcPr>
            <w:tcW w:w="3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Sarah N. Nielsen</w:t>
            </w:r>
          </w:p>
        </w:tc>
        <w:tc>
          <w:tcPr>
            <w:tcW w:w="580" w:type="dxa"/>
            <w:vAlign w:val="bottom"/>
          </w:tcPr>
          <w:p>
            <w:pPr>
              <w:spacing w:after="0"/>
              <w:rPr>
                <w:sz w:val="19"/>
                <w:szCs w:val="19"/>
                <w:color w:val="auto"/>
              </w:rPr>
            </w:pPr>
          </w:p>
        </w:tc>
      </w:tr>
      <w:tr>
        <w:trPr>
          <w:trHeight w:val="202"/>
        </w:trPr>
        <w:tc>
          <w:tcPr>
            <w:tcW w:w="15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Sarah N. Nielsen</w:t>
            </w:r>
          </w:p>
        </w:tc>
        <w:tc>
          <w:tcPr>
            <w:tcW w:w="580" w:type="dxa"/>
            <w:vAlign w:val="bottom"/>
          </w:tcPr>
          <w:p>
            <w:pPr>
              <w:spacing w:after="0"/>
              <w:rPr>
                <w:sz w:val="17"/>
                <w:szCs w:val="17"/>
                <w:color w:val="auto"/>
              </w:rPr>
            </w:pPr>
          </w:p>
        </w:tc>
      </w:tr>
      <w:tr>
        <w:trPr>
          <w:trHeight w:val="222"/>
        </w:trPr>
        <w:tc>
          <w:tcPr>
            <w:tcW w:w="15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3720" w:type="dxa"/>
            <w:vAlign w:val="bottom"/>
          </w:tcPr>
          <w:p>
            <w:pPr>
              <w:ind w:left="100"/>
              <w:spacing w:after="0"/>
              <w:rPr>
                <w:sz w:val="20"/>
                <w:szCs w:val="20"/>
                <w:color w:val="auto"/>
              </w:rPr>
            </w:pPr>
            <w:r>
              <w:rPr>
                <w:rFonts w:ascii="Arial" w:cs="Arial" w:eastAsia="Arial" w:hAnsi="Arial"/>
                <w:sz w:val="18"/>
                <w:szCs w:val="18"/>
                <w:color w:val="auto"/>
              </w:rPr>
              <w:t>Chief Financial Officer</w:t>
            </w:r>
          </w:p>
        </w:tc>
        <w:tc>
          <w:tcPr>
            <w:tcW w:w="580" w:type="dxa"/>
            <w:vAlign w:val="bottom"/>
          </w:tcPr>
          <w:p>
            <w:pPr>
              <w:spacing w:after="0"/>
              <w:rPr>
                <w:sz w:val="19"/>
                <w:szCs w:val="19"/>
                <w:color w:val="auto"/>
              </w:rPr>
            </w:pPr>
          </w:p>
        </w:tc>
      </w:tr>
      <w:tr>
        <w:trPr>
          <w:trHeight w:val="1835"/>
        </w:trPr>
        <w:tc>
          <w:tcPr>
            <w:tcW w:w="154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3280" w:type="dxa"/>
            <w:vAlign w:val="bottom"/>
            <w:tcBorders>
              <w:bottom w:val="single" w:sz="8" w:color="808080"/>
            </w:tcBorders>
          </w:tcPr>
          <w:p>
            <w:pPr>
              <w:spacing w:after="0"/>
              <w:rPr>
                <w:sz w:val="24"/>
                <w:szCs w:val="24"/>
                <w:color w:val="auto"/>
              </w:rPr>
            </w:pPr>
          </w:p>
        </w:tc>
        <w:tc>
          <w:tcPr>
            <w:tcW w:w="37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3"/>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2019-12-10T03:23:53Z</dcterms:created>
  <dcterms:modified xsi:type="dcterms:W3CDTF">2019-12-10T03:23:53Z</dcterms:modified>
</cp:coreProperties>
</file>