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263525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86"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(Amendment No. 1)</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Proxy Statement</w:t>
      </w:r>
    </w:p>
    <w:p>
      <w:pPr>
        <w:spacing w:after="0" w:line="9" w:lineRule="exact"/>
        <w:rPr>
          <w:sz w:val="24"/>
          <w:szCs w:val="24"/>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243840</wp:posOffset>
            </wp:positionV>
            <wp:extent cx="312991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4"/>
          <w:szCs w:val="24"/>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4"/>
          <w:szCs w:val="24"/>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4"/>
          <w:szCs w:val="24"/>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184" w:right="319" w:bottom="1440" w:gutter="0" w:footer="0" w:header="0"/>
        </w:sectPr>
      </w:pPr>
    </w:p>
    <w:bookmarkStart w:id="1" w:name="page2"/>
    <w:bookmarkEnd w:id="1"/>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2464435</wp:posOffset>
            </wp:positionH>
            <wp:positionV relativeFrom="page">
              <wp:posOffset>243205</wp:posOffset>
            </wp:positionV>
            <wp:extent cx="2641600"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Dear Shareholder:</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Winnebago Industries, Inc. (the “Company”), has filed today supplemental materials (the “Supplement”) to the Definitive Proxy Statement relating to the Company’s 2017 Annual Meeting of Shareholders filed with the Securities and Exchange Commission on October 24, 2017. Attached to the Supplement is an additional proxy card soliciting your vote with respect to the matters described therein, including an additional Item 5 not included on the original proxy card.</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Any proxies that have already been submitted will continue to be effective. If you have not already submitted your proxy, please complete and return the proxy card as soon as possible – even if you expect to attend the Annual Meeting of Shareholders. If you have already submitted your proxy, we request that you vote again so that your vote on Item 5 may be counted.</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You may revoke your proxy at any time before it has been voted by delivering to the Company a written notice of revocation or a duly executed proxy card with a later date, or by attending the Annual Meeting of Shareholders on December 12, 2017, at 4:00 p.m. CST, and voting in person.</w:t>
      </w:r>
    </w:p>
    <w:p>
      <w:pPr>
        <w:spacing w:after="0" w:line="200" w:lineRule="exact"/>
        <w:rPr>
          <w:sz w:val="20"/>
          <w:szCs w:val="20"/>
          <w:color w:val="auto"/>
        </w:rPr>
      </w:pPr>
    </w:p>
    <w:p>
      <w:pPr>
        <w:spacing w:after="0" w:line="34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Sincerely,</w:t>
      </w:r>
    </w:p>
    <w:p>
      <w:pPr>
        <w:spacing w:after="0" w:line="340"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6"/>
          <w:szCs w:val="16"/>
          <w:color w:val="auto"/>
        </w:rPr>
        <w:t>October 31, 2017</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Secretary</w:t>
      </w:r>
    </w:p>
    <w:p>
      <w:pPr>
        <w:sectPr>
          <w:pgSz w:w="11900" w:h="16838" w:orient="portrait"/>
          <w:cols w:equalWidth="0" w:num="1">
            <w:col w:w="11340"/>
          </w:cols>
          <w:pgMar w:left="240" w:top="1440"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AMENDMENT NO. 1 TO PROXY STATEMENT FOR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2017 ANNUAL MEETING OF SHAREHOLDERS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BE HELD ON DECEMBER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EXPLANATORY NOTE</w:t>
      </w:r>
    </w:p>
    <w:p>
      <w:pPr>
        <w:spacing w:after="0" w:line="21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This Amendment No. 1 to Schedule 14A (“Amendment No. 1”) is being filed to amend the definitive proxy statement of Winnebago Industries, Inc. (the “Company”) for its 2017 Annual Meeting of Shareholders (“Proxy Statement”), which was filed with the Securities and Exchange Commission on October 24, 2017 (the “Original Proxy Statement”), in order to add an additional proposal to the Original Proxy Statement.</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accordance with the requirements of Section 14A of the Securities Exchange Act of 1934, as amended (which was added by the Dodd-Frank Wall Street Reform and Consumer Protection Act), and the related rules of the SEC, the Company is providing shareholders a non-binding advisory vote to approve the frequency of shareholder advisory votes on the compensation of our named executive officers (“NEOs”). At the 2011 Annual Meeting of Shareholders, our shareholders indicated their preference for us to hold advisory votes on executive compensation on an annual basis, and the Board of Directors subsequently determined that we would hold an annual advisory vote on executive compensation. Accordingly, the current frequency of our advisory votes on executive compensation is once every year.</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Amendment No. 1 affects the Notice of Annual Meeting of Shareholders; amends the Original Proxy Statement to add the voting requirements for the new Item 5; amends the Original Proxy Statement to add the new Item 5; and adds Item 5 to the Proxy Card. All other items of the Proxy Statement are unchanged.</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CHANGES TO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of the Proxy Statement shall change in accordance with this Amendment No. 1:</w:t>
      </w:r>
    </w:p>
    <w:p>
      <w:pPr>
        <w:spacing w:after="0" w:line="194" w:lineRule="exact"/>
        <w:rPr>
          <w:sz w:val="20"/>
          <w:szCs w:val="20"/>
          <w:color w:val="auto"/>
        </w:rPr>
      </w:pPr>
    </w:p>
    <w:p>
      <w:pPr>
        <w:ind w:right="100" w:firstLine="8"/>
        <w:spacing w:after="0" w:line="253"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new Item 5 shall be added to the Notice of Annual Meeting of Shareholders and current Item 5 shall be renumbered Item 6. The new Item 5 is a non-binding advisory vote on the “Say-on-Pay-Frequency” proposal regarding the frequency of shareholder advisory votes on the compensation of our NEOs. The Notice is amended to read in its entirety as follows:</w:t>
      </w:r>
    </w:p>
    <w:p>
      <w:pPr>
        <w:sectPr>
          <w:pgSz w:w="11900" w:h="16838" w:orient="portrait"/>
          <w:cols w:equalWidth="0" w:num="1">
            <w:col w:w="11380"/>
          </w:cols>
          <w:pgMar w:left="240" w:top="446"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2524125</wp:posOffset>
            </wp:positionH>
            <wp:positionV relativeFrom="page">
              <wp:posOffset>243205</wp:posOffset>
            </wp:positionV>
            <wp:extent cx="252158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521585" cy="351790"/>
                    </a:xfrm>
                    <a:prstGeom prst="rect">
                      <a:avLst/>
                    </a:prstGeom>
                    <a:noFill/>
                  </pic:spPr>
                </pic:pic>
              </a:graphicData>
            </a:graphic>
          </wp:anchor>
        </w:drawing>
        <w:t>Notice of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12, 2017, at 4:00 p.m., Central Standard Time,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1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two Class II directors to serve the remainder of three year terms and to elect two Class III directors to hold office for a three-year term;</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employee stock purchase plan;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 for the fiscal year ending August 25, 2018;</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provide advisory approval of the frequency of an executive compensation advisory vote; and</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Board of Directors of the Company has fixed the close of business on October 17, 2017, as the record date for the determination of shareholders entitled to notice of and to vote at this meeting and at any and all adjournments thereof.</w:t>
      </w:r>
    </w:p>
    <w:p>
      <w:pPr>
        <w:spacing w:after="0" w:line="277"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54"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29210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31, 2017</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130" w:right="239" w:bottom="1440" w:gutter="0" w:footer="0" w:header="0"/>
        </w:sectPr>
      </w:pPr>
    </w:p>
    <w:bookmarkStart w:id="4" w:name="page5"/>
    <w:bookmarkEnd w:id="4"/>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702310</wp:posOffset>
            </wp:positionV>
            <wp:extent cx="357568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PROXY STATEMENT</w:t>
      </w:r>
    </w:p>
    <w:p>
      <w:pPr>
        <w:spacing w:after="0" w:line="13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12, 2017, at 4:00 p.m., Central Standard Time, and at any and all adjournments thereof (the “Annual Meeting” or the “Meeting”).</w:t>
      </w:r>
    </w:p>
    <w:p>
      <w:pPr>
        <w:spacing w:after="0" w:line="97"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24, 2017.</w:t>
      </w:r>
    </w:p>
    <w:p>
      <w:pPr>
        <w:spacing w:after="0" w:line="8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Only holders of Common Stock of record at the close of business on October 17, 2017 (the "Record Date") will be entitled to Notice of Internet Availability of Proxy Materials and to vote at the Annual Meeting. On the Record Date, we had outstanding 31,806,892 shares of Common Stock, par value $0.50 per share (“Common Stock”) 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28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9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against or abstain from the ratification of the appointment of independent registered public accountant, you may vote in favor, against or abstain from the approval on an advisory basis of the executive compensation disclosed in this Proxy Statement, you may vote in favor, against or abstain from the approval on the proposal to approve the employee stock purchase plan and you may vote on an advisory basis of the frequency of the executive compensation vote. If you sign and submit your proxy card without voting instructions, your shares will be voted in favor of each director and each other item considered for shareholder approval. If you hold shares through a broker, follow the voting instructions provided by your broker. If you want to vote in person, a legal proxy must be obtained from your broker and brought to the Meeting. The</w:t>
      </w:r>
    </w:p>
    <w:p>
      <w:pPr>
        <w:spacing w:after="0" w:line="20" w:lineRule="exact"/>
        <w:rPr>
          <w:sz w:val="20"/>
          <w:szCs w:val="20"/>
          <w:color w:val="auto"/>
        </w:rPr>
      </w:pPr>
      <w:r>
        <w:rPr>
          <w:sz w:val="20"/>
          <w:szCs w:val="20"/>
          <w:color w:val="auto"/>
        </w:rPr>
        <w:br w:type="column"/>
      </w:r>
    </w:p>
    <w:p>
      <w:pPr>
        <w:ind w:right="40"/>
        <w:spacing w:after="0" w:line="247" w:lineRule="auto"/>
        <w:rPr>
          <w:sz w:val="20"/>
          <w:szCs w:val="20"/>
          <w:color w:val="auto"/>
        </w:rPr>
      </w:pPr>
      <w:r>
        <w:rPr>
          <w:rFonts w:ascii="Arial" w:cs="Arial" w:eastAsia="Arial" w:hAnsi="Arial"/>
          <w:sz w:val="16"/>
          <w:szCs w:val="16"/>
          <w:color w:val="auto"/>
        </w:rPr>
        <w:t>New York Stock Exchange (“NYSE”) permits brokers to vote their customers' shares on routine matters when the brokers have not received voting instructions from their customers. The ratification of the appointment of independent registered public accountant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on any other matters other than ratification of our independent registered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-1915160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-2207260</wp:posOffset>
            </wp:positionV>
            <wp:extent cx="144081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p>
    <w:p>
      <w:pPr>
        <w:spacing w:after="0" w:line="2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Directors must be elected by a majority of the votes cast at the Meeting. Withheld votes and abstentions with respect to this Item will have the same effect as a vote against the matter. The ratification of the appointment of the independent registered public accountant and approval of the employee stock purchase plan requires the affirmative vote of a majority of those shares of Common Stock present in person or represented by proxy. Withheld votes and abstentions with respect to this Item will have the same effect as a vote against the matter.</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proposals under Item (2) and Item (5): Proposal For an Advisory Vote on Executive Compensation (the "Say on Pay" Vote) and Proposal for Advisory Approval of the Frequency of an Executive Compensation Vote (the "Say on Pay" Frequency Vote"), the final vote of shareholders will not be binding on the Company, but will be advisory in nature.</w:t>
      </w:r>
    </w:p>
    <w:p>
      <w:pPr>
        <w:spacing w:after="0" w:line="10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not aware of any matters to be presented at the Annual Meeting other than the election of the four nominees described in this Proxy Statement, the advisory approval of executive compensation, the approval of the Employee Stock Purchase Plan, the ratification of the appointment of independent registered public accountant and the advisory approval of the frequency of executive compensation advisory vote.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9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11, 2017.</w:t>
      </w:r>
    </w:p>
    <w:p>
      <w:pPr>
        <w:spacing w:after="0" w:line="274" w:lineRule="exact"/>
        <w:rPr>
          <w:sz w:val="20"/>
          <w:szCs w:val="20"/>
          <w:color w:val="auto"/>
        </w:rPr>
      </w:pPr>
    </w:p>
    <w:p>
      <w:pPr>
        <w:sectPr>
          <w:pgSz w:w="11900" w:h="16838" w:orient="portrait"/>
          <w:cols w:equalWidth="0" w:num="2">
            <w:col w:w="5600" w:space="220"/>
            <w:col w:w="5580"/>
          </w:cols>
          <w:pgMar w:left="240" w:top="1127" w:right="259" w:bottom="1440" w:gutter="0" w:footer="0" w:header="0"/>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127" w:right="259" w:bottom="1440" w:gutter="0" w:footer="0" w:header="0"/>
          <w:type w:val="continuous"/>
        </w:sectPr>
      </w:pPr>
    </w:p>
    <w:bookmarkStart w:id="5" w:name="page6"/>
    <w:bookmarkEnd w:id="5"/>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If a proxy card is executed and returned, it may nevertheless be revoked at any time in accordance with the following instructions. A person may revoke a proxy electronically by entering a new vote via the Internet or by telephone or a proxy may be revoked by (i) giving written notice to the Secretary of the Company (the “Secretary”), (ii) subsequently granting a later-dated proxy,</w:t>
      </w:r>
    </w:p>
    <w:p>
      <w:pPr>
        <w:spacing w:after="0" w:line="2" w:lineRule="exact"/>
        <w:rPr>
          <w:sz w:val="20"/>
          <w:szCs w:val="20"/>
          <w:color w:val="auto"/>
        </w:rPr>
      </w:pPr>
    </w:p>
    <w:p>
      <w:pPr>
        <w:ind w:right="60" w:firstLine="8"/>
        <w:spacing w:after="0" w:line="248" w:lineRule="auto"/>
        <w:tabs>
          <w:tab w:leader="none" w:pos="261" w:val="left"/>
        </w:tabs>
        <w:numPr>
          <w:ilvl w:val="0"/>
          <w:numId w:val="9"/>
        </w:numPr>
        <w:rPr>
          <w:rFonts w:ascii="Arial" w:cs="Arial" w:eastAsia="Arial" w:hAnsi="Arial"/>
          <w:sz w:val="16"/>
          <w:szCs w:val="16"/>
          <w:color w:val="auto"/>
        </w:rPr>
      </w:pPr>
      <w:r>
        <w:rPr>
          <w:rFonts w:ascii="Arial" w:cs="Arial" w:eastAsia="Arial" w:hAnsi="Arial"/>
          <w:sz w:val="16"/>
          <w:szCs w:val="16"/>
          <w:color w:val="auto"/>
        </w:rPr>
        <w:t>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11, 2017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267"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If no instructions are indicated on a proxy that is signed and received by us, it will be voted: (i) for the election of the four nominees for director named below (Item 1), (ii) for the advisory approval of executive compensation (Item 2), (iii) for the approval of the employee stock purchase plan (Item 3), (iv) for the ratification of the appointment of Deloitte &amp; Touche LLP as our independent registered public accountant for Fiscal 2018 (Item 4), (v) for the advisory approval of the frequency of an executive compensation vote annually (Item 5), (vi) in the discretion of the named proxies upon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357568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PROPOSAL FOR AN ADVISORY VOTE ON THE FREQUENCY OF "SAY ON PAY" VOTES</w:t>
      </w:r>
    </w:p>
    <w:p>
      <w:pPr>
        <w:spacing w:after="0" w:line="17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Dodd-Frank Wall Street Reform and Consumer Protection Act also requires that shareholders must be given the opportunity, at least once every six years, to cast a non-binding, advisory vote on whether a "Say on Pay" vote on the compensation of Named Executive Officers should be held every one, two, or three years.</w:t>
      </w:r>
    </w:p>
    <w:p>
      <w:pPr>
        <w:spacing w:after="0" w:line="17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After careful consideration, the Board of Directors recommends annual ("1 Year") advisory votes on the compensation of the Named Executive Officers. The Board believes that annual votes will provide the clearest and most useful feedback from shareholders to the Company and the Human Resources Committee in this important area, and will confirm the Company's commitment to frequent and transparent communications with investors.</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Shareholders are not voting to approve or disapprove of the Board's recommendation. Instead, shareholders have four choices with respect to this Item: "1 Year", "2 Years", "3 Years", or "Abstain". For the reasons discussed above, we are asking our shareholders to vote for a frequency of "1 Year" when voting on this Item.</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-532765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-824865</wp:posOffset>
            </wp:positionV>
            <wp:extent cx="144081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p>
    <w:p>
      <w:pPr>
        <w:spacing w:after="0" w:line="13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b w:val="1"/>
          <w:bCs w:val="1"/>
          <w:color w:val="auto"/>
        </w:rPr>
        <w:t>YOUR BOARD OF DIRECTORS UNANIMOUSLY RECOMMENDS A VOTE IN FAVOR OF CONDUCTING A NON-BINDING, ADVISORY VOTE ON EXECUTIVE COMPENSATION EACH YEAR (“1 YEAR”). PROXIES SOLICITED BY THE BOARD OF DIRECTORS WILL BE VOTED IN FAVOR OF CONDUCTING AN ADVISORY VOTE ON EXECUTIVE COMPENSATION EACH YEAR (“1 YEAR”) UNLESS A SHAREHOLDER INDICATES OTHERWISE IN VOTING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285750</wp:posOffset>
            </wp:positionV>
            <wp:extent cx="357568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30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the ratification of employee stock purchase plan, the appointment of independent registered public accountants and the advisory approval of the frequency of an executive compensation vote, which may be presented at the Meeting. However, if any other matters should properly come before the Meeting, it is the intention of the persons named in the proxy to vote thereon in accordance with their best judgment.</w:t>
      </w:r>
    </w:p>
    <w:p>
      <w:pPr>
        <w:spacing w:after="0" w:line="5647" w:lineRule="exact"/>
        <w:rPr>
          <w:sz w:val="20"/>
          <w:szCs w:val="20"/>
          <w:color w:val="auto"/>
        </w:rPr>
      </w:pPr>
    </w:p>
    <w:p>
      <w:pPr>
        <w:sectPr>
          <w:pgSz w:w="11900" w:h="16838" w:orient="portrait"/>
          <w:cols w:equalWidth="0" w:num="2">
            <w:col w:w="5600" w:space="220"/>
            <w:col w:w="5600"/>
          </w:cols>
          <w:pgMar w:left="240" w:top="1019"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019" w:right="239" w:bottom="1440"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500" w:type="dxa"/>
            <w:vAlign w:val="bottom"/>
            <w:gridSpan w:val="3"/>
          </w:tcPr>
          <w:p>
            <w:pPr>
              <w:ind w:left="1660"/>
              <w:spacing w:after="0"/>
              <w:rPr>
                <w:sz w:val="20"/>
                <w:szCs w:val="20"/>
                <w:color w:val="auto"/>
              </w:rPr>
            </w:pPr>
            <w:r>
              <w:rPr>
                <w:rFonts w:ascii="Arial" w:cs="Arial" w:eastAsia="Arial" w:hAnsi="Arial"/>
                <w:sz w:val="14"/>
                <w:szCs w:val="14"/>
                <w:b w:val="1"/>
                <w:bCs w:val="1"/>
                <w:color w:val="auto"/>
              </w:rPr>
              <w:t>VOTE BY INTERNET - www.proxyvote.com</w:t>
            </w:r>
          </w:p>
        </w:tc>
      </w:tr>
      <w:tr>
        <w:trPr>
          <w:trHeight w:val="20"/>
        </w:trPr>
        <w:tc>
          <w:tcPr>
            <w:tcW w:w="3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60"/>
        </w:trPr>
        <w:tc>
          <w:tcPr>
            <w:tcW w:w="3820" w:type="dxa"/>
            <w:vAlign w:val="bottom"/>
          </w:tcPr>
          <w:p>
            <w:pPr>
              <w:spacing w:after="0"/>
              <w:rPr>
                <w:sz w:val="13"/>
                <w:szCs w:val="13"/>
                <w:color w:val="auto"/>
              </w:rPr>
            </w:pPr>
          </w:p>
        </w:tc>
        <w:tc>
          <w:tcPr>
            <w:tcW w:w="7500" w:type="dxa"/>
            <w:vAlign w:val="bottom"/>
            <w:gridSpan w:val="3"/>
          </w:tcPr>
          <w:p>
            <w:pPr>
              <w:ind w:left="1660"/>
              <w:spacing w:after="0"/>
              <w:rPr>
                <w:sz w:val="20"/>
                <w:szCs w:val="20"/>
                <w:color w:val="auto"/>
              </w:rPr>
            </w:pPr>
            <w:r>
              <w:rPr>
                <w:rFonts w:ascii="Arial" w:cs="Arial" w:eastAsia="Arial" w:hAnsi="Arial"/>
                <w:sz w:val="14"/>
                <w:szCs w:val="14"/>
                <w:color w:val="auto"/>
              </w:rPr>
              <w:t>Use the Internet to transmit your voting instructions and for electronic delivery of information</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WINNEBAGO INDUSTRIES, iNC.</w:t>
            </w:r>
          </w:p>
        </w:tc>
        <w:tc>
          <w:tcPr>
            <w:tcW w:w="7500" w:type="dxa"/>
            <w:vAlign w:val="bottom"/>
            <w:gridSpan w:val="3"/>
          </w:tcPr>
          <w:p>
            <w:pPr>
              <w:ind w:left="1660"/>
              <w:spacing w:after="0"/>
              <w:rPr>
                <w:sz w:val="20"/>
                <w:szCs w:val="20"/>
                <w:color w:val="auto"/>
              </w:rPr>
            </w:pPr>
            <w:r>
              <w:rPr>
                <w:rFonts w:ascii="Arial" w:cs="Arial" w:eastAsia="Arial" w:hAnsi="Arial"/>
                <w:sz w:val="14"/>
                <w:szCs w:val="14"/>
                <w:color w:val="auto"/>
              </w:rPr>
              <w:t>up until 11:59 p.m. Eastern Time the day before the meeting date. Have your proxy card in</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ATTN: KAREN POST</w:t>
            </w:r>
          </w:p>
        </w:tc>
        <w:tc>
          <w:tcPr>
            <w:tcW w:w="7500" w:type="dxa"/>
            <w:vAlign w:val="bottom"/>
            <w:gridSpan w:val="3"/>
          </w:tcPr>
          <w:p>
            <w:pPr>
              <w:ind w:left="1660"/>
              <w:spacing w:after="0"/>
              <w:rPr>
                <w:sz w:val="20"/>
                <w:szCs w:val="20"/>
                <w:color w:val="auto"/>
              </w:rPr>
            </w:pPr>
            <w:r>
              <w:rPr>
                <w:rFonts w:ascii="Arial" w:cs="Arial" w:eastAsia="Arial" w:hAnsi="Arial"/>
                <w:sz w:val="14"/>
                <w:szCs w:val="14"/>
                <w:color w:val="auto"/>
              </w:rPr>
              <w:t>hand when you access the web site and follow the instructions to obtain your records and to</w:t>
            </w:r>
          </w:p>
        </w:tc>
      </w:tr>
      <w:tr>
        <w:trPr>
          <w:trHeight w:val="172"/>
        </w:trPr>
        <w:tc>
          <w:tcPr>
            <w:tcW w:w="3820" w:type="dxa"/>
            <w:vAlign w:val="bottom"/>
          </w:tcPr>
          <w:p>
            <w:pPr>
              <w:spacing w:after="0"/>
              <w:rPr>
                <w:sz w:val="20"/>
                <w:szCs w:val="20"/>
                <w:color w:val="auto"/>
              </w:rPr>
            </w:pPr>
            <w:r>
              <w:rPr>
                <w:rFonts w:ascii="Arial" w:cs="Arial" w:eastAsia="Arial" w:hAnsi="Arial"/>
                <w:sz w:val="14"/>
                <w:szCs w:val="14"/>
                <w:color w:val="auto"/>
              </w:rPr>
              <w:t>ATTN: CORY NELSON</w:t>
            </w:r>
          </w:p>
        </w:tc>
        <w:tc>
          <w:tcPr>
            <w:tcW w:w="7500" w:type="dxa"/>
            <w:vAlign w:val="bottom"/>
            <w:gridSpan w:val="3"/>
          </w:tcPr>
          <w:p>
            <w:pPr>
              <w:ind w:left="1660"/>
              <w:spacing w:after="0"/>
              <w:rPr>
                <w:sz w:val="20"/>
                <w:szCs w:val="20"/>
                <w:color w:val="auto"/>
              </w:rPr>
            </w:pPr>
            <w:r>
              <w:rPr>
                <w:rFonts w:ascii="Arial" w:cs="Arial" w:eastAsia="Arial" w:hAnsi="Arial"/>
                <w:sz w:val="14"/>
                <w:szCs w:val="14"/>
                <w:color w:val="auto"/>
              </w:rPr>
              <w:t>create an electronic voting instruction form.</w:t>
            </w: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483235</wp:posOffset>
            </wp:positionV>
            <wp:extent cx="10718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ind w:left="40"/>
        <w:spacing w:after="0"/>
        <w:tabs>
          <w:tab w:leader="none" w:pos="5500" w:val="left"/>
        </w:tabs>
        <w:rPr>
          <w:sz w:val="20"/>
          <w:szCs w:val="20"/>
          <w:color w:val="auto"/>
        </w:rPr>
      </w:pPr>
      <w:r>
        <w:rPr>
          <w:rFonts w:ascii="Arial" w:cs="Arial" w:eastAsia="Arial" w:hAnsi="Arial"/>
          <w:sz w:val="14"/>
          <w:szCs w:val="14"/>
          <w:color w:val="auto"/>
        </w:rPr>
        <w:t>P.O. BOX 152</w:t>
      </w:r>
      <w:r>
        <w:rPr>
          <w:sz w:val="20"/>
          <w:szCs w:val="20"/>
          <w:color w:val="auto"/>
        </w:rPr>
        <w:tab/>
      </w:r>
      <w:r>
        <w:rPr>
          <w:rFonts w:ascii="Arial" w:cs="Arial" w:eastAsia="Arial" w:hAnsi="Arial"/>
          <w:sz w:val="14"/>
          <w:szCs w:val="14"/>
          <w:b w:val="1"/>
          <w:bCs w:val="1"/>
          <w:color w:val="auto"/>
        </w:rPr>
        <w:t>ELECTRONIC DELIVERY OF FUTURE PROXY MATERIALS</w:t>
      </w:r>
    </w:p>
    <w:p>
      <w:pPr>
        <w:spacing w:after="0" w:line="19"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4"/>
          <w:szCs w:val="14"/>
          <w:color w:val="auto"/>
        </w:rPr>
        <w:t>605 WEST CRYSTAL LAKE ROAD</w:t>
      </w:r>
      <w:r>
        <w:rPr>
          <w:sz w:val="20"/>
          <w:szCs w:val="20"/>
          <w:color w:val="auto"/>
        </w:rPr>
        <w:tab/>
      </w:r>
      <w:r>
        <w:rPr>
          <w:rFonts w:ascii="Arial" w:cs="Arial" w:eastAsia="Arial" w:hAnsi="Arial"/>
          <w:sz w:val="14"/>
          <w:szCs w:val="14"/>
          <w:color w:val="auto"/>
        </w:rPr>
        <w:t>If you would like to reduce the costs incurred by our company in mailing proxy materials,</w:t>
      </w:r>
    </w:p>
    <w:p>
      <w:pPr>
        <w:spacing w:after="0" w:line="1"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4"/>
          <w:szCs w:val="14"/>
          <w:color w:val="auto"/>
        </w:rPr>
        <w:t>FOREST CITY, IA 50436</w:t>
      </w:r>
      <w:r>
        <w:rPr>
          <w:sz w:val="20"/>
          <w:szCs w:val="20"/>
          <w:color w:val="auto"/>
        </w:rPr>
        <w:tab/>
      </w:r>
      <w:r>
        <w:rPr>
          <w:rFonts w:ascii="Arial" w:cs="Arial" w:eastAsia="Arial" w:hAnsi="Arial"/>
          <w:sz w:val="14"/>
          <w:szCs w:val="14"/>
          <w:color w:val="auto"/>
        </w:rPr>
        <w:t>you can consent to receiving all future proxy statements, proxy cards and annual reports</w:t>
      </w:r>
    </w:p>
    <w:p>
      <w:pPr>
        <w:spacing w:after="0" w:line="1" w:lineRule="exact"/>
        <w:rPr>
          <w:sz w:val="20"/>
          <w:szCs w:val="20"/>
          <w:color w:val="auto"/>
        </w:rPr>
      </w:pPr>
    </w:p>
    <w:p>
      <w:pPr>
        <w:ind w:left="5520" w:right="140"/>
        <w:spacing w:after="0" w:line="250" w:lineRule="auto"/>
        <w:rPr>
          <w:sz w:val="20"/>
          <w:szCs w:val="20"/>
          <w:color w:val="auto"/>
        </w:rPr>
      </w:pPr>
      <w:r>
        <w:rPr>
          <w:rFonts w:ascii="Arial" w:cs="Arial" w:eastAsia="Arial" w:hAnsi="Arial"/>
          <w:sz w:val="14"/>
          <w:szCs w:val="14"/>
          <w:color w:val="auto"/>
        </w:rPr>
        <w:t>electronically via e-mail or the Internet. To sign up for electronic delivery, please follow the instructions above to vote using the Internet and, when prompted, indicated that you agree to receive or access proxy materials electronically in future years.</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ind w:left="5520" w:right="40"/>
        <w:spacing w:after="0" w:line="250" w:lineRule="auto"/>
        <w:rPr>
          <w:sz w:val="20"/>
          <w:szCs w:val="20"/>
          <w:color w:val="auto"/>
        </w:rPr>
      </w:pPr>
      <w:r>
        <w:rPr>
          <w:rFonts w:ascii="Arial" w:cs="Arial" w:eastAsia="Arial" w:hAnsi="Arial"/>
          <w:sz w:val="14"/>
          <w:szCs w:val="14"/>
          <w:color w:val="auto"/>
        </w:rPr>
        <w:t>Use any touch-tone phone to transmit your voting instructions up until 11:59 p.m. Eastern Time the day before the meeting date. Have your proxy card in hand when you call and then follow the instructions.</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ind w:left="5520" w:right="140"/>
        <w:spacing w:after="0" w:line="25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E33735-P98584 KEEP THIS PORTION FOR YOUR RECORDS.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4382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4382135"/>
                    </a:xfrm>
                    <a:prstGeom prst="rect">
                      <a:avLst/>
                    </a:prstGeom>
                    <a:noFill/>
                  </pic:spPr>
                </pic:pic>
              </a:graphicData>
            </a:graphic>
          </wp:anchor>
        </w:drawing>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rPr>
              <w:t>WINNEBAGO INDUSTRIES, INC.</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86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Withhold</w:t>
            </w:r>
          </w:p>
        </w:tc>
        <w:tc>
          <w:tcPr>
            <w:tcW w:w="760" w:type="dxa"/>
            <w:vAlign w:val="bottom"/>
          </w:tcPr>
          <w:p>
            <w:pPr>
              <w:ind w:left="160"/>
              <w:spacing w:after="0"/>
              <w:rPr>
                <w:sz w:val="20"/>
                <w:szCs w:val="20"/>
                <w:color w:val="auto"/>
              </w:rPr>
            </w:pPr>
            <w:r>
              <w:rPr>
                <w:rFonts w:ascii="Arial" w:cs="Arial" w:eastAsia="Arial" w:hAnsi="Arial"/>
                <w:sz w:val="13"/>
                <w:szCs w:val="13"/>
                <w:b w:val="1"/>
                <w:bCs w:val="1"/>
                <w:color w:val="auto"/>
              </w:rPr>
              <w:t>For All</w:t>
            </w:r>
          </w:p>
        </w:tc>
        <w:tc>
          <w:tcPr>
            <w:tcW w:w="3260" w:type="dxa"/>
            <w:vAlign w:val="bottom"/>
          </w:tcPr>
          <w:p>
            <w:pPr>
              <w:ind w:left="200"/>
              <w:spacing w:after="0"/>
              <w:rPr>
                <w:sz w:val="20"/>
                <w:szCs w:val="20"/>
                <w:color w:val="auto"/>
              </w:rPr>
            </w:pPr>
            <w:r>
              <w:rPr>
                <w:rFonts w:ascii="Arial" w:cs="Arial" w:eastAsia="Arial" w:hAnsi="Arial"/>
                <w:sz w:val="13"/>
                <w:szCs w:val="13"/>
                <w:color w:val="auto"/>
                <w:w w:val="95"/>
              </w:rPr>
              <w:t>To withhold authority to vote any individual nominee(s),</w:t>
            </w:r>
          </w:p>
        </w:tc>
      </w:tr>
      <w:tr>
        <w:trPr>
          <w:trHeight w:val="129"/>
        </w:trPr>
        <w:tc>
          <w:tcPr>
            <w:tcW w:w="34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All</w:t>
            </w:r>
          </w:p>
        </w:tc>
        <w:tc>
          <w:tcPr>
            <w:tcW w:w="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All</w:t>
            </w:r>
          </w:p>
        </w:tc>
        <w:tc>
          <w:tcPr>
            <w:tcW w:w="76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Except</w:t>
            </w:r>
          </w:p>
        </w:tc>
        <w:tc>
          <w:tcPr>
            <w:tcW w:w="3260" w:type="dxa"/>
            <w:vAlign w:val="bottom"/>
          </w:tcPr>
          <w:p>
            <w:pPr>
              <w:ind w:left="200"/>
              <w:spacing w:after="0" w:line="129" w:lineRule="exact"/>
              <w:rPr>
                <w:sz w:val="20"/>
                <w:szCs w:val="20"/>
                <w:color w:val="auto"/>
              </w:rPr>
            </w:pPr>
            <w:r>
              <w:rPr>
                <w:rFonts w:ascii="Arial" w:cs="Arial" w:eastAsia="Arial" w:hAnsi="Arial"/>
                <w:sz w:val="13"/>
                <w:szCs w:val="13"/>
                <w:color w:val="auto"/>
              </w:rPr>
              <w:t>mark "For All Except" and write the number(s) of the</w:t>
            </w:r>
          </w:p>
        </w:tc>
      </w:tr>
      <w:tr>
        <w:trPr>
          <w:trHeight w:val="173"/>
        </w:trPr>
        <w:tc>
          <w:tcPr>
            <w:tcW w:w="3460" w:type="dxa"/>
            <w:vAlign w:val="bottom"/>
          </w:tcPr>
          <w:p>
            <w:pPr>
              <w:spacing w:after="0"/>
              <w:rPr>
                <w:sz w:val="20"/>
                <w:szCs w:val="20"/>
                <w:color w:val="auto"/>
              </w:rPr>
            </w:pPr>
            <w:r>
              <w:rPr>
                <w:rFonts w:ascii="Arial" w:cs="Arial" w:eastAsia="Arial" w:hAnsi="Arial"/>
                <w:sz w:val="13"/>
                <w:szCs w:val="13"/>
                <w:b w:val="1"/>
                <w:bCs w:val="1"/>
                <w:color w:val="auto"/>
              </w:rPr>
              <w:t>The Board of Directors recommends you vote FOR the</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ind w:left="200"/>
              <w:spacing w:after="0"/>
              <w:rPr>
                <w:sz w:val="20"/>
                <w:szCs w:val="20"/>
                <w:color w:val="auto"/>
              </w:rPr>
            </w:pPr>
            <w:r>
              <w:rPr>
                <w:rFonts w:ascii="Arial" w:cs="Arial" w:eastAsia="Arial" w:hAnsi="Arial"/>
                <w:sz w:val="13"/>
                <w:szCs w:val="13"/>
                <w:color w:val="auto"/>
              </w:rPr>
              <w:t>nominee(s) on the line below.</w:t>
            </w:r>
          </w:p>
        </w:tc>
      </w:tr>
      <w:tr>
        <w:trPr>
          <w:trHeight w:val="168"/>
        </w:trPr>
        <w:tc>
          <w:tcPr>
            <w:tcW w:w="3460" w:type="dxa"/>
            <w:vAlign w:val="bottom"/>
          </w:tcPr>
          <w:p>
            <w:pPr>
              <w:spacing w:after="0"/>
              <w:rPr>
                <w:sz w:val="20"/>
                <w:szCs w:val="20"/>
                <w:color w:val="auto"/>
              </w:rPr>
            </w:pPr>
            <w:r>
              <w:rPr>
                <w:rFonts w:ascii="Arial" w:cs="Arial" w:eastAsia="Arial" w:hAnsi="Arial"/>
                <w:sz w:val="13"/>
                <w:szCs w:val="13"/>
                <w:b w:val="1"/>
                <w:bCs w:val="1"/>
                <w:color w:val="auto"/>
              </w:rPr>
              <w:t>following:</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420"/>
          </w:cols>
          <w:pgMar w:left="240" w:top="1031" w:right="239" w:bottom="1440" w:gutter="0" w:footer="0" w:header="0"/>
        </w:sectPr>
      </w:pPr>
    </w:p>
    <w:p>
      <w:pPr>
        <w:ind w:left="280"/>
        <w:spacing w:after="0" w:line="207" w:lineRule="auto"/>
        <w:tabs>
          <w:tab w:leader="none" w:pos="480" w:val="left"/>
          <w:tab w:leader="none" w:pos="3940" w:val="left"/>
          <w:tab w:leader="none" w:pos="4700" w:val="left"/>
          <w:tab w:leader="none" w:pos="544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3"/>
          <w:szCs w:val="13"/>
          <w:color w:val="auto"/>
        </w:rPr>
        <w:t>Election of Directors</w:t>
      </w:r>
      <w:r>
        <w:rPr>
          <w:sz w:val="20"/>
          <w:szCs w:val="20"/>
          <w:color w:val="auto"/>
        </w:rPr>
        <w:tab/>
      </w:r>
      <w:r>
        <w:rPr>
          <w:rFonts w:ascii="Arial" w:cs="Arial" w:eastAsia="Arial" w:hAnsi="Arial"/>
          <w:sz w:val="30"/>
          <w:szCs w:val="30"/>
          <w:color w:val="auto"/>
          <w:vertAlign w:val="subscript"/>
        </w:rPr>
        <w:t>o</w:t>
      </w:r>
      <w:r>
        <w:rPr>
          <w:sz w:val="20"/>
          <w:szCs w:val="20"/>
          <w:color w:val="auto"/>
        </w:rPr>
        <w:tab/>
      </w:r>
      <w:r>
        <w:rPr>
          <w:rFonts w:ascii="Arial" w:cs="Arial" w:eastAsia="Arial" w:hAnsi="Arial"/>
          <w:sz w:val="30"/>
          <w:szCs w:val="30"/>
          <w:color w:val="auto"/>
          <w:vertAlign w:val="subscript"/>
        </w:rPr>
        <w:t>o</w:t>
      </w:r>
      <w:r>
        <w:rPr>
          <w:sz w:val="20"/>
          <w:szCs w:val="20"/>
          <w:color w:val="auto"/>
        </w:rPr>
        <w:tab/>
      </w:r>
      <w:r>
        <w:rPr>
          <w:rFonts w:ascii="Arial" w:cs="Arial" w:eastAsia="Arial" w:hAnsi="Arial"/>
          <w:sz w:val="26"/>
          <w:szCs w:val="26"/>
          <w:color w:val="auto"/>
          <w:vertAlign w:val="subscript"/>
        </w:rPr>
        <w:t>o</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Nominees:</w:t>
      </w:r>
    </w:p>
    <w:p>
      <w:pPr>
        <w:spacing w:after="0" w:line="150" w:lineRule="exact"/>
        <w:rPr>
          <w:sz w:val="20"/>
          <w:szCs w:val="20"/>
          <w:color w:val="auto"/>
        </w:rPr>
      </w:pPr>
    </w:p>
    <w:p>
      <w:pPr>
        <w:ind w:left="720" w:hanging="226"/>
        <w:spacing w:after="0"/>
        <w:tabs>
          <w:tab w:leader="none" w:pos="7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Richard D. Moss</w:t>
      </w:r>
    </w:p>
    <w:p>
      <w:pPr>
        <w:spacing w:after="0" w:line="120" w:lineRule="exact"/>
        <w:rPr>
          <w:rFonts w:ascii="Arial" w:cs="Arial" w:eastAsia="Arial" w:hAnsi="Arial"/>
          <w:sz w:val="13"/>
          <w:szCs w:val="13"/>
          <w:color w:val="auto"/>
        </w:rPr>
      </w:pPr>
    </w:p>
    <w:p>
      <w:pPr>
        <w:ind w:left="720" w:hanging="226"/>
        <w:spacing w:after="0"/>
        <w:tabs>
          <w:tab w:leader="none" w:pos="7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John M. Murabito</w:t>
      </w:r>
    </w:p>
    <w:p>
      <w:pPr>
        <w:spacing w:after="0" w:line="120" w:lineRule="exact"/>
        <w:rPr>
          <w:rFonts w:ascii="Arial" w:cs="Arial" w:eastAsia="Arial" w:hAnsi="Arial"/>
          <w:sz w:val="13"/>
          <w:szCs w:val="13"/>
          <w:color w:val="auto"/>
        </w:rPr>
      </w:pPr>
    </w:p>
    <w:p>
      <w:pPr>
        <w:ind w:left="720" w:hanging="226"/>
        <w:spacing w:after="0"/>
        <w:tabs>
          <w:tab w:leader="none" w:pos="7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Michael J. Happe</w:t>
      </w:r>
    </w:p>
    <w:p>
      <w:pPr>
        <w:spacing w:after="0" w:line="120" w:lineRule="exact"/>
        <w:rPr>
          <w:rFonts w:ascii="Arial" w:cs="Arial" w:eastAsia="Arial" w:hAnsi="Arial"/>
          <w:sz w:val="13"/>
          <w:szCs w:val="13"/>
          <w:color w:val="auto"/>
        </w:rPr>
      </w:pPr>
    </w:p>
    <w:p>
      <w:pPr>
        <w:ind w:left="720" w:hanging="226"/>
        <w:spacing w:after="0"/>
        <w:tabs>
          <w:tab w:leader="none" w:pos="7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William C. Fisher</w:t>
      </w: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The Board of Directors recommends you vote FOR items 2, 3 and 4.</w:t>
      </w:r>
    </w:p>
    <w:p>
      <w:pPr>
        <w:spacing w:after="0" w:line="137" w:lineRule="exact"/>
        <w:rPr>
          <w:sz w:val="20"/>
          <w:szCs w:val="20"/>
          <w:color w:val="auto"/>
        </w:rPr>
      </w:pPr>
    </w:p>
    <w:p>
      <w:pPr>
        <w:ind w:left="500" w:hanging="200"/>
        <w:spacing w:after="0"/>
        <w:tabs>
          <w:tab w:leader="none" w:pos="500"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Advisory approval of executive compensation, (the "say on pay" vote).</w:t>
      </w:r>
    </w:p>
    <w:p>
      <w:pPr>
        <w:spacing w:after="0" w:line="120" w:lineRule="exact"/>
        <w:rPr>
          <w:rFonts w:ascii="Arial" w:cs="Arial" w:eastAsia="Arial" w:hAnsi="Arial"/>
          <w:sz w:val="13"/>
          <w:szCs w:val="13"/>
          <w:b w:val="1"/>
          <w:bCs w:val="1"/>
          <w:color w:val="auto"/>
        </w:rPr>
      </w:pPr>
    </w:p>
    <w:p>
      <w:pPr>
        <w:ind w:left="500" w:hanging="200"/>
        <w:spacing w:after="0"/>
        <w:tabs>
          <w:tab w:leader="none" w:pos="500"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Approval of the employee stock purchase plan.</w:t>
      </w:r>
    </w:p>
    <w:p>
      <w:pPr>
        <w:spacing w:after="0" w:line="39" w:lineRule="exact"/>
        <w:rPr>
          <w:rFonts w:ascii="Arial" w:cs="Arial" w:eastAsia="Arial" w:hAnsi="Arial"/>
          <w:sz w:val="13"/>
          <w:szCs w:val="13"/>
          <w:b w:val="1"/>
          <w:bCs w:val="1"/>
          <w:color w:val="auto"/>
        </w:rPr>
      </w:pPr>
    </w:p>
    <w:p>
      <w:pPr>
        <w:ind w:left="500" w:right="540" w:hanging="200"/>
        <w:spacing w:after="0" w:line="187" w:lineRule="auto"/>
        <w:tabs>
          <w:tab w:leader="none" w:pos="500" w:val="left"/>
        </w:tabs>
        <w:numPr>
          <w:ilvl w:val="0"/>
          <w:numId w:val="11"/>
        </w:numPr>
        <w:rPr>
          <w:rFonts w:ascii="Arial" w:cs="Arial" w:eastAsia="Arial" w:hAnsi="Arial"/>
          <w:sz w:val="21"/>
          <w:szCs w:val="21"/>
          <w:b w:val="1"/>
          <w:bCs w:val="1"/>
          <w:color w:val="auto"/>
          <w:vertAlign w:val="subscript"/>
        </w:rPr>
      </w:pPr>
      <w:r>
        <w:rPr>
          <w:rFonts w:ascii="Arial" w:cs="Arial" w:eastAsia="Arial" w:hAnsi="Arial"/>
          <w:sz w:val="11"/>
          <w:szCs w:val="11"/>
          <w:color w:val="auto"/>
        </w:rPr>
        <w:t>Ratification of the appointment of Deloitte &amp; Touche LLP as Winnebago Industries, Inc. Independent Registered Public Accountant for our fiscal year 2018.</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The Board of Directors recommends you vote for "1 Year" on Item 5.</w:t>
      </w:r>
    </w:p>
    <w:p>
      <w:pPr>
        <w:spacing w:after="0" w:line="137" w:lineRule="exact"/>
        <w:rPr>
          <w:sz w:val="20"/>
          <w:szCs w:val="20"/>
          <w:color w:val="auto"/>
        </w:rPr>
      </w:pPr>
    </w:p>
    <w:p>
      <w:pPr>
        <w:ind w:left="500" w:hanging="200"/>
        <w:spacing w:after="0"/>
        <w:tabs>
          <w:tab w:leader="none" w:pos="500" w:val="left"/>
        </w:tabs>
        <w:numPr>
          <w:ilvl w:val="0"/>
          <w:numId w:val="12"/>
        </w:numPr>
        <w:rPr>
          <w:rFonts w:ascii="Arial" w:cs="Arial" w:eastAsia="Arial" w:hAnsi="Arial"/>
          <w:sz w:val="13"/>
          <w:szCs w:val="13"/>
          <w:b w:val="1"/>
          <w:bCs w:val="1"/>
          <w:color w:val="auto"/>
        </w:rPr>
      </w:pPr>
      <w:r>
        <w:rPr>
          <w:rFonts w:ascii="Arial" w:cs="Arial" w:eastAsia="Arial" w:hAnsi="Arial"/>
          <w:sz w:val="13"/>
          <w:szCs w:val="13"/>
          <w:color w:val="auto"/>
        </w:rPr>
        <w:t>Advisory approval on frequency of "say on pay" votes.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such other business as may properly come before the meeting or any adjournment or adjournments thereof.</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4960" w:type="dxa"/>
            <w:vAlign w:val="bottom"/>
          </w:tcPr>
          <w:p>
            <w:pPr>
              <w:spacing w:after="0"/>
              <w:rPr>
                <w:sz w:val="20"/>
                <w:szCs w:val="20"/>
                <w:color w:val="auto"/>
              </w:rPr>
            </w:pPr>
            <w:r>
              <w:rPr>
                <w:rFonts w:ascii="Arial" w:cs="Arial" w:eastAsia="Arial" w:hAnsi="Arial"/>
                <w:sz w:val="13"/>
                <w:szCs w:val="13"/>
                <w:color w:val="auto"/>
              </w:rPr>
              <w:t>For address changes and/or comments, please check this box and write them on the</w:t>
            </w: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152"/>
        </w:trPr>
        <w:tc>
          <w:tcPr>
            <w:tcW w:w="4960" w:type="dxa"/>
            <w:vAlign w:val="bottom"/>
          </w:tcPr>
          <w:p>
            <w:pPr>
              <w:spacing w:after="0"/>
              <w:rPr>
                <w:sz w:val="20"/>
                <w:szCs w:val="20"/>
                <w:color w:val="auto"/>
              </w:rPr>
            </w:pPr>
            <w:r>
              <w:rPr>
                <w:rFonts w:ascii="Arial" w:cs="Arial" w:eastAsia="Arial" w:hAnsi="Arial"/>
                <w:sz w:val="13"/>
                <w:szCs w:val="13"/>
                <w:color w:val="auto"/>
              </w:rPr>
              <w:t>back where indicated.</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640"/>
        <w:spacing w:after="0"/>
        <w:tabs>
          <w:tab w:leader="none" w:pos="1160" w:val="left"/>
          <w:tab w:leader="none" w:pos="18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47" w:lineRule="exact"/>
        <w:rPr>
          <w:sz w:val="20"/>
          <w:szCs w:val="20"/>
          <w:color w:val="auto"/>
        </w:rPr>
      </w:pPr>
    </w:p>
    <w:p>
      <w:pPr>
        <w:ind w:left="680"/>
        <w:spacing w:after="0"/>
        <w:tabs>
          <w:tab w:leader="none" w:pos="1340" w:val="left"/>
          <w:tab w:leader="none" w:pos="20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63" w:lineRule="exact"/>
        <w:rPr>
          <w:sz w:val="20"/>
          <w:szCs w:val="20"/>
          <w:color w:val="auto"/>
        </w:rPr>
      </w:pPr>
    </w:p>
    <w:p>
      <w:pPr>
        <w:ind w:left="680"/>
        <w:spacing w:after="0"/>
        <w:tabs>
          <w:tab w:leader="none" w:pos="1340" w:val="left"/>
          <w:tab w:leader="none" w:pos="20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17" w:lineRule="exact"/>
        <w:rPr>
          <w:sz w:val="20"/>
          <w:szCs w:val="20"/>
          <w:color w:val="auto"/>
        </w:rPr>
      </w:pPr>
    </w:p>
    <w:p>
      <w:pPr>
        <w:ind w:left="680"/>
        <w:spacing w:after="0"/>
        <w:tabs>
          <w:tab w:leader="none" w:pos="1340" w:val="left"/>
          <w:tab w:leader="none" w:pos="20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36" w:lineRule="exact"/>
        <w:rPr>
          <w:sz w:val="20"/>
          <w:szCs w:val="20"/>
          <w:color w:val="auto"/>
        </w:rPr>
      </w:pPr>
    </w:p>
    <w:p>
      <w:pPr>
        <w:spacing w:after="0"/>
        <w:tabs>
          <w:tab w:leader="none" w:pos="500" w:val="left"/>
          <w:tab w:leader="none" w:pos="1160" w:val="left"/>
          <w:tab w:leader="none" w:pos="1840" w:val="left"/>
        </w:tabs>
        <w:rPr>
          <w:sz w:val="20"/>
          <w:szCs w:val="20"/>
          <w:color w:val="auto"/>
        </w:rPr>
      </w:pPr>
      <w:r>
        <w:rPr>
          <w:rFonts w:ascii="Arial" w:cs="Arial" w:eastAsia="Arial" w:hAnsi="Arial"/>
          <w:sz w:val="13"/>
          <w:szCs w:val="13"/>
          <w:b w:val="1"/>
          <w:bCs w:val="1"/>
          <w:color w:val="auto"/>
        </w:rPr>
        <w:t>1 Year</w:t>
        <w:tab/>
        <w:t>2 Years</w:t>
      </w:r>
      <w:r>
        <w:rPr>
          <w:sz w:val="20"/>
          <w:szCs w:val="20"/>
          <w:color w:val="auto"/>
        </w:rPr>
        <w:tab/>
      </w:r>
      <w:r>
        <w:rPr>
          <w:rFonts w:ascii="Arial" w:cs="Arial" w:eastAsia="Arial" w:hAnsi="Arial"/>
          <w:sz w:val="13"/>
          <w:szCs w:val="13"/>
          <w:b w:val="1"/>
          <w:bCs w:val="1"/>
          <w:color w:val="auto"/>
        </w:rPr>
        <w:t>3 Years</w:t>
      </w:r>
      <w:r>
        <w:rPr>
          <w:sz w:val="20"/>
          <w:szCs w:val="20"/>
          <w:color w:val="auto"/>
        </w:rPr>
        <w:tab/>
      </w:r>
      <w:r>
        <w:rPr>
          <w:rFonts w:ascii="Arial" w:cs="Arial" w:eastAsia="Arial" w:hAnsi="Arial"/>
          <w:sz w:val="12"/>
          <w:szCs w:val="12"/>
          <w:b w:val="1"/>
          <w:bCs w:val="1"/>
          <w:color w:val="auto"/>
        </w:rPr>
        <w:t>Abstain</w:t>
      </w:r>
    </w:p>
    <w:p>
      <w:pPr>
        <w:spacing w:after="0" w:line="128" w:lineRule="exact"/>
        <w:rPr>
          <w:sz w:val="20"/>
          <w:szCs w:val="20"/>
          <w:color w:val="auto"/>
        </w:rPr>
      </w:pPr>
    </w:p>
    <w:p>
      <w:pPr>
        <w:ind w:left="140"/>
        <w:spacing w:after="0"/>
        <w:tabs>
          <w:tab w:leader="none" w:pos="660" w:val="left"/>
          <w:tab w:leader="none" w:pos="1340" w:val="left"/>
          <w:tab w:leader="none" w:pos="20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058" w:lineRule="exact"/>
        <w:rPr>
          <w:sz w:val="20"/>
          <w:szCs w:val="20"/>
          <w:color w:val="auto"/>
        </w:rPr>
      </w:pPr>
    </w:p>
    <w:p>
      <w:pPr>
        <w:sectPr>
          <w:pgSz w:w="11900" w:h="16838" w:orient="portrait"/>
          <w:cols w:equalWidth="0" w:num="2">
            <w:col w:w="8280" w:space="720"/>
            <w:col w:w="2420"/>
          </w:cols>
          <w:pgMar w:left="240" w:top="1031" w:right="239" w:bottom="1440" w:gutter="0" w:footer="0" w:header="0"/>
          <w:type w:val="continuous"/>
        </w:sectPr>
      </w:pPr>
    </w:p>
    <w:p>
      <w:pPr>
        <w:spacing w:after="0" w:line="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Please sign exactly as your name(s) appears hereon. When signing as attorney, executor,</w:t>
      </w:r>
    </w:p>
    <w:p>
      <w:pPr>
        <w:ind w:left="260"/>
        <w:spacing w:after="0" w:line="234" w:lineRule="auto"/>
        <w:rPr>
          <w:sz w:val="20"/>
          <w:szCs w:val="20"/>
          <w:color w:val="auto"/>
        </w:rPr>
      </w:pPr>
      <w:r>
        <w:rPr>
          <w:rFonts w:ascii="Arial" w:cs="Arial" w:eastAsia="Arial" w:hAnsi="Arial"/>
          <w:sz w:val="12"/>
          <w:szCs w:val="12"/>
          <w:color w:val="auto"/>
        </w:rPr>
        <w:t>administrator, or other fiduciary, please give full title as such. Joint owner should each sign personally.</w:t>
      </w:r>
    </w:p>
    <w:p>
      <w:pPr>
        <w:ind w:left="260"/>
        <w:spacing w:after="0" w:line="235" w:lineRule="auto"/>
        <w:rPr>
          <w:sz w:val="20"/>
          <w:szCs w:val="20"/>
          <w:color w:val="auto"/>
        </w:rPr>
      </w:pPr>
      <w:r>
        <w:rPr>
          <w:rFonts w:ascii="Arial" w:cs="Arial" w:eastAsia="Arial" w:hAnsi="Arial"/>
          <w:sz w:val="12"/>
          <w:szCs w:val="12"/>
          <w:color w:val="auto"/>
        </w:rPr>
        <w:t>All holders must sign. If a corporation or partnership, please sign in full corporate or partnership name</w:t>
      </w:r>
    </w:p>
    <w:p>
      <w:pPr>
        <w:ind w:left="260"/>
        <w:spacing w:after="0"/>
        <w:rPr>
          <w:sz w:val="20"/>
          <w:szCs w:val="20"/>
          <w:color w:val="auto"/>
        </w:rPr>
      </w:pPr>
      <w:r>
        <w:rPr>
          <w:rFonts w:ascii="Arial" w:cs="Arial" w:eastAsia="Arial" w:hAnsi="Arial"/>
          <w:sz w:val="13"/>
          <w:szCs w:val="13"/>
          <w:color w:val="auto"/>
        </w:rPr>
        <w:t>by authorized officer.</w:t>
      </w:r>
    </w:p>
    <w:p>
      <w:pPr>
        <w:sectPr>
          <w:pgSz w:w="11900" w:h="16838" w:orient="portrait"/>
          <w:cols w:equalWidth="0" w:num="1">
            <w:col w:w="11420"/>
          </w:cols>
          <w:pgMar w:left="240" w:top="10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tabs>
          <w:tab w:leader="none" w:pos="3680" w:val="left"/>
          <w:tab w:leader="none" w:pos="5860" w:val="left"/>
          <w:tab w:leader="none" w:pos="94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1031" w:right="2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346075</wp:posOffset>
            </wp:positionV>
            <wp:extent cx="6020435" cy="3473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20435" cy="3473450"/>
                    </a:xfrm>
                    <a:prstGeom prst="rect">
                      <a:avLst/>
                    </a:prstGeom>
                    <a:noFill/>
                  </pic:spPr>
                </pic:pic>
              </a:graphicData>
            </a:graphic>
          </wp:anchor>
        </w:drawing>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ANNUAL MEETING OF SHAREHOLDERS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Tuesday, December 12, 2017</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4:00 p.m. Central Standard Time</w:t>
      </w:r>
    </w:p>
    <w:p>
      <w:pPr>
        <w:spacing w:after="0" w:line="5" w:lineRule="exact"/>
        <w:rPr>
          <w:sz w:val="20"/>
          <w:szCs w:val="20"/>
          <w:color w:val="auto"/>
        </w:rPr>
      </w:pPr>
    </w:p>
    <w:p>
      <w:pPr>
        <w:ind w:left="100" w:right="6940"/>
        <w:spacing w:after="0" w:line="260" w:lineRule="auto"/>
        <w:rPr>
          <w:sz w:val="20"/>
          <w:szCs w:val="20"/>
          <w:color w:val="auto"/>
        </w:rPr>
      </w:pPr>
      <w:r>
        <w:rPr>
          <w:rFonts w:ascii="Arial" w:cs="Arial" w:eastAsia="Arial" w:hAnsi="Arial"/>
          <w:sz w:val="16"/>
          <w:szCs w:val="16"/>
          <w:color w:val="auto"/>
        </w:rPr>
        <w:t>Winnebago Industries' South Office Complex Theater, 605 W. Crystal Lake Road, Forest City,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Annual Meeting:</w:t>
      </w:r>
    </w:p>
    <w:p>
      <w:pPr>
        <w:spacing w:after="0" w:line="5" w:lineRule="exact"/>
        <w:rPr>
          <w:sz w:val="20"/>
          <w:szCs w:val="20"/>
          <w:color w:val="auto"/>
        </w:rPr>
      </w:pPr>
    </w:p>
    <w:p>
      <w:pPr>
        <w:ind w:left="100" w:right="5280"/>
        <w:spacing w:after="0" w:line="260" w:lineRule="auto"/>
        <w:rPr>
          <w:sz w:val="20"/>
          <w:szCs w:val="20"/>
          <w:color w:val="auto"/>
        </w:rPr>
      </w:pPr>
      <w:r>
        <w:rPr>
          <w:rFonts w:ascii="Arial" w:cs="Arial" w:eastAsia="Arial" w:hAnsi="Arial"/>
          <w:sz w:val="16"/>
          <w:szCs w:val="16"/>
          <w:color w:val="auto"/>
        </w:rPr>
        <w:t>The Notice and Proxy Statement and Annual Report/Form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E33736-P98584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97790</wp:posOffset>
            </wp:positionV>
            <wp:extent cx="7254875" cy="308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3087370"/>
                    </a:xfrm>
                    <a:prstGeom prst="rect">
                      <a:avLst/>
                    </a:prstGeom>
                    <a:noFill/>
                  </pic:spPr>
                </pic:pic>
              </a:graphicData>
            </a:graphic>
          </wp:anchor>
        </w:drawing>
      </w:r>
    </w:p>
    <w:p>
      <w:pPr>
        <w:spacing w:after="0" w:line="385"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WINNEBAGO INDUSTRIES, INC.</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Annual Meeting of Shareholders</w:t>
      </w:r>
    </w:p>
    <w:p>
      <w:pPr>
        <w:jc w:val="center"/>
        <w:ind w:right="440"/>
        <w:spacing w:after="0" w:line="230" w:lineRule="auto"/>
        <w:rPr>
          <w:sz w:val="20"/>
          <w:szCs w:val="20"/>
          <w:color w:val="auto"/>
        </w:rPr>
      </w:pPr>
      <w:r>
        <w:rPr>
          <w:rFonts w:ascii="Arial" w:cs="Arial" w:eastAsia="Arial" w:hAnsi="Arial"/>
          <w:sz w:val="22"/>
          <w:szCs w:val="22"/>
          <w:b w:val="1"/>
          <w:bCs w:val="1"/>
          <w:color w:val="auto"/>
        </w:rPr>
        <w:t>December 12, 2017 4:00 PM</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47" w:lineRule="exact"/>
        <w:rPr>
          <w:sz w:val="20"/>
          <w:szCs w:val="20"/>
          <w:color w:val="auto"/>
        </w:rPr>
      </w:pPr>
    </w:p>
    <w:p>
      <w:pPr>
        <w:ind w:right="480"/>
        <w:spacing w:after="0" w:line="229" w:lineRule="auto"/>
        <w:rPr>
          <w:sz w:val="20"/>
          <w:szCs w:val="20"/>
          <w:color w:val="auto"/>
        </w:rPr>
      </w:pPr>
      <w:r>
        <w:rPr>
          <w:rFonts w:ascii="Arial" w:cs="Arial" w:eastAsia="Arial" w:hAnsi="Arial"/>
          <w:sz w:val="20"/>
          <w:szCs w:val="20"/>
          <w:color w:val="auto"/>
        </w:rPr>
        <w:t>The undersigned hereby appoints Scott C. Folkers and Michael J. Happe,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12th day of December, 2017. at 4:00 p.m., Central Standard Time, and at any and all adjournments thereof.</w:t>
      </w:r>
    </w:p>
    <w:p>
      <w:pPr>
        <w:spacing w:after="0" w:line="172"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b w:val="1"/>
          <w:bCs w:val="1"/>
          <w:color w:val="auto"/>
        </w:rPr>
        <w:t>This proxy, when properly executed, will be voted in the manner directed herein. If no such direction is made, this proxy will be voted in accordance with the Board of Directors' recommendations.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Address Changes/Comments: </w:t>
      </w:r>
      <w:r>
        <w:rPr>
          <w:rFonts w:ascii="Arial" w:cs="Arial" w:eastAsia="Arial" w:hAnsi="Arial"/>
          <w:sz w:val="16"/>
          <w:szCs w:val="16"/>
          <w:color w:val="auto"/>
        </w:rPr>
        <w:t>__________________________________________________________</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____________________________________________________________________________________</w:t>
      </w:r>
    </w:p>
    <w:p>
      <w:pPr>
        <w:spacing w:after="0" w:line="254"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p>
      <w:pPr>
        <w:spacing w:after="0" w:line="3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0900"/>
      </w:cols>
      <w:pgMar w:left="7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x"/>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x"/>
      <w:numFmt w:val="bullet"/>
      <w:start w:val="1"/>
    </w:lvl>
  </w:abstractNum>
  <w:abstractNum w:abstractNumId="4">
    <w:nsid w:val="515F007C"/>
    <w:multiLevelType w:val="hybridMultilevel"/>
    <w:lvl w:ilvl="0">
      <w:lvlJc w:val="left"/>
      <w:lvlText w:val="o"/>
      <w:numFmt w:val="bullet"/>
      <w:start w:val="1"/>
    </w:lvl>
    <w:lvl w:ilvl="1">
      <w:lvlJc w:val="left"/>
      <w:lvlText w:val="%2)"/>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2019-12-05T08:35:03Z</dcterms:created>
  <dcterms:modified xsi:type="dcterms:W3CDTF">2019-12-05T08:35:03Z</dcterms:modified>
</cp:coreProperties>
</file>