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June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1000" w:type="dxa"/>
        <w:tblCellMar>
          <w:top w:w="0" w:type="dxa"/>
          <w:left w:w="0" w:type="dxa"/>
          <w:bottom w:w="0" w:type="dxa"/>
          <w:right w:w="0" w:type="dxa"/>
        </w:tblCellMar>
      </w:tblPr>
      <w:tr>
        <w:trPr>
          <w:trHeight w:val="217"/>
        </w:trPr>
        <w:tc>
          <w:tcPr>
            <w:tcW w:w="17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Minnesota</w:t>
            </w:r>
          </w:p>
        </w:tc>
        <w:tc>
          <w:tcPr>
            <w:tcW w:w="1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001-06403</w:t>
            </w:r>
          </w:p>
        </w:tc>
        <w:tc>
          <w:tcPr>
            <w:tcW w:w="29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42-0802678</w:t>
            </w:r>
          </w:p>
        </w:tc>
      </w:tr>
      <w:tr>
        <w:trPr>
          <w:trHeight w:val="169"/>
        </w:trPr>
        <w:tc>
          <w:tcPr>
            <w:tcW w:w="4620" w:type="dxa"/>
            <w:vAlign w:val="bottom"/>
            <w:gridSpan w:val="3"/>
          </w:tcPr>
          <w:p>
            <w:pPr>
              <w:jc w:val="center"/>
              <w:spacing w:after="0" w:line="169" w:lineRule="exact"/>
              <w:rPr>
                <w:sz w:val="20"/>
                <w:szCs w:val="20"/>
                <w:color w:val="auto"/>
              </w:rPr>
            </w:pPr>
            <w:r>
              <w:rPr>
                <w:rFonts w:ascii="Arial" w:cs="Arial" w:eastAsia="Arial" w:hAnsi="Arial"/>
                <w:sz w:val="16"/>
                <w:szCs w:val="16"/>
                <w:color w:val="auto"/>
              </w:rPr>
              <w:t>(State or Other Jurisdiction of Incorporation)</w:t>
            </w:r>
          </w:p>
        </w:tc>
        <w:tc>
          <w:tcPr>
            <w:tcW w:w="1660" w:type="dxa"/>
            <w:vAlign w:val="bottom"/>
          </w:tcPr>
          <w:p>
            <w:pPr>
              <w:jc w:val="center"/>
              <w:spacing w:after="0" w:line="169" w:lineRule="exact"/>
              <w:rPr>
                <w:sz w:val="20"/>
                <w:szCs w:val="20"/>
                <w:color w:val="auto"/>
              </w:rPr>
            </w:pPr>
            <w:r>
              <w:rPr>
                <w:rFonts w:ascii="Arial" w:cs="Arial" w:eastAsia="Arial" w:hAnsi="Arial"/>
                <w:sz w:val="16"/>
                <w:szCs w:val="16"/>
                <w:color w:val="auto"/>
              </w:rPr>
              <w:t>(Commission File</w:t>
            </w:r>
          </w:p>
        </w:tc>
        <w:tc>
          <w:tcPr>
            <w:tcW w:w="2960" w:type="dxa"/>
            <w:vAlign w:val="bottom"/>
          </w:tcPr>
          <w:p>
            <w:pPr>
              <w:jc w:val="center"/>
              <w:spacing w:after="0" w:line="169" w:lineRule="exact"/>
              <w:rPr>
                <w:sz w:val="20"/>
                <w:szCs w:val="20"/>
                <w:color w:val="auto"/>
              </w:rPr>
            </w:pPr>
            <w:r>
              <w:rPr>
                <w:rFonts w:ascii="Arial" w:cs="Arial" w:eastAsia="Arial" w:hAnsi="Arial"/>
                <w:sz w:val="16"/>
                <w:szCs w:val="16"/>
                <w:color w:val="auto"/>
              </w:rPr>
              <w:t>(IRS Employer Identification No.)</w:t>
            </w:r>
          </w:p>
        </w:tc>
      </w:tr>
      <w:tr>
        <w:trPr>
          <w:trHeight w:val="215"/>
        </w:trPr>
        <w:tc>
          <w:tcPr>
            <w:tcW w:w="1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Number)</w:t>
            </w:r>
          </w:p>
        </w:tc>
        <w:tc>
          <w:tcPr>
            <w:tcW w:w="2960" w:type="dxa"/>
            <w:vAlign w:val="bottom"/>
          </w:tcPr>
          <w:p>
            <w:pPr>
              <w:spacing w:after="0"/>
              <w:rPr>
                <w:sz w:val="18"/>
                <w:szCs w:val="18"/>
                <w:color w:val="auto"/>
              </w:rPr>
            </w:pPr>
          </w:p>
        </w:tc>
      </w:tr>
      <w:tr>
        <w:trPr>
          <w:trHeight w:val="541"/>
        </w:trPr>
        <w:tc>
          <w:tcPr>
            <w:tcW w:w="17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13200 Pioneer Trail</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Eden Prairie</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Minnesota</w:t>
            </w:r>
          </w:p>
        </w:tc>
        <w:tc>
          <w:tcPr>
            <w:tcW w:w="1660" w:type="dxa"/>
            <w:vAlign w:val="bottom"/>
          </w:tcPr>
          <w:p>
            <w:pPr>
              <w:spacing w:after="0"/>
              <w:rPr>
                <w:sz w:val="24"/>
                <w:szCs w:val="24"/>
                <w:color w:val="auto"/>
              </w:rPr>
            </w:pPr>
          </w:p>
        </w:tc>
        <w:tc>
          <w:tcPr>
            <w:tcW w:w="29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55347</w:t>
            </w:r>
          </w:p>
        </w:tc>
      </w:tr>
      <w:tr>
        <w:trPr>
          <w:trHeight w:val="235"/>
        </w:trPr>
        <w:tc>
          <w:tcPr>
            <w:tcW w:w="462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952-829-8600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750570</wp:posOffset>
            </wp:positionH>
            <wp:positionV relativeFrom="paragraph">
              <wp:posOffset>200660</wp:posOffset>
            </wp:positionV>
            <wp:extent cx="5666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390"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62" w:lineRule="exact"/>
        <w:rPr>
          <w:sz w:val="24"/>
          <w:szCs w:val="24"/>
          <w:color w:val="auto"/>
        </w:rPr>
      </w:pPr>
    </w:p>
    <w:p>
      <w:pPr>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10"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9" w:lineRule="exact"/>
        <w:rPr>
          <w:sz w:val="24"/>
          <w:szCs w:val="24"/>
          <w:color w:val="auto"/>
        </w:rPr>
      </w:pPr>
    </w:p>
    <w:p>
      <w:pPr>
        <w:ind w:right="16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48"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On June 22, 2022, Winnebago Industries, Inc. (the "Company") issued a press release to report financial results for the third quarter of Fiscal 2022 ended May 28, 2022. A copy of the press release is attached as Exhibit 99.1 and is incorporated by reference herein.</w:t>
      </w:r>
    </w:p>
    <w:p>
      <w:pPr>
        <w:spacing w:after="0" w:line="16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third quarter of Fiscal 2022.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199"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47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8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400" w:type="dxa"/>
            <w:vAlign w:val="bottom"/>
          </w:tcPr>
          <w:p>
            <w:pPr>
              <w:spacing w:after="0"/>
              <w:rPr>
                <w:sz w:val="14"/>
                <w:szCs w:val="14"/>
                <w:color w:val="auto"/>
              </w:rPr>
            </w:pPr>
          </w:p>
        </w:tc>
        <w:tc>
          <w:tcPr>
            <w:tcW w:w="136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3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of Winnebago Industries, Inc. dated June 22, 2022</w:t>
            </w:r>
          </w:p>
        </w:tc>
        <w:tc>
          <w:tcPr>
            <w:tcW w:w="100" w:type="dxa"/>
            <w:vAlign w:val="bottom"/>
          </w:tcPr>
          <w:p>
            <w:pPr>
              <w:spacing w:after="0"/>
              <w:rPr>
                <w:sz w:val="14"/>
                <w:szCs w:val="14"/>
                <w:color w:val="auto"/>
              </w:rPr>
            </w:pP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r>
      <w:tr>
        <w:trPr>
          <w:trHeight w:val="235"/>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981"/>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500" w:type="dxa"/>
            <w:vAlign w:val="bottom"/>
            <w:gridSpan w:val="2"/>
          </w:tcPr>
          <w:p>
            <w:pPr>
              <w:ind w:left="9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140" w:type="dxa"/>
            <w:vAlign w:val="bottom"/>
          </w:tcPr>
          <w:p>
            <w:pPr>
              <w:ind w:left="160"/>
              <w:spacing w:after="0"/>
              <w:rPr>
                <w:sz w:val="20"/>
                <w:szCs w:val="20"/>
                <w:color w:val="auto"/>
              </w:rPr>
            </w:pPr>
            <w:r>
              <w:rPr>
                <w:rFonts w:ascii="Arial" w:cs="Arial" w:eastAsia="Arial" w:hAnsi="Arial"/>
                <w:sz w:val="16"/>
                <w:szCs w:val="16"/>
                <w:color w:val="auto"/>
              </w:rPr>
              <w:t>June 22, 2022</w:t>
            </w:r>
          </w:p>
        </w:tc>
        <w:tc>
          <w:tcPr>
            <w:tcW w:w="1780" w:type="dxa"/>
            <w:vAlign w:val="bottom"/>
          </w:tcPr>
          <w:p>
            <w:pPr>
              <w:ind w:left="960"/>
              <w:spacing w:after="0"/>
              <w:rPr>
                <w:sz w:val="20"/>
                <w:szCs w:val="20"/>
                <w:color w:val="auto"/>
              </w:rPr>
            </w:pPr>
            <w:r>
              <w:rPr>
                <w:rFonts w:ascii="Arial" w:cs="Arial" w:eastAsia="Arial" w:hAnsi="Arial"/>
                <w:sz w:val="16"/>
                <w:szCs w:val="16"/>
                <w:color w:val="auto"/>
              </w:rPr>
              <w:t>By:</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10"/>
        </w:trPr>
        <w:tc>
          <w:tcPr>
            <w:tcW w:w="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80" w:type="dxa"/>
            <w:vAlign w:val="bottom"/>
          </w:tcPr>
          <w:p>
            <w:pPr>
              <w:ind w:left="960"/>
              <w:spacing w:after="0"/>
              <w:rPr>
                <w:sz w:val="20"/>
                <w:szCs w:val="20"/>
                <w:color w:val="auto"/>
              </w:rPr>
            </w:pPr>
            <w:r>
              <w:rPr>
                <w:rFonts w:ascii="Arial" w:cs="Arial" w:eastAsia="Arial" w:hAnsi="Arial"/>
                <w:sz w:val="16"/>
                <w:szCs w:val="16"/>
                <w:color w:val="auto"/>
              </w:rPr>
              <w:t>Name:</w:t>
            </w:r>
          </w:p>
        </w:tc>
        <w:tc>
          <w:tcPr>
            <w:tcW w:w="572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15"/>
        </w:trPr>
        <w:tc>
          <w:tcPr>
            <w:tcW w:w="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80" w:type="dxa"/>
            <w:vAlign w:val="bottom"/>
          </w:tcPr>
          <w:p>
            <w:pPr>
              <w:ind w:left="960"/>
              <w:spacing w:after="0"/>
              <w:rPr>
                <w:sz w:val="20"/>
                <w:szCs w:val="20"/>
                <w:color w:val="auto"/>
              </w:rPr>
            </w:pPr>
            <w:r>
              <w:rPr>
                <w:rFonts w:ascii="Arial" w:cs="Arial" w:eastAsia="Arial" w:hAnsi="Arial"/>
                <w:sz w:val="16"/>
                <w:szCs w:val="16"/>
                <w:color w:val="auto"/>
              </w:rPr>
              <w:t>Title:</w:t>
            </w:r>
          </w:p>
        </w:tc>
        <w:tc>
          <w:tcPr>
            <w:tcW w:w="5720" w:type="dxa"/>
            <w:vAlign w:val="bottom"/>
          </w:tcPr>
          <w:p>
            <w:pPr>
              <w:ind w:left="20"/>
              <w:spacing w:after="0"/>
              <w:rPr>
                <w:sz w:val="20"/>
                <w:szCs w:val="20"/>
                <w:color w:val="auto"/>
              </w:rPr>
            </w:pPr>
            <w:r>
              <w:rPr>
                <w:rFonts w:ascii="Arial" w:cs="Arial" w:eastAsia="Arial" w:hAnsi="Arial"/>
                <w:sz w:val="16"/>
                <w:szCs w:val="16"/>
                <w:color w:val="auto"/>
              </w:rPr>
              <w:t>Chief Financial Officer and Senior Vice President</w:t>
            </w:r>
          </w:p>
        </w:tc>
      </w:tr>
      <w:tr>
        <w:trPr>
          <w:trHeight w:val="216"/>
        </w:trPr>
        <w:tc>
          <w:tcPr>
            <w:tcW w:w="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ectPr>
          <w:pgSz w:w="11900" w:h="16838" w:orient="portrait"/>
          <w:cols w:equalWidth="0" w:num="1">
            <w:col w:w="11220"/>
          </w:cols>
          <w:pgMar w:left="320" w:top="885" w:right="359" w:bottom="1440" w:gutter="0" w:footer="0" w:header="0"/>
        </w:sectPr>
      </w:pPr>
    </w:p>
    <w:bookmarkStart w:id="3" w:name="page4"/>
    <w:bookmarkEnd w:id="3"/>
    <w:p>
      <w:pPr>
        <w:ind w:left="7020"/>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216535</wp:posOffset>
            </wp:positionH>
            <wp:positionV relativeFrom="page">
              <wp:posOffset>594995</wp:posOffset>
            </wp:positionV>
            <wp:extent cx="2957195" cy="814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957195" cy="81470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WINNEBAGO INDUSTRIES DELIVERS RECORD THIRD QUARTER FISCAL 2022 RESULTS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Record Third Quarter Revenues of $1.5 Billion Increased 52%, Including Robust Organic Growth of 41% --</w:t>
      </w:r>
    </w:p>
    <w:p>
      <w:pPr>
        <w:spacing w:after="0" w:line="194" w:lineRule="exact"/>
        <w:rPr>
          <w:sz w:val="20"/>
          <w:szCs w:val="20"/>
          <w:color w:val="auto"/>
        </w:rPr>
      </w:pPr>
    </w:p>
    <w:p>
      <w:pPr>
        <w:jc w:val="center"/>
        <w:ind w:left="360" w:right="1900"/>
        <w:spacing w:after="0" w:line="487" w:lineRule="auto"/>
        <w:rPr>
          <w:sz w:val="20"/>
          <w:szCs w:val="20"/>
          <w:color w:val="auto"/>
        </w:rPr>
      </w:pPr>
      <w:r>
        <w:rPr>
          <w:rFonts w:ascii="Arial" w:cs="Arial" w:eastAsia="Arial" w:hAnsi="Arial"/>
          <w:sz w:val="16"/>
          <w:szCs w:val="16"/>
          <w:b w:val="1"/>
          <w:bCs w:val="1"/>
          <w:color w:val="auto"/>
        </w:rPr>
        <w:t>-- Reported Quarterly Diluted EPS of $3.57 and Adjusted EPS of $4.13, Up 84% Over Prior Year -- -- RV Retail Market Share Gains Continue; 13.2%, +70 bps, Fiscal Year-To-Date through April -- -- Record Share Repurchases of $70 million in the Third Quarter --</w:t>
      </w:r>
    </w:p>
    <w:p>
      <w:pPr>
        <w:jc w:val="center"/>
        <w:ind w:right="-19"/>
        <w:spacing w:after="0"/>
        <w:rPr>
          <w:sz w:val="20"/>
          <w:szCs w:val="20"/>
          <w:color w:val="auto"/>
        </w:rPr>
      </w:pPr>
      <w:r>
        <w:rPr>
          <w:rFonts w:ascii="Arial" w:cs="Arial" w:eastAsia="Arial" w:hAnsi="Arial"/>
          <w:sz w:val="16"/>
          <w:szCs w:val="16"/>
          <w:b w:val="1"/>
          <w:bCs w:val="1"/>
          <w:color w:val="auto"/>
        </w:rPr>
        <w:t>-- $148 million in Cash Returned to Shareholders Through Third Quarter Fiscal Year-To-Date --</w:t>
      </w:r>
    </w:p>
    <w:p>
      <w:pPr>
        <w:spacing w:after="0" w:line="397" w:lineRule="exact"/>
        <w:rPr>
          <w:sz w:val="20"/>
          <w:szCs w:val="20"/>
          <w:color w:val="auto"/>
        </w:rPr>
      </w:pPr>
    </w:p>
    <w:p>
      <w:pPr>
        <w:ind w:right="60"/>
        <w:spacing w:after="0" w:line="409" w:lineRule="auto"/>
        <w:rPr>
          <w:sz w:val="20"/>
          <w:szCs w:val="20"/>
          <w:color w:val="auto"/>
        </w:rPr>
      </w:pPr>
      <w:r>
        <w:rPr>
          <w:rFonts w:ascii="Arial" w:cs="Arial" w:eastAsia="Arial" w:hAnsi="Arial"/>
          <w:sz w:val="16"/>
          <w:szCs w:val="16"/>
          <w:color w:val="auto"/>
        </w:rPr>
        <w:t>EDEN PRAIRIE, MINNESOTA, June 22, 2022 -- Winnebago Industries, Inc. (NYSE: WGO), a leading outdoor lifestyle product manufacturer, today reported financial results for the Company's Fiscal 2022 third quarter.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Third Quarter Fiscal 2022 Results</w:t>
      </w:r>
    </w:p>
    <w:p>
      <w:pPr>
        <w:spacing w:after="0" w:line="86" w:lineRule="exact"/>
        <w:rPr>
          <w:sz w:val="20"/>
          <w:szCs w:val="20"/>
          <w:color w:val="auto"/>
        </w:rPr>
      </w:pPr>
    </w:p>
    <w:p>
      <w:pPr>
        <w:spacing w:after="0" w:line="372" w:lineRule="auto"/>
        <w:rPr>
          <w:sz w:val="20"/>
          <w:szCs w:val="20"/>
          <w:color w:val="auto"/>
        </w:rPr>
      </w:pPr>
      <w:r>
        <w:rPr>
          <w:rFonts w:ascii="Arial" w:cs="Arial" w:eastAsia="Arial" w:hAnsi="Arial"/>
          <w:sz w:val="16"/>
          <w:szCs w:val="16"/>
          <w:color w:val="auto"/>
        </w:rPr>
        <w:t>Revenues for the Fiscal 2022 third quarter ended May 28, 2022, were a record $1.5 billion, an increase of 51.8% compared to $960.7 million for the Fiscal 2021 third quarter. Revenues excluding the recently acquired Barletta business were $1.4 billion, representing an organic growth rate of 41.1% over the prior year period, driven by pricing increases and shipments related to the strong dealer order backlog. Gross profit was $273.0 million, an increase of 60.9% compared to $169.6 million for the Fiscal 2021 period. Gross profit margin increased 100 basis points in the quarter to 18.7%, driven primarily by operating leverage, price increases and favorable segment mix, partially offset by higher material and component costs. Operating income, which includes $4.6 million of amortization associated with the acquisition of Barletta, was $176.7 million for the quarter, an increase of 72.5% compared to $102.4 million for the third quarter of last year. Fiscal 2022 third quarter net income, which includes $11.8 million of contingent consideration fair value adjustment related to the Barletta acquisition, was $117.2 million, an increase of 64.4% compared to $71.3 million in the prior year quarter. Reported earnings per diluted share was $3.57, compared to reported earnings per diluted share of $2.05 in the same period last year. Adjusted earnings per diluted share was $4.13, an increase of 84.4% compared to adjusted earnings per diluted share of $2.24 in the same period last year. Consolidated Adjusted EBITDA was $191.7 million for the quarter, compared to $109.8 million last year, an increase of 74.7%.</w:t>
      </w:r>
    </w:p>
    <w:p>
      <w:pPr>
        <w:spacing w:after="0" w:line="211" w:lineRule="exact"/>
        <w:rPr>
          <w:sz w:val="20"/>
          <w:szCs w:val="20"/>
          <w:color w:val="auto"/>
        </w:rPr>
      </w:pPr>
    </w:p>
    <w:p>
      <w:pPr>
        <w:ind w:right="20"/>
        <w:spacing w:after="0" w:line="372" w:lineRule="auto"/>
        <w:rPr>
          <w:sz w:val="20"/>
          <w:szCs w:val="20"/>
          <w:color w:val="auto"/>
        </w:rPr>
      </w:pPr>
      <w:r>
        <w:rPr>
          <w:rFonts w:ascii="Arial" w:cs="Arial" w:eastAsia="Arial" w:hAnsi="Arial"/>
          <w:sz w:val="16"/>
          <w:szCs w:val="16"/>
          <w:color w:val="auto"/>
        </w:rPr>
        <w:t>President and Chief Executive Officer Michael Happe commented, “The trend in recent quarters continued, as Winnebago Industries delivered impressive third quarter results, driven by our team’s focused execution and good progress on reducing our order backlog in the quarter from our expanded portfolio of premier outdoor lifestyle brands. In the third quarter, we capitalized on the prime spring selling season to further gain share and expand our pipeline of lifelong customers, as our golden threads of quality, innovation and customer experience continue to differentiate the Winnebago portfolio and resonate with consumers. The unique strength of our brands positioned Winnebago Industries to not only gain market share but also to successfully take continued pricing actions to offset meaningful component and material cost inflation and enhance margin performance across our segments. We are incredibly proud of our results and the efforts of our talented team across the organization. As we look ahead to our last quarter in the fiscal year, we will maintain our focus on executing our proven strategy and build on our momentum to further grow and solidify our expanding market position, while driving long-term value for end customers, dealers,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20"/>
          </w:cols>
          <w:pgMar w:left="320" w:top="1392" w:right="359" w:bottom="1440" w:gutter="0" w:footer="0" w:header="0"/>
        </w:sectPr>
      </w:pPr>
    </w:p>
    <w:bookmarkStart w:id="4" w:name="page5"/>
    <w:bookmarkEnd w:id="4"/>
    <w:p>
      <w:pPr>
        <w:ind w:right="140"/>
        <w:spacing w:after="0" w:line="409" w:lineRule="auto"/>
        <w:rPr>
          <w:sz w:val="20"/>
          <w:szCs w:val="20"/>
          <w:color w:val="auto"/>
        </w:rPr>
      </w:pPr>
      <w:r>
        <w:rPr>
          <w:rFonts w:ascii="Arial" w:cs="Arial" w:eastAsia="Arial" w:hAnsi="Arial"/>
          <w:sz w:val="16"/>
          <w:szCs w:val="16"/>
          <w:color w:val="auto"/>
        </w:rPr>
        <w:t>employees and shareholders. We will also continue to demonstrate appropriate discipline in capacity utilization in accordance with matching our production schedule to dealer demand.”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w:t>
      </w:r>
    </w:p>
    <w:p>
      <w:pPr>
        <w:spacing w:after="0" w:line="100" w:lineRule="exact"/>
        <w:rPr>
          <w:sz w:val="20"/>
          <w:szCs w:val="20"/>
          <w:color w:val="auto"/>
        </w:rPr>
      </w:pPr>
    </w:p>
    <w:p>
      <w:pPr>
        <w:ind w:right="20"/>
        <w:spacing w:after="0" w:line="377" w:lineRule="auto"/>
        <w:rPr>
          <w:sz w:val="20"/>
          <w:szCs w:val="20"/>
          <w:color w:val="auto"/>
        </w:rPr>
      </w:pPr>
      <w:r>
        <w:rPr>
          <w:rFonts w:ascii="Arial" w:cs="Arial" w:eastAsia="Arial" w:hAnsi="Arial"/>
          <w:sz w:val="16"/>
          <w:szCs w:val="16"/>
          <w:color w:val="auto"/>
        </w:rPr>
        <w:t>Revenues for the Towable segment were $805.6 million for the third quarter, up 45.0% over the prior year, primarily driven by pricing increases, in addition to solid unit growth as a result of strong dealer order backlog. Segment Adjusted EBITDA was $117.8 million, up 47.0% over the prior year period. Adjusted EBITDA margin of 14.6% increased 20 basis points over the prior year. Backlog decreased to $1.3 billion, down 13.7% from the prior year and down 29.9% sequentially, as Winnebago Industries successfully replenished dealer inventories in the Towable segment.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Motorhome</w:t>
      </w:r>
    </w:p>
    <w:p>
      <w:pPr>
        <w:spacing w:after="0" w:line="100" w:lineRule="exact"/>
        <w:rPr>
          <w:sz w:val="20"/>
          <w:szCs w:val="20"/>
          <w:color w:val="auto"/>
        </w:rPr>
      </w:pPr>
    </w:p>
    <w:p>
      <w:pPr>
        <w:spacing w:after="0" w:line="383" w:lineRule="auto"/>
        <w:rPr>
          <w:sz w:val="20"/>
          <w:szCs w:val="20"/>
          <w:color w:val="auto"/>
        </w:rPr>
      </w:pPr>
      <w:r>
        <w:rPr>
          <w:rFonts w:ascii="Arial" w:cs="Arial" w:eastAsia="Arial" w:hAnsi="Arial"/>
          <w:sz w:val="16"/>
          <w:szCs w:val="16"/>
          <w:color w:val="auto"/>
        </w:rPr>
        <w:t>Revenues for the Motorhome segment were $516.3 million for the third quarter, up 34.0% from the prior year, driven by pricing increases across the segment and strong unit sales. Segment Adjusted EBITDA was $64.4 million, an increase of 71.9% over the prior year. Adjusted EBITDA margin of 12.5% increased 280 basis points over the prior year driven by price increases and operating leverage, partially offset by increased material and component costs. Backlog increased to $2.3 billion, up 4.8% over the prior year, driven by increased ASP's partially offset by a decrease of 16.3% in units.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Marine</w:t>
      </w:r>
    </w:p>
    <w:p>
      <w:pPr>
        <w:spacing w:after="0" w:line="86" w:lineRule="exact"/>
        <w:rPr>
          <w:sz w:val="20"/>
          <w:szCs w:val="20"/>
          <w:color w:val="auto"/>
        </w:rPr>
      </w:pPr>
    </w:p>
    <w:p>
      <w:pPr>
        <w:ind w:right="140"/>
        <w:spacing w:after="0" w:line="389" w:lineRule="auto"/>
        <w:rPr>
          <w:sz w:val="20"/>
          <w:szCs w:val="20"/>
          <w:color w:val="auto"/>
        </w:rPr>
      </w:pPr>
      <w:r>
        <w:rPr>
          <w:rFonts w:ascii="Arial" w:cs="Arial" w:eastAsia="Arial" w:hAnsi="Arial"/>
          <w:sz w:val="16"/>
          <w:szCs w:val="16"/>
          <w:color w:val="auto"/>
        </w:rPr>
        <w:t>Revenues for the Marine segment were $126.5 million for the third quarter. Segment Adjusted EBITDA was $19.8 million, an increase of $18.2 million over the prior year and Adjusted EBITDA margin was 15.7%. Backlog for the Marine segment was $245.4 million and remains at elevated levels as low dealer inventories persist. The Barletta brand continues to outperform pro-forma expectations and deliver margins accretive to the Winnebago Industries portfolio.</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100" w:lineRule="exact"/>
        <w:rPr>
          <w:sz w:val="20"/>
          <w:szCs w:val="20"/>
          <w:color w:val="auto"/>
        </w:rPr>
      </w:pPr>
    </w:p>
    <w:p>
      <w:pPr>
        <w:ind w:right="160"/>
        <w:spacing w:after="0" w:line="389" w:lineRule="auto"/>
        <w:rPr>
          <w:sz w:val="20"/>
          <w:szCs w:val="20"/>
          <w:color w:val="auto"/>
        </w:rPr>
      </w:pPr>
      <w:r>
        <w:rPr>
          <w:rFonts w:ascii="Arial" w:cs="Arial" w:eastAsia="Arial" w:hAnsi="Arial"/>
          <w:sz w:val="16"/>
          <w:szCs w:val="16"/>
          <w:color w:val="auto"/>
        </w:rPr>
        <w:t>As of May 28, 2022, the Company had total outstanding debt of $541.5 million ($600.0 million of debt, net of convertible note discount of $49.1 million, and net of debt issuance costs of $9.4 million) and working capital of $582.7 million. Cash flow from operations was $245.2 million in the first nine months of Fiscal 2022, an increase of $97.3 million compared to $148.0 million in the same period last year.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 and Share Repurchase</w:t>
      </w:r>
    </w:p>
    <w:p>
      <w:pPr>
        <w:spacing w:after="0" w:line="86" w:lineRule="exact"/>
        <w:rPr>
          <w:sz w:val="20"/>
          <w:szCs w:val="20"/>
          <w:color w:val="auto"/>
        </w:rPr>
      </w:pPr>
    </w:p>
    <w:p>
      <w:pPr>
        <w:ind w:right="80"/>
        <w:spacing w:after="0" w:line="379" w:lineRule="auto"/>
        <w:rPr>
          <w:sz w:val="20"/>
          <w:szCs w:val="20"/>
          <w:color w:val="auto"/>
        </w:rPr>
      </w:pPr>
      <w:r>
        <w:rPr>
          <w:rFonts w:ascii="Arial" w:cs="Arial" w:eastAsia="Arial" w:hAnsi="Arial"/>
          <w:sz w:val="16"/>
          <w:szCs w:val="16"/>
          <w:color w:val="auto"/>
        </w:rPr>
        <w:t>On May 18, 2022, the Company’s board of directors approved a quarterly cash dividend of $0.18 per share payable on June 29, 2022, to common stockholders of record at the close of business on June 8, 2022. This dividend is in line with the prior quarter dividend of $0.18 per share and represents a 50%, or $0.06 per share, increase from the dividend of $0.12 per share approved in May of 2021. Winnebago Industries executed record share buybacks of $70.0 million during the third quarter. On a fiscal year-to-date basis, share buybacks total $129.6 million and cash returned to shareholders totals $147.7 million.</w:t>
      </w:r>
    </w:p>
    <w:p>
      <w:pPr>
        <w:spacing w:after="0" w:line="208" w:lineRule="exact"/>
        <w:rPr>
          <w:sz w:val="20"/>
          <w:szCs w:val="20"/>
          <w:color w:val="auto"/>
        </w:rPr>
      </w:pPr>
    </w:p>
    <w:p>
      <w:pPr>
        <w:ind w:right="60"/>
        <w:spacing w:after="0" w:line="373" w:lineRule="auto"/>
        <w:rPr>
          <w:sz w:val="20"/>
          <w:szCs w:val="20"/>
          <w:color w:val="auto"/>
        </w:rPr>
      </w:pPr>
      <w:r>
        <w:rPr>
          <w:rFonts w:ascii="Arial" w:cs="Arial" w:eastAsia="Arial" w:hAnsi="Arial"/>
          <w:sz w:val="16"/>
          <w:szCs w:val="16"/>
          <w:color w:val="auto"/>
        </w:rPr>
        <w:t>Mr. Happe continued, “Looking at the broader economic trends, we have been successful in managing supply chain disruptions, improving dealer inventory levels, navigating cost inflation, and driving manufacturing productivity to deliver consistently strong results. We expect supply chain inconsistencies and inflation pressures to continue in the fourth quarter, and into our fiscal 2023, and we are focused on continuing to stay ahead of them by leveraging our resilient operating structure, deep and collaborative relationships with our dealers and suppliers, and highly-differentiated, premium portfolio of brands. We are confident that the continued execution of our strategy, including a focus on innovation and a differentiated product and overall customer experience, and unwavering commitment to our team and communities positions Winnebago Industries for sustained market share gains and strong profitability across our business.”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935" w:right="35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auto"/>
        </w:rPr>
        <w:t>Conference Call</w:t>
      </w:r>
    </w:p>
    <w:p>
      <w:pPr>
        <w:spacing w:after="0" w:line="100" w:lineRule="exact"/>
        <w:rPr>
          <w:sz w:val="20"/>
          <w:szCs w:val="20"/>
          <w:color w:val="auto"/>
        </w:rPr>
      </w:pPr>
    </w:p>
    <w:p>
      <w:pPr>
        <w:ind w:right="80"/>
        <w:spacing w:after="0" w:line="389" w:lineRule="auto"/>
        <w:rPr>
          <w:sz w:val="20"/>
          <w:szCs w:val="20"/>
          <w:color w:val="auto"/>
        </w:rPr>
      </w:pPr>
      <w:r>
        <w:rPr>
          <w:rFonts w:ascii="Arial" w:cs="Arial" w:eastAsia="Arial" w:hAnsi="Arial"/>
          <w:sz w:val="16"/>
          <w:szCs w:val="16"/>
          <w:color w:val="auto"/>
        </w:rPr>
        <w:t>Winnebago Industries, Inc. will discuss Fiscal 2022 third quarter earnings results during a conference call scheduled for 9:00 a.m. Central Time today. Members of the news media, investors and the general public are invited to access a live broadcast of the conference call via the Investor Relations page of the Company's website at http://investor.wgo.net. The event will be archived and available for replay for the next 90 days.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86" w:lineRule="exact"/>
        <w:rPr>
          <w:sz w:val="20"/>
          <w:szCs w:val="20"/>
          <w:color w:val="auto"/>
        </w:rPr>
      </w:pPr>
    </w:p>
    <w:p>
      <w:pPr>
        <w:spacing w:after="0" w:line="377" w:lineRule="auto"/>
        <w:rPr>
          <w:sz w:val="20"/>
          <w:szCs w:val="20"/>
          <w:color w:val="auto"/>
        </w:rPr>
      </w:pPr>
      <w:r>
        <w:rPr>
          <w:rFonts w:ascii="Arial" w:cs="Arial" w:eastAsia="Arial" w:hAnsi="Arial"/>
          <w:sz w:val="16"/>
          <w:szCs w:val="16"/>
          <w:color w:val="auto"/>
        </w:rPr>
        <w:t xml:space="preserve">Winnebago Industries, Inc. is a leading North American manufacturer of outdoor lifestyle products under the Winnebago, Grand Design, Chris-Craft, Newmar and Barletta brands, which are used primarily in leisure travel and outdoor recreation activities. The Company builds quality motorhomes, travel trailers, fifth-wheel products, pontoons, inboard/outboard and sterndrive powerboats and commercial community outreach vehicles.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Arial" w:cs="Arial" w:eastAsia="Arial" w:hAnsi="Arial"/>
          <w:sz w:val="16"/>
          <w:szCs w:val="16"/>
          <w:color w:val="0000FF"/>
        </w:rPr>
        <w:t>http://investor.wgo.net</w:t>
      </w:r>
      <w:r>
        <w:rPr>
          <w:rFonts w:ascii="Arial" w:cs="Arial" w:eastAsia="Arial" w:hAnsi="Arial"/>
          <w:sz w:val="16"/>
          <w:szCs w:val="16"/>
          <w:color w:val="000000"/>
        </w:rPr>
        <w: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100" w:lineRule="exact"/>
        <w:rPr>
          <w:sz w:val="20"/>
          <w:szCs w:val="20"/>
          <w:color w:val="auto"/>
        </w:rPr>
      </w:pPr>
    </w:p>
    <w:p>
      <w:pPr>
        <w:ind w:right="40"/>
        <w:spacing w:after="0" w:line="37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uncertainty surrounding the COVID-19 pandemic; general economic uncertainty in key markets and a worsening of domestic and global economic conditions or low levels of economic growth; availability of financing for RV and marine dealers; ability to innovate and commercialize new products; ability to manage our inventory to meet demand; competition and new product introductions by competitors; risk related to cyclicality and seasonality of our business; significant increase in repurchase obligations; business or production disruptions; inadequate inventory and distribution channel management; ability to retain relationships with our suppliers; increased material and component costs, including availability and price of fuel and raw materials; ability to integrate mergers and acquisitions; ability to attract and retain qualified personnel and changes in market compensation rates; exposure to warranty claims; ability to protect our information technology systems from data security, cyberattacks, and network disruption risks and the ability to successfully upgrade and evolve our information technology systems; ability to retain brand reputation and related exposure to product liability claims; governmental regulation, including for climate change; impairment of goodwill; and risks related to our Convertible and Senior Secured Notes including our ability to satisfy our obligations under these notes.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Contacts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Steve Stuber, Investor Relations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srstuber@wgo.net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(952) 828-8461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Media: Chad Reece, Corporate Relations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creece@wgo.net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(641) 585-6647</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935" w:right="3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6"/>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tcBorders>
              <w:bottom w:val="single" w:sz="8" w:color="auto"/>
            </w:tcBorders>
          </w:tcPr>
          <w:p>
            <w:pPr>
              <w:spacing w:after="0"/>
              <w:rPr>
                <w:sz w:val="18"/>
                <w:szCs w:val="18"/>
                <w:color w:val="auto"/>
              </w:rPr>
            </w:pPr>
          </w:p>
        </w:tc>
      </w:tr>
      <w:tr>
        <w:trPr>
          <w:trHeight w:val="209"/>
        </w:trPr>
        <w:tc>
          <w:tcPr>
            <w:tcW w:w="4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May 28, 2022</w:t>
            </w: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May 29, 2021</w:t>
            </w:r>
          </w:p>
        </w:tc>
        <w:tc>
          <w:tcPr>
            <w:tcW w:w="880" w:type="dxa"/>
            <w:vAlign w:val="bottom"/>
            <w:tcBorders>
              <w:bottom w:val="single" w:sz="8" w:color="auto"/>
            </w:tcBorders>
          </w:tcPr>
          <w:p>
            <w:pPr>
              <w:spacing w:after="0"/>
              <w:rPr>
                <w:sz w:val="18"/>
                <w:szCs w:val="18"/>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1,458,138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960,737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1,185,174</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81.3 %</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791,125</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272,964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169,612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88,231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63,586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8,016</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0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96,247</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67,176</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176,717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102,436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10,511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10,229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11,658</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154,548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92,300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37,326</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21,005</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117,222</w:t>
            </w: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71,295</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Diluted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Basic</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32,389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33,552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32,855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34,772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378"/>
        </w:trPr>
        <w:tc>
          <w:tcPr>
            <w:tcW w:w="45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10"/>
        </w:trPr>
        <w:tc>
          <w:tcPr>
            <w:tcW w:w="4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May 28, 2022</w:t>
            </w: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May 29, 2021</w:t>
            </w:r>
          </w:p>
        </w:tc>
        <w:tc>
          <w:tcPr>
            <w:tcW w:w="880" w:type="dxa"/>
            <w:vAlign w:val="bottom"/>
            <w:tcBorders>
              <w:bottom w:val="single" w:sz="8" w:color="auto"/>
            </w:tcBorders>
          </w:tcPr>
          <w:p>
            <w:pPr>
              <w:spacing w:after="0"/>
              <w:rPr>
                <w:sz w:val="18"/>
                <w:szCs w:val="18"/>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3,778,609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2,593,754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3,059,656</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81.0 %</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2,130,556</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718,953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463,198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234,896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165,001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24,203</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10,771</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0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259,099</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6.9 %</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175,772</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459,854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287,426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31,078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30,222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24,522</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404,254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257,514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96,227</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59,728</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308,027</w:t>
            </w: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197,786</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Basic</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9.35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32,936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Diluted</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33,559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33,943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80"/>
          </w:cols>
          <w:pgMar w:left="320" w:top="890"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28, 2022</w:t>
            </w:r>
          </w:p>
        </w:tc>
        <w:tc>
          <w:tcPr>
            <w:tcW w:w="220" w:type="dxa"/>
            <w:vAlign w:val="bottom"/>
          </w:tcPr>
          <w:p>
            <w:pPr>
              <w:spacing w:after="0"/>
              <w:rPr>
                <w:sz w:val="18"/>
                <w:szCs w:val="18"/>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28, 2021</w:t>
            </w:r>
          </w:p>
        </w:tc>
      </w:tr>
      <w:tr>
        <w:trPr>
          <w:trHeight w:val="209"/>
        </w:trPr>
        <w:tc>
          <w:tcPr>
            <w:tcW w:w="7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7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238,073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434,563</w:t>
            </w:r>
          </w:p>
        </w:tc>
      </w:tr>
      <w:tr>
        <w:trPr>
          <w:trHeight w:val="215"/>
        </w:trPr>
        <w:tc>
          <w:tcPr>
            <w:tcW w:w="7380" w:type="dxa"/>
            <w:vAlign w:val="bottom"/>
          </w:tcPr>
          <w:p>
            <w:pPr>
              <w:ind w:left="260"/>
              <w:spacing w:after="0"/>
              <w:rPr>
                <w:sz w:val="20"/>
                <w:szCs w:val="20"/>
                <w:color w:val="auto"/>
              </w:rPr>
            </w:pPr>
            <w:r>
              <w:rPr>
                <w:rFonts w:ascii="Arial" w:cs="Arial" w:eastAsia="Arial" w:hAnsi="Arial"/>
                <w:sz w:val="16"/>
                <w:szCs w:val="16"/>
                <w:color w:val="auto"/>
              </w:rPr>
              <w:t>Receivables, net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373,639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253,808</w:t>
            </w:r>
          </w:p>
        </w:tc>
      </w:tr>
      <w:tr>
        <w:trPr>
          <w:trHeight w:val="217"/>
        </w:trPr>
        <w:tc>
          <w:tcPr>
            <w:tcW w:w="7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 net</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486,100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341,473</w:t>
            </w:r>
          </w:p>
        </w:tc>
      </w:tr>
      <w:tr>
        <w:trPr>
          <w:trHeight w:val="215"/>
        </w:trPr>
        <w:tc>
          <w:tcPr>
            <w:tcW w:w="73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29,069</w:t>
            </w:r>
          </w:p>
        </w:tc>
      </w:tr>
      <w:tr>
        <w:trPr>
          <w:trHeight w:val="210"/>
        </w:trPr>
        <w:tc>
          <w:tcPr>
            <w:tcW w:w="7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1,118,618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1,058,913</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256,335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191,427</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484,176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348,058</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477,603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390,407</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28,821</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42,327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28,379</w:t>
            </w:r>
          </w:p>
        </w:tc>
      </w:tr>
      <w:tr>
        <w:trPr>
          <w:trHeight w:val="216"/>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18,570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16,562</w:t>
            </w:r>
          </w:p>
        </w:tc>
      </w:tr>
      <w:tr>
        <w:trPr>
          <w:trHeight w:val="210"/>
        </w:trPr>
        <w:tc>
          <w:tcPr>
            <w:tcW w:w="738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2,427,134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2,062,567</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3"/>
        </w:trPr>
        <w:tc>
          <w:tcPr>
            <w:tcW w:w="7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5"/>
        </w:trPr>
        <w:tc>
          <w:tcPr>
            <w:tcW w:w="738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229,727</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180,030</w:t>
            </w:r>
          </w:p>
        </w:tc>
      </w:tr>
      <w:tr>
        <w:trPr>
          <w:trHeight w:val="217"/>
        </w:trPr>
        <w:tc>
          <w:tcPr>
            <w:tcW w:w="7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Income taxes payable</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8,043</w:t>
            </w:r>
          </w:p>
        </w:tc>
      </w:tr>
      <w:tr>
        <w:trPr>
          <w:trHeight w:val="215"/>
        </w:trPr>
        <w:tc>
          <w:tcPr>
            <w:tcW w:w="73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Accrued expenses</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295,471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219,203</w:t>
            </w:r>
          </w:p>
        </w:tc>
      </w:tr>
      <w:tr>
        <w:trPr>
          <w:trHeight w:val="210"/>
        </w:trPr>
        <w:tc>
          <w:tcPr>
            <w:tcW w:w="7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535,952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407,276</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541,453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528,559</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13,429</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Unrecognized tax benefits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6,346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6,483</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operating lease liabilities</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26,745</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8,550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9,550</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21,302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13,582</w:t>
            </w:r>
          </w:p>
        </w:tc>
      </w:tr>
      <w:tr>
        <w:trPr>
          <w:trHeight w:val="209"/>
        </w:trPr>
        <w:tc>
          <w:tcPr>
            <w:tcW w:w="738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1,163,243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1,005,624</w:t>
            </w:r>
          </w:p>
        </w:tc>
      </w:tr>
      <w:tr>
        <w:trPr>
          <w:trHeight w:val="216"/>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1,263,891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1,056,943</w:t>
            </w:r>
          </w:p>
        </w:tc>
      </w:tr>
      <w:tr>
        <w:trPr>
          <w:trHeight w:val="210"/>
        </w:trPr>
        <w:tc>
          <w:tcPr>
            <w:tcW w:w="7380" w:type="dxa"/>
            <w:vAlign w:val="bottom"/>
          </w:tcPr>
          <w:p>
            <w:pPr>
              <w:ind w:left="140"/>
              <w:spacing w:after="0"/>
              <w:rPr>
                <w:sz w:val="20"/>
                <w:szCs w:val="20"/>
                <w:color w:val="auto"/>
              </w:rPr>
            </w:pPr>
            <w:r>
              <w:rPr>
                <w:rFonts w:ascii="Arial" w:cs="Arial" w:eastAsia="Arial" w:hAnsi="Arial"/>
                <w:sz w:val="16"/>
                <w:szCs w:val="16"/>
                <w:color w:val="auto"/>
              </w:rPr>
              <w:t>Total liabilities and shareholders'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2,427,134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2,062,567</w:t>
            </w:r>
          </w:p>
        </w:tc>
      </w:tr>
      <w:tr>
        <w:trPr>
          <w:trHeight w:val="21"/>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8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28, 2022</w:t>
            </w:r>
          </w:p>
        </w:tc>
        <w:tc>
          <w:tcPr>
            <w:tcW w:w="280" w:type="dxa"/>
            <w:vAlign w:val="bottom"/>
          </w:tcPr>
          <w:p>
            <w:pPr>
              <w:spacing w:after="0"/>
              <w:rPr>
                <w:sz w:val="18"/>
                <w:szCs w:val="18"/>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b w:val="1"/>
                <w:bCs w:val="1"/>
                <w:color w:val="auto"/>
              </w:rPr>
              <w:t>May 29, 2021</w:t>
            </w:r>
          </w:p>
        </w:tc>
      </w:tr>
      <w:tr>
        <w:trPr>
          <w:trHeight w:val="210"/>
        </w:trPr>
        <w:tc>
          <w:tcPr>
            <w:tcW w:w="7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308,027</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197,786</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17,031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13,476</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10,771</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Non-cash interest expense, net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11,225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10,372</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Last in, first-out expense</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2,321</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11,719</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(765)</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Contingent consideration fair value adjustment</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(4,412)</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Receivables, net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(117,391)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(7,384)</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(152,398)</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10,212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1,010</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40,817</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Income taxes and unrecognized tax benefits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(12,771)</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32,449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35,560</w:t>
            </w:r>
          </w:p>
        </w:tc>
      </w:tr>
      <w:tr>
        <w:trPr>
          <w:trHeight w:val="20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245,245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147,954</w:t>
            </w:r>
          </w:p>
        </w:tc>
      </w:tr>
      <w:tr>
        <w:trPr>
          <w:trHeight w:val="250"/>
        </w:trPr>
        <w:tc>
          <w:tcPr>
            <w:tcW w:w="7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(23,596)</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(228,159)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the sale of property, plant, and equipment</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12,450</w:t>
            </w:r>
          </w:p>
        </w:tc>
      </w:tr>
      <w:tr>
        <w:trPr>
          <w:trHeight w:val="215"/>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(291,334)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(11,370)</w:t>
            </w:r>
          </w:p>
        </w:tc>
      </w:tr>
      <w:tr>
        <w:trPr>
          <w:trHeight w:val="250"/>
        </w:trPr>
        <w:tc>
          <w:tcPr>
            <w:tcW w:w="7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Borrowings on long-term debt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3,422,539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2,629,932</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on long-term debt</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(3,422,539)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(2,629,932)</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Payments of cash dividends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(18,052)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(12,136)</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for repurchases of common stock</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(12,109)</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Payments of debt issuance costs</w:t>
            </w:r>
          </w:p>
        </w:tc>
        <w:tc>
          <w:tcPr>
            <w:tcW w:w="28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w:t>
            </w:r>
          </w:p>
        </w:tc>
      </w:tr>
      <w:tr>
        <w:trPr>
          <w:trHeight w:val="21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(150,401)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(23,318)</w:t>
            </w:r>
          </w:p>
        </w:tc>
      </w:tr>
      <w:tr>
        <w:trPr>
          <w:trHeight w:val="250"/>
        </w:trPr>
        <w:tc>
          <w:tcPr>
            <w:tcW w:w="7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Net (decrease)/increase in cash and cash equivalents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(196,490)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113,266</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434,563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292,575</w:t>
            </w:r>
          </w:p>
        </w:tc>
      </w:tr>
      <w:tr>
        <w:trPr>
          <w:trHeight w:val="210"/>
        </w:trPr>
        <w:tc>
          <w:tcPr>
            <w:tcW w:w="738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238,073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405,841</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85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1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5"/>
        </w:trPr>
        <w:tc>
          <w:tcPr>
            <w:tcW w:w="6200" w:type="dxa"/>
            <w:vAlign w:val="bottom"/>
          </w:tcPr>
          <w:p>
            <w:pPr>
              <w:ind w:left="140"/>
              <w:spacing w:after="0"/>
              <w:rPr>
                <w:sz w:val="20"/>
                <w:szCs w:val="20"/>
                <w:color w:val="auto"/>
              </w:rPr>
            </w:pPr>
            <w:r>
              <w:rPr>
                <w:rFonts w:ascii="Arial" w:cs="Arial" w:eastAsia="Arial" w:hAnsi="Arial"/>
                <w:sz w:val="16"/>
                <w:szCs w:val="16"/>
                <w:color w:val="auto"/>
              </w:rPr>
              <w:t>Income taxes paid, net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97,717</w:t>
            </w:r>
          </w:p>
        </w:tc>
        <w:tc>
          <w:tcPr>
            <w:tcW w:w="80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71,090</w:t>
            </w:r>
          </w:p>
        </w:tc>
      </w:tr>
      <w:tr>
        <w:trPr>
          <w:trHeight w:val="217"/>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w:t>
            </w:r>
          </w:p>
        </w:tc>
        <w:tc>
          <w:tcPr>
            <w:tcW w:w="18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14,271</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14,618</w:t>
            </w:r>
          </w:p>
        </w:tc>
      </w:tr>
      <w:tr>
        <w:trPr>
          <w:trHeight w:val="257"/>
        </w:trPr>
        <w:tc>
          <w:tcPr>
            <w:tcW w:w="62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1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5"/>
        </w:trPr>
        <w:tc>
          <w:tcPr>
            <w:tcW w:w="6200" w:type="dxa"/>
            <w:vAlign w:val="bottom"/>
          </w:tcPr>
          <w:p>
            <w:pPr>
              <w:ind w:left="140"/>
              <w:spacing w:after="0"/>
              <w:rPr>
                <w:sz w:val="20"/>
                <w:szCs w:val="20"/>
                <w:color w:val="auto"/>
              </w:rPr>
            </w:pPr>
            <w:r>
              <w:rPr>
                <w:rFonts w:ascii="Arial" w:cs="Arial" w:eastAsia="Arial" w:hAnsi="Arial"/>
                <w:sz w:val="16"/>
                <w:szCs w:val="16"/>
                <w:color w:val="auto"/>
              </w:rPr>
              <w:t>Issuance of common stock for acquisition of business</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22,000</w:t>
            </w:r>
          </w:p>
        </w:tc>
        <w:tc>
          <w:tcPr>
            <w:tcW w:w="80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for settlement of earnout liability</w:t>
            </w:r>
          </w:p>
        </w:tc>
        <w:tc>
          <w:tcPr>
            <w:tcW w:w="18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13,168</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200" w:type="dxa"/>
            <w:vAlign w:val="bottom"/>
          </w:tcPr>
          <w:p>
            <w:pPr>
              <w:ind w:left="140"/>
              <w:spacing w:after="0"/>
              <w:rPr>
                <w:sz w:val="20"/>
                <w:szCs w:val="20"/>
                <w:color w:val="auto"/>
              </w:rPr>
            </w:pPr>
            <w:r>
              <w:rPr>
                <w:rFonts w:ascii="Arial" w:cs="Arial" w:eastAsia="Arial" w:hAnsi="Arial"/>
                <w:sz w:val="16"/>
                <w:szCs w:val="16"/>
                <w:color w:val="auto"/>
              </w:rPr>
              <w:t>Capital expenditures in accounts payable</w:t>
            </w:r>
          </w:p>
        </w:tc>
        <w:tc>
          <w:tcPr>
            <w:tcW w:w="188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4,668</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7"/>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not yet paid</w:t>
            </w:r>
          </w:p>
        </w:tc>
        <w:tc>
          <w:tcPr>
            <w:tcW w:w="18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6,214</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w:t>
            </w:r>
          </w:p>
        </w:tc>
      </w:tr>
      <w:tr>
        <w:trPr>
          <w:trHeight w:val="215"/>
        </w:trPr>
        <w:tc>
          <w:tcPr>
            <w:tcW w:w="6200" w:type="dxa"/>
            <w:vAlign w:val="bottom"/>
          </w:tcPr>
          <w:p>
            <w:pPr>
              <w:ind w:left="140"/>
              <w:spacing w:after="0"/>
              <w:rPr>
                <w:sz w:val="20"/>
                <w:szCs w:val="20"/>
                <w:color w:val="auto"/>
              </w:rPr>
            </w:pPr>
            <w:r>
              <w:rPr>
                <w:rFonts w:ascii="Arial" w:cs="Arial" w:eastAsia="Arial" w:hAnsi="Arial"/>
                <w:sz w:val="16"/>
                <w:szCs w:val="16"/>
                <w:color w:val="auto"/>
              </w:rPr>
              <w:t>Increase (decrease) in lease assets in exchange for lease liabilities:</w:t>
            </w:r>
          </w:p>
        </w:tc>
        <w:tc>
          <w:tcPr>
            <w:tcW w:w="1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18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17,236</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w:t>
            </w:r>
          </w:p>
        </w:tc>
      </w:tr>
      <w:tr>
        <w:trPr>
          <w:trHeight w:val="215"/>
        </w:trPr>
        <w:tc>
          <w:tcPr>
            <w:tcW w:w="6200" w:type="dxa"/>
            <w:vAlign w:val="bottom"/>
          </w:tcPr>
          <w:p>
            <w:pPr>
              <w:ind w:left="140"/>
              <w:spacing w:after="0"/>
              <w:rPr>
                <w:sz w:val="20"/>
                <w:szCs w:val="20"/>
                <w:color w:val="auto"/>
              </w:rPr>
            </w:pPr>
            <w:r>
              <w:rPr>
                <w:rFonts w:ascii="Arial" w:cs="Arial" w:eastAsia="Arial" w:hAnsi="Arial"/>
                <w:sz w:val="16"/>
                <w:szCs w:val="16"/>
                <w:color w:val="auto"/>
              </w:rPr>
              <w:t>Finance leases</w:t>
            </w:r>
          </w:p>
        </w:tc>
        <w:tc>
          <w:tcPr>
            <w:tcW w:w="188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2,528</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9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 Towable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unit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center"/>
              <w:ind w:right="10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9"/>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220" w:type="dxa"/>
            <w:vAlign w:val="bottom"/>
          </w:tcPr>
          <w:p>
            <w:pPr>
              <w:spacing w:after="0"/>
              <w:rPr>
                <w:sz w:val="18"/>
                <w:szCs w:val="18"/>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805,567</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555,749</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249,818</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45.0 %</w:t>
            </w: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117,767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14.6 %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80,130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14.4 %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37,637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47.0 %</w:t>
            </w:r>
          </w:p>
        </w:tc>
      </w:tr>
      <w:tr>
        <w:trPr>
          <w:trHeight w:val="379"/>
        </w:trPr>
        <w:tc>
          <w:tcPr>
            <w:tcW w:w="2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center"/>
              <w:ind w:right="10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220" w:type="dxa"/>
            <w:vAlign w:val="bottom"/>
          </w:tcPr>
          <w:p>
            <w:pPr>
              <w:spacing w:after="0"/>
              <w:rPr>
                <w:sz w:val="18"/>
                <w:szCs w:val="18"/>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220" w:type="dxa"/>
            <w:vAlign w:val="bottom"/>
          </w:tcPr>
          <w:p>
            <w:pPr>
              <w:spacing w:after="0"/>
              <w:rPr>
                <w:sz w:val="18"/>
                <w:szCs w:val="18"/>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Unit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12,031</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68.1 %</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11,089</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8.5 %</w:t>
            </w: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5,644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31.9 %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5,620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33.6 %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0.4 %</w:t>
            </w:r>
          </w:p>
        </w:tc>
      </w:tr>
      <w:tr>
        <w:trPr>
          <w:trHeight w:val="235"/>
        </w:trPr>
        <w:tc>
          <w:tcPr>
            <w:tcW w:w="2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5.8 %</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2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center"/>
              <w:ind w:right="100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09"/>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220" w:type="dxa"/>
            <w:vAlign w:val="bottom"/>
          </w:tcPr>
          <w:p>
            <w:pPr>
              <w:spacing w:after="0"/>
              <w:rPr>
                <w:sz w:val="18"/>
                <w:szCs w:val="18"/>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2,103,192</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1,449,934</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653,258</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45.1 %</w:t>
            </w: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330,417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15.7 %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205,639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14.2 %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124,778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60.7 %</w:t>
            </w:r>
          </w:p>
        </w:tc>
      </w:tr>
      <w:tr>
        <w:trPr>
          <w:trHeight w:val="379"/>
        </w:trPr>
        <w:tc>
          <w:tcPr>
            <w:tcW w:w="2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center"/>
              <w:ind w:right="100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09"/>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220" w:type="dxa"/>
            <w:vAlign w:val="bottom"/>
          </w:tcPr>
          <w:p>
            <w:pPr>
              <w:spacing w:after="0"/>
              <w:rPr>
                <w:sz w:val="18"/>
                <w:szCs w:val="18"/>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220" w:type="dxa"/>
            <w:vAlign w:val="bottom"/>
          </w:tcPr>
          <w:p>
            <w:pPr>
              <w:spacing w:after="0"/>
              <w:rPr>
                <w:sz w:val="18"/>
                <w:szCs w:val="18"/>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Unit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33,938</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68.7 %</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29,125</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4,813</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16.5 %</w:t>
            </w: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15,462</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31.3 %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15,306</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34.4 %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35"/>
        </w:trPr>
        <w:tc>
          <w:tcPr>
            <w:tcW w:w="2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11.2 %</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(2)</w:t>
            </w: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5"/>
        </w:trPr>
        <w:tc>
          <w:tcPr>
            <w:tcW w:w="2480" w:type="dxa"/>
            <w:vAlign w:val="bottom"/>
          </w:tcPr>
          <w:p>
            <w:pPr>
              <w:ind w:left="140"/>
              <w:spacing w:after="0"/>
              <w:rPr>
                <w:sz w:val="20"/>
                <w:szCs w:val="20"/>
                <w:color w:val="auto"/>
              </w:rPr>
            </w:pPr>
            <w:r>
              <w:rPr>
                <w:rFonts w:ascii="Arial" w:cs="Arial" w:eastAsia="Arial" w:hAnsi="Arial"/>
                <w:sz w:val="16"/>
                <w:szCs w:val="16"/>
                <w:color w:val="auto"/>
              </w:rPr>
              <w:t>Units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31,606</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46,646</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(15,040)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(32.2)%</w:t>
            </w:r>
          </w:p>
        </w:tc>
      </w:tr>
      <w:tr>
        <w:trPr>
          <w:trHeight w:val="217"/>
        </w:trPr>
        <w:tc>
          <w:tcPr>
            <w:tcW w:w="2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1,312,878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1,522,069</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(209,191)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25,230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116.6 %</w:t>
            </w:r>
          </w:p>
        </w:tc>
      </w:tr>
    </w:tbl>
    <w:p>
      <w:pPr>
        <w:spacing w:after="0" w:line="126" w:lineRule="exact"/>
        <w:rPr>
          <w:sz w:val="20"/>
          <w:szCs w:val="20"/>
          <w:color w:val="auto"/>
        </w:rPr>
      </w:pPr>
    </w:p>
    <w:p>
      <w:pPr>
        <w:ind w:left="280" w:hanging="272"/>
        <w:spacing w:after="0"/>
        <w:tabs>
          <w:tab w:leader="none" w:pos="280" w:val="left"/>
        </w:tabs>
        <w:numPr>
          <w:ilvl w:val="0"/>
          <w:numId w:val="2"/>
        </w:numPr>
        <w:rPr>
          <w:rFonts w:ascii="Arial" w:cs="Arial" w:eastAsia="Arial" w:hAnsi="Arial"/>
          <w:sz w:val="9"/>
          <w:szCs w:val="9"/>
          <w:color w:val="auto"/>
        </w:rPr>
      </w:pPr>
      <w:r>
        <w:rPr>
          <w:rFonts w:ascii="Arial" w:cs="Arial" w:eastAsia="Arial" w:hAnsi="Arial"/>
          <w:sz w:val="14"/>
          <w:szCs w:val="14"/>
          <w:color w:val="auto"/>
        </w:rPr>
        <w:t>Percentages may not add due to rounding differences.</w:t>
      </w:r>
    </w:p>
    <w:p>
      <w:pPr>
        <w:spacing w:after="0" w:line="68" w:lineRule="exact"/>
        <w:rPr>
          <w:rFonts w:ascii="Arial" w:cs="Arial" w:eastAsia="Arial" w:hAnsi="Arial"/>
          <w:sz w:val="9"/>
          <w:szCs w:val="9"/>
          <w:color w:val="auto"/>
        </w:rPr>
      </w:pPr>
    </w:p>
    <w:p>
      <w:pPr>
        <w:ind w:left="260" w:right="200" w:hanging="252"/>
        <w:spacing w:after="0" w:line="305" w:lineRule="auto"/>
        <w:tabs>
          <w:tab w:leader="none" w:pos="291" w:val="left"/>
        </w:tabs>
        <w:numPr>
          <w:ilvl w:val="0"/>
          <w:numId w:val="2"/>
        </w:numPr>
        <w:rPr>
          <w:rFonts w:ascii="Arial" w:cs="Arial" w:eastAsia="Arial" w:hAnsi="Arial"/>
          <w:sz w:val="9"/>
          <w:szCs w:val="9"/>
          <w:color w:val="auto"/>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5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 Motorhome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unit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center"/>
              <w:ind w:right="10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220" w:type="dxa"/>
            <w:vAlign w:val="bottom"/>
          </w:tcPr>
          <w:p>
            <w:pPr>
              <w:spacing w:after="0"/>
              <w:rPr>
                <w:sz w:val="18"/>
                <w:szCs w:val="18"/>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29, 2021</w:t>
            </w: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516,345</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385,257</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131,088</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34.0 %</w:t>
            </w: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64,388</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12.5 %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37,467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9.7 %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26,921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71.9 %</w:t>
            </w:r>
          </w:p>
        </w:tc>
      </w:tr>
      <w:tr>
        <w:trPr>
          <w:trHeight w:val="379"/>
        </w:trPr>
        <w:tc>
          <w:tcPr>
            <w:tcW w:w="2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center"/>
              <w:ind w:right="10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09"/>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220" w:type="dxa"/>
            <w:vAlign w:val="bottom"/>
          </w:tcPr>
          <w:p>
            <w:pPr>
              <w:spacing w:after="0"/>
              <w:rPr>
                <w:sz w:val="18"/>
                <w:szCs w:val="18"/>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220" w:type="dxa"/>
            <w:vAlign w:val="bottom"/>
          </w:tcPr>
          <w:p>
            <w:pPr>
              <w:spacing w:after="0"/>
              <w:rPr>
                <w:sz w:val="18"/>
                <w:szCs w:val="18"/>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29, 2021</w:t>
            </w: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1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9"/>
              </w:rPr>
              <w:t>Unit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Class B</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1,801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56.3 %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1,384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50.8 %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30.1 %</w:t>
            </w:r>
          </w:p>
        </w:tc>
      </w:tr>
      <w:tr>
        <w:trPr>
          <w:trHeight w:val="217"/>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22.7 %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21.7 %</w:t>
            </w:r>
          </w:p>
        </w:tc>
      </w:tr>
      <w:tr>
        <w:trPr>
          <w:trHeight w:val="209"/>
        </w:trPr>
        <w:tc>
          <w:tcPr>
            <w:tcW w:w="250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2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3,201</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2,727</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17.4 %</w:t>
            </w:r>
          </w:p>
        </w:tc>
      </w:tr>
      <w:tr>
        <w:trPr>
          <w:trHeight w:val="21"/>
        </w:trPr>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44"/>
        </w:trPr>
        <w:tc>
          <w:tcPr>
            <w:tcW w:w="2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center"/>
              <w:ind w:right="100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0"/>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220" w:type="dxa"/>
            <w:vAlign w:val="bottom"/>
          </w:tcPr>
          <w:p>
            <w:pPr>
              <w:spacing w:after="0"/>
              <w:rPr>
                <w:sz w:val="18"/>
                <w:szCs w:val="18"/>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29, 2021</w:t>
            </w: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1,355,389</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1,090,221</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265,168</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24.3 %</w:t>
            </w: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160,636</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118,779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41,857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35.2 %</w:t>
            </w:r>
          </w:p>
        </w:tc>
      </w:tr>
      <w:tr>
        <w:trPr>
          <w:trHeight w:val="379"/>
        </w:trPr>
        <w:tc>
          <w:tcPr>
            <w:tcW w:w="2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center"/>
              <w:ind w:right="100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09"/>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220" w:type="dxa"/>
            <w:vAlign w:val="bottom"/>
          </w:tcPr>
          <w:p>
            <w:pPr>
              <w:spacing w:after="0"/>
              <w:rPr>
                <w:sz w:val="18"/>
                <w:szCs w:val="18"/>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220" w:type="dxa"/>
            <w:vAlign w:val="bottom"/>
          </w:tcPr>
          <w:p>
            <w:pPr>
              <w:spacing w:after="0"/>
              <w:rPr>
                <w:sz w:val="18"/>
                <w:szCs w:val="18"/>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29, 2021</w:t>
            </w: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1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9"/>
              </w:rPr>
              <w:t>Unit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2,047</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Class B</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4,889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55.8 %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3,901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49.1 %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25.3 %</w:t>
            </w:r>
          </w:p>
        </w:tc>
      </w:tr>
      <w:tr>
        <w:trPr>
          <w:trHeight w:val="217"/>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21.4 %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25.1 %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9"/>
        </w:trPr>
        <w:tc>
          <w:tcPr>
            <w:tcW w:w="250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2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8,767</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7,942</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10.4 %</w:t>
            </w:r>
          </w:p>
        </w:tc>
      </w:tr>
      <w:tr>
        <w:trPr>
          <w:trHeight w:val="21"/>
        </w:trPr>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44"/>
        </w:trPr>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29, 2021</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(2)</w:t>
            </w: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5"/>
        </w:trPr>
        <w:tc>
          <w:tcPr>
            <w:tcW w:w="2500" w:type="dxa"/>
            <w:vAlign w:val="bottom"/>
          </w:tcPr>
          <w:p>
            <w:pPr>
              <w:ind w:left="140"/>
              <w:spacing w:after="0"/>
              <w:rPr>
                <w:sz w:val="20"/>
                <w:szCs w:val="20"/>
                <w:color w:val="auto"/>
              </w:rPr>
            </w:pPr>
            <w:r>
              <w:rPr>
                <w:rFonts w:ascii="Arial" w:cs="Arial" w:eastAsia="Arial" w:hAnsi="Arial"/>
                <w:sz w:val="16"/>
                <w:szCs w:val="16"/>
                <w:color w:val="auto"/>
              </w:rPr>
              <w:t>Units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15,180</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18,145</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(2,965)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7"/>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2,285,236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2,180,149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105,087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r>
      <w:tr>
        <w:trPr>
          <w:trHeight w:val="216"/>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23.8 %</w:t>
            </w:r>
          </w:p>
        </w:tc>
      </w:tr>
    </w:tbl>
    <w:p>
      <w:pPr>
        <w:spacing w:after="0" w:line="126" w:lineRule="exact"/>
        <w:rPr>
          <w:sz w:val="20"/>
          <w:szCs w:val="20"/>
          <w:color w:val="auto"/>
        </w:rPr>
      </w:pPr>
    </w:p>
    <w:p>
      <w:pPr>
        <w:ind w:left="280" w:hanging="272"/>
        <w:spacing w:after="0"/>
        <w:tabs>
          <w:tab w:leader="none" w:pos="280" w:val="left"/>
        </w:tabs>
        <w:numPr>
          <w:ilvl w:val="0"/>
          <w:numId w:val="3"/>
        </w:numPr>
        <w:rPr>
          <w:rFonts w:ascii="Arial" w:cs="Arial" w:eastAsia="Arial" w:hAnsi="Arial"/>
          <w:sz w:val="9"/>
          <w:szCs w:val="9"/>
          <w:color w:val="auto"/>
        </w:rPr>
      </w:pPr>
      <w:r>
        <w:rPr>
          <w:rFonts w:ascii="Arial" w:cs="Arial" w:eastAsia="Arial" w:hAnsi="Arial"/>
          <w:sz w:val="14"/>
          <w:szCs w:val="14"/>
          <w:color w:val="auto"/>
        </w:rPr>
        <w:t>Percentages may not add due to rounding differences.</w:t>
      </w:r>
    </w:p>
    <w:p>
      <w:pPr>
        <w:spacing w:after="0" w:line="68" w:lineRule="exact"/>
        <w:rPr>
          <w:rFonts w:ascii="Arial" w:cs="Arial" w:eastAsia="Arial" w:hAnsi="Arial"/>
          <w:sz w:val="9"/>
          <w:szCs w:val="9"/>
          <w:color w:val="auto"/>
        </w:rPr>
      </w:pPr>
    </w:p>
    <w:p>
      <w:pPr>
        <w:ind w:left="260" w:right="260" w:hanging="252"/>
        <w:spacing w:after="0" w:line="305" w:lineRule="auto"/>
        <w:tabs>
          <w:tab w:leader="none" w:pos="235" w:val="left"/>
        </w:tabs>
        <w:numPr>
          <w:ilvl w:val="0"/>
          <w:numId w:val="3"/>
        </w:numPr>
        <w:rPr>
          <w:rFonts w:ascii="Arial" w:cs="Arial" w:eastAsia="Arial" w:hAnsi="Arial"/>
          <w:sz w:val="9"/>
          <w:szCs w:val="9"/>
          <w:color w:val="auto"/>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147" w:right="339" w:bottom="1440" w:gutter="0" w:footer="0" w:header="0"/>
        </w:sectPr>
      </w:pPr>
    </w:p>
    <w:bookmarkStart w:id="12" w:name="page13"/>
    <w:bookmarkEnd w:id="12"/>
    <w:p>
      <w:pPr>
        <w:ind w:left="436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Supplemental Information by Reportable Segment - Marine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unit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center"/>
              <w:ind w:right="10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Revenues</w:t>
            </w:r>
          </w:p>
        </w:tc>
        <w:tc>
          <w:tcPr>
            <w:tcW w:w="220" w:type="dxa"/>
            <w:vAlign w:val="bottom"/>
          </w:tcPr>
          <w:p>
            <w:pPr>
              <w:spacing w:after="0"/>
              <w:rPr>
                <w:sz w:val="18"/>
                <w:szCs w:val="18"/>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29, 2021</w:t>
            </w:r>
          </w:p>
        </w:tc>
        <w:tc>
          <w:tcPr>
            <w:tcW w:w="1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126,548</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17,170</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109,378</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637.0 %</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19,813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15.7 %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1,624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9.5 %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18,189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1,120.0 %</w:t>
            </w:r>
          </w:p>
        </w:tc>
        <w:tc>
          <w:tcPr>
            <w:tcW w:w="0" w:type="dxa"/>
            <w:vAlign w:val="bottom"/>
          </w:tcPr>
          <w:p>
            <w:pPr>
              <w:spacing w:after="0"/>
              <w:rPr>
                <w:sz w:val="1"/>
                <w:szCs w:val="1"/>
                <w:color w:val="auto"/>
              </w:rPr>
            </w:pPr>
          </w:p>
        </w:tc>
      </w:tr>
      <w:tr>
        <w:trPr>
          <w:trHeight w:val="379"/>
        </w:trPr>
        <w:tc>
          <w:tcPr>
            <w:tcW w:w="2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center"/>
              <w:ind w:right="10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220" w:type="dxa"/>
            <w:vAlign w:val="bottom"/>
          </w:tcPr>
          <w:p>
            <w:pPr>
              <w:spacing w:after="0"/>
              <w:rPr>
                <w:sz w:val="18"/>
                <w:szCs w:val="18"/>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29, 2021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Unit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34"/>
        </w:trPr>
        <w:tc>
          <w:tcPr>
            <w:tcW w:w="2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1,894.0 %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center"/>
              <w:ind w:right="100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Revenues</w:t>
            </w:r>
          </w:p>
        </w:tc>
        <w:tc>
          <w:tcPr>
            <w:tcW w:w="220" w:type="dxa"/>
            <w:vAlign w:val="bottom"/>
          </w:tcPr>
          <w:p>
            <w:pPr>
              <w:spacing w:after="0"/>
              <w:rPr>
                <w:sz w:val="18"/>
                <w:szCs w:val="18"/>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29, 2021</w:t>
            </w:r>
          </w:p>
        </w:tc>
        <w:tc>
          <w:tcPr>
            <w:tcW w:w="1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303,175</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43,527</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259,648</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596.5 %</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43,336</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14.3 %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3,502</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39,834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1,137.5 %</w:t>
            </w:r>
          </w:p>
        </w:tc>
        <w:tc>
          <w:tcPr>
            <w:tcW w:w="0" w:type="dxa"/>
            <w:vAlign w:val="bottom"/>
          </w:tcPr>
          <w:p>
            <w:pPr>
              <w:spacing w:after="0"/>
              <w:rPr>
                <w:sz w:val="1"/>
                <w:szCs w:val="1"/>
                <w:color w:val="auto"/>
              </w:rPr>
            </w:pPr>
          </w:p>
        </w:tc>
      </w:tr>
      <w:tr>
        <w:trPr>
          <w:trHeight w:val="163"/>
        </w:trPr>
        <w:tc>
          <w:tcPr>
            <w:tcW w:w="2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29, 2021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Unit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34"/>
        </w:trPr>
        <w:tc>
          <w:tcPr>
            <w:tcW w:w="2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1,830.5 %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May 29, 2021</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(1)</w:t>
            </w: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80" w:type="dxa"/>
            <w:vAlign w:val="bottom"/>
          </w:tcPr>
          <w:p>
            <w:pPr>
              <w:ind w:left="140"/>
              <w:spacing w:after="0"/>
              <w:rPr>
                <w:sz w:val="20"/>
                <w:szCs w:val="20"/>
                <w:color w:val="auto"/>
              </w:rPr>
            </w:pPr>
            <w:r>
              <w:rPr>
                <w:rFonts w:ascii="Arial" w:cs="Arial" w:eastAsia="Arial" w:hAnsi="Arial"/>
                <w:sz w:val="16"/>
                <w:szCs w:val="16"/>
                <w:color w:val="auto"/>
              </w:rPr>
              <w:t>Units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2,491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1,999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406.3 %</w:t>
            </w:r>
          </w:p>
        </w:tc>
        <w:tc>
          <w:tcPr>
            <w:tcW w:w="0" w:type="dxa"/>
            <w:vAlign w:val="bottom"/>
          </w:tcPr>
          <w:p>
            <w:pPr>
              <w:spacing w:after="0"/>
              <w:rPr>
                <w:sz w:val="1"/>
                <w:szCs w:val="1"/>
                <w:color w:val="auto"/>
              </w:rPr>
            </w:pPr>
          </w:p>
        </w:tc>
      </w:tr>
      <w:tr>
        <w:trPr>
          <w:trHeight w:val="217"/>
        </w:trPr>
        <w:tc>
          <w:tcPr>
            <w:tcW w:w="2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245,416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110,472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134,944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122.2 %</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1,369.5 %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60" w:right="260" w:hanging="252"/>
        <w:spacing w:after="0" w:line="305" w:lineRule="auto"/>
        <w:tabs>
          <w:tab w:leader="none" w:pos="235" w:val="left"/>
        </w:tabs>
        <w:numPr>
          <w:ilvl w:val="0"/>
          <w:numId w:val="4"/>
        </w:numPr>
        <w:rPr>
          <w:rFonts w:ascii="Arial" w:cs="Arial" w:eastAsia="Arial" w:hAnsi="Arial"/>
          <w:sz w:val="9"/>
          <w:szCs w:val="9"/>
          <w:color w:val="auto"/>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904" w:right="339" w:bottom="1440" w:gutter="0" w:footer="0" w:header="0"/>
        </w:sectPr>
      </w:pPr>
    </w:p>
    <w:bookmarkStart w:id="13" w:name="page14"/>
    <w:bookmarkEnd w:id="13"/>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Non-GAAP Reconciliation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46"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earnings per share to Adjusted diluted earnings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318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May 28, 2022</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29, 2021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May 28, 2022</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29, 2021</w:t>
            </w:r>
          </w:p>
        </w:tc>
      </w:tr>
      <w:tr>
        <w:trPr>
          <w:trHeight w:val="209"/>
        </w:trPr>
        <w:tc>
          <w:tcPr>
            <w:tcW w:w="4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w:t>
            </w: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9"/>
                <w:szCs w:val="9"/>
                <w:color w:val="auto"/>
              </w:rPr>
              <w:t>(1)</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property, plant and equipment</w:t>
            </w:r>
            <w:r>
              <w:rPr>
                <w:rFonts w:ascii="Arial" w:cs="Arial" w:eastAsia="Arial" w:hAnsi="Arial"/>
                <w:sz w:val="9"/>
                <w:szCs w:val="9"/>
                <w:color w:val="auto"/>
              </w:rPr>
              <w:t>(1)</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Litigation reserves</w:t>
            </w:r>
            <w:r>
              <w:rPr>
                <w:rFonts w:ascii="Arial" w:cs="Arial" w:eastAsia="Arial" w:hAnsi="Arial"/>
                <w:sz w:val="9"/>
                <w:szCs w:val="9"/>
                <w:color w:val="auto"/>
              </w:rPr>
              <w:t>(1)</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r>
              <w:rPr>
                <w:rFonts w:ascii="Arial" w:cs="Arial" w:eastAsia="Arial" w:hAnsi="Arial"/>
                <w:sz w:val="9"/>
                <w:szCs w:val="9"/>
                <w:color w:val="auto"/>
              </w:rPr>
              <w:t>(1)</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Non-cash interest expense</w:t>
            </w:r>
            <w:r>
              <w:rPr>
                <w:rFonts w:ascii="Arial" w:cs="Arial" w:eastAsia="Arial" w:hAnsi="Arial"/>
                <w:sz w:val="9"/>
                <w:szCs w:val="9"/>
                <w:color w:val="auto"/>
              </w:rPr>
              <w:t>(1,2)</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0.31</w:t>
            </w:r>
          </w:p>
        </w:tc>
      </w:tr>
      <w:tr>
        <w:trPr>
          <w:trHeight w:val="21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r>
              <w:rPr>
                <w:rFonts w:ascii="Arial" w:cs="Arial" w:eastAsia="Arial" w:hAnsi="Arial"/>
                <w:sz w:val="9"/>
                <w:szCs w:val="9"/>
                <w:color w:val="auto"/>
              </w:rPr>
              <w:t>(1)</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9"/>
                <w:szCs w:val="9"/>
                <w:color w:val="auto"/>
              </w:rPr>
              <w:t>(3)</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(0.10)</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convertible share dilution</w:t>
            </w:r>
            <w:r>
              <w:rPr>
                <w:rFonts w:ascii="Arial" w:cs="Arial" w:eastAsia="Arial" w:hAnsi="Arial"/>
                <w:sz w:val="9"/>
                <w:szCs w:val="9"/>
                <w:color w:val="auto"/>
              </w:rPr>
              <w:t>(4)</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10"/>
        </w:trPr>
        <w:tc>
          <w:tcPr>
            <w:tcW w:w="4380" w:type="dxa"/>
            <w:vAlign w:val="bottom"/>
          </w:tcPr>
          <w:p>
            <w:pPr>
              <w:ind w:left="140"/>
              <w:spacing w:after="0"/>
              <w:rPr>
                <w:sz w:val="20"/>
                <w:szCs w:val="20"/>
                <w:color w:val="auto"/>
              </w:rPr>
            </w:pPr>
            <w:r>
              <w:rPr>
                <w:rFonts w:ascii="Arial" w:cs="Arial" w:eastAsia="Arial" w:hAnsi="Arial"/>
                <w:sz w:val="16"/>
                <w:szCs w:val="16"/>
                <w:color w:val="auto"/>
              </w:rPr>
              <w:t>Adjusted diluted earnings per share</w:t>
            </w:r>
            <w:r>
              <w:rPr>
                <w:rFonts w:ascii="Arial" w:cs="Arial" w:eastAsia="Arial" w:hAnsi="Arial"/>
                <w:sz w:val="9"/>
                <w:szCs w:val="9"/>
                <w:color w:val="auto"/>
              </w:rPr>
              <w:t>(5)</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6.22</w:t>
            </w:r>
          </w:p>
        </w:tc>
      </w:tr>
      <w:tr>
        <w:trPr>
          <w:trHeight w:val="21"/>
        </w:trPr>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5"/>
        </w:numPr>
        <w:rPr>
          <w:rFonts w:ascii="Arial" w:cs="Arial" w:eastAsia="Arial" w:hAnsi="Arial"/>
          <w:sz w:val="9"/>
          <w:szCs w:val="9"/>
          <w:color w:val="auto"/>
        </w:rPr>
      </w:pPr>
      <w:r>
        <w:rPr>
          <w:rFonts w:ascii="Arial" w:cs="Arial" w:eastAsia="Arial" w:hAnsi="Arial"/>
          <w:sz w:val="14"/>
          <w:szCs w:val="14"/>
          <w:color w:val="auto"/>
        </w:rPr>
        <w:t>Represents a pre-tax adjustment.</w:t>
      </w:r>
    </w:p>
    <w:p>
      <w:pPr>
        <w:spacing w:after="0" w:line="28" w:lineRule="exact"/>
        <w:rPr>
          <w:rFonts w:ascii="Arial" w:cs="Arial" w:eastAsia="Arial" w:hAnsi="Arial"/>
          <w:sz w:val="9"/>
          <w:szCs w:val="9"/>
          <w:color w:val="auto"/>
        </w:rPr>
      </w:pPr>
    </w:p>
    <w:p>
      <w:pPr>
        <w:ind w:left="220" w:hanging="212"/>
        <w:spacing w:after="0"/>
        <w:tabs>
          <w:tab w:leader="none" w:pos="220" w:val="left"/>
        </w:tabs>
        <w:numPr>
          <w:ilvl w:val="0"/>
          <w:numId w:val="5"/>
        </w:numPr>
        <w:rPr>
          <w:rFonts w:ascii="Arial" w:cs="Arial" w:eastAsia="Arial" w:hAnsi="Arial"/>
          <w:sz w:val="9"/>
          <w:szCs w:val="9"/>
          <w:color w:val="auto"/>
        </w:rPr>
      </w:pPr>
      <w:r>
        <w:rPr>
          <w:rFonts w:ascii="Arial" w:cs="Arial" w:eastAsia="Arial" w:hAnsi="Arial"/>
          <w:sz w:val="14"/>
          <w:szCs w:val="14"/>
          <w:color w:val="auto"/>
        </w:rPr>
        <w:t>Non-cash interest expense associated with the convertible notes issued as part of our acquisition of Newmar.</w:t>
      </w:r>
    </w:p>
    <w:p>
      <w:pPr>
        <w:spacing w:after="0" w:line="14" w:lineRule="exact"/>
        <w:rPr>
          <w:rFonts w:ascii="Arial" w:cs="Arial" w:eastAsia="Arial" w:hAnsi="Arial"/>
          <w:sz w:val="9"/>
          <w:szCs w:val="9"/>
          <w:color w:val="auto"/>
        </w:rPr>
      </w:pPr>
    </w:p>
    <w:p>
      <w:pPr>
        <w:ind w:left="220" w:hanging="212"/>
        <w:spacing w:after="0" w:line="192" w:lineRule="auto"/>
        <w:tabs>
          <w:tab w:leader="none" w:pos="2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Income tax charge calculated using the statutory tax rate for the U.S. of 24.2% and 21.0% for Fiscal 2022 and Fiscal 2021, respectively.</w:t>
      </w:r>
    </w:p>
    <w:p>
      <w:pPr>
        <w:ind w:left="220" w:hanging="212"/>
        <w:spacing w:after="0" w:line="192" w:lineRule="auto"/>
        <w:tabs>
          <w:tab w:leader="none" w:pos="2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Represents the dilution of convertible notes which is economically offset by a call/spread overlay that was put in place upon issuance.</w:t>
      </w:r>
    </w:p>
    <w:p>
      <w:pPr>
        <w:ind w:left="220" w:hanging="212"/>
        <w:spacing w:after="0" w:line="193" w:lineRule="auto"/>
        <w:tabs>
          <w:tab w:leader="none" w:pos="2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Per share numbers may not foot due to rounding.</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5"/>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318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4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May 28, 2022</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May 28, 2022</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29, 2021</w:t>
            </w:r>
          </w:p>
        </w:tc>
      </w:tr>
      <w:tr>
        <w:trPr>
          <w:trHeight w:val="210"/>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117,222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71,295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308,027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197,786</w:t>
            </w: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10,511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10,229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31,078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30,222</w:t>
            </w: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59,728</w:t>
            </w: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6,264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17,031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13,476</w:t>
            </w: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10,771</w:t>
            </w:r>
          </w:p>
        </w:tc>
      </w:tr>
      <w:tr>
        <w:trPr>
          <w:trHeight w:val="209"/>
        </w:trPr>
        <w:tc>
          <w:tcPr>
            <w:tcW w:w="4320" w:type="dxa"/>
            <w:vAlign w:val="bottom"/>
          </w:tcPr>
          <w:p>
            <w:pPr>
              <w:ind w:left="140"/>
              <w:spacing w:after="0"/>
              <w:rPr>
                <w:sz w:val="20"/>
                <w:szCs w:val="20"/>
                <w:color w:val="auto"/>
              </w:rPr>
            </w:pPr>
            <w:r>
              <w:rPr>
                <w:rFonts w:ascii="Arial" w:cs="Arial" w:eastAsia="Arial" w:hAnsi="Arial"/>
                <w:sz w:val="16"/>
                <w:szCs w:val="16"/>
                <w:color w:val="auto"/>
              </w:rPr>
              <w:t>EBITDA</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179,339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111,036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476,566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311,983</w:t>
            </w: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Litigation reserves</w:t>
            </w: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Gain on sale of property, plant and equipment</w:t>
            </w: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(4,753)</w:t>
            </w: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r>
      <w:tr>
        <w:trPr>
          <w:trHeight w:val="235"/>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191,721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109,774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509,682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307,032</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auto"/>
        </w:rPr>
        <w:t>Non-GAAP performance measures of Adjusted diluted earnings per share, EBITDA and Adjusted EBITDA have been provided as comparable measures to illustrate the effect of non-recurring transactions occurring during the reported periods and to improve comparability of our results from period to period. Adjusted diluted earnings per share is defined as diluted earnings per share adjusted for after-tax items that impact the comparability of our results from period to period. EBITDA is defined as net income before interest expense, provision for income taxes, and depreciation and amortization expense. Adjusted EBITDA is defined as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890" w:right="339" w:bottom="1440" w:gutter="0" w:footer="0" w:header="0"/>
        </w:sectPr>
      </w:pPr>
    </w:p>
    <w:bookmarkStart w:id="14" w:name="page15"/>
    <w:bookmarkEnd w:id="14"/>
    <w:p>
      <w:pPr>
        <w:spacing w:after="0" w:line="302" w:lineRule="auto"/>
        <w:rPr>
          <w:sz w:val="20"/>
          <w:szCs w:val="20"/>
          <w:color w:val="auto"/>
        </w:rPr>
      </w:pPr>
      <w:r>
        <w:rPr>
          <w:rFonts w:ascii="Arial" w:cs="Arial" w:eastAsia="Arial" w:hAnsi="Arial"/>
          <w:sz w:val="16"/>
          <w:szCs w:val="16"/>
          <w:color w:val="auto"/>
        </w:rPr>
        <w:t>net income before interest expense, provision (benefit) for income taxes, depreciation and amortization expense and other pretax adjustments made in order to present comparable results from period to period. Management believes Adjusted diluted earnings per share and Adjusted EBITDA provide meaningful supplemental information about our operating performance because these measures exclude amounts that we do not consider part of our core operating results when assessing our performance. Examples of items excluded from Adjusted diluted earnings per share include acquisition-related costs, gain on sale of property, plant and equipment, litigation reserves, amortization, non-cash interest expense, contingent consideration fair value adjustment, impact of convertible share dilution and the tax impact of the adjustments. Examples of items excluded from Adjusted EBITDA include acquisition-related costs, litigation reserves, restructuring expenses, gain or loss on sale of property, plant and equipment, contingent consideration fair value adjustment, and non-operating income or loss.</w:t>
      </w:r>
    </w:p>
    <w:p>
      <w:pPr>
        <w:spacing w:after="0" w:line="200" w:lineRule="exact"/>
        <w:rPr>
          <w:sz w:val="20"/>
          <w:szCs w:val="20"/>
          <w:color w:val="auto"/>
        </w:rPr>
      </w:pPr>
    </w:p>
    <w:p>
      <w:pPr>
        <w:ind w:right="280"/>
        <w:spacing w:after="0" w:line="303" w:lineRule="auto"/>
        <w:rPr>
          <w:sz w:val="20"/>
          <w:szCs w:val="20"/>
          <w:color w:val="auto"/>
        </w:rPr>
      </w:pPr>
      <w:r>
        <w:rPr>
          <w:rFonts w:ascii="Arial" w:cs="Arial" w:eastAsia="Arial" w:hAnsi="Arial"/>
          <w:sz w:val="16"/>
          <w:szCs w:val="16"/>
          <w:color w:val="auto"/>
        </w:rPr>
        <w:t>Management uses these non-GAAP financial measures (a) to evaluate historical and prospective financial performance and trends as well as assess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asset-based revolving ("ABL") credit facility and outstanding notes. Management believes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sectPr>
      <w:pgSz w:w="11900" w:h="16838" w:orient="portrait"/>
      <w:cols w:equalWidth="0" w:num="1">
        <w:col w:w="11200"/>
      </w:cols>
      <w:pgMar w:left="320" w:top="9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2022-06-22T06:56:18Z</dcterms:created>
  <dcterms:modified xsi:type="dcterms:W3CDTF">2022-06-22T06:56:18Z</dcterms:modified>
</cp:coreProperties>
</file>