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250825</wp:posOffset>
            </wp:positionV>
            <wp:extent cx="137223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report (Date of earliest event reported) February 28,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1104265</wp:posOffset>
            </wp:positionV>
            <wp:extent cx="13804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-1270</wp:posOffset>
            </wp:positionV>
            <wp:extent cx="1895475" cy="823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23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46" w:lineRule="exact"/>
        <w:rPr>
          <w:sz w:val="24"/>
          <w:szCs w:val="24"/>
          <w:color w:val="auto"/>
        </w:rPr>
      </w:pPr>
    </w:p>
    <w:tbl>
      <w:tblPr>
        <w:tblLayout w:type="fixed"/>
        <w:tblInd w:w="1100" w:type="dxa"/>
        <w:tblCellMar>
          <w:top w:w="0" w:type="dxa"/>
          <w:left w:w="0" w:type="dxa"/>
          <w:bottom w:w="0" w:type="dxa"/>
          <w:right w:w="0" w:type="dxa"/>
        </w:tblCellMar>
      </w:tblPr>
      <w:tr>
        <w:trPr>
          <w:trHeight w:val="246"/>
        </w:trPr>
        <w:tc>
          <w:tcPr>
            <w:tcW w:w="34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Iowa</w:t>
            </w:r>
          </w:p>
        </w:tc>
        <w:tc>
          <w:tcPr>
            <w:tcW w:w="26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001-06403</w:t>
            </w:r>
          </w:p>
        </w:tc>
        <w:tc>
          <w:tcPr>
            <w:tcW w:w="312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42-0802678</w:t>
            </w:r>
          </w:p>
        </w:tc>
      </w:tr>
      <w:tr>
        <w:trPr>
          <w:trHeight w:val="215"/>
        </w:trPr>
        <w:tc>
          <w:tcPr>
            <w:tcW w:w="3440" w:type="dxa"/>
            <w:vAlign w:val="bottom"/>
          </w:tcPr>
          <w:p>
            <w:pPr>
              <w:jc w:val="center"/>
              <w:ind w:right="10"/>
              <w:spacing w:after="0"/>
              <w:rPr>
                <w:sz w:val="20"/>
                <w:szCs w:val="20"/>
                <w:color w:val="auto"/>
              </w:rPr>
            </w:pPr>
            <w:r>
              <w:rPr>
                <w:rFonts w:ascii="Arial" w:cs="Arial" w:eastAsia="Arial" w:hAnsi="Arial"/>
                <w:sz w:val="18"/>
                <w:szCs w:val="18"/>
                <w:color w:val="auto"/>
                <w:w w:val="99"/>
              </w:rPr>
              <w:t>(State or Other Jurisdiction</w:t>
            </w:r>
          </w:p>
        </w:tc>
        <w:tc>
          <w:tcPr>
            <w:tcW w:w="2660" w:type="dxa"/>
            <w:vAlign w:val="bottom"/>
          </w:tcPr>
          <w:p>
            <w:pPr>
              <w:jc w:val="center"/>
              <w:ind w:right="70"/>
              <w:spacing w:after="0"/>
              <w:rPr>
                <w:sz w:val="20"/>
                <w:szCs w:val="20"/>
                <w:color w:val="auto"/>
              </w:rPr>
            </w:pPr>
            <w:r>
              <w:rPr>
                <w:rFonts w:ascii="Arial" w:cs="Arial" w:eastAsia="Arial" w:hAnsi="Arial"/>
                <w:sz w:val="18"/>
                <w:szCs w:val="18"/>
                <w:color w:val="auto"/>
                <w:w w:val="99"/>
              </w:rPr>
              <w:t>(Commission File Number)</w:t>
            </w:r>
          </w:p>
        </w:tc>
        <w:tc>
          <w:tcPr>
            <w:tcW w:w="3120" w:type="dxa"/>
            <w:vAlign w:val="bottom"/>
          </w:tcPr>
          <w:p>
            <w:pPr>
              <w:jc w:val="center"/>
              <w:spacing w:after="0"/>
              <w:rPr>
                <w:sz w:val="20"/>
                <w:szCs w:val="20"/>
                <w:color w:val="auto"/>
              </w:rPr>
            </w:pPr>
            <w:r>
              <w:rPr>
                <w:rFonts w:ascii="Arial" w:cs="Arial" w:eastAsia="Arial" w:hAnsi="Arial"/>
                <w:sz w:val="18"/>
                <w:szCs w:val="18"/>
                <w:color w:val="auto"/>
              </w:rPr>
              <w:t>(IRS Employer</w:t>
            </w:r>
          </w:p>
        </w:tc>
      </w:tr>
      <w:tr>
        <w:trPr>
          <w:trHeight w:val="244"/>
        </w:trPr>
        <w:tc>
          <w:tcPr>
            <w:tcW w:w="3440" w:type="dxa"/>
            <w:vAlign w:val="bottom"/>
          </w:tcPr>
          <w:p>
            <w:pPr>
              <w:jc w:val="center"/>
              <w:ind w:right="30"/>
              <w:spacing w:after="0"/>
              <w:rPr>
                <w:sz w:val="20"/>
                <w:szCs w:val="20"/>
                <w:color w:val="auto"/>
              </w:rPr>
            </w:pPr>
            <w:r>
              <w:rPr>
                <w:rFonts w:ascii="Arial" w:cs="Arial" w:eastAsia="Arial" w:hAnsi="Arial"/>
                <w:sz w:val="18"/>
                <w:szCs w:val="18"/>
                <w:color w:val="auto"/>
              </w:rPr>
              <w:t>of Incorporation)</w:t>
            </w:r>
          </w:p>
        </w:tc>
        <w:tc>
          <w:tcPr>
            <w:tcW w:w="2660" w:type="dxa"/>
            <w:vAlign w:val="bottom"/>
          </w:tcPr>
          <w:p>
            <w:pPr>
              <w:spacing w:after="0"/>
              <w:rPr>
                <w:sz w:val="21"/>
                <w:szCs w:val="21"/>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520"/>
        </w:trPr>
        <w:tc>
          <w:tcPr>
            <w:tcW w:w="34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8"/>
              </w:rPr>
              <w:t>P.O. Box 152, Forest City, I owa</w:t>
            </w:r>
          </w:p>
        </w:tc>
        <w:tc>
          <w:tcPr>
            <w:tcW w:w="26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50436</w:t>
            </w:r>
          </w:p>
        </w:tc>
      </w:tr>
      <w:tr>
        <w:trPr>
          <w:trHeight w:val="243"/>
        </w:trPr>
        <w:tc>
          <w:tcPr>
            <w:tcW w:w="3440" w:type="dxa"/>
            <w:vAlign w:val="bottom"/>
          </w:tcPr>
          <w:p>
            <w:pPr>
              <w:jc w:val="center"/>
              <w:ind w:right="30"/>
              <w:spacing w:after="0"/>
              <w:rPr>
                <w:sz w:val="20"/>
                <w:szCs w:val="20"/>
                <w:color w:val="auto"/>
              </w:rPr>
            </w:pPr>
            <w:r>
              <w:rPr>
                <w:rFonts w:ascii="Arial" w:cs="Arial" w:eastAsia="Arial" w:hAnsi="Arial"/>
                <w:sz w:val="18"/>
                <w:szCs w:val="18"/>
                <w:color w:val="auto"/>
                <w:w w:val="99"/>
              </w:rPr>
              <w:t>(Address of Principal Executive Offices)</w:t>
            </w:r>
          </w:p>
        </w:tc>
        <w:tc>
          <w:tcPr>
            <w:tcW w:w="2660" w:type="dxa"/>
            <w:vAlign w:val="bottom"/>
          </w:tcPr>
          <w:p>
            <w:pPr>
              <w:jc w:val="center"/>
              <w:ind w:right="10"/>
              <w:spacing w:after="0"/>
              <w:rPr>
                <w:sz w:val="20"/>
                <w:szCs w:val="20"/>
                <w:color w:val="auto"/>
              </w:rPr>
            </w:pPr>
            <w:r>
              <w:rPr>
                <w:rFonts w:ascii="Arial" w:cs="Arial" w:eastAsia="Arial" w:hAnsi="Arial"/>
                <w:sz w:val="18"/>
                <w:szCs w:val="18"/>
                <w:color w:val="auto"/>
                <w:w w:val="98"/>
              </w:rPr>
              <w:t>&lt; /font&gt;</w:t>
            </w:r>
          </w:p>
        </w:tc>
        <w:tc>
          <w:tcPr>
            <w:tcW w:w="3120" w:type="dxa"/>
            <w:vAlign w:val="bottom"/>
          </w:tcPr>
          <w:p>
            <w:pPr>
              <w:jc w:val="center"/>
              <w:spacing w:after="0"/>
              <w:rPr>
                <w:sz w:val="20"/>
                <w:szCs w:val="20"/>
                <w:color w:val="auto"/>
              </w:rPr>
            </w:pPr>
            <w:r>
              <w:rPr>
                <w:rFonts w:ascii="Arial" w:cs="Arial" w:eastAsia="Arial" w:hAnsi="Arial"/>
                <w:sz w:val="18"/>
                <w:szCs w:val="18"/>
                <w:color w:val="auto"/>
              </w:rPr>
              <w:t>(Zip Code)</w:t>
            </w:r>
          </w:p>
        </w:tc>
      </w:tr>
      <w:tr>
        <w:trPr>
          <w:trHeight w:val="486"/>
        </w:trPr>
        <w:tc>
          <w:tcPr>
            <w:tcW w:w="6100" w:type="dxa"/>
            <w:vAlign w:val="bottom"/>
            <w:gridSpan w:val="2"/>
          </w:tcPr>
          <w:p>
            <w:pPr>
              <w:ind w:left="1940"/>
              <w:spacing w:after="0"/>
              <w:rPr>
                <w:sz w:val="20"/>
                <w:szCs w:val="20"/>
                <w:color w:val="auto"/>
              </w:rPr>
            </w:pPr>
            <w:r>
              <w:rPr>
                <w:rFonts w:ascii="Arial" w:cs="Arial" w:eastAsia="Arial" w:hAnsi="Arial"/>
                <w:sz w:val="18"/>
                <w:szCs w:val="18"/>
                <w:color w:val="auto"/>
              </w:rPr>
              <w:t>Registrant's telephone number, including area code</w:t>
            </w:r>
          </w:p>
        </w:tc>
        <w:tc>
          <w:tcPr>
            <w:tcW w:w="3120" w:type="dxa"/>
            <w:vAlign w:val="bottom"/>
          </w:tcPr>
          <w:p>
            <w:pPr>
              <w:jc w:val="right"/>
              <w:ind w:right="1830"/>
              <w:spacing w:after="0"/>
              <w:rPr>
                <w:sz w:val="20"/>
                <w:szCs w:val="20"/>
                <w:color w:val="auto"/>
              </w:rPr>
            </w:pPr>
            <w:r>
              <w:rPr>
                <w:rFonts w:ascii="Arial" w:cs="Arial" w:eastAsia="Arial" w:hAnsi="Arial"/>
                <w:sz w:val="18"/>
                <w:szCs w:val="18"/>
                <w:b w:val="1"/>
                <w:bCs w:val="1"/>
                <w:color w:val="auto"/>
              </w:rPr>
              <w:t>641-585-3535</w:t>
            </w:r>
          </w:p>
        </w:tc>
      </w:tr>
    </w:tbl>
    <w:p>
      <w:pPr>
        <w:spacing w:after="0" w:line="256" w:lineRule="exact"/>
        <w:rPr>
          <w:sz w:val="24"/>
          <w:szCs w:val="24"/>
          <w:color w:val="auto"/>
        </w:rPr>
      </w:pPr>
    </w:p>
    <w:p>
      <w:pPr>
        <w:ind w:left="222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255270</wp:posOffset>
            </wp:positionV>
            <wp:extent cx="13633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6"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sz w:val="24"/>
          <w:szCs w:val="24"/>
          <w:color w:val="auto"/>
        </w:rPr>
      </w:pPr>
    </w:p>
    <w:p>
      <w:pPr>
        <w:ind w:left="-100" w:right="1960" w:firstLine="108"/>
        <w:spacing w:after="0" w:line="512" w:lineRule="auto"/>
        <w:tabs>
          <w:tab w:leader="none" w:pos="548"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 Pre-commencement communications pursuant to Rule 13e-4(c) under the Exchange Act (17 CFR 240.13e-4(c))</w:t>
      </w:r>
    </w:p>
    <w:p>
      <w:pPr>
        <w:sectPr>
          <w:pgSz w:w="11900" w:h="16838" w:orient="portrait"/>
          <w:cols w:equalWidth="0" w:num="1">
            <w:col w:w="11420"/>
          </w:cols>
          <w:pgMar w:left="240" w:top="717" w:right="239" w:bottom="1440" w:gutter="0" w:footer="0" w:header="0"/>
        </w:sectPr>
      </w:pPr>
    </w:p>
    <w:bookmarkStart w:id="1" w:name="page2"/>
    <w:bookmarkEnd w:id="1"/>
    <w:p>
      <w:pPr>
        <w:ind w:left="1140" w:right="220" w:hanging="1228"/>
        <w:spacing w:after="0" w:line="274" w:lineRule="auto"/>
        <w:tabs>
          <w:tab w:leader="none" w:pos="1120" w:val="left"/>
        </w:tabs>
        <w:rPr>
          <w:sz w:val="20"/>
          <w:szCs w:val="20"/>
          <w:color w:val="auto"/>
        </w:rPr>
      </w:pPr>
      <w:r>
        <w:rPr>
          <w:rFonts w:ascii="Arial" w:cs="Arial" w:eastAsia="Arial" w:hAnsi="Arial"/>
          <w:sz w:val="22"/>
          <w:szCs w:val="22"/>
          <w:b w:val="1"/>
          <w:bCs w:val="1"/>
          <w:color w:val="auto"/>
        </w:rPr>
        <w:t>Item 5.02</w:t>
        <w:tab/>
        <w:t>Departure of Direct ors or Certain Officers; Election of Directors; Appointment of Certain Officers; Compensatory Arrangements of Certain Officers.</w:t>
      </w:r>
    </w:p>
    <w:p>
      <w:pPr>
        <w:spacing w:after="0" w:line="197" w:lineRule="exact"/>
        <w:rPr>
          <w:sz w:val="20"/>
          <w:szCs w:val="20"/>
          <w:color w:val="auto"/>
        </w:rPr>
      </w:pPr>
    </w:p>
    <w:p>
      <w:pPr>
        <w:ind w:left="660" w:hanging="652"/>
        <w:spacing w:after="0" w:line="251" w:lineRule="auto"/>
        <w:tabs>
          <w:tab w:leader="none" w:pos="429"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Board of Directors of Winnebago Industries, Inc. (the “Company”) has authorized adjustments to the base salaries of the Company's executive officers, including each of the Company's named executive officers, in order to restore the base salaries of such executive officers to the base salaries that were in effect prior to March 1, 2009 when, as described in the Company's Current Report on Form 8-K filed with the Securities and Exchange Commission on February 26, 2009, the Company implemented a 20% reduction of the annual base salary of Robert J. Olson, the Company's Chairman and Chief Executive Officer, and a 10% reduction of the annual base salaries of all of the Company's other executive officers, including each of the other named executive officers, in connection with the Company's efforts to reduce costs and expenses. The Board of Directors delegated to Mr. Olson the authority to determine whether to implement the restoration of the base salaries, depending upon the Company's performance, and Mr. Olson, pursuant to this grant of authority, determined to implement such increases effective February 28, 2011, as follows:</w:t>
      </w:r>
    </w:p>
    <w:p>
      <w:pPr>
        <w:spacing w:after="0" w:line="132"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3840" w:type="dxa"/>
            <w:vAlign w:val="bottom"/>
            <w:gridSpan w:val="2"/>
          </w:tcPr>
          <w:p>
            <w:pPr>
              <w:jc w:val="center"/>
              <w:ind w:left="830"/>
              <w:spacing w:after="0"/>
              <w:rPr>
                <w:sz w:val="20"/>
                <w:szCs w:val="20"/>
                <w:color w:val="auto"/>
              </w:rPr>
            </w:pPr>
            <w:r>
              <w:rPr>
                <w:rFonts w:ascii="Arial" w:cs="Arial" w:eastAsia="Arial" w:hAnsi="Arial"/>
                <w:sz w:val="18"/>
                <w:szCs w:val="18"/>
                <w:b w:val="1"/>
                <w:bCs w:val="1"/>
                <w:color w:val="auto"/>
              </w:rPr>
              <w:t>Annual Base Salary Prior</w:t>
            </w:r>
          </w:p>
        </w:tc>
        <w:tc>
          <w:tcPr>
            <w:tcW w:w="50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60" w:type="dxa"/>
            <w:vAlign w:val="bottom"/>
          </w:tcPr>
          <w:p>
            <w:pPr>
              <w:jc w:val="center"/>
              <w:ind w:right="470"/>
              <w:spacing w:after="0" w:line="202" w:lineRule="exact"/>
              <w:rPr>
                <w:sz w:val="20"/>
                <w:szCs w:val="20"/>
                <w:color w:val="auto"/>
              </w:rPr>
            </w:pPr>
            <w:r>
              <w:rPr>
                <w:rFonts w:ascii="Arial" w:cs="Arial" w:eastAsia="Arial" w:hAnsi="Arial"/>
                <w:sz w:val="18"/>
                <w:szCs w:val="18"/>
                <w:b w:val="1"/>
                <w:bCs w:val="1"/>
                <w:color w:val="auto"/>
                <w:w w:val="93"/>
              </w:rPr>
              <w:t>to</w:t>
            </w:r>
          </w:p>
        </w:tc>
        <w:tc>
          <w:tcPr>
            <w:tcW w:w="500" w:type="dxa"/>
            <w:vAlign w:val="bottom"/>
          </w:tcPr>
          <w:p>
            <w:pPr>
              <w:spacing w:after="0"/>
              <w:rPr>
                <w:sz w:val="17"/>
                <w:szCs w:val="17"/>
                <w:color w:val="auto"/>
              </w:rPr>
            </w:pPr>
          </w:p>
        </w:tc>
        <w:tc>
          <w:tcPr>
            <w:tcW w:w="270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Annual Base Salary Effective</w:t>
            </w:r>
          </w:p>
        </w:tc>
      </w:tr>
      <w:tr>
        <w:trPr>
          <w:trHeight w:val="246"/>
        </w:trPr>
        <w:tc>
          <w:tcPr>
            <w:tcW w:w="700" w:type="dxa"/>
            <w:vAlign w:val="bottom"/>
          </w:tcPr>
          <w:p>
            <w:pPr>
              <w:spacing w:after="0"/>
              <w:rPr>
                <w:sz w:val="21"/>
                <w:szCs w:val="21"/>
                <w:color w:val="auto"/>
              </w:rPr>
            </w:pPr>
          </w:p>
        </w:tc>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Named Executive Officer</w:t>
            </w:r>
          </w:p>
        </w:tc>
        <w:tc>
          <w:tcPr>
            <w:tcW w:w="148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tcPr>
          <w:p>
            <w:pPr>
              <w:jc w:val="center"/>
              <w:ind w:right="470"/>
              <w:spacing w:after="0"/>
              <w:rPr>
                <w:sz w:val="20"/>
                <w:szCs w:val="20"/>
                <w:color w:val="auto"/>
              </w:rPr>
            </w:pPr>
            <w:r>
              <w:rPr>
                <w:rFonts w:ascii="Arial" w:cs="Arial" w:eastAsia="Arial" w:hAnsi="Arial"/>
                <w:sz w:val="18"/>
                <w:szCs w:val="18"/>
                <w:b w:val="1"/>
                <w:bCs w:val="1"/>
                <w:color w:val="auto"/>
                <w:w w:val="99"/>
              </w:rPr>
              <w:t>February 28, 2011</w:t>
            </w:r>
          </w:p>
        </w:tc>
        <w:tc>
          <w:tcPr>
            <w:tcW w:w="50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February 28, 2011</w:t>
            </w:r>
          </w:p>
        </w:tc>
      </w:tr>
      <w:tr>
        <w:trPr>
          <w:trHeight w:val="257"/>
        </w:trPr>
        <w:tc>
          <w:tcPr>
            <w:tcW w:w="700" w:type="dxa"/>
            <w:vAlign w:val="bottom"/>
          </w:tcPr>
          <w:p>
            <w:pPr>
              <w:spacing w:after="0"/>
              <w:rPr>
                <w:sz w:val="22"/>
                <w:szCs w:val="22"/>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Robert J. Olson</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360" w:type="dxa"/>
            <w:vAlign w:val="bottom"/>
          </w:tcPr>
          <w:p>
            <w:pPr>
              <w:jc w:val="right"/>
              <w:ind w:right="310"/>
              <w:spacing w:after="0"/>
              <w:rPr>
                <w:sz w:val="20"/>
                <w:szCs w:val="20"/>
                <w:color w:val="auto"/>
              </w:rPr>
            </w:pPr>
            <w:r>
              <w:rPr>
                <w:rFonts w:ascii="Arial" w:cs="Arial" w:eastAsia="Arial" w:hAnsi="Arial"/>
                <w:sz w:val="18"/>
                <w:szCs w:val="18"/>
                <w:color w:val="auto"/>
              </w:rPr>
              <w:t>371,200</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700" w:type="dxa"/>
            <w:vAlign w:val="bottom"/>
          </w:tcPr>
          <w:p>
            <w:pPr>
              <w:jc w:val="right"/>
              <w:ind w:right="10"/>
              <w:spacing w:after="0"/>
              <w:rPr>
                <w:sz w:val="20"/>
                <w:szCs w:val="20"/>
                <w:color w:val="auto"/>
              </w:rPr>
            </w:pPr>
            <w:r>
              <w:rPr>
                <w:rFonts w:ascii="Arial" w:cs="Arial" w:eastAsia="Arial" w:hAnsi="Arial"/>
                <w:sz w:val="18"/>
                <w:szCs w:val="18"/>
                <w:color w:val="auto"/>
              </w:rPr>
              <w:t>464,000</w:t>
            </w:r>
          </w:p>
        </w:tc>
      </w:tr>
      <w:tr>
        <w:trPr>
          <w:trHeight w:val="270"/>
        </w:trPr>
        <w:tc>
          <w:tcPr>
            <w:tcW w:w="4080" w:type="dxa"/>
            <w:vAlign w:val="bottom"/>
            <w:gridSpan w:val="2"/>
          </w:tcPr>
          <w:p>
            <w:pPr>
              <w:spacing w:after="0"/>
              <w:rPr>
                <w:sz w:val="20"/>
                <w:szCs w:val="20"/>
                <w:color w:val="auto"/>
              </w:rPr>
            </w:pPr>
            <w:r>
              <w:rPr>
                <w:rFonts w:ascii="Arial" w:cs="Arial" w:eastAsia="Arial" w:hAnsi="Arial"/>
                <w:sz w:val="18"/>
                <w:szCs w:val="18"/>
                <w:color w:val="auto"/>
              </w:rPr>
              <w:t>&lt; /font&gt;  Raymond M. Beebe</w:t>
            </w:r>
          </w:p>
        </w:tc>
        <w:tc>
          <w:tcPr>
            <w:tcW w:w="1480" w:type="dxa"/>
            <w:vAlign w:val="bottom"/>
          </w:tcPr>
          <w:p>
            <w:pPr>
              <w:spacing w:after="0"/>
              <w:rPr>
                <w:sz w:val="23"/>
                <w:szCs w:val="23"/>
                <w:color w:val="auto"/>
              </w:rPr>
            </w:pPr>
          </w:p>
        </w:tc>
        <w:tc>
          <w:tcPr>
            <w:tcW w:w="2360" w:type="dxa"/>
            <w:vAlign w:val="bottom"/>
          </w:tcPr>
          <w:p>
            <w:pPr>
              <w:jc w:val="right"/>
              <w:ind w:right="310"/>
              <w:spacing w:after="0"/>
              <w:rPr>
                <w:sz w:val="20"/>
                <w:szCs w:val="20"/>
                <w:color w:val="auto"/>
              </w:rPr>
            </w:pPr>
            <w:r>
              <w:rPr>
                <w:rFonts w:ascii="Arial" w:cs="Arial" w:eastAsia="Arial" w:hAnsi="Arial"/>
                <w:sz w:val="18"/>
                <w:szCs w:val="18"/>
                <w:color w:val="auto"/>
              </w:rPr>
              <w:t>232,924</w:t>
            </w:r>
          </w:p>
        </w:tc>
        <w:tc>
          <w:tcPr>
            <w:tcW w:w="500" w:type="dxa"/>
            <w:vAlign w:val="bottom"/>
          </w:tcPr>
          <w:p>
            <w:pPr>
              <w:spacing w:after="0"/>
              <w:rPr>
                <w:sz w:val="23"/>
                <w:szCs w:val="23"/>
                <w:color w:val="auto"/>
              </w:rPr>
            </w:pPr>
          </w:p>
        </w:tc>
        <w:tc>
          <w:tcPr>
            <w:tcW w:w="2700" w:type="dxa"/>
            <w:vAlign w:val="bottom"/>
          </w:tcPr>
          <w:p>
            <w:pPr>
              <w:jc w:val="right"/>
              <w:ind w:right="10"/>
              <w:spacing w:after="0"/>
              <w:rPr>
                <w:sz w:val="20"/>
                <w:szCs w:val="20"/>
                <w:color w:val="auto"/>
              </w:rPr>
            </w:pPr>
            <w:r>
              <w:rPr>
                <w:rFonts w:ascii="Arial" w:cs="Arial" w:eastAsia="Arial" w:hAnsi="Arial"/>
                <w:sz w:val="18"/>
                <w:szCs w:val="18"/>
                <w:color w:val="auto"/>
              </w:rPr>
              <w:t>258,804</w:t>
            </w:r>
          </w:p>
        </w:tc>
      </w:tr>
      <w:tr>
        <w:trPr>
          <w:trHeight w:val="270"/>
        </w:trPr>
        <w:tc>
          <w:tcPr>
            <w:tcW w:w="700" w:type="dxa"/>
            <w:vAlign w:val="bottom"/>
          </w:tcPr>
          <w:p>
            <w:pPr>
              <w:spacing w:after="0"/>
              <w:rPr>
                <w:sz w:val="23"/>
                <w:szCs w:val="23"/>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Roger W. Martin</w:t>
            </w:r>
          </w:p>
        </w:tc>
        <w:tc>
          <w:tcPr>
            <w:tcW w:w="1480" w:type="dxa"/>
            <w:vAlign w:val="bottom"/>
          </w:tcPr>
          <w:p>
            <w:pPr>
              <w:spacing w:after="0"/>
              <w:rPr>
                <w:sz w:val="23"/>
                <w:szCs w:val="23"/>
                <w:color w:val="auto"/>
              </w:rPr>
            </w:pPr>
          </w:p>
        </w:tc>
        <w:tc>
          <w:tcPr>
            <w:tcW w:w="2360" w:type="dxa"/>
            <w:vAlign w:val="bottom"/>
          </w:tcPr>
          <w:p>
            <w:pPr>
              <w:jc w:val="right"/>
              <w:ind w:right="310"/>
              <w:spacing w:after="0"/>
              <w:rPr>
                <w:sz w:val="20"/>
                <w:szCs w:val="20"/>
                <w:color w:val="auto"/>
              </w:rPr>
            </w:pPr>
            <w:r>
              <w:rPr>
                <w:rFonts w:ascii="Arial" w:cs="Arial" w:eastAsia="Arial" w:hAnsi="Arial"/>
                <w:sz w:val="18"/>
                <w:szCs w:val="18"/>
                <w:color w:val="auto"/>
              </w:rPr>
              <w:t>223,330</w:t>
            </w:r>
          </w:p>
        </w:tc>
        <w:tc>
          <w:tcPr>
            <w:tcW w:w="500" w:type="dxa"/>
            <w:vAlign w:val="bottom"/>
          </w:tcPr>
          <w:p>
            <w:pPr>
              <w:spacing w:after="0"/>
              <w:rPr>
                <w:sz w:val="23"/>
                <w:szCs w:val="23"/>
                <w:color w:val="auto"/>
              </w:rPr>
            </w:pPr>
          </w:p>
        </w:tc>
        <w:tc>
          <w:tcPr>
            <w:tcW w:w="2700" w:type="dxa"/>
            <w:vAlign w:val="bottom"/>
          </w:tcPr>
          <w:p>
            <w:pPr>
              <w:jc w:val="right"/>
              <w:ind w:right="10"/>
              <w:spacing w:after="0"/>
              <w:rPr>
                <w:sz w:val="20"/>
                <w:szCs w:val="20"/>
                <w:color w:val="auto"/>
              </w:rPr>
            </w:pPr>
            <w:r>
              <w:rPr>
                <w:rFonts w:ascii="Arial" w:cs="Arial" w:eastAsia="Arial" w:hAnsi="Arial"/>
                <w:sz w:val="18"/>
                <w:szCs w:val="18"/>
                <w:color w:val="auto"/>
              </w:rPr>
              <w:t>248,144</w:t>
            </w:r>
          </w:p>
        </w:tc>
      </w:tr>
      <w:tr>
        <w:trPr>
          <w:trHeight w:val="270"/>
        </w:trPr>
        <w:tc>
          <w:tcPr>
            <w:tcW w:w="700" w:type="dxa"/>
            <w:vAlign w:val="bottom"/>
          </w:tcPr>
          <w:p>
            <w:pPr>
              <w:spacing w:after="0"/>
              <w:rPr>
                <w:sz w:val="23"/>
                <w:szCs w:val="23"/>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William J. O'Leary</w:t>
            </w:r>
          </w:p>
        </w:tc>
        <w:tc>
          <w:tcPr>
            <w:tcW w:w="1480" w:type="dxa"/>
            <w:vAlign w:val="bottom"/>
          </w:tcPr>
          <w:p>
            <w:pPr>
              <w:spacing w:after="0"/>
              <w:rPr>
                <w:sz w:val="23"/>
                <w:szCs w:val="23"/>
                <w:color w:val="auto"/>
              </w:rPr>
            </w:pPr>
          </w:p>
        </w:tc>
        <w:tc>
          <w:tcPr>
            <w:tcW w:w="2360" w:type="dxa"/>
            <w:vAlign w:val="bottom"/>
          </w:tcPr>
          <w:p>
            <w:pPr>
              <w:jc w:val="right"/>
              <w:ind w:right="310"/>
              <w:spacing w:after="0"/>
              <w:rPr>
                <w:sz w:val="20"/>
                <w:szCs w:val="20"/>
                <w:color w:val="auto"/>
              </w:rPr>
            </w:pPr>
            <w:r>
              <w:rPr>
                <w:rFonts w:ascii="Arial" w:cs="Arial" w:eastAsia="Arial" w:hAnsi="Arial"/>
                <w:sz w:val="18"/>
                <w:szCs w:val="18"/>
                <w:color w:val="auto"/>
              </w:rPr>
              <w:t>222,160</w:t>
            </w:r>
          </w:p>
        </w:tc>
        <w:tc>
          <w:tcPr>
            <w:tcW w:w="3200" w:type="dxa"/>
            <w:vAlign w:val="bottom"/>
            <w:gridSpan w:val="2"/>
          </w:tcPr>
          <w:p>
            <w:pPr>
              <w:jc w:val="right"/>
              <w:ind w:right="2090"/>
              <w:spacing w:after="0"/>
              <w:rPr>
                <w:sz w:val="20"/>
                <w:szCs w:val="20"/>
                <w:color w:val="auto"/>
              </w:rPr>
            </w:pPr>
            <w:r>
              <w:rPr>
                <w:rFonts w:ascii="Arial" w:cs="Arial" w:eastAsia="Arial" w:hAnsi="Arial"/>
                <w:sz w:val="18"/>
                <w:szCs w:val="18"/>
                <w:color w:val="auto"/>
              </w:rPr>
              <w:t>246,844</w:t>
            </w:r>
          </w:p>
        </w:tc>
      </w:tr>
      <w:tr>
        <w:trPr>
          <w:trHeight w:val="270"/>
        </w:trPr>
        <w:tc>
          <w:tcPr>
            <w:tcW w:w="700" w:type="dxa"/>
            <w:vAlign w:val="bottom"/>
          </w:tcPr>
          <w:p>
            <w:pPr>
              <w:spacing w:after="0"/>
              <w:rPr>
                <w:sz w:val="23"/>
                <w:szCs w:val="23"/>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Sarah N. Nielsen</w:t>
            </w:r>
          </w:p>
        </w:tc>
        <w:tc>
          <w:tcPr>
            <w:tcW w:w="1480" w:type="dxa"/>
            <w:vAlign w:val="bottom"/>
          </w:tcPr>
          <w:p>
            <w:pPr>
              <w:spacing w:after="0"/>
              <w:rPr>
                <w:sz w:val="23"/>
                <w:szCs w:val="23"/>
                <w:color w:val="auto"/>
              </w:rPr>
            </w:pPr>
          </w:p>
        </w:tc>
        <w:tc>
          <w:tcPr>
            <w:tcW w:w="2360" w:type="dxa"/>
            <w:vAlign w:val="bottom"/>
          </w:tcPr>
          <w:p>
            <w:pPr>
              <w:jc w:val="right"/>
              <w:ind w:right="310"/>
              <w:spacing w:after="0"/>
              <w:rPr>
                <w:sz w:val="20"/>
                <w:szCs w:val="20"/>
                <w:color w:val="auto"/>
              </w:rPr>
            </w:pPr>
            <w:r>
              <w:rPr>
                <w:rFonts w:ascii="Arial" w:cs="Arial" w:eastAsia="Arial" w:hAnsi="Arial"/>
                <w:sz w:val="18"/>
                <w:szCs w:val="18"/>
                <w:color w:val="auto"/>
              </w:rPr>
              <w:t>221,364</w:t>
            </w:r>
          </w:p>
        </w:tc>
        <w:tc>
          <w:tcPr>
            <w:tcW w:w="500" w:type="dxa"/>
            <w:vAlign w:val="bottom"/>
          </w:tcPr>
          <w:p>
            <w:pPr>
              <w:spacing w:after="0"/>
              <w:rPr>
                <w:sz w:val="23"/>
                <w:szCs w:val="23"/>
                <w:color w:val="auto"/>
              </w:rPr>
            </w:pPr>
          </w:p>
        </w:tc>
        <w:tc>
          <w:tcPr>
            <w:tcW w:w="2700" w:type="dxa"/>
            <w:vAlign w:val="bottom"/>
          </w:tcPr>
          <w:p>
            <w:pPr>
              <w:jc w:val="right"/>
              <w:ind w:right="10"/>
              <w:spacing w:after="0"/>
              <w:rPr>
                <w:sz w:val="20"/>
                <w:szCs w:val="20"/>
                <w:color w:val="auto"/>
              </w:rPr>
            </w:pPr>
            <w:r>
              <w:rPr>
                <w:rFonts w:ascii="Arial" w:cs="Arial" w:eastAsia="Arial" w:hAnsi="Arial"/>
                <w:sz w:val="18"/>
                <w:szCs w:val="18"/>
                <w:color w:val="auto"/>
              </w:rPr>
              <w:t>245,960</w:t>
            </w:r>
          </w:p>
        </w:tc>
      </w:tr>
    </w:tbl>
    <w:p>
      <w:pPr>
        <w:spacing w:after="0" w:line="200" w:lineRule="exact"/>
        <w:rPr>
          <w:sz w:val="20"/>
          <w:szCs w:val="20"/>
          <w:color w:val="auto"/>
        </w:rPr>
      </w:pPr>
    </w:p>
    <w:p>
      <w:pPr>
        <w:spacing w:after="0" w:line="312" w:lineRule="exact"/>
        <w:rPr>
          <w:sz w:val="20"/>
          <w:szCs w:val="20"/>
          <w:color w:val="auto"/>
        </w:rPr>
      </w:pPr>
    </w:p>
    <w:p>
      <w:pPr>
        <w:ind w:left="660" w:right="520" w:firstLine="648"/>
        <w:spacing w:after="0" w:line="262" w:lineRule="auto"/>
        <w:rPr>
          <w:sz w:val="20"/>
          <w:szCs w:val="20"/>
          <w:color w:val="auto"/>
        </w:rPr>
      </w:pPr>
      <w:r>
        <w:rPr>
          <w:rFonts w:ascii="Arial" w:cs="Arial" w:eastAsia="Arial" w:hAnsi="Arial"/>
          <w:sz w:val="18"/>
          <w:szCs w:val="18"/>
          <w:color w:val="auto"/>
        </w:rPr>
        <w:t>All other material terms and conditions of the executive officers' compensatory plans, contracts or arrangements with the Company remain the same.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2"/>
          <w:szCs w:val="22"/>
          <w:color w:val="auto"/>
        </w:rPr>
        <w:t>&lt; font style="font-family:Arial;font-size:10pt;"&gt;</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70"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2"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440" w:type="dxa"/>
            <w:vAlign w:val="bottom"/>
          </w:tcPr>
          <w:p>
            <w:pPr>
              <w:spacing w:after="0"/>
              <w:rPr>
                <w:sz w:val="18"/>
                <w:szCs w:val="18"/>
                <w:color w:val="auto"/>
              </w:rPr>
            </w:pPr>
          </w:p>
        </w:tc>
        <w:tc>
          <w:tcPr>
            <w:tcW w:w="7720" w:type="dxa"/>
            <w:vAlign w:val="bottom"/>
            <w:gridSpan w:val="2"/>
          </w:tcPr>
          <w:p>
            <w:pPr>
              <w:ind w:left="1600"/>
              <w:spacing w:after="0"/>
              <w:rPr>
                <w:sz w:val="20"/>
                <w:szCs w:val="20"/>
                <w:color w:val="auto"/>
              </w:rPr>
            </w:pPr>
            <w:r>
              <w:rPr>
                <w:rFonts w:ascii="Arial" w:cs="Arial" w:eastAsia="Arial" w:hAnsi="Arial"/>
                <w:sz w:val="18"/>
                <w:szCs w:val="18"/>
                <w:color w:val="auto"/>
              </w:rPr>
              <w:t>WINNEBAGO INDUSTRIES, INC.</w:t>
            </w:r>
          </w:p>
        </w:tc>
      </w:tr>
      <w:tr>
        <w:trPr>
          <w:trHeight w:val="581"/>
        </w:trPr>
        <w:tc>
          <w:tcPr>
            <w:tcW w:w="3440" w:type="dxa"/>
            <w:vAlign w:val="bottom"/>
          </w:tcPr>
          <w:p>
            <w:pPr>
              <w:spacing w:after="0"/>
              <w:rPr>
                <w:sz w:val="20"/>
                <w:szCs w:val="20"/>
                <w:color w:val="auto"/>
              </w:rPr>
            </w:pPr>
            <w:r>
              <w:rPr>
                <w:rFonts w:ascii="Arial" w:cs="Arial" w:eastAsia="Arial" w:hAnsi="Arial"/>
                <w:sz w:val="18"/>
                <w:szCs w:val="18"/>
                <w:color w:val="auto"/>
              </w:rPr>
              <w:t>Date:   March 1, 2011</w:t>
            </w:r>
          </w:p>
        </w:tc>
        <w:tc>
          <w:tcPr>
            <w:tcW w:w="2480" w:type="dxa"/>
            <w:vAlign w:val="bottom"/>
          </w:tcPr>
          <w:p>
            <w:pPr>
              <w:ind w:left="160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Robert J. Olson</w:t>
            </w:r>
          </w:p>
        </w:tc>
      </w:tr>
      <w:tr>
        <w:trPr>
          <w:trHeight w:val="237"/>
        </w:trPr>
        <w:tc>
          <w:tcPr>
            <w:tcW w:w="3440" w:type="dxa"/>
            <w:vAlign w:val="bottom"/>
          </w:tcPr>
          <w:p>
            <w:pPr>
              <w:spacing w:after="0"/>
              <w:rPr>
                <w:sz w:val="20"/>
                <w:szCs w:val="20"/>
                <w:color w:val="auto"/>
              </w:rPr>
            </w:pPr>
          </w:p>
        </w:tc>
        <w:tc>
          <w:tcPr>
            <w:tcW w:w="2480" w:type="dxa"/>
            <w:vAlign w:val="bottom"/>
          </w:tcPr>
          <w:p>
            <w:pPr>
              <w:ind w:left="1600"/>
              <w:spacing w:after="0"/>
              <w:rPr>
                <w:sz w:val="20"/>
                <w:szCs w:val="20"/>
                <w:color w:val="auto"/>
              </w:rPr>
            </w:pPr>
            <w:r>
              <w:rPr>
                <w:rFonts w:ascii="Arial" w:cs="Arial" w:eastAsia="Arial" w:hAnsi="Arial"/>
                <w:sz w:val="18"/>
                <w:szCs w:val="18"/>
                <w:color w:val="auto"/>
              </w:rPr>
              <w:t>Name:</w:t>
            </w:r>
          </w:p>
        </w:tc>
        <w:tc>
          <w:tcPr>
            <w:tcW w:w="5240" w:type="dxa"/>
            <w:vAlign w:val="bottom"/>
          </w:tcPr>
          <w:p>
            <w:pPr>
              <w:ind w:left="40"/>
              <w:spacing w:after="0"/>
              <w:rPr>
                <w:sz w:val="20"/>
                <w:szCs w:val="20"/>
                <w:color w:val="auto"/>
              </w:rPr>
            </w:pPr>
            <w:r>
              <w:rPr>
                <w:rFonts w:ascii="Arial" w:cs="Arial" w:eastAsia="Arial" w:hAnsi="Arial"/>
                <w:sz w:val="18"/>
                <w:szCs w:val="18"/>
                <w:color w:val="auto"/>
              </w:rPr>
              <w:t>Robert J. Olson</w:t>
            </w:r>
          </w:p>
        </w:tc>
      </w:tr>
      <w:tr>
        <w:trPr>
          <w:trHeight w:val="270"/>
        </w:trPr>
        <w:tc>
          <w:tcPr>
            <w:tcW w:w="3440" w:type="dxa"/>
            <w:vAlign w:val="bottom"/>
          </w:tcPr>
          <w:p>
            <w:pPr>
              <w:spacing w:after="0"/>
              <w:rPr>
                <w:sz w:val="23"/>
                <w:szCs w:val="23"/>
                <w:color w:val="auto"/>
              </w:rPr>
            </w:pPr>
          </w:p>
        </w:tc>
        <w:tc>
          <w:tcPr>
            <w:tcW w:w="2480" w:type="dxa"/>
            <w:vAlign w:val="bottom"/>
          </w:tcPr>
          <w:p>
            <w:pPr>
              <w:ind w:left="1600"/>
              <w:spacing w:after="0"/>
              <w:rPr>
                <w:sz w:val="20"/>
                <w:szCs w:val="20"/>
                <w:color w:val="auto"/>
              </w:rPr>
            </w:pPr>
            <w:r>
              <w:rPr>
                <w:rFonts w:ascii="Arial" w:cs="Arial" w:eastAsia="Arial" w:hAnsi="Arial"/>
                <w:sz w:val="18"/>
                <w:szCs w:val="18"/>
                <w:color w:val="auto"/>
              </w:rPr>
              <w:t>Title:</w:t>
            </w:r>
          </w:p>
        </w:tc>
        <w:tc>
          <w:tcPr>
            <w:tcW w:w="5240" w:type="dxa"/>
            <w:vAlign w:val="bottom"/>
          </w:tcPr>
          <w:p>
            <w:pPr>
              <w:ind w:left="40"/>
              <w:spacing w:after="0"/>
              <w:rPr>
                <w:sz w:val="20"/>
                <w:szCs w:val="20"/>
                <w:color w:val="auto"/>
              </w:rPr>
            </w:pPr>
            <w:r>
              <w:rPr>
                <w:rFonts w:ascii="Arial" w:cs="Arial" w:eastAsia="Arial" w:hAnsi="Arial"/>
                <w:sz w:val="18"/>
                <w:szCs w:val="18"/>
                <w:color w:val="auto"/>
              </w:rPr>
              <w:t>Chairman of the Board and Chief Executive Officer</w:t>
            </w:r>
          </w:p>
        </w:tc>
      </w:tr>
    </w:tbl>
    <w:p>
      <w:pPr>
        <w:spacing w:after="0" w:line="1" w:lineRule="exact"/>
        <w:rPr>
          <w:sz w:val="20"/>
          <w:szCs w:val="20"/>
          <w:color w:val="auto"/>
        </w:rPr>
      </w:pPr>
    </w:p>
    <w:sectPr>
      <w:pgSz w:w="11900" w:h="16838" w:orient="portrait"/>
      <w:cols w:equalWidth="0" w:num="1">
        <w:col w:w="11400"/>
      </w:cols>
      <w:pgMar w:left="240" w:top="62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o"/>
      <w:numFmt w:val="bullet"/>
      <w:start w:val="1"/>
    </w:lvl>
  </w:abstractNum>
  <w:abstractNum w:abstractNumId="2">
    <w:nsid w:val="2AE8944A"/>
    <w:multiLevelType w:val="hybridMultilevel"/>
    <w:lvl w:ilvl="0">
      <w:lvlJc w:val="left"/>
      <w:lvlText w:val="o"/>
      <w:numFmt w:val="bullet"/>
      <w:start w:val="1"/>
    </w:lvl>
  </w:abstractNum>
  <w:abstractNum w:abstractNumId="3">
    <w:nsid w:val="625558EC"/>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2019-12-10T04:18:10Z</dcterms:created>
  <dcterms:modified xsi:type="dcterms:W3CDTF">2019-12-10T04:18:10Z</dcterms:modified>
</cp:coreProperties>
</file>