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9160"/>
        <w:spacing w:after="0"/>
        <w:rPr>
          <w:sz w:val="20"/>
          <w:szCs w:val="20"/>
          <w:color w:val="auto"/>
        </w:rPr>
      </w:pPr>
      <w:r>
        <w:rPr>
          <w:rFonts w:ascii="Arial" w:cs="Arial" w:eastAsia="Arial" w:hAnsi="Arial"/>
          <w:sz w:val="14"/>
          <w:szCs w:val="14"/>
          <w:color w:val="auto"/>
        </w:rPr>
        <w:t>111 West Monroe Street</w:t>
      </w:r>
    </w:p>
    <w:p>
      <w:pPr>
        <w:spacing w:after="0" w:line="109" w:lineRule="exact"/>
        <w:rPr>
          <w:sz w:val="24"/>
          <w:szCs w:val="24"/>
          <w:color w:val="auto"/>
        </w:rPr>
      </w:pPr>
    </w:p>
    <w:p>
      <w:pPr>
        <w:ind w:left="9160"/>
        <w:spacing w:after="0"/>
        <w:rPr>
          <w:sz w:val="20"/>
          <w:szCs w:val="20"/>
          <w:color w:val="auto"/>
        </w:rPr>
      </w:pPr>
      <w:r>
        <w:rPr>
          <w:rFonts w:ascii="Arial" w:cs="Arial" w:eastAsia="Arial" w:hAnsi="Arial"/>
          <w:sz w:val="14"/>
          <w:szCs w:val="14"/>
          <w:color w:val="auto"/>
        </w:rPr>
        <w:t>Chicago, Illinois 60606</w:t>
      </w:r>
    </w:p>
    <w:p>
      <w:pPr>
        <w:spacing w:after="0" w:line="339" w:lineRule="exact"/>
        <w:rPr>
          <w:sz w:val="24"/>
          <w:szCs w:val="24"/>
          <w:color w:val="auto"/>
        </w:rPr>
      </w:pPr>
    </w:p>
    <w:p>
      <w:pPr>
        <w:ind w:left="9160"/>
        <w:spacing w:after="0"/>
        <w:rPr>
          <w:sz w:val="20"/>
          <w:szCs w:val="20"/>
          <w:color w:val="auto"/>
        </w:rPr>
      </w:pPr>
      <w:r>
        <w:rPr>
          <w:rFonts w:ascii="Arial" w:cs="Arial" w:eastAsia="Arial" w:hAnsi="Arial"/>
          <w:sz w:val="14"/>
          <w:szCs w:val="14"/>
          <w:color w:val="auto"/>
        </w:rPr>
        <w:t>T 312.845.3000</w:t>
      </w:r>
    </w:p>
    <w:p>
      <w:pPr>
        <w:spacing w:after="0" w:line="109" w:lineRule="exact"/>
        <w:rPr>
          <w:sz w:val="24"/>
          <w:szCs w:val="24"/>
          <w:color w:val="auto"/>
        </w:rPr>
      </w:pPr>
    </w:p>
    <w:p>
      <w:pPr>
        <w:ind w:left="9160"/>
        <w:spacing w:after="0"/>
        <w:rPr>
          <w:sz w:val="20"/>
          <w:szCs w:val="20"/>
          <w:color w:val="auto"/>
        </w:rPr>
      </w:pPr>
      <w:r>
        <w:rPr>
          <w:rFonts w:ascii="Arial" w:cs="Arial" w:eastAsia="Arial" w:hAnsi="Arial"/>
          <w:sz w:val="14"/>
          <w:szCs w:val="14"/>
          <w:color w:val="auto"/>
        </w:rPr>
        <w:t>F 312.701.2361</w:t>
      </w:r>
    </w:p>
    <w:p>
      <w:pPr>
        <w:spacing w:after="0" w:line="109" w:lineRule="exact"/>
        <w:rPr>
          <w:sz w:val="24"/>
          <w:szCs w:val="24"/>
          <w:color w:val="auto"/>
        </w:rPr>
      </w:pPr>
    </w:p>
    <w:p>
      <w:pPr>
        <w:ind w:left="9160"/>
        <w:spacing w:after="0"/>
        <w:rPr>
          <w:sz w:val="20"/>
          <w:szCs w:val="20"/>
          <w:color w:val="auto"/>
        </w:rPr>
      </w:pPr>
      <w:r>
        <w:rPr>
          <w:rFonts w:ascii="Arial" w:cs="Arial" w:eastAsia="Arial" w:hAnsi="Arial"/>
          <w:sz w:val="14"/>
          <w:szCs w:val="14"/>
          <w:color w:val="auto"/>
        </w:rPr>
        <w:t>libit@chapman.com</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4"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April 30, 2013</w:t>
      </w:r>
    </w:p>
    <w:p>
      <w:pPr>
        <w:spacing w:after="0" w:line="200" w:lineRule="exact"/>
        <w:rPr>
          <w:sz w:val="24"/>
          <w:szCs w:val="24"/>
          <w:color w:val="auto"/>
        </w:rPr>
      </w:pPr>
    </w:p>
    <w:p>
      <w:pPr>
        <w:spacing w:after="0" w:line="200" w:lineRule="exact"/>
        <w:rPr>
          <w:sz w:val="24"/>
          <w:szCs w:val="24"/>
          <w:color w:val="auto"/>
        </w:rPr>
      </w:pPr>
    </w:p>
    <w:p>
      <w:pPr>
        <w:spacing w:after="0" w:line="279" w:lineRule="exact"/>
        <w:rPr>
          <w:sz w:val="24"/>
          <w:szCs w:val="24"/>
          <w:color w:val="auto"/>
        </w:rPr>
      </w:pPr>
    </w:p>
    <w:p>
      <w:pPr>
        <w:spacing w:after="0"/>
        <w:rPr>
          <w:sz w:val="20"/>
          <w:szCs w:val="20"/>
          <w:color w:val="auto"/>
        </w:rPr>
      </w:pPr>
      <w:r>
        <w:rPr>
          <w:rFonts w:ascii="Arial" w:cs="Arial" w:eastAsia="Arial" w:hAnsi="Arial"/>
          <w:sz w:val="22"/>
          <w:szCs w:val="22"/>
          <w:color w:val="auto"/>
        </w:rPr>
        <w:t>V</w:t>
      </w:r>
      <w:r>
        <w:rPr>
          <w:rFonts w:ascii="Arial" w:cs="Arial" w:eastAsia="Arial" w:hAnsi="Arial"/>
          <w:sz w:val="18"/>
          <w:szCs w:val="18"/>
          <w:color w:val="auto"/>
        </w:rPr>
        <w:t>IA</w:t>
      </w:r>
      <w:r>
        <w:rPr>
          <w:rFonts w:ascii="Arial" w:cs="Arial" w:eastAsia="Arial" w:hAnsi="Arial"/>
          <w:sz w:val="22"/>
          <w:szCs w:val="22"/>
          <w:color w:val="auto"/>
        </w:rPr>
        <w:t xml:space="preserve"> EDGAR C</w:t>
      </w:r>
      <w:r>
        <w:rPr>
          <w:rFonts w:ascii="Arial" w:cs="Arial" w:eastAsia="Arial" w:hAnsi="Arial"/>
          <w:sz w:val="18"/>
          <w:szCs w:val="18"/>
          <w:color w:val="auto"/>
        </w:rPr>
        <w:t>ORRESPONDENCE</w:t>
      </w:r>
      <w:r>
        <w:rPr>
          <w:rFonts w:ascii="Arial" w:cs="Arial" w:eastAsia="Arial" w:hAnsi="Arial"/>
          <w:sz w:val="22"/>
          <w:szCs w:val="22"/>
          <w:color w:val="auto"/>
        </w:rPr>
        <w:t xml:space="preserve"> F</w:t>
      </w:r>
      <w:r>
        <w:rPr>
          <w:rFonts w:ascii="Arial" w:cs="Arial" w:eastAsia="Arial" w:hAnsi="Arial"/>
          <w:sz w:val="18"/>
          <w:szCs w:val="18"/>
          <w:color w:val="auto"/>
        </w:rPr>
        <w:t>ILING</w:t>
      </w:r>
    </w:p>
    <w:p>
      <w:pPr>
        <w:spacing w:after="0" w:line="200" w:lineRule="exact"/>
        <w:rPr>
          <w:sz w:val="24"/>
          <w:szCs w:val="24"/>
          <w:color w:val="auto"/>
        </w:rPr>
      </w:pPr>
    </w:p>
    <w:p>
      <w:pPr>
        <w:spacing w:after="0" w:line="303" w:lineRule="exact"/>
        <w:rPr>
          <w:sz w:val="24"/>
          <w:szCs w:val="24"/>
          <w:color w:val="auto"/>
        </w:rPr>
      </w:pPr>
    </w:p>
    <w:p>
      <w:pPr>
        <w:spacing w:after="0"/>
        <w:rPr>
          <w:sz w:val="20"/>
          <w:szCs w:val="20"/>
          <w:color w:val="auto"/>
        </w:rPr>
      </w:pPr>
      <w:r>
        <w:rPr>
          <w:rFonts w:ascii="Arial" w:cs="Arial" w:eastAsia="Arial" w:hAnsi="Arial"/>
          <w:sz w:val="22"/>
          <w:szCs w:val="22"/>
          <w:color w:val="auto"/>
        </w:rPr>
        <w:t>Justin Dobbie</w:t>
      </w:r>
    </w:p>
    <w:p>
      <w:pPr>
        <w:spacing w:after="0" w:line="22" w:lineRule="exact"/>
        <w:rPr>
          <w:sz w:val="24"/>
          <w:szCs w:val="24"/>
          <w:color w:val="auto"/>
        </w:rPr>
      </w:pPr>
    </w:p>
    <w:p>
      <w:pPr>
        <w:spacing w:after="0"/>
        <w:rPr>
          <w:sz w:val="20"/>
          <w:szCs w:val="20"/>
          <w:color w:val="auto"/>
        </w:rPr>
      </w:pPr>
      <w:r>
        <w:rPr>
          <w:rFonts w:ascii="Arial" w:cs="Arial" w:eastAsia="Arial" w:hAnsi="Arial"/>
          <w:sz w:val="22"/>
          <w:szCs w:val="22"/>
          <w:color w:val="auto"/>
        </w:rPr>
        <w:t>Division of Corporate Finance</w:t>
      </w:r>
    </w:p>
    <w:p>
      <w:pPr>
        <w:spacing w:after="0" w:line="4" w:lineRule="exact"/>
        <w:rPr>
          <w:sz w:val="24"/>
          <w:szCs w:val="24"/>
          <w:color w:val="auto"/>
        </w:rPr>
      </w:pPr>
    </w:p>
    <w:p>
      <w:pPr>
        <w:spacing w:after="0"/>
        <w:rPr>
          <w:sz w:val="20"/>
          <w:szCs w:val="20"/>
          <w:color w:val="auto"/>
        </w:rPr>
      </w:pPr>
      <w:r>
        <w:rPr>
          <w:rFonts w:ascii="Arial" w:cs="Arial" w:eastAsia="Arial" w:hAnsi="Arial"/>
          <w:sz w:val="22"/>
          <w:szCs w:val="22"/>
          <w:color w:val="auto"/>
        </w:rPr>
        <w:t>Securities and Exchange Commission</w:t>
      </w:r>
    </w:p>
    <w:p>
      <w:pPr>
        <w:spacing w:after="0" w:line="4" w:lineRule="exact"/>
        <w:rPr>
          <w:sz w:val="24"/>
          <w:szCs w:val="24"/>
          <w:color w:val="auto"/>
        </w:rPr>
      </w:pPr>
    </w:p>
    <w:p>
      <w:pPr>
        <w:spacing w:after="0"/>
        <w:rPr>
          <w:sz w:val="20"/>
          <w:szCs w:val="20"/>
          <w:color w:val="auto"/>
        </w:rPr>
      </w:pPr>
      <w:r>
        <w:rPr>
          <w:rFonts w:ascii="Arial" w:cs="Arial" w:eastAsia="Arial" w:hAnsi="Arial"/>
          <w:sz w:val="22"/>
          <w:szCs w:val="22"/>
          <w:color w:val="auto"/>
        </w:rPr>
        <w:t>100 F Street, N.E.</w:t>
      </w:r>
    </w:p>
    <w:p>
      <w:pPr>
        <w:spacing w:after="0" w:line="4" w:lineRule="exact"/>
        <w:rPr>
          <w:sz w:val="24"/>
          <w:szCs w:val="24"/>
          <w:color w:val="auto"/>
        </w:rPr>
      </w:pPr>
    </w:p>
    <w:p>
      <w:pPr>
        <w:spacing w:after="0"/>
        <w:rPr>
          <w:sz w:val="20"/>
          <w:szCs w:val="20"/>
          <w:color w:val="auto"/>
        </w:rPr>
      </w:pPr>
      <w:r>
        <w:rPr>
          <w:rFonts w:ascii="Arial" w:cs="Arial" w:eastAsia="Arial" w:hAnsi="Arial"/>
          <w:sz w:val="22"/>
          <w:szCs w:val="22"/>
          <w:color w:val="auto"/>
        </w:rPr>
        <w:t>Washington, D.C. 20549</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2180"/>
        <w:spacing w:after="0"/>
        <w:tabs>
          <w:tab w:leader="none" w:pos="3200" w:val="left"/>
        </w:tabs>
        <w:rPr>
          <w:sz w:val="20"/>
          <w:szCs w:val="20"/>
          <w:color w:val="auto"/>
        </w:rPr>
      </w:pPr>
      <w:r>
        <w:rPr>
          <w:rFonts w:ascii="Arial" w:cs="Arial" w:eastAsia="Arial" w:hAnsi="Arial"/>
          <w:sz w:val="22"/>
          <w:szCs w:val="22"/>
          <w:color w:val="auto"/>
        </w:rPr>
        <w:t>Re:</w:t>
      </w:r>
      <w:r>
        <w:rPr>
          <w:sz w:val="20"/>
          <w:szCs w:val="20"/>
          <w:color w:val="auto"/>
        </w:rPr>
        <w:tab/>
      </w:r>
      <w:r>
        <w:rPr>
          <w:rFonts w:ascii="Arial" w:cs="Arial" w:eastAsia="Arial" w:hAnsi="Arial"/>
          <w:sz w:val="22"/>
          <w:szCs w:val="22"/>
          <w:color w:val="auto"/>
        </w:rPr>
        <w:t>Winnebago Industries, Inc. (the "Company")</w:t>
      </w:r>
    </w:p>
    <w:p>
      <w:pPr>
        <w:spacing w:after="0" w:line="44" w:lineRule="exact"/>
        <w:rPr>
          <w:sz w:val="24"/>
          <w:szCs w:val="24"/>
          <w:color w:val="auto"/>
        </w:rPr>
      </w:pPr>
    </w:p>
    <w:p>
      <w:pPr>
        <w:ind w:left="4220"/>
        <w:spacing w:after="0"/>
        <w:rPr>
          <w:sz w:val="20"/>
          <w:szCs w:val="20"/>
          <w:color w:val="auto"/>
        </w:rPr>
      </w:pPr>
      <w:r>
        <w:rPr>
          <w:rFonts w:ascii="Arial" w:cs="Arial" w:eastAsia="Arial" w:hAnsi="Arial"/>
          <w:sz w:val="22"/>
          <w:szCs w:val="22"/>
          <w:color w:val="auto"/>
        </w:rPr>
        <w:t>File No. 333-187720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2028825</wp:posOffset>
            </wp:positionH>
            <wp:positionV relativeFrom="paragraph">
              <wp:posOffset>24765</wp:posOffset>
            </wp:positionV>
            <wp:extent cx="293306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933065" cy="8890"/>
                    </a:xfrm>
                    <a:prstGeom prst="rect">
                      <a:avLst/>
                    </a:prstGeom>
                    <a:noFill/>
                  </pic:spPr>
                </pic:pic>
              </a:graphicData>
            </a:graphic>
          </wp:anchor>
        </w:drawing>
      </w:r>
    </w:p>
    <w:p>
      <w:pPr>
        <w:spacing w:after="0" w:line="362" w:lineRule="exact"/>
        <w:rPr>
          <w:sz w:val="24"/>
          <w:szCs w:val="24"/>
          <w:color w:val="auto"/>
        </w:rPr>
      </w:pPr>
    </w:p>
    <w:p>
      <w:pPr>
        <w:spacing w:after="0"/>
        <w:rPr>
          <w:sz w:val="20"/>
          <w:szCs w:val="20"/>
          <w:color w:val="auto"/>
        </w:rPr>
      </w:pPr>
      <w:r>
        <w:rPr>
          <w:rFonts w:ascii="Arial" w:cs="Arial" w:eastAsia="Arial" w:hAnsi="Arial"/>
          <w:sz w:val="22"/>
          <w:szCs w:val="22"/>
          <w:color w:val="auto"/>
        </w:rPr>
        <w:t>Dear Mr. Dobbie:</w:t>
      </w:r>
    </w:p>
    <w:p>
      <w:pPr>
        <w:spacing w:after="0" w:line="247" w:lineRule="exact"/>
        <w:rPr>
          <w:sz w:val="24"/>
          <w:szCs w:val="24"/>
          <w:color w:val="auto"/>
        </w:rPr>
      </w:pPr>
    </w:p>
    <w:p>
      <w:pPr>
        <w:jc w:val="both"/>
        <w:ind w:firstLine="648"/>
        <w:spacing w:after="0" w:line="260" w:lineRule="exact"/>
        <w:rPr>
          <w:sz w:val="20"/>
          <w:szCs w:val="20"/>
          <w:color w:val="auto"/>
        </w:rPr>
      </w:pPr>
      <w:r>
        <w:rPr>
          <w:rFonts w:ascii="Arial" w:cs="Arial" w:eastAsia="Arial" w:hAnsi="Arial"/>
          <w:sz w:val="19"/>
          <w:szCs w:val="19"/>
          <w:color w:val="auto"/>
        </w:rPr>
        <w:t xml:space="preserve">By letter dated April 19, 2013 (the </w:t>
      </w:r>
      <w:r>
        <w:rPr>
          <w:rFonts w:ascii="Arial" w:cs="Arial" w:eastAsia="Arial" w:hAnsi="Arial"/>
          <w:sz w:val="19"/>
          <w:szCs w:val="19"/>
          <w:i w:val="1"/>
          <w:iCs w:val="1"/>
          <w:color w:val="auto"/>
        </w:rPr>
        <w:t>“Comment Letter”</w:t>
      </w:r>
      <w:r>
        <w:rPr>
          <w:rFonts w:ascii="Arial" w:cs="Arial" w:eastAsia="Arial" w:hAnsi="Arial"/>
          <w:sz w:val="19"/>
          <w:szCs w:val="19"/>
          <w:color w:val="auto"/>
        </w:rPr>
        <w:t xml:space="preserve">), the Staff of the Securities and Exchange Commission (the </w:t>
      </w:r>
      <w:r>
        <w:rPr>
          <w:rFonts w:ascii="Arial" w:cs="Arial" w:eastAsia="Arial" w:hAnsi="Arial"/>
          <w:sz w:val="19"/>
          <w:szCs w:val="19"/>
          <w:i w:val="1"/>
          <w:iCs w:val="1"/>
          <w:color w:val="auto"/>
        </w:rPr>
        <w:t>“Staff”</w:t>
      </w:r>
      <w:r>
        <w:rPr>
          <w:rFonts w:ascii="Arial" w:cs="Arial" w:eastAsia="Arial" w:hAnsi="Arial"/>
          <w:sz w:val="19"/>
          <w:szCs w:val="19"/>
          <w:color w:val="auto"/>
        </w:rPr>
        <w:t>) provided comments regarding the Registration Statement on Form S</w:t>
      </w:r>
      <w:r>
        <w:rPr>
          <w:rFonts w:ascii="MS PGothic" w:cs="MS PGothic" w:eastAsia="MS PGothic" w:hAnsi="MS PGothic"/>
          <w:sz w:val="19"/>
          <w:szCs w:val="19"/>
          <w:color w:val="auto"/>
        </w:rPr>
        <w:t>‑</w:t>
      </w:r>
      <w:r>
        <w:rPr>
          <w:rFonts w:ascii="Arial" w:cs="Arial" w:eastAsia="Arial" w:hAnsi="Arial"/>
          <w:sz w:val="19"/>
          <w:szCs w:val="19"/>
          <w:color w:val="auto"/>
        </w:rPr>
        <w:t xml:space="preserve">3 filed by the Company (the </w:t>
      </w:r>
      <w:r>
        <w:rPr>
          <w:rFonts w:ascii="Arial" w:cs="Arial" w:eastAsia="Arial" w:hAnsi="Arial"/>
          <w:sz w:val="19"/>
          <w:szCs w:val="19"/>
          <w:i w:val="1"/>
          <w:iCs w:val="1"/>
          <w:color w:val="auto"/>
        </w:rPr>
        <w:t>“Registration Statement”</w:t>
      </w:r>
      <w:r>
        <w:rPr>
          <w:rFonts w:ascii="Arial" w:cs="Arial" w:eastAsia="Arial" w:hAnsi="Arial"/>
          <w:sz w:val="19"/>
          <w:szCs w:val="19"/>
          <w:color w:val="auto"/>
        </w:rPr>
        <w:t xml:space="preserve">). In response to the Staff's comments included in the Comment Letter, the Company has amended the Registration Statement and submitted Amendment No. 1 to the Registration Statement on April 30, 2013 (the </w:t>
      </w:r>
      <w:r>
        <w:rPr>
          <w:rFonts w:ascii="Arial" w:cs="Arial" w:eastAsia="Arial" w:hAnsi="Arial"/>
          <w:sz w:val="19"/>
          <w:szCs w:val="19"/>
          <w:i w:val="1"/>
          <w:iCs w:val="1"/>
          <w:color w:val="auto"/>
        </w:rPr>
        <w:t>“Amended Registration Statement”</w:t>
      </w:r>
      <w:r>
        <w:rPr>
          <w:rFonts w:ascii="Arial" w:cs="Arial" w:eastAsia="Arial" w:hAnsi="Arial"/>
          <w:sz w:val="19"/>
          <w:szCs w:val="19"/>
          <w:color w:val="auto"/>
        </w:rPr>
        <w:t>). The following numbered paragraphs of this letter correspond to the numbered paragraphs of the Comment Letter.</w:t>
      </w:r>
    </w:p>
    <w:p>
      <w:pPr>
        <w:spacing w:after="0" w:line="304" w:lineRule="exact"/>
        <w:rPr>
          <w:sz w:val="24"/>
          <w:szCs w:val="24"/>
          <w:color w:val="auto"/>
        </w:rPr>
      </w:pPr>
    </w:p>
    <w:p>
      <w:pPr>
        <w:spacing w:after="0"/>
        <w:rPr>
          <w:sz w:val="20"/>
          <w:szCs w:val="20"/>
          <w:color w:val="auto"/>
        </w:rPr>
      </w:pPr>
      <w:r>
        <w:rPr>
          <w:rFonts w:ascii="Arial" w:cs="Arial" w:eastAsia="Arial" w:hAnsi="Arial"/>
          <w:sz w:val="22"/>
          <w:szCs w:val="22"/>
          <w:b w:val="1"/>
          <w:bCs w:val="1"/>
          <w:color w:val="auto"/>
        </w:rPr>
        <w:t>E</w:t>
      </w:r>
      <w:r>
        <w:rPr>
          <w:rFonts w:ascii="Arial" w:cs="Arial" w:eastAsia="Arial" w:hAnsi="Arial"/>
          <w:sz w:val="18"/>
          <w:szCs w:val="18"/>
          <w:b w:val="1"/>
          <w:bCs w:val="1"/>
          <w:color w:val="auto"/>
        </w:rPr>
        <w:t>XHIBIT</w:t>
      </w:r>
      <w:r>
        <w:rPr>
          <w:rFonts w:ascii="Arial" w:cs="Arial" w:eastAsia="Arial" w:hAnsi="Arial"/>
          <w:sz w:val="22"/>
          <w:szCs w:val="22"/>
          <w:b w:val="1"/>
          <w:bCs w:val="1"/>
          <w:color w:val="auto"/>
        </w:rPr>
        <w:t xml:space="preserve"> 5.1</w:t>
      </w:r>
    </w:p>
    <w:p>
      <w:pPr>
        <w:spacing w:after="0" w:line="260" w:lineRule="exact"/>
        <w:rPr>
          <w:sz w:val="24"/>
          <w:szCs w:val="24"/>
          <w:color w:val="auto"/>
        </w:rPr>
      </w:pPr>
    </w:p>
    <w:p>
      <w:pPr>
        <w:jc w:val="both"/>
        <w:ind w:firstLine="656"/>
        <w:spacing w:after="0" w:line="256" w:lineRule="auto"/>
        <w:tabs>
          <w:tab w:leader="none" w:pos="1166"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Please have counsel revise the second to last paragraph to remove the phrase limiting the opinion to the corporate laws of Iowa that “in our experience, are normally applicable to transactions of the type contemplated by the Registration Statement…” This is an inappropriate opinion qualification. Counsel must provide a legal opinion based upon all applicable Iowa laws.</w:t>
      </w:r>
    </w:p>
    <w:p>
      <w:pPr>
        <w:spacing w:after="0" w:line="210" w:lineRule="exact"/>
        <w:rPr>
          <w:sz w:val="24"/>
          <w:szCs w:val="24"/>
          <w:color w:val="auto"/>
        </w:rPr>
      </w:pPr>
    </w:p>
    <w:p>
      <w:pPr>
        <w:spacing w:after="0"/>
        <w:tabs>
          <w:tab w:leader="none" w:pos="1060" w:val="left"/>
        </w:tabs>
        <w:rPr>
          <w:sz w:val="20"/>
          <w:szCs w:val="20"/>
          <w:color w:val="auto"/>
        </w:rPr>
      </w:pPr>
      <w:r>
        <w:rPr>
          <w:rFonts w:ascii="Arial" w:cs="Arial" w:eastAsia="Arial" w:hAnsi="Arial"/>
          <w:sz w:val="22"/>
          <w:szCs w:val="22"/>
          <w:color w:val="auto"/>
        </w:rPr>
        <w:t>Response:</w:t>
      </w:r>
      <w:r>
        <w:rPr>
          <w:sz w:val="20"/>
          <w:szCs w:val="20"/>
          <w:color w:val="auto"/>
        </w:rPr>
        <w:tab/>
      </w:r>
      <w:r>
        <w:rPr>
          <w:rFonts w:ascii="Arial" w:cs="Arial" w:eastAsia="Arial" w:hAnsi="Arial"/>
          <w:sz w:val="19"/>
          <w:szCs w:val="19"/>
          <w:color w:val="auto"/>
        </w:rPr>
        <w:t>Pursuant to your request, the Company has attached as Exhibit 5.1 to the Amended Registration Statement a revised</w:t>
      </w:r>
    </w:p>
    <w:p>
      <w:pPr>
        <w:spacing w:after="0" w:line="22" w:lineRule="exact"/>
        <w:rPr>
          <w:sz w:val="24"/>
          <w:szCs w:val="24"/>
          <w:color w:val="auto"/>
        </w:rPr>
      </w:pPr>
    </w:p>
    <w:p>
      <w:pPr>
        <w:ind w:right="400"/>
        <w:spacing w:after="0" w:line="259" w:lineRule="auto"/>
        <w:rPr>
          <w:sz w:val="20"/>
          <w:szCs w:val="20"/>
          <w:color w:val="auto"/>
        </w:rPr>
      </w:pPr>
      <w:r>
        <w:rPr>
          <w:rFonts w:ascii="Arial" w:cs="Arial" w:eastAsia="Arial" w:hAnsi="Arial"/>
          <w:sz w:val="22"/>
          <w:szCs w:val="22"/>
          <w:color w:val="auto"/>
        </w:rPr>
        <w:t>opinion of counsel which has removed in the second to last paragraph of the following phrase: “in our experience, are normally applicable to transactions of the type contemplated by the Registration Statement …”.</w:t>
      </w:r>
    </w:p>
    <w:p>
      <w:pPr>
        <w:sectPr>
          <w:pgSz w:w="11900" w:h="16838" w:orient="portrait"/>
          <w:cols w:equalWidth="0" w:num="1">
            <w:col w:w="11420"/>
          </w:cols>
          <w:pgMar w:left="240" w:top="918" w:right="239" w:bottom="1440" w:gutter="0" w:footer="0" w:header="0"/>
        </w:sectPr>
      </w:pPr>
    </w:p>
    <w:bookmarkStart w:id="1" w:name="page2"/>
    <w:bookmarkEnd w:id="1"/>
    <w:p>
      <w:pPr>
        <w:ind w:left="660"/>
        <w:spacing w:after="0"/>
        <w:tabs>
          <w:tab w:leader="none" w:pos="980" w:val="left"/>
        </w:tabs>
        <w:rPr>
          <w:sz w:val="20"/>
          <w:szCs w:val="20"/>
          <w:color w:val="auto"/>
        </w:rPr>
      </w:pPr>
      <w:r>
        <w:rPr>
          <w:rFonts w:ascii="Arial" w:cs="Arial" w:eastAsia="Arial" w:hAnsi="Arial"/>
          <w:sz w:val="22"/>
          <w:szCs w:val="22"/>
          <w:b w:val="1"/>
          <w:bCs w:val="1"/>
          <w:color w:val="auto"/>
        </w:rPr>
        <w:t>2.</w:t>
      </w:r>
      <w:r>
        <w:rPr>
          <w:sz w:val="20"/>
          <w:szCs w:val="20"/>
          <w:color w:val="auto"/>
        </w:rPr>
        <w:tab/>
      </w:r>
      <w:r>
        <w:rPr>
          <w:rFonts w:ascii="Arial" w:cs="Arial" w:eastAsia="Arial" w:hAnsi="Arial"/>
          <w:sz w:val="19"/>
          <w:szCs w:val="19"/>
          <w:b w:val="1"/>
          <w:bCs w:val="1"/>
          <w:color w:val="auto"/>
        </w:rPr>
        <w:t>Please confirm that you will file an updated and unqualified version of Exhibit 5.1 at each takedown.</w:t>
      </w:r>
    </w:p>
    <w:p>
      <w:pPr>
        <w:spacing w:after="0" w:line="266" w:lineRule="exact"/>
        <w:rPr>
          <w:sz w:val="20"/>
          <w:szCs w:val="20"/>
          <w:color w:val="auto"/>
        </w:rPr>
      </w:pPr>
    </w:p>
    <w:p>
      <w:pPr>
        <w:ind w:right="160"/>
        <w:spacing w:after="0" w:line="276" w:lineRule="auto"/>
        <w:rPr>
          <w:sz w:val="20"/>
          <w:szCs w:val="20"/>
          <w:color w:val="auto"/>
        </w:rPr>
      </w:pPr>
      <w:r>
        <w:rPr>
          <w:rFonts w:ascii="Arial" w:cs="Arial" w:eastAsia="Arial" w:hAnsi="Arial"/>
          <w:sz w:val="22"/>
          <w:szCs w:val="22"/>
          <w:color w:val="auto"/>
        </w:rPr>
        <w:t>Response: The Company respectfully advises the Staff that an updated and unqualified version of the Exhibit 5.1 opinion will be filed in connection with any takedown transaction.</w:t>
      </w: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w:t>
      </w:r>
    </w:p>
    <w:p>
      <w:pPr>
        <w:spacing w:after="0" w:line="24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We appreciate your prompt attention to this Registration Statement. If you have any questions or comments or would like to discuss our responses to your questions please feel free to contact Walter L. Draney at (312) 845-3273 or the undersigned at (312) 845-2981.</w:t>
      </w:r>
    </w:p>
    <w:p>
      <w:pPr>
        <w:spacing w:after="0" w:line="200" w:lineRule="exact"/>
        <w:rPr>
          <w:sz w:val="20"/>
          <w:szCs w:val="20"/>
          <w:color w:val="auto"/>
        </w:rPr>
      </w:pPr>
    </w:p>
    <w:p>
      <w:pPr>
        <w:spacing w:after="0" w:line="351" w:lineRule="exact"/>
        <w:rPr>
          <w:sz w:val="20"/>
          <w:szCs w:val="20"/>
          <w:color w:val="auto"/>
        </w:rPr>
      </w:pPr>
    </w:p>
    <w:p>
      <w:pPr>
        <w:ind w:left="7900"/>
        <w:spacing w:after="0"/>
        <w:rPr>
          <w:sz w:val="20"/>
          <w:szCs w:val="20"/>
          <w:color w:val="auto"/>
        </w:rPr>
      </w:pPr>
      <w:r>
        <w:rPr>
          <w:rFonts w:ascii="Arial" w:cs="Arial" w:eastAsia="Arial" w:hAnsi="Arial"/>
          <w:sz w:val="22"/>
          <w:szCs w:val="22"/>
          <w:color w:val="auto"/>
        </w:rPr>
        <w:t>Very truly yours,</w:t>
      </w:r>
    </w:p>
    <w:p>
      <w:pPr>
        <w:spacing w:after="0" w:line="368" w:lineRule="exact"/>
        <w:rPr>
          <w:sz w:val="20"/>
          <w:szCs w:val="20"/>
          <w:color w:val="auto"/>
        </w:rPr>
      </w:pPr>
    </w:p>
    <w:p>
      <w:pPr>
        <w:ind w:left="7900"/>
        <w:spacing w:after="0"/>
        <w:rPr>
          <w:sz w:val="20"/>
          <w:szCs w:val="20"/>
          <w:color w:val="auto"/>
        </w:rPr>
      </w:pPr>
      <w:r>
        <w:rPr>
          <w:rFonts w:ascii="Arial" w:cs="Arial" w:eastAsia="Arial" w:hAnsi="Arial"/>
          <w:sz w:val="22"/>
          <w:szCs w:val="22"/>
          <w:color w:val="auto"/>
        </w:rPr>
        <w:t>CHAPMAN AND CUTLER LLP</w:t>
      </w:r>
    </w:p>
    <w:p>
      <w:pPr>
        <w:spacing w:after="0" w:line="368" w:lineRule="exact"/>
        <w:rPr>
          <w:sz w:val="20"/>
          <w:szCs w:val="20"/>
          <w:color w:val="auto"/>
        </w:rPr>
      </w:pPr>
    </w:p>
    <w:p>
      <w:pPr>
        <w:jc w:val="right"/>
        <w:ind w:right="1280"/>
        <w:spacing w:after="0"/>
        <w:rPr>
          <w:sz w:val="20"/>
          <w:szCs w:val="20"/>
          <w:color w:val="auto"/>
        </w:rPr>
      </w:pPr>
      <w:r>
        <w:rPr>
          <w:rFonts w:ascii="Arial" w:cs="Arial" w:eastAsia="Arial" w:hAnsi="Arial"/>
          <w:sz w:val="22"/>
          <w:szCs w:val="22"/>
          <w:color w:val="auto"/>
        </w:rPr>
        <w:t>By: /s/ William M. Libit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5321935</wp:posOffset>
            </wp:positionH>
            <wp:positionV relativeFrom="paragraph">
              <wp:posOffset>24765</wp:posOffset>
            </wp:positionV>
            <wp:extent cx="167259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672590" cy="8890"/>
                    </a:xfrm>
                    <a:prstGeom prst="rect">
                      <a:avLst/>
                    </a:prstGeom>
                    <a:noFill/>
                  </pic:spPr>
                </pic:pic>
              </a:graphicData>
            </a:graphic>
          </wp:anchor>
        </w:drawing>
      </w:r>
    </w:p>
    <w:p>
      <w:pPr>
        <w:spacing w:after="0" w:line="38" w:lineRule="exact"/>
        <w:rPr>
          <w:sz w:val="20"/>
          <w:szCs w:val="20"/>
          <w:color w:val="auto"/>
        </w:rPr>
      </w:pPr>
    </w:p>
    <w:p>
      <w:pPr>
        <w:jc w:val="right"/>
        <w:ind w:right="1240"/>
        <w:spacing w:after="0"/>
        <w:rPr>
          <w:sz w:val="20"/>
          <w:szCs w:val="20"/>
          <w:color w:val="auto"/>
        </w:rPr>
      </w:pPr>
      <w:r>
        <w:rPr>
          <w:rFonts w:ascii="Arial" w:cs="Arial" w:eastAsia="Arial" w:hAnsi="Arial"/>
          <w:sz w:val="22"/>
          <w:szCs w:val="22"/>
          <w:color w:val="auto"/>
        </w:rPr>
        <w:t>William M. Libit</w:t>
      </w:r>
    </w:p>
    <w:p>
      <w:pPr>
        <w:spacing w:after="0" w:line="200" w:lineRule="exact"/>
        <w:rPr>
          <w:sz w:val="20"/>
          <w:szCs w:val="20"/>
          <w:color w:val="auto"/>
        </w:rPr>
      </w:pPr>
    </w:p>
    <w:p>
      <w:pPr>
        <w:spacing w:after="0" w:line="222" w:lineRule="exact"/>
        <w:rPr>
          <w:sz w:val="20"/>
          <w:szCs w:val="20"/>
          <w:color w:val="auto"/>
        </w:rPr>
      </w:pPr>
    </w:p>
    <w:p>
      <w:pPr>
        <w:ind w:left="840" w:right="7760" w:hanging="805"/>
        <w:spacing w:after="0" w:line="357" w:lineRule="auto"/>
        <w:tabs>
          <w:tab w:leader="none" w:pos="840" w:val="left"/>
        </w:tabs>
        <w:numPr>
          <w:ilvl w:val="0"/>
          <w:numId w:val="2"/>
        </w:numPr>
        <w:rPr>
          <w:rFonts w:ascii="Arial" w:cs="Arial" w:eastAsia="Arial" w:hAnsi="Arial"/>
          <w:sz w:val="19"/>
          <w:szCs w:val="19"/>
          <w:color w:val="auto"/>
        </w:rPr>
      </w:pPr>
      <w:r>
        <w:rPr>
          <w:rFonts w:ascii="Arial" w:cs="Arial" w:eastAsia="Arial" w:hAnsi="Arial"/>
          <w:sz w:val="19"/>
          <w:szCs w:val="19"/>
          <w:color w:val="auto"/>
        </w:rPr>
        <w:t>Scott C. Folkers; Vice President, General Counsel and Secretary; Winnebago Industries, Inc.</w:t>
      </w:r>
    </w:p>
    <w:sectPr>
      <w:pgSz w:w="11900" w:h="16838" w:orient="portrait"/>
      <w:cols w:equalWidth="0" w:num="1">
        <w:col w:w="11420"/>
      </w:cols>
      <w:pgMar w:left="240" w:top="132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1:"/>
      <w:numFmt w:val="lowerLetter"/>
      <w:start w:val="29"/>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2019-12-05T16:52:20Z</dcterms:created>
  <dcterms:modified xsi:type="dcterms:W3CDTF">2019-12-05T16:52:20Z</dcterms:modified>
</cp:coreProperties>
</file>