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82" w:lineRule="exact"/>
        <w:rPr>
          <w:sz w:val="24"/>
          <w:szCs w:val="24"/>
          <w:color w:val="auto"/>
        </w:rPr>
      </w:pPr>
    </w:p>
    <w:p>
      <w:pPr>
        <w:ind w:left="20"/>
        <w:spacing w:after="0"/>
        <w:rPr>
          <w:sz w:val="20"/>
          <w:szCs w:val="20"/>
          <w:color w:val="auto"/>
        </w:rPr>
      </w:pPr>
      <w:r>
        <w:rPr>
          <w:rFonts w:ascii="Arial" w:cs="Arial" w:eastAsia="Arial" w:hAnsi="Arial"/>
          <w:sz w:val="16"/>
          <w:szCs w:val="16"/>
          <w:color w:val="auto"/>
        </w:rPr>
        <w:t>(Mark One)</w:t>
      </w:r>
    </w:p>
    <w:p>
      <w:pPr>
        <w:spacing w:after="0" w:line="44"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44" w:lineRule="exact"/>
        <w:rPr>
          <w:sz w:val="24"/>
          <w:szCs w:val="24"/>
          <w:color w:val="auto"/>
        </w:rPr>
      </w:pPr>
    </w:p>
    <w:p>
      <w:pPr>
        <w:ind w:right="2580" w:firstLine="355"/>
        <w:spacing w:after="0" w:line="378" w:lineRule="auto"/>
        <w:rPr>
          <w:sz w:val="20"/>
          <w:szCs w:val="20"/>
          <w:color w:val="auto"/>
        </w:rPr>
      </w:pPr>
      <w:r>
        <w:rPr>
          <w:rFonts w:ascii="Arial" w:cs="Arial" w:eastAsia="Arial" w:hAnsi="Arial"/>
          <w:sz w:val="16"/>
          <w:szCs w:val="16"/>
          <w:b w:val="1"/>
          <w:bCs w:val="1"/>
          <w:color w:val="auto"/>
        </w:rPr>
        <w:t xml:space="preserve">QUARTERLY REPORT PURSUANT TO SECTION 13 OR 15(d) OF THE SECURITIES EXCHANGE ACT OF 1934 </w:t>
      </w:r>
      <w:r>
        <w:rPr>
          <w:rFonts w:ascii="Arial" w:cs="Arial" w:eastAsia="Arial" w:hAnsi="Arial"/>
          <w:sz w:val="16"/>
          <w:szCs w:val="16"/>
          <w:color w:val="auto"/>
        </w:rPr>
        <w:t>For the quarterly period ended February 26, 2022</w:t>
      </w:r>
    </w:p>
    <w:p>
      <w:pPr>
        <w:spacing w:after="0" w:line="1"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or</w:t>
      </w:r>
    </w:p>
    <w:p>
      <w:pPr>
        <w:spacing w:after="0" w:line="66" w:lineRule="exact"/>
        <w:rPr>
          <w:sz w:val="24"/>
          <w:szCs w:val="24"/>
          <w:color w:val="auto"/>
        </w:rPr>
      </w:pPr>
    </w:p>
    <w:p>
      <w:pPr>
        <w:ind w:left="280" w:right="2680" w:hanging="254"/>
        <w:spacing w:after="0" w:line="365" w:lineRule="auto"/>
        <w:tabs>
          <w:tab w:leader="none" w:pos="2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_________________ to _________________</w:t>
      </w:r>
    </w:p>
    <w:p>
      <w:pPr>
        <w:jc w:val="center"/>
        <w:ind w:right="60"/>
        <w:spacing w:after="0"/>
        <w:rPr>
          <w:sz w:val="20"/>
          <w:szCs w:val="20"/>
          <w:color w:val="auto"/>
        </w:rPr>
      </w:pPr>
      <w:r>
        <w:rPr>
          <w:rFonts w:ascii="Arial" w:cs="Arial" w:eastAsia="Arial" w:hAnsi="Arial"/>
          <w:sz w:val="16"/>
          <w:szCs w:val="16"/>
          <w:color w:val="auto"/>
        </w:rPr>
        <w:t>Commission File Number: 001-06403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62230</wp:posOffset>
            </wp:positionV>
            <wp:extent cx="3420110"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134" w:lineRule="exact"/>
        <w:rPr>
          <w:sz w:val="24"/>
          <w:szCs w:val="24"/>
          <w:color w:val="auto"/>
        </w:rPr>
      </w:pPr>
    </w:p>
    <w:tbl>
      <w:tblPr>
        <w:tblLayout w:type="fixed"/>
        <w:tblInd w:w="10" w:type="dxa"/>
        <w:tblCellMar>
          <w:top w:w="0" w:type="dxa"/>
          <w:left w:w="0" w:type="dxa"/>
          <w:bottom w:w="0" w:type="dxa"/>
          <w:right w:w="0" w:type="dxa"/>
        </w:tblCellMar>
      </w:tblPr>
      <w:tr>
        <w:trPr>
          <w:trHeight w:val="218"/>
        </w:trPr>
        <w:tc>
          <w:tcPr>
            <w:tcW w:w="1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center"/>
              <w:ind w:right="459"/>
              <w:spacing w:after="0"/>
              <w:rPr>
                <w:sz w:val="20"/>
                <w:szCs w:val="20"/>
                <w:color w:val="auto"/>
              </w:rPr>
            </w:pPr>
            <w:r>
              <w:rPr>
                <w:rFonts w:ascii="Arial" w:cs="Arial" w:eastAsia="Arial" w:hAnsi="Arial"/>
                <w:sz w:val="16"/>
                <w:szCs w:val="16"/>
                <w:b w:val="1"/>
                <w:bCs w:val="1"/>
                <w:color w:val="auto"/>
              </w:rPr>
              <w:t>Minnesota</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4840" w:type="dxa"/>
            <w:vAlign w:val="bottom"/>
            <w:tcBorders>
              <w:bottom w:val="single" w:sz="8" w:color="auto"/>
            </w:tcBorders>
            <w:gridSpan w:val="3"/>
          </w:tcPr>
          <w:p>
            <w:pPr>
              <w:jc w:val="right"/>
              <w:ind w:right="2000"/>
              <w:spacing w:after="0"/>
              <w:rPr>
                <w:sz w:val="20"/>
                <w:szCs w:val="20"/>
                <w:color w:val="auto"/>
              </w:rPr>
            </w:pPr>
            <w:r>
              <w:rPr>
                <w:rFonts w:ascii="Arial" w:cs="Arial" w:eastAsia="Arial" w:hAnsi="Arial"/>
                <w:sz w:val="16"/>
                <w:szCs w:val="16"/>
                <w:b w:val="1"/>
                <w:bCs w:val="1"/>
                <w:color w:val="auto"/>
              </w:rPr>
              <w:t>42-0802678</w:t>
            </w:r>
          </w:p>
        </w:tc>
      </w:tr>
      <w:tr>
        <w:trPr>
          <w:trHeight w:val="207"/>
        </w:trPr>
        <w:tc>
          <w:tcPr>
            <w:tcW w:w="6420" w:type="dxa"/>
            <w:vAlign w:val="bottom"/>
            <w:gridSpan w:val="6"/>
          </w:tcPr>
          <w:p>
            <w:pPr>
              <w:jc w:val="center"/>
              <w:ind w:right="680"/>
              <w:spacing w:after="0"/>
              <w:rPr>
                <w:sz w:val="20"/>
                <w:szCs w:val="20"/>
                <w:color w:val="auto"/>
              </w:rPr>
            </w:pPr>
            <w:r>
              <w:rPr>
                <w:rFonts w:ascii="Arial" w:cs="Arial" w:eastAsia="Arial" w:hAnsi="Arial"/>
                <w:sz w:val="16"/>
                <w:szCs w:val="16"/>
                <w:color w:val="auto"/>
              </w:rPr>
              <w:t>(State or other jurisdiction of incorporation or organization)</w:t>
            </w:r>
          </w:p>
        </w:tc>
        <w:tc>
          <w:tcPr>
            <w:tcW w:w="80" w:type="dxa"/>
            <w:vAlign w:val="bottom"/>
          </w:tcPr>
          <w:p>
            <w:pPr>
              <w:spacing w:after="0"/>
              <w:rPr>
                <w:sz w:val="17"/>
                <w:szCs w:val="17"/>
                <w:color w:val="auto"/>
              </w:rPr>
            </w:pPr>
          </w:p>
        </w:tc>
        <w:tc>
          <w:tcPr>
            <w:tcW w:w="4760" w:type="dxa"/>
            <w:vAlign w:val="bottom"/>
            <w:gridSpan w:val="2"/>
          </w:tcPr>
          <w:p>
            <w:pPr>
              <w:jc w:val="center"/>
              <w:ind w:right="100"/>
              <w:spacing w:after="0"/>
              <w:rPr>
                <w:sz w:val="20"/>
                <w:szCs w:val="20"/>
                <w:color w:val="auto"/>
              </w:rPr>
            </w:pPr>
            <w:r>
              <w:rPr>
                <w:rFonts w:ascii="Arial" w:cs="Arial" w:eastAsia="Arial" w:hAnsi="Arial"/>
                <w:sz w:val="16"/>
                <w:szCs w:val="16"/>
                <w:color w:val="auto"/>
              </w:rPr>
              <w:t>(I.R.S. Employer Identification No.)</w:t>
            </w:r>
          </w:p>
        </w:tc>
      </w:tr>
      <w:tr>
        <w:trPr>
          <w:trHeight w:val="273"/>
        </w:trPr>
        <w:tc>
          <w:tcPr>
            <w:tcW w:w="1720" w:type="dxa"/>
            <w:vAlign w:val="bottom"/>
          </w:tcPr>
          <w:p>
            <w:pPr>
              <w:ind w:left="240"/>
              <w:spacing w:after="0"/>
              <w:rPr>
                <w:sz w:val="20"/>
                <w:szCs w:val="20"/>
                <w:color w:val="auto"/>
              </w:rPr>
            </w:pPr>
            <w:r>
              <w:rPr>
                <w:rFonts w:ascii="Arial" w:cs="Arial" w:eastAsia="Arial" w:hAnsi="Arial"/>
                <w:sz w:val="16"/>
                <w:szCs w:val="16"/>
                <w:b w:val="1"/>
                <w:bCs w:val="1"/>
                <w:color w:val="auto"/>
              </w:rPr>
              <w:t>13200 Pioneer Trail</w:t>
            </w:r>
          </w:p>
        </w:tc>
        <w:tc>
          <w:tcPr>
            <w:tcW w:w="220" w:type="dxa"/>
            <w:vAlign w:val="bottom"/>
          </w:tcPr>
          <w:p>
            <w:pPr>
              <w:spacing w:after="0"/>
              <w:rPr>
                <w:sz w:val="23"/>
                <w:szCs w:val="23"/>
                <w:color w:val="auto"/>
              </w:rPr>
            </w:pPr>
          </w:p>
        </w:tc>
        <w:tc>
          <w:tcPr>
            <w:tcW w:w="2380" w:type="dxa"/>
            <w:vAlign w:val="bottom"/>
          </w:tcPr>
          <w:p>
            <w:pPr>
              <w:ind w:left="500"/>
              <w:spacing w:after="0"/>
              <w:rPr>
                <w:sz w:val="20"/>
                <w:szCs w:val="20"/>
                <w:color w:val="auto"/>
              </w:rPr>
            </w:pPr>
            <w:r>
              <w:rPr>
                <w:rFonts w:ascii="Arial" w:cs="Arial" w:eastAsia="Arial" w:hAnsi="Arial"/>
                <w:sz w:val="16"/>
                <w:szCs w:val="16"/>
                <w:b w:val="1"/>
                <w:bCs w:val="1"/>
                <w:color w:val="auto"/>
              </w:rPr>
              <w:t>Eden Prairie</w:t>
            </w:r>
          </w:p>
        </w:tc>
        <w:tc>
          <w:tcPr>
            <w:tcW w:w="2100" w:type="dxa"/>
            <w:vAlign w:val="bottom"/>
            <w:gridSpan w:val="3"/>
          </w:tcPr>
          <w:p>
            <w:pPr>
              <w:jc w:val="right"/>
              <w:ind w:right="1220"/>
              <w:spacing w:after="0"/>
              <w:rPr>
                <w:sz w:val="20"/>
                <w:szCs w:val="20"/>
                <w:color w:val="auto"/>
              </w:rPr>
            </w:pPr>
            <w:r>
              <w:rPr>
                <w:rFonts w:ascii="Arial" w:cs="Arial" w:eastAsia="Arial" w:hAnsi="Arial"/>
                <w:sz w:val="16"/>
                <w:szCs w:val="16"/>
                <w:b w:val="1"/>
                <w:bCs w:val="1"/>
                <w:color w:val="auto"/>
              </w:rPr>
              <w:t>Minnesota</w:t>
            </w:r>
          </w:p>
        </w:tc>
        <w:tc>
          <w:tcPr>
            <w:tcW w:w="4840" w:type="dxa"/>
            <w:vAlign w:val="bottom"/>
            <w:gridSpan w:val="3"/>
          </w:tcPr>
          <w:p>
            <w:pPr>
              <w:jc w:val="right"/>
              <w:ind w:right="2200"/>
              <w:spacing w:after="0"/>
              <w:rPr>
                <w:sz w:val="20"/>
                <w:szCs w:val="20"/>
                <w:color w:val="auto"/>
              </w:rPr>
            </w:pPr>
            <w:r>
              <w:rPr>
                <w:rFonts w:ascii="Arial" w:cs="Arial" w:eastAsia="Arial" w:hAnsi="Arial"/>
                <w:sz w:val="16"/>
                <w:szCs w:val="16"/>
                <w:b w:val="1"/>
                <w:bCs w:val="1"/>
                <w:color w:val="auto"/>
              </w:rPr>
              <w:t>55347</w:t>
            </w:r>
          </w:p>
        </w:tc>
      </w:tr>
      <w:tr>
        <w:trPr>
          <w:trHeight w:val="207"/>
        </w:trPr>
        <w:tc>
          <w:tcPr>
            <w:tcW w:w="4320" w:type="dxa"/>
            <w:vAlign w:val="bottom"/>
            <w:tcBorders>
              <w:top w:val="single" w:sz="8" w:color="auto"/>
            </w:tcBorders>
            <w:gridSpan w:val="3"/>
          </w:tcPr>
          <w:p>
            <w:pPr>
              <w:jc w:val="center"/>
              <w:ind w:left="1319"/>
              <w:spacing w:after="0"/>
              <w:rPr>
                <w:sz w:val="20"/>
                <w:szCs w:val="20"/>
                <w:color w:val="auto"/>
              </w:rPr>
            </w:pPr>
            <w:r>
              <w:rPr>
                <w:rFonts w:ascii="Arial" w:cs="Arial" w:eastAsia="Arial" w:hAnsi="Arial"/>
                <w:sz w:val="16"/>
                <w:szCs w:val="16"/>
                <w:color w:val="auto"/>
              </w:rPr>
              <w:t>(Address of principal executive offices)</w:t>
            </w:r>
          </w:p>
        </w:tc>
        <w:tc>
          <w:tcPr>
            <w:tcW w:w="4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76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color w:val="auto"/>
              </w:rPr>
              <w:t>(Zip Code)</w:t>
            </w:r>
          </w:p>
        </w:tc>
      </w:tr>
      <w:tr>
        <w:trPr>
          <w:trHeight w:val="273"/>
        </w:trPr>
        <w:tc>
          <w:tcPr>
            <w:tcW w:w="1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6"/>
                <w:szCs w:val="16"/>
                <w:b w:val="1"/>
                <w:bCs w:val="1"/>
                <w:color w:val="auto"/>
              </w:rPr>
              <w:t>952-829-8600</w:t>
            </w:r>
          </w:p>
        </w:tc>
        <w:tc>
          <w:tcPr>
            <w:tcW w:w="8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tcPr>
          <w:p>
            <w:pPr>
              <w:spacing w:after="0"/>
              <w:rPr>
                <w:sz w:val="23"/>
                <w:szCs w:val="23"/>
                <w:color w:val="auto"/>
              </w:rPr>
            </w:pPr>
          </w:p>
        </w:tc>
        <w:tc>
          <w:tcPr>
            <w:tcW w:w="2260" w:type="dxa"/>
            <w:vAlign w:val="bottom"/>
          </w:tcPr>
          <w:p>
            <w:pPr>
              <w:spacing w:after="0"/>
              <w:rPr>
                <w:sz w:val="23"/>
                <w:szCs w:val="23"/>
                <w:color w:val="auto"/>
              </w:rPr>
            </w:pPr>
          </w:p>
        </w:tc>
      </w:tr>
      <w:tr>
        <w:trPr>
          <w:trHeight w:val="193"/>
        </w:trPr>
        <w:tc>
          <w:tcPr>
            <w:tcW w:w="1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320" w:type="dxa"/>
            <w:vAlign w:val="bottom"/>
            <w:gridSpan w:val="7"/>
          </w:tcPr>
          <w:p>
            <w:pPr>
              <w:jc w:val="center"/>
              <w:ind w:right="1960"/>
              <w:spacing w:after="0"/>
              <w:rPr>
                <w:sz w:val="20"/>
                <w:szCs w:val="20"/>
                <w:color w:val="auto"/>
              </w:rPr>
            </w:pPr>
            <w:r>
              <w:rPr>
                <w:rFonts w:ascii="Arial" w:cs="Arial" w:eastAsia="Arial" w:hAnsi="Arial"/>
                <w:sz w:val="16"/>
                <w:szCs w:val="16"/>
                <w:color w:val="auto"/>
              </w:rPr>
              <w:t>(Registrant's telephone number, including area code)</w:t>
            </w:r>
          </w:p>
        </w:tc>
      </w:tr>
      <w:tr>
        <w:trPr>
          <w:trHeight w:val="540"/>
        </w:trPr>
        <w:tc>
          <w:tcPr>
            <w:tcW w:w="432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r>
        <w:trPr>
          <w:trHeight w:val="213"/>
        </w:trPr>
        <w:tc>
          <w:tcPr>
            <w:tcW w:w="1720" w:type="dxa"/>
            <w:vAlign w:val="bottom"/>
            <w:tcBorders>
              <w:left w:val="single" w:sz="8" w:color="auto"/>
              <w:bottom w:val="single" w:sz="8" w:color="auto"/>
            </w:tcBorders>
          </w:tcPr>
          <w:p>
            <w:pPr>
              <w:spacing w:after="0"/>
              <w:rPr>
                <w:sz w:val="18"/>
                <w:szCs w:val="18"/>
                <w:color w:val="auto"/>
              </w:rPr>
            </w:pPr>
          </w:p>
        </w:tc>
        <w:tc>
          <w:tcPr>
            <w:tcW w:w="2600" w:type="dxa"/>
            <w:vAlign w:val="bottom"/>
            <w:tcBorders>
              <w:bottom w:val="single" w:sz="8" w:color="auto"/>
            </w:tcBorders>
            <w:gridSpan w:val="2"/>
          </w:tcPr>
          <w:p>
            <w:pPr>
              <w:jc w:val="center"/>
              <w:ind w:right="1179"/>
              <w:spacing w:after="0"/>
              <w:rPr>
                <w:sz w:val="20"/>
                <w:szCs w:val="20"/>
                <w:color w:val="auto"/>
              </w:rPr>
            </w:pPr>
            <w:r>
              <w:rPr>
                <w:rFonts w:ascii="Arial" w:cs="Arial" w:eastAsia="Arial" w:hAnsi="Arial"/>
                <w:sz w:val="16"/>
                <w:szCs w:val="16"/>
                <w:color w:val="auto"/>
              </w:rPr>
              <w:t>Title of each class</w:t>
            </w:r>
          </w:p>
        </w:tc>
        <w:tc>
          <w:tcPr>
            <w:tcW w:w="4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9"/>
              </w:rPr>
              <w:t>Trading Symbol(s)</w:t>
            </w:r>
          </w:p>
        </w:tc>
        <w:tc>
          <w:tcPr>
            <w:tcW w:w="80" w:type="dxa"/>
            <w:vAlign w:val="bottom"/>
            <w:tcBorders>
              <w:bottom w:val="single" w:sz="8" w:color="auto"/>
              <w:right w:val="single" w:sz="8" w:color="auto"/>
            </w:tcBorders>
          </w:tcPr>
          <w:p>
            <w:pPr>
              <w:spacing w:after="0"/>
              <w:rPr>
                <w:sz w:val="18"/>
                <w:szCs w:val="18"/>
                <w:color w:val="auto"/>
              </w:rPr>
            </w:pPr>
          </w:p>
        </w:tc>
        <w:tc>
          <w:tcPr>
            <w:tcW w:w="476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6"/>
                <w:szCs w:val="16"/>
                <w:color w:val="auto"/>
              </w:rPr>
              <w:t>Name of each exchange on which registered</w:t>
            </w:r>
          </w:p>
        </w:tc>
      </w:tr>
      <w:tr>
        <w:trPr>
          <w:trHeight w:val="210"/>
        </w:trPr>
        <w:tc>
          <w:tcPr>
            <w:tcW w:w="4320" w:type="dxa"/>
            <w:vAlign w:val="bottom"/>
            <w:tcBorders>
              <w:left w:val="single" w:sz="8" w:color="auto"/>
              <w:bottom w:val="single" w:sz="8" w:color="auto"/>
            </w:tcBorders>
            <w:gridSpan w:val="3"/>
          </w:tcPr>
          <w:p>
            <w:pPr>
              <w:jc w:val="center"/>
              <w:ind w:left="379"/>
              <w:spacing w:after="0"/>
              <w:rPr>
                <w:sz w:val="20"/>
                <w:szCs w:val="20"/>
                <w:color w:val="auto"/>
              </w:rPr>
            </w:pPr>
            <w:r>
              <w:rPr>
                <w:rFonts w:ascii="Arial" w:cs="Arial" w:eastAsia="Arial" w:hAnsi="Arial"/>
                <w:sz w:val="16"/>
                <w:szCs w:val="16"/>
                <w:color w:val="auto"/>
              </w:rPr>
              <w:t>Common Stock, $0.50 par value per share</w:t>
            </w:r>
          </w:p>
        </w:tc>
        <w:tc>
          <w:tcPr>
            <w:tcW w:w="4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WGO</w:t>
            </w:r>
          </w:p>
        </w:tc>
        <w:tc>
          <w:tcPr>
            <w:tcW w:w="80" w:type="dxa"/>
            <w:vAlign w:val="bottom"/>
            <w:tcBorders>
              <w:bottom w:val="single" w:sz="8" w:color="auto"/>
              <w:right w:val="single" w:sz="8" w:color="auto"/>
            </w:tcBorders>
          </w:tcPr>
          <w:p>
            <w:pPr>
              <w:spacing w:after="0"/>
              <w:rPr>
                <w:sz w:val="18"/>
                <w:szCs w:val="18"/>
                <w:color w:val="auto"/>
              </w:rPr>
            </w:pPr>
          </w:p>
        </w:tc>
        <w:tc>
          <w:tcPr>
            <w:tcW w:w="476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6"/>
                <w:szCs w:val="16"/>
                <w:color w:val="auto"/>
              </w:rPr>
              <w:t>New York Stock Exchange</w:t>
            </w:r>
          </w:p>
        </w:tc>
      </w:tr>
    </w:tbl>
    <w:p>
      <w:pPr>
        <w:spacing w:after="0" w:line="339" w:lineRule="exact"/>
        <w:rPr>
          <w:sz w:val="24"/>
          <w:szCs w:val="24"/>
          <w:color w:val="auto"/>
        </w:rPr>
      </w:pPr>
    </w:p>
    <w:p>
      <w:pPr>
        <w:jc w:val="both"/>
        <w:ind w:right="48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21" w:lineRule="exact"/>
        <w:rPr>
          <w:sz w:val="24"/>
          <w:szCs w:val="24"/>
          <w:color w:val="auto"/>
        </w:rPr>
      </w:pPr>
    </w:p>
    <w:p>
      <w:pPr>
        <w:ind w:right="24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21" w:lineRule="exact"/>
        <w:rPr>
          <w:sz w:val="24"/>
          <w:szCs w:val="24"/>
          <w:color w:val="auto"/>
        </w:rPr>
      </w:pPr>
    </w:p>
    <w:p>
      <w:pPr>
        <w:ind w:right="4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6" w:lineRule="exact"/>
        <w:rPr>
          <w:sz w:val="24"/>
          <w:szCs w:val="24"/>
          <w:color w:val="auto"/>
        </w:rPr>
      </w:pPr>
    </w:p>
    <w:p>
      <w:pPr>
        <w:spacing w:after="0" w:line="184" w:lineRule="exact"/>
        <w:tabs>
          <w:tab w:leader="none" w:pos="2020" w:val="left"/>
          <w:tab w:leader="none" w:pos="362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43" w:lineRule="exact"/>
        <w:rPr>
          <w:sz w:val="24"/>
          <w:szCs w:val="24"/>
          <w:color w:val="auto"/>
        </w:rPr>
      </w:pPr>
    </w:p>
    <w:p>
      <w:pPr>
        <w:ind w:left="180"/>
        <w:spacing w:after="0" w:line="184" w:lineRule="exact"/>
        <w:tabs>
          <w:tab w:leader="none" w:pos="2760" w:val="left"/>
        </w:tabs>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2" w:lineRule="exact"/>
        <w:rPr>
          <w:sz w:val="24"/>
          <w:szCs w:val="24"/>
          <w:color w:val="auto"/>
        </w:rPr>
      </w:pPr>
    </w:p>
    <w:p>
      <w:pPr>
        <w:ind w:right="16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90" w:lineRule="exact"/>
        <w:rPr>
          <w:sz w:val="24"/>
          <w:szCs w:val="24"/>
          <w:color w:val="auto"/>
        </w:rPr>
      </w:pPr>
    </w:p>
    <w:p>
      <w:pPr>
        <w:spacing w:after="0"/>
        <w:rPr>
          <w:sz w:val="20"/>
          <w:szCs w:val="20"/>
          <w:color w:val="auto"/>
        </w:rPr>
      </w:pPr>
      <w:r>
        <w:rPr>
          <w:rFonts w:ascii="Arial" w:cs="Arial" w:eastAsia="Arial" w:hAnsi="Arial"/>
          <w:sz w:val="16"/>
          <w:szCs w:val="16"/>
          <w:color w:val="auto"/>
        </w:rPr>
        <w:t>As of March 17, 2022, there were 32,776,455 shares of common stock, par value $0.50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Winnebago Industries,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Quarterly Report on Form 10-Q</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Quarterly Period Ended February 26, 2022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gridSpan w:val="4"/>
          </w:tcPr>
          <w:p>
            <w:pPr>
              <w:spacing w:after="0"/>
              <w:rPr>
                <w:rFonts w:ascii="Arial" w:cs="Arial" w:eastAsia="Arial" w:hAnsi="Arial"/>
                <w:sz w:val="16"/>
                <w:szCs w:val="16"/>
                <w:b w:val="1"/>
                <w:bCs w:val="1"/>
                <w:color w:val="0000FF"/>
              </w:rPr>
            </w:pPr>
            <w:hyperlink w:anchor="page2">
              <w:r>
                <w:rPr>
                  <w:rFonts w:ascii="Arial" w:cs="Arial" w:eastAsia="Arial" w:hAnsi="Arial"/>
                  <w:sz w:val="16"/>
                  <w:szCs w:val="16"/>
                  <w:b w:val="1"/>
                  <w:bCs w:val="1"/>
                  <w:color w:val="0000FF"/>
                </w:rPr>
                <w:t>PART I.</w:t>
              </w:r>
            </w:hyperlink>
          </w:p>
        </w:tc>
        <w:tc>
          <w:tcPr>
            <w:tcW w:w="6400" w:type="dxa"/>
            <w:vAlign w:val="bottom"/>
            <w:gridSpan w:val="17"/>
          </w:tcPr>
          <w:p>
            <w:pPr>
              <w:spacing w:after="0"/>
              <w:rPr>
                <w:rFonts w:ascii="Arial" w:cs="Arial" w:eastAsia="Arial" w:hAnsi="Arial"/>
                <w:sz w:val="16"/>
                <w:szCs w:val="16"/>
                <w:b w:val="1"/>
                <w:bCs w:val="1"/>
                <w:color w:val="0000FF"/>
              </w:rPr>
            </w:pPr>
            <w:hyperlink w:anchor="page2">
              <w:r>
                <w:rPr>
                  <w:rFonts w:ascii="Arial" w:cs="Arial" w:eastAsia="Arial" w:hAnsi="Arial"/>
                  <w:sz w:val="16"/>
                  <w:szCs w:val="16"/>
                  <w:b w:val="1"/>
                  <w:bCs w:val="1"/>
                  <w:color w:val="0000FF"/>
                </w:rPr>
                <w:t>FINANCIAL INFORMATION</w:t>
              </w:r>
            </w:hyperlink>
          </w:p>
        </w:tc>
        <w:tc>
          <w:tcPr>
            <w:tcW w:w="3840" w:type="dxa"/>
            <w:vAlign w:val="bottom"/>
            <w:gridSpan w:val="3"/>
          </w:tcPr>
          <w:p>
            <w:pPr>
              <w:jc w:val="right"/>
              <w:spacing w:after="0"/>
              <w:rPr>
                <w:rFonts w:ascii="Arial" w:cs="Arial" w:eastAsia="Arial" w:hAnsi="Arial"/>
                <w:sz w:val="16"/>
                <w:szCs w:val="16"/>
                <w:color w:val="0000FF"/>
              </w:rPr>
            </w:pPr>
            <w:hyperlink w:anchor="page2">
              <w:r>
                <w:rPr>
                  <w:rFonts w:ascii="Arial" w:cs="Arial" w:eastAsia="Arial" w:hAnsi="Arial"/>
                  <w:sz w:val="16"/>
                  <w:szCs w:val="16"/>
                  <w:color w:val="0000FF"/>
                </w:rPr>
                <w:t>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rFonts w:ascii="Arial" w:cs="Arial" w:eastAsia="Arial" w:hAnsi="Arial"/>
                <w:sz w:val="16"/>
                <w:szCs w:val="16"/>
                <w:color w:val="0000FF"/>
                <w:w w:val="93"/>
              </w:rPr>
            </w:pPr>
            <w:hyperlink w:anchor="page3">
              <w:r>
                <w:rPr>
                  <w:rFonts w:ascii="Arial" w:cs="Arial" w:eastAsia="Arial" w:hAnsi="Arial"/>
                  <w:sz w:val="16"/>
                  <w:szCs w:val="16"/>
                  <w:color w:val="0000FF"/>
                  <w:w w:val="93"/>
                </w:rPr>
                <w:t>Item 1.</w:t>
              </w:r>
            </w:hyperlink>
          </w:p>
        </w:tc>
        <w:tc>
          <w:tcPr>
            <w:tcW w:w="460" w:type="dxa"/>
            <w:vAlign w:val="bottom"/>
            <w:gridSpan w:val="3"/>
          </w:tcPr>
          <w:p>
            <w:pPr>
              <w:spacing w:after="0"/>
              <w:rPr>
                <w:sz w:val="17"/>
                <w:szCs w:val="17"/>
                <w:color w:val="auto"/>
              </w:rPr>
            </w:pPr>
          </w:p>
        </w:tc>
        <w:tc>
          <w:tcPr>
            <w:tcW w:w="6400" w:type="dxa"/>
            <w:vAlign w:val="bottom"/>
            <w:gridSpan w:val="17"/>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Consolidated Financial Statements</w:t>
              </w:r>
            </w:hyperlink>
          </w:p>
        </w:tc>
        <w:tc>
          <w:tcPr>
            <w:tcW w:w="3840" w:type="dxa"/>
            <w:vAlign w:val="bottom"/>
            <w:gridSpan w:val="3"/>
          </w:tcPr>
          <w:p>
            <w:pPr>
              <w:jc w:val="right"/>
              <w:spacing w:after="0"/>
              <w:rPr>
                <w:rFonts w:ascii="Arial" w:cs="Arial" w:eastAsia="Arial" w:hAnsi="Arial"/>
                <w:sz w:val="16"/>
                <w:szCs w:val="16"/>
                <w:color w:val="0000FF"/>
              </w:rPr>
            </w:pPr>
            <w:hyperlink w:anchor="page3">
              <w:r>
                <w:rPr>
                  <w:rFonts w:ascii="Arial" w:cs="Arial" w:eastAsia="Arial" w:hAnsi="Arial"/>
                  <w:sz w:val="16"/>
                  <w:szCs w:val="16"/>
                  <w:color w:val="0000FF"/>
                </w:rPr>
                <w:t>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40" w:type="dxa"/>
            <w:vAlign w:val="bottom"/>
            <w:gridSpan w:val="14"/>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Consolidated Statements of Income and Comprehensive Income</w:t>
              </w:r>
            </w:hyperlink>
          </w:p>
        </w:tc>
        <w:tc>
          <w:tcPr>
            <w:tcW w:w="1560" w:type="dxa"/>
            <w:vAlign w:val="bottom"/>
          </w:tcPr>
          <w:p>
            <w:pPr>
              <w:spacing w:after="0"/>
              <w:rPr>
                <w:sz w:val="17"/>
                <w:szCs w:val="17"/>
                <w:color w:val="auto"/>
              </w:rPr>
            </w:pPr>
          </w:p>
        </w:tc>
        <w:tc>
          <w:tcPr>
            <w:tcW w:w="3840" w:type="dxa"/>
            <w:vAlign w:val="bottom"/>
            <w:gridSpan w:val="3"/>
          </w:tcPr>
          <w:p>
            <w:pPr>
              <w:jc w:val="right"/>
              <w:spacing w:after="0"/>
              <w:rPr>
                <w:rFonts w:ascii="Arial" w:cs="Arial" w:eastAsia="Arial" w:hAnsi="Arial"/>
                <w:sz w:val="16"/>
                <w:szCs w:val="16"/>
                <w:color w:val="0000FF"/>
              </w:rPr>
            </w:pPr>
            <w:hyperlink w:anchor="page3">
              <w:r>
                <w:rPr>
                  <w:rFonts w:ascii="Arial" w:cs="Arial" w:eastAsia="Arial" w:hAnsi="Arial"/>
                  <w:sz w:val="16"/>
                  <w:szCs w:val="16"/>
                  <w:color w:val="0000FF"/>
                </w:rPr>
                <w:t>3</w:t>
              </w:r>
            </w:hyperlink>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7"/>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Consolidated Balance Sheets</w:t>
              </w:r>
            </w:hyperlink>
          </w:p>
        </w:tc>
        <w:tc>
          <w:tcPr>
            <w:tcW w:w="2520" w:type="dxa"/>
            <w:vAlign w:val="bottom"/>
            <w:gridSpan w:val="7"/>
          </w:tcPr>
          <w:p>
            <w:pPr>
              <w:spacing w:after="0"/>
              <w:rPr>
                <w:sz w:val="17"/>
                <w:szCs w:val="17"/>
                <w:color w:val="auto"/>
              </w:rPr>
            </w:pPr>
          </w:p>
        </w:tc>
        <w:tc>
          <w:tcPr>
            <w:tcW w:w="1560" w:type="dxa"/>
            <w:vAlign w:val="bottom"/>
          </w:tcPr>
          <w:p>
            <w:pPr>
              <w:spacing w:after="0"/>
              <w:rPr>
                <w:sz w:val="17"/>
                <w:szCs w:val="17"/>
                <w:color w:val="auto"/>
              </w:rPr>
            </w:pPr>
          </w:p>
        </w:tc>
        <w:tc>
          <w:tcPr>
            <w:tcW w:w="3840" w:type="dxa"/>
            <w:vAlign w:val="bottom"/>
            <w:gridSpan w:val="3"/>
          </w:tcPr>
          <w:p>
            <w:pPr>
              <w:jc w:val="right"/>
              <w:spacing w:after="0"/>
              <w:rPr>
                <w:rFonts w:ascii="Arial" w:cs="Arial" w:eastAsia="Arial" w:hAnsi="Arial"/>
                <w:sz w:val="16"/>
                <w:szCs w:val="16"/>
                <w:color w:val="0000FF"/>
              </w:rPr>
            </w:pPr>
            <w:hyperlink w:anchor="page3">
              <w:r>
                <w:rPr>
                  <w:rFonts w:ascii="Arial" w:cs="Arial" w:eastAsia="Arial" w:hAnsi="Arial"/>
                  <w:sz w:val="16"/>
                  <w:szCs w:val="16"/>
                  <w:color w:val="0000FF"/>
                </w:rPr>
                <w:t>4</w:t>
              </w:r>
            </w:hyperlink>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9"/>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Consolidated Statements of Cash Flows</w:t>
              </w:r>
            </w:hyperlink>
          </w:p>
        </w:tc>
        <w:tc>
          <w:tcPr>
            <w:tcW w:w="3320" w:type="dxa"/>
            <w:vAlign w:val="bottom"/>
            <w:gridSpan w:val="6"/>
          </w:tcPr>
          <w:p>
            <w:pPr>
              <w:spacing w:after="0"/>
              <w:rPr>
                <w:sz w:val="17"/>
                <w:szCs w:val="17"/>
                <w:color w:val="auto"/>
              </w:rPr>
            </w:pPr>
          </w:p>
        </w:tc>
        <w:tc>
          <w:tcPr>
            <w:tcW w:w="3840" w:type="dxa"/>
            <w:vAlign w:val="bottom"/>
            <w:gridSpan w:val="3"/>
          </w:tcPr>
          <w:p>
            <w:pPr>
              <w:jc w:val="right"/>
              <w:spacing w:after="0"/>
              <w:rPr>
                <w:rFonts w:ascii="Arial" w:cs="Arial" w:eastAsia="Arial" w:hAnsi="Arial"/>
                <w:sz w:val="16"/>
                <w:szCs w:val="16"/>
                <w:color w:val="0000FF"/>
              </w:rPr>
            </w:pPr>
            <w:hyperlink w:anchor="page4">
              <w:r>
                <w:rPr>
                  <w:rFonts w:ascii="Arial" w:cs="Arial" w:eastAsia="Arial" w:hAnsi="Arial"/>
                  <w:sz w:val="16"/>
                  <w:szCs w:val="16"/>
                  <w:color w:val="0000FF"/>
                </w:rPr>
                <w:t>5</w:t>
              </w:r>
            </w:hyperlink>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0" w:type="dxa"/>
            <w:vAlign w:val="bottom"/>
            <w:gridSpan w:val="15"/>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Consolidated Statements of Changes in Shareholders' Equity</w:t>
              </w:r>
            </w:hyperlink>
          </w:p>
        </w:tc>
        <w:tc>
          <w:tcPr>
            <w:tcW w:w="3840" w:type="dxa"/>
            <w:vAlign w:val="bottom"/>
            <w:gridSpan w:val="3"/>
          </w:tcPr>
          <w:p>
            <w:pPr>
              <w:jc w:val="right"/>
              <w:spacing w:after="0"/>
              <w:rPr>
                <w:rFonts w:ascii="Arial" w:cs="Arial" w:eastAsia="Arial" w:hAnsi="Arial"/>
                <w:sz w:val="16"/>
                <w:szCs w:val="16"/>
                <w:color w:val="0000FF"/>
              </w:rPr>
            </w:pPr>
            <w:hyperlink w:anchor="page6">
              <w:r>
                <w:rPr>
                  <w:rFonts w:ascii="Arial" w:cs="Arial" w:eastAsia="Arial" w:hAnsi="Arial"/>
                  <w:sz w:val="16"/>
                  <w:szCs w:val="16"/>
                  <w:color w:val="0000FF"/>
                </w:rPr>
                <w:t>7</w:t>
              </w:r>
            </w:hyperlink>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gridSpan w:val="13"/>
          </w:tcPr>
          <w:p>
            <w:pPr>
              <w:spacing w:after="0"/>
              <w:rPr>
                <w:rFonts w:ascii="Arial" w:cs="Arial" w:eastAsia="Arial" w:hAnsi="Arial"/>
                <w:sz w:val="16"/>
                <w:szCs w:val="16"/>
                <w:color w:val="0000FF"/>
              </w:rPr>
            </w:pPr>
            <w:hyperlink w:anchor="page8">
              <w:r>
                <w:rPr>
                  <w:rFonts w:ascii="Arial" w:cs="Arial" w:eastAsia="Arial" w:hAnsi="Arial"/>
                  <w:sz w:val="16"/>
                  <w:szCs w:val="16"/>
                  <w:color w:val="0000FF"/>
                </w:rPr>
                <w:t>Notes to Consolidated Financial Statements</w:t>
              </w:r>
            </w:hyperlink>
          </w:p>
        </w:tc>
        <w:tc>
          <w:tcPr>
            <w:tcW w:w="1820" w:type="dxa"/>
            <w:vAlign w:val="bottom"/>
            <w:gridSpan w:val="2"/>
          </w:tcPr>
          <w:p>
            <w:pPr>
              <w:spacing w:after="0"/>
              <w:rPr>
                <w:sz w:val="17"/>
                <w:szCs w:val="17"/>
                <w:color w:val="auto"/>
              </w:rPr>
            </w:pPr>
          </w:p>
        </w:tc>
        <w:tc>
          <w:tcPr>
            <w:tcW w:w="3840" w:type="dxa"/>
            <w:vAlign w:val="bottom"/>
            <w:gridSpan w:val="3"/>
          </w:tcPr>
          <w:p>
            <w:pPr>
              <w:jc w:val="right"/>
              <w:spacing w:after="0"/>
              <w:rPr>
                <w:rFonts w:ascii="Arial" w:cs="Arial" w:eastAsia="Arial" w:hAnsi="Arial"/>
                <w:sz w:val="16"/>
                <w:szCs w:val="16"/>
                <w:color w:val="0000FF"/>
              </w:rPr>
            </w:pPr>
            <w:hyperlink w:anchor="page8">
              <w:r>
                <w:rPr>
                  <w:rFonts w:ascii="Arial" w:cs="Arial" w:eastAsia="Arial" w:hAnsi="Arial"/>
                  <w:sz w:val="16"/>
                  <w:szCs w:val="16"/>
                  <w:color w:val="0000FF"/>
                </w:rPr>
                <w:t>9</w:t>
              </w:r>
            </w:hyperlink>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960" w:type="dxa"/>
            <w:vAlign w:val="bottom"/>
            <w:gridSpan w:val="4"/>
          </w:tcPr>
          <w:p>
            <w:pPr>
              <w:spacing w:after="0"/>
              <w:rPr>
                <w:rFonts w:ascii="Arial" w:cs="Arial" w:eastAsia="Arial" w:hAnsi="Arial"/>
                <w:sz w:val="16"/>
                <w:szCs w:val="16"/>
                <w:color w:val="0000FF"/>
              </w:rPr>
            </w:pPr>
            <w:hyperlink w:anchor="page22">
              <w:r>
                <w:rPr>
                  <w:rFonts w:ascii="Arial" w:cs="Arial" w:eastAsia="Arial" w:hAnsi="Arial"/>
                  <w:sz w:val="16"/>
                  <w:szCs w:val="16"/>
                  <w:color w:val="0000FF"/>
                </w:rPr>
                <w:t>Item 2.</w:t>
              </w:r>
            </w:hyperlink>
          </w:p>
        </w:tc>
        <w:tc>
          <w:tcPr>
            <w:tcW w:w="6400" w:type="dxa"/>
            <w:vAlign w:val="bottom"/>
            <w:gridSpan w:val="17"/>
          </w:tcPr>
          <w:p>
            <w:pPr>
              <w:spacing w:after="0"/>
              <w:rPr>
                <w:rFonts w:ascii="Arial" w:cs="Arial" w:eastAsia="Arial" w:hAnsi="Arial"/>
                <w:sz w:val="16"/>
                <w:szCs w:val="16"/>
                <w:color w:val="0000FF"/>
              </w:rPr>
            </w:pPr>
            <w:hyperlink w:anchor="page22">
              <w:r>
                <w:rPr>
                  <w:rFonts w:ascii="Arial" w:cs="Arial" w:eastAsia="Arial" w:hAnsi="Arial"/>
                  <w:sz w:val="16"/>
                  <w:szCs w:val="16"/>
                  <w:color w:val="0000FF"/>
                </w:rPr>
                <w:t>Management's Discussion and Analysis of Financial Condition and Results of Operations.</w:t>
              </w:r>
            </w:hyperlink>
          </w:p>
        </w:tc>
        <w:tc>
          <w:tcPr>
            <w:tcW w:w="3840" w:type="dxa"/>
            <w:vAlign w:val="bottom"/>
            <w:gridSpan w:val="3"/>
          </w:tcPr>
          <w:p>
            <w:pPr>
              <w:jc w:val="right"/>
              <w:spacing w:after="0"/>
              <w:rPr>
                <w:rFonts w:ascii="Arial" w:cs="Arial" w:eastAsia="Arial" w:hAnsi="Arial"/>
                <w:sz w:val="16"/>
                <w:szCs w:val="16"/>
                <w:color w:val="0000FF"/>
              </w:rPr>
            </w:pPr>
            <w:hyperlink w:anchor="page22">
              <w:r>
                <w:rPr>
                  <w:rFonts w:ascii="Arial" w:cs="Arial" w:eastAsia="Arial" w:hAnsi="Arial"/>
                  <w:sz w:val="16"/>
                  <w:szCs w:val="16"/>
                  <w:color w:val="0000FF"/>
                </w:rPr>
                <w:t>23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2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960" w:type="dxa"/>
            <w:vAlign w:val="bottom"/>
            <w:gridSpan w:val="4"/>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Item 3.</w:t>
              </w:r>
            </w:hyperlink>
          </w:p>
        </w:tc>
        <w:tc>
          <w:tcPr>
            <w:tcW w:w="6400" w:type="dxa"/>
            <w:vAlign w:val="bottom"/>
            <w:gridSpan w:val="17"/>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Quantitative and Qualitative Disclosures About Market Risk</w:t>
              </w:r>
            </w:hyperlink>
          </w:p>
        </w:tc>
        <w:tc>
          <w:tcPr>
            <w:tcW w:w="3840" w:type="dxa"/>
            <w:vAlign w:val="bottom"/>
            <w:gridSpan w:val="3"/>
          </w:tcPr>
          <w:p>
            <w:pPr>
              <w:jc w:val="right"/>
              <w:spacing w:after="0"/>
              <w:rPr>
                <w:rFonts w:ascii="Arial" w:cs="Arial" w:eastAsia="Arial" w:hAnsi="Arial"/>
                <w:sz w:val="16"/>
                <w:szCs w:val="16"/>
                <w:color w:val="0000FF"/>
              </w:rPr>
            </w:pPr>
            <w:hyperlink w:anchor="page33">
              <w:r>
                <w:rPr>
                  <w:rFonts w:ascii="Arial" w:cs="Arial" w:eastAsia="Arial" w:hAnsi="Arial"/>
                  <w:sz w:val="16"/>
                  <w:szCs w:val="16"/>
                  <w:color w:val="0000FF"/>
                </w:rPr>
                <w:t>33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20" w:type="dxa"/>
            <w:vAlign w:val="bottom"/>
            <w:gridSpan w:val="6"/>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960" w:type="dxa"/>
            <w:vAlign w:val="bottom"/>
            <w:gridSpan w:val="4"/>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Item 4.</w:t>
              </w:r>
            </w:hyperlink>
          </w:p>
        </w:tc>
        <w:tc>
          <w:tcPr>
            <w:tcW w:w="6400" w:type="dxa"/>
            <w:vAlign w:val="bottom"/>
            <w:gridSpan w:val="17"/>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Controls and Procedures.</w:t>
              </w:r>
            </w:hyperlink>
          </w:p>
        </w:tc>
        <w:tc>
          <w:tcPr>
            <w:tcW w:w="3840" w:type="dxa"/>
            <w:vAlign w:val="bottom"/>
            <w:gridSpan w:val="3"/>
          </w:tcPr>
          <w:p>
            <w:pPr>
              <w:jc w:val="right"/>
              <w:spacing w:after="0"/>
              <w:rPr>
                <w:rFonts w:ascii="Arial" w:cs="Arial" w:eastAsia="Arial" w:hAnsi="Arial"/>
                <w:sz w:val="16"/>
                <w:szCs w:val="16"/>
                <w:color w:val="0000FF"/>
              </w:rPr>
            </w:pPr>
            <w:hyperlink w:anchor="page33">
              <w:r>
                <w:rPr>
                  <w:rFonts w:ascii="Arial" w:cs="Arial" w:eastAsia="Arial" w:hAnsi="Arial"/>
                  <w:sz w:val="16"/>
                  <w:szCs w:val="16"/>
                  <w:color w:val="0000FF"/>
                </w:rPr>
                <w:t>33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53"/>
        </w:trPr>
        <w:tc>
          <w:tcPr>
            <w:tcW w:w="620" w:type="dxa"/>
            <w:vAlign w:val="bottom"/>
            <w:tcBorders>
              <w:bottom w:val="single" w:sz="8" w:color="0000FF"/>
            </w:tcBorders>
            <w:gridSpan w:val="3"/>
          </w:tcPr>
          <w:p>
            <w:pPr>
              <w:spacing w:after="0"/>
              <w:rPr>
                <w:rFonts w:ascii="Arial" w:cs="Arial" w:eastAsia="Arial" w:hAnsi="Arial"/>
                <w:sz w:val="16"/>
                <w:szCs w:val="16"/>
                <w:b w:val="1"/>
                <w:bCs w:val="1"/>
                <w:color w:val="0000FF"/>
                <w:w w:val="97"/>
              </w:rPr>
            </w:pPr>
            <w:hyperlink w:anchor="page34">
              <w:r>
                <w:rPr>
                  <w:rFonts w:ascii="Arial" w:cs="Arial" w:eastAsia="Arial" w:hAnsi="Arial"/>
                  <w:sz w:val="16"/>
                  <w:szCs w:val="16"/>
                  <w:b w:val="1"/>
                  <w:bCs w:val="1"/>
                  <w:color w:val="0000FF"/>
                  <w:w w:val="97"/>
                </w:rPr>
                <w:t>PART II.</w:t>
              </w:r>
            </w:hyperlink>
          </w:p>
        </w:tc>
        <w:tc>
          <w:tcPr>
            <w:tcW w:w="340" w:type="dxa"/>
            <w:vAlign w:val="bottom"/>
          </w:tcPr>
          <w:p>
            <w:pPr>
              <w:spacing w:after="0"/>
              <w:rPr>
                <w:sz w:val="24"/>
                <w:szCs w:val="24"/>
                <w:color w:val="auto"/>
              </w:rPr>
            </w:pPr>
          </w:p>
        </w:tc>
        <w:tc>
          <w:tcPr>
            <w:tcW w:w="1740" w:type="dxa"/>
            <w:vAlign w:val="bottom"/>
            <w:tcBorders>
              <w:bottom w:val="single" w:sz="8" w:color="0000FF"/>
            </w:tcBorders>
            <w:gridSpan w:val="6"/>
          </w:tcPr>
          <w:p>
            <w:pPr>
              <w:spacing w:after="0"/>
              <w:rPr>
                <w:rFonts w:ascii="Arial" w:cs="Arial" w:eastAsia="Arial" w:hAnsi="Arial"/>
                <w:sz w:val="16"/>
                <w:szCs w:val="16"/>
                <w:b w:val="1"/>
                <w:bCs w:val="1"/>
                <w:color w:val="0000FF"/>
                <w:w w:val="99"/>
              </w:rPr>
            </w:pPr>
            <w:hyperlink w:anchor="page34">
              <w:r>
                <w:rPr>
                  <w:rFonts w:ascii="Arial" w:cs="Arial" w:eastAsia="Arial" w:hAnsi="Arial"/>
                  <w:sz w:val="16"/>
                  <w:szCs w:val="16"/>
                  <w:b w:val="1"/>
                  <w:bCs w:val="1"/>
                  <w:color w:val="0000FF"/>
                  <w:w w:val="99"/>
                </w:rPr>
                <w:t>OTHER INFORMATION</w:t>
              </w:r>
            </w:hyperlink>
          </w:p>
        </w:tc>
        <w:tc>
          <w:tcPr>
            <w:tcW w:w="4660" w:type="dxa"/>
            <w:vAlign w:val="bottom"/>
            <w:gridSpan w:val="11"/>
          </w:tcPr>
          <w:p>
            <w:pPr>
              <w:spacing w:after="0"/>
              <w:rPr>
                <w:sz w:val="24"/>
                <w:szCs w:val="24"/>
                <w:color w:val="auto"/>
              </w:rPr>
            </w:pPr>
          </w:p>
        </w:tc>
        <w:tc>
          <w:tcPr>
            <w:tcW w:w="366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6"/>
                <w:szCs w:val="16"/>
                <w:color w:val="0000FF"/>
                <w:w w:val="89"/>
              </w:rPr>
            </w:pPr>
            <w:hyperlink w:anchor="page34">
              <w:r>
                <w:rPr>
                  <w:rFonts w:ascii="Arial" w:cs="Arial" w:eastAsia="Arial" w:hAnsi="Arial"/>
                  <w:sz w:val="16"/>
                  <w:szCs w:val="16"/>
                  <w:color w:val="0000FF"/>
                  <w:w w:val="89"/>
                </w:rPr>
                <w:t>35</w:t>
              </w:r>
            </w:hyperlink>
          </w:p>
        </w:tc>
      </w:tr>
      <w:tr>
        <w:trPr>
          <w:trHeight w:val="196"/>
        </w:trPr>
        <w:tc>
          <w:tcPr>
            <w:tcW w:w="960" w:type="dxa"/>
            <w:vAlign w:val="bottom"/>
            <w:gridSpan w:val="4"/>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Item 1.</w:t>
              </w:r>
            </w:hyperlink>
          </w:p>
        </w:tc>
        <w:tc>
          <w:tcPr>
            <w:tcW w:w="6400" w:type="dxa"/>
            <w:vAlign w:val="bottom"/>
            <w:gridSpan w:val="17"/>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Legal Proceedings.</w:t>
              </w:r>
            </w:hyperlink>
          </w:p>
        </w:tc>
        <w:tc>
          <w:tcPr>
            <w:tcW w:w="3840" w:type="dxa"/>
            <w:vAlign w:val="bottom"/>
            <w:gridSpan w:val="3"/>
          </w:tcPr>
          <w:p>
            <w:pPr>
              <w:jc w:val="right"/>
              <w:spacing w:after="0"/>
              <w:rPr>
                <w:rFonts w:ascii="Arial" w:cs="Arial" w:eastAsia="Arial" w:hAnsi="Arial"/>
                <w:sz w:val="16"/>
                <w:szCs w:val="16"/>
                <w:color w:val="0000FF"/>
              </w:rPr>
            </w:pPr>
            <w:hyperlink w:anchor="page35">
              <w:r>
                <w:rPr>
                  <w:rFonts w:ascii="Arial" w:cs="Arial" w:eastAsia="Arial" w:hAnsi="Arial"/>
                  <w:sz w:val="16"/>
                  <w:szCs w:val="16"/>
                  <w:color w:val="0000FF"/>
                </w:rPr>
                <w:t>35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20" w:type="dxa"/>
            <w:vAlign w:val="bottom"/>
            <w:gridSpan w:val="9"/>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960" w:type="dxa"/>
            <w:vAlign w:val="bottom"/>
            <w:gridSpan w:val="4"/>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Item 1A.</w:t>
              </w:r>
            </w:hyperlink>
          </w:p>
        </w:tc>
        <w:tc>
          <w:tcPr>
            <w:tcW w:w="6400" w:type="dxa"/>
            <w:vAlign w:val="bottom"/>
            <w:gridSpan w:val="17"/>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Risk Factors</w:t>
              </w:r>
            </w:hyperlink>
          </w:p>
        </w:tc>
        <w:tc>
          <w:tcPr>
            <w:tcW w:w="3840" w:type="dxa"/>
            <w:vAlign w:val="bottom"/>
            <w:gridSpan w:val="3"/>
          </w:tcPr>
          <w:p>
            <w:pPr>
              <w:jc w:val="right"/>
              <w:spacing w:after="0"/>
              <w:rPr>
                <w:rFonts w:ascii="Arial" w:cs="Arial" w:eastAsia="Arial" w:hAnsi="Arial"/>
                <w:sz w:val="16"/>
                <w:szCs w:val="16"/>
                <w:color w:val="0000FF"/>
              </w:rPr>
            </w:pPr>
            <w:hyperlink w:anchor="page35">
              <w:r>
                <w:rPr>
                  <w:rFonts w:ascii="Arial" w:cs="Arial" w:eastAsia="Arial" w:hAnsi="Arial"/>
                  <w:sz w:val="16"/>
                  <w:szCs w:val="16"/>
                  <w:color w:val="0000FF"/>
                </w:rPr>
                <w:t>35</w:t>
              </w:r>
            </w:hyperlink>
          </w:p>
        </w:tc>
      </w:tr>
      <w:tr>
        <w:trPr>
          <w:trHeight w:val="20"/>
        </w:trPr>
        <w:tc>
          <w:tcPr>
            <w:tcW w:w="60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500" w:type="dxa"/>
            <w:vAlign w:val="bottom"/>
            <w:gridSpan w:val="10"/>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600" w:type="dxa"/>
            <w:vAlign w:val="bottom"/>
            <w:gridSpan w:val="2"/>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Item 2.</w:t>
              </w:r>
            </w:hyperlink>
          </w:p>
        </w:tc>
        <w:tc>
          <w:tcPr>
            <w:tcW w:w="360" w:type="dxa"/>
            <w:vAlign w:val="bottom"/>
            <w:gridSpan w:val="2"/>
          </w:tcPr>
          <w:p>
            <w:pPr>
              <w:spacing w:after="0"/>
              <w:rPr>
                <w:sz w:val="17"/>
                <w:szCs w:val="17"/>
                <w:color w:val="auto"/>
              </w:rPr>
            </w:pPr>
          </w:p>
        </w:tc>
        <w:tc>
          <w:tcPr>
            <w:tcW w:w="6400" w:type="dxa"/>
            <w:vAlign w:val="bottom"/>
            <w:gridSpan w:val="17"/>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Unregistered Sales of Equity Securities and Use of Proceeds.</w:t>
              </w:r>
            </w:hyperlink>
          </w:p>
        </w:tc>
        <w:tc>
          <w:tcPr>
            <w:tcW w:w="3840" w:type="dxa"/>
            <w:vAlign w:val="bottom"/>
            <w:gridSpan w:val="3"/>
          </w:tcPr>
          <w:p>
            <w:pPr>
              <w:jc w:val="right"/>
              <w:spacing w:after="0"/>
              <w:rPr>
                <w:rFonts w:ascii="Arial" w:cs="Arial" w:eastAsia="Arial" w:hAnsi="Arial"/>
                <w:sz w:val="16"/>
                <w:szCs w:val="16"/>
                <w:color w:val="0000FF"/>
              </w:rPr>
            </w:pPr>
            <w:hyperlink w:anchor="page35">
              <w:r>
                <w:rPr>
                  <w:rFonts w:ascii="Arial" w:cs="Arial" w:eastAsia="Arial" w:hAnsi="Arial"/>
                  <w:sz w:val="16"/>
                  <w:szCs w:val="16"/>
                  <w:color w:val="0000FF"/>
                </w:rPr>
                <w:t>35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840" w:type="dxa"/>
            <w:vAlign w:val="bottom"/>
            <w:gridSpan w:val="11"/>
            <w:shd w:val="clear" w:color="auto" w:fill="0000FF"/>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960" w:type="dxa"/>
            <w:vAlign w:val="bottom"/>
            <w:gridSpan w:val="4"/>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Item 6.</w:t>
              </w:r>
            </w:hyperlink>
          </w:p>
        </w:tc>
        <w:tc>
          <w:tcPr>
            <w:tcW w:w="6400" w:type="dxa"/>
            <w:vAlign w:val="bottom"/>
            <w:gridSpan w:val="17"/>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Exhibits</w:t>
              </w:r>
            </w:hyperlink>
          </w:p>
        </w:tc>
        <w:tc>
          <w:tcPr>
            <w:tcW w:w="3840" w:type="dxa"/>
            <w:vAlign w:val="bottom"/>
            <w:gridSpan w:val="3"/>
          </w:tcPr>
          <w:p>
            <w:pPr>
              <w:jc w:val="right"/>
              <w:spacing w:after="0"/>
              <w:rPr>
                <w:rFonts w:ascii="Arial" w:cs="Arial" w:eastAsia="Arial" w:hAnsi="Arial"/>
                <w:sz w:val="16"/>
                <w:szCs w:val="16"/>
                <w:color w:val="0000FF"/>
              </w:rPr>
            </w:pPr>
            <w:hyperlink w:anchor="page35">
              <w:r>
                <w:rPr>
                  <w:rFonts w:ascii="Arial" w:cs="Arial" w:eastAsia="Arial" w:hAnsi="Arial"/>
                  <w:sz w:val="16"/>
                  <w:szCs w:val="16"/>
                  <w:color w:val="0000FF"/>
                </w:rPr>
                <w:t>36</w:t>
              </w:r>
            </w:hyperlink>
          </w:p>
        </w:tc>
      </w:tr>
      <w:tr>
        <w:trPr>
          <w:trHeight w:val="20"/>
        </w:trPr>
        <w:tc>
          <w:tcPr>
            <w:tcW w:w="500" w:type="dxa"/>
            <w:vAlign w:val="bottom"/>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840" w:type="dxa"/>
            <w:vAlign w:val="bottom"/>
            <w:gridSpan w:val="14"/>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53"/>
        </w:trPr>
        <w:tc>
          <w:tcPr>
            <w:tcW w:w="1060" w:type="dxa"/>
            <w:vAlign w:val="bottom"/>
            <w:tcBorders>
              <w:bottom w:val="single" w:sz="8" w:color="0000FF"/>
            </w:tcBorders>
            <w:gridSpan w:val="5"/>
          </w:tcPr>
          <w:p>
            <w:pPr>
              <w:spacing w:after="0"/>
              <w:rPr>
                <w:rFonts w:ascii="Arial" w:cs="Arial" w:eastAsia="Arial" w:hAnsi="Arial"/>
                <w:sz w:val="16"/>
                <w:szCs w:val="16"/>
                <w:b w:val="1"/>
                <w:bCs w:val="1"/>
                <w:color w:val="0000FF"/>
                <w:w w:val="99"/>
              </w:rPr>
            </w:pPr>
            <w:hyperlink w:anchor="page36">
              <w:r>
                <w:rPr>
                  <w:rFonts w:ascii="Arial" w:cs="Arial" w:eastAsia="Arial" w:hAnsi="Arial"/>
                  <w:sz w:val="16"/>
                  <w:szCs w:val="16"/>
                  <w:b w:val="1"/>
                  <w:bCs w:val="1"/>
                  <w:color w:val="0000FF"/>
                  <w:w w:val="99"/>
                </w:rPr>
                <w:t>SIGNATURES</w:t>
              </w:r>
            </w:hyperlink>
          </w:p>
        </w:tc>
        <w:tc>
          <w:tcPr>
            <w:tcW w:w="6300" w:type="dxa"/>
            <w:vAlign w:val="bottom"/>
            <w:gridSpan w:val="16"/>
          </w:tcPr>
          <w:p>
            <w:pPr>
              <w:spacing w:after="0"/>
              <w:rPr>
                <w:sz w:val="24"/>
                <w:szCs w:val="24"/>
                <w:color w:val="auto"/>
              </w:rPr>
            </w:pPr>
          </w:p>
        </w:tc>
        <w:tc>
          <w:tcPr>
            <w:tcW w:w="366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6"/>
                <w:szCs w:val="16"/>
                <w:color w:val="0000FF"/>
                <w:w w:val="89"/>
              </w:rPr>
            </w:pPr>
            <w:hyperlink w:anchor="page36">
              <w:r>
                <w:rPr>
                  <w:rFonts w:ascii="Arial" w:cs="Arial" w:eastAsia="Arial" w:hAnsi="Arial"/>
                  <w:sz w:val="16"/>
                  <w:szCs w:val="16"/>
                  <w:color w:val="0000FF"/>
                  <w:w w:val="89"/>
                </w:rPr>
                <w:t>37</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57785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12" w:right="35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FINANCIAL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Income and Comprehensive Income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3"/>
          </w:tcPr>
          <w:p>
            <w:pPr>
              <w:jc w:val="right"/>
              <w:ind w:right="879"/>
              <w:spacing w:after="0"/>
              <w:rPr>
                <w:sz w:val="20"/>
                <w:szCs w:val="20"/>
                <w:color w:val="auto"/>
              </w:rPr>
            </w:pPr>
            <w:r>
              <w:rPr>
                <w:rFonts w:ascii="Arial" w:cs="Arial" w:eastAsia="Arial" w:hAnsi="Arial"/>
                <w:sz w:val="16"/>
                <w:szCs w:val="16"/>
                <w:b w:val="1"/>
                <w:bCs w:val="1"/>
                <w:color w:val="auto"/>
              </w:rPr>
              <w:t>Six Months Ended</w:t>
            </w:r>
          </w:p>
        </w:tc>
      </w:tr>
      <w:tr>
        <w:trPr>
          <w:trHeight w:val="159"/>
        </w:trPr>
        <w:tc>
          <w:tcPr>
            <w:tcW w:w="4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2"/>
          </w:tcPr>
          <w:p>
            <w:pPr>
              <w:ind w:left="120"/>
              <w:spacing w:after="0" w:line="158" w:lineRule="exact"/>
              <w:rPr>
                <w:sz w:val="20"/>
                <w:szCs w:val="20"/>
                <w:color w:val="auto"/>
              </w:rPr>
            </w:pPr>
            <w:r>
              <w:rPr>
                <w:rFonts w:ascii="Arial" w:cs="Arial" w:eastAsia="Arial" w:hAnsi="Arial"/>
                <w:sz w:val="16"/>
                <w:szCs w:val="16"/>
                <w:b w:val="1"/>
                <w:bCs w:val="1"/>
                <w:color w:val="auto"/>
              </w:rPr>
              <w:t>February 26,</w:t>
            </w:r>
          </w:p>
        </w:tc>
        <w:tc>
          <w:tcPr>
            <w:tcW w:w="200" w:type="dxa"/>
            <w:vAlign w:val="bottom"/>
          </w:tcPr>
          <w:p>
            <w:pPr>
              <w:spacing w:after="0"/>
              <w:rPr>
                <w:sz w:val="13"/>
                <w:szCs w:val="13"/>
                <w:color w:val="auto"/>
              </w:rPr>
            </w:pPr>
          </w:p>
        </w:tc>
        <w:tc>
          <w:tcPr>
            <w:tcW w:w="1460" w:type="dxa"/>
            <w:vAlign w:val="bottom"/>
          </w:tcPr>
          <w:p>
            <w:pPr>
              <w:jc w:val="right"/>
              <w:ind w:right="299"/>
              <w:spacing w:after="0" w:line="158" w:lineRule="exact"/>
              <w:rPr>
                <w:sz w:val="20"/>
                <w:szCs w:val="20"/>
                <w:color w:val="auto"/>
              </w:rPr>
            </w:pPr>
            <w:r>
              <w:rPr>
                <w:rFonts w:ascii="Arial" w:cs="Arial" w:eastAsia="Arial" w:hAnsi="Arial"/>
                <w:sz w:val="16"/>
                <w:szCs w:val="16"/>
                <w:b w:val="1"/>
                <w:bCs w:val="1"/>
                <w:color w:val="auto"/>
              </w:rPr>
              <w:t>February 27,</w:t>
            </w:r>
          </w:p>
        </w:tc>
        <w:tc>
          <w:tcPr>
            <w:tcW w:w="260" w:type="dxa"/>
            <w:vAlign w:val="bottom"/>
          </w:tcPr>
          <w:p>
            <w:pPr>
              <w:spacing w:after="0"/>
              <w:rPr>
                <w:sz w:val="13"/>
                <w:szCs w:val="13"/>
                <w:color w:val="auto"/>
              </w:rPr>
            </w:pPr>
          </w:p>
        </w:tc>
        <w:tc>
          <w:tcPr>
            <w:tcW w:w="1420" w:type="dxa"/>
            <w:vAlign w:val="bottom"/>
          </w:tcPr>
          <w:p>
            <w:pPr>
              <w:jc w:val="right"/>
              <w:ind w:right="259"/>
              <w:spacing w:after="0" w:line="158" w:lineRule="exact"/>
              <w:rPr>
                <w:sz w:val="20"/>
                <w:szCs w:val="20"/>
                <w:color w:val="auto"/>
              </w:rPr>
            </w:pPr>
            <w:r>
              <w:rPr>
                <w:rFonts w:ascii="Arial" w:cs="Arial" w:eastAsia="Arial" w:hAnsi="Arial"/>
                <w:sz w:val="16"/>
                <w:szCs w:val="16"/>
                <w:b w:val="1"/>
                <w:bCs w:val="1"/>
                <w:color w:val="auto"/>
              </w:rPr>
              <w:t>February 26,</w:t>
            </w:r>
          </w:p>
        </w:tc>
        <w:tc>
          <w:tcPr>
            <w:tcW w:w="300" w:type="dxa"/>
            <w:vAlign w:val="bottom"/>
          </w:tcPr>
          <w:p>
            <w:pPr>
              <w:spacing w:after="0"/>
              <w:rPr>
                <w:sz w:val="13"/>
                <w:szCs w:val="13"/>
                <w:color w:val="auto"/>
              </w:rPr>
            </w:pPr>
          </w:p>
        </w:tc>
        <w:tc>
          <w:tcPr>
            <w:tcW w:w="1400" w:type="dxa"/>
            <w:vAlign w:val="bottom"/>
          </w:tcPr>
          <w:p>
            <w:pPr>
              <w:jc w:val="right"/>
              <w:ind w:right="239"/>
              <w:spacing w:after="0" w:line="158" w:lineRule="exact"/>
              <w:rPr>
                <w:sz w:val="20"/>
                <w:szCs w:val="20"/>
                <w:color w:val="auto"/>
              </w:rPr>
            </w:pPr>
            <w:r>
              <w:rPr>
                <w:rFonts w:ascii="Arial" w:cs="Arial" w:eastAsia="Arial" w:hAnsi="Arial"/>
                <w:sz w:val="16"/>
                <w:szCs w:val="16"/>
                <w:b w:val="1"/>
                <w:bCs w:val="1"/>
                <w:color w:val="auto"/>
              </w:rPr>
              <w:t>February 27,</w:t>
            </w:r>
          </w:p>
        </w:tc>
      </w:tr>
      <w:tr>
        <w:trPr>
          <w:trHeight w:val="215"/>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thousands, except per share data)</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r>
      <w:tr>
        <w:trPr>
          <w:trHeight w:val="210"/>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1,164,731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839,886</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2,320,471</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1,633,017</w:t>
            </w:r>
          </w:p>
        </w:tc>
      </w:tr>
      <w:tr>
        <w:trPr>
          <w:trHeight w:val="213"/>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948,154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683,304</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1,874,482</w:t>
            </w: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1,339,431</w:t>
            </w:r>
          </w:p>
        </w:tc>
      </w:tr>
      <w:tr>
        <w:trPr>
          <w:trHeight w:val="20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216,577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156,582</w:t>
            </w: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445,989</w:t>
            </w:r>
          </w:p>
        </w:tc>
        <w:tc>
          <w:tcPr>
            <w:tcW w:w="3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293,586</w:t>
            </w:r>
          </w:p>
        </w:tc>
      </w:tr>
      <w:tr>
        <w:trPr>
          <w:trHeight w:val="209"/>
        </w:trPr>
        <w:tc>
          <w:tcPr>
            <w:tcW w:w="446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71,795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53,016</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146,665</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101,415</w:t>
            </w:r>
          </w:p>
        </w:tc>
      </w:tr>
      <w:tr>
        <w:trPr>
          <w:trHeight w:val="216"/>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3,591</w:t>
            </w: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16,187</w:t>
            </w:r>
          </w:p>
        </w:tc>
        <w:tc>
          <w:tcPr>
            <w:tcW w:w="3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7,181</w:t>
            </w:r>
          </w:p>
        </w:tc>
      </w:tr>
      <w:tr>
        <w:trPr>
          <w:trHeight w:val="210"/>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79,810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56,607</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162,852</w:t>
            </w: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108,596</w:t>
            </w:r>
          </w:p>
        </w:tc>
      </w:tr>
      <w:tr>
        <w:trPr>
          <w:trHeight w:val="212"/>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136,767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99,975</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283,137</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184,990</w:t>
            </w: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10,325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10,052</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20,567</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19,993</w:t>
            </w:r>
          </w:p>
        </w:tc>
      </w:tr>
      <w:tr>
        <w:trPr>
          <w:trHeight w:val="216"/>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loss (income)</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12,864</w:t>
            </w:r>
          </w:p>
        </w:tc>
        <w:tc>
          <w:tcPr>
            <w:tcW w:w="3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w:t>
            </w:r>
          </w:p>
        </w:tc>
      </w:tr>
      <w:tr>
        <w:trPr>
          <w:trHeight w:val="209"/>
        </w:trPr>
        <w:tc>
          <w:tcPr>
            <w:tcW w:w="446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119,935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90,234</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249,706</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165,214</w:t>
            </w:r>
          </w:p>
        </w:tc>
      </w:tr>
      <w:tr>
        <w:trPr>
          <w:trHeight w:val="216"/>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28,760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21,166</w:t>
            </w: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58,901</w:t>
            </w:r>
          </w:p>
        </w:tc>
        <w:tc>
          <w:tcPr>
            <w:tcW w:w="3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38,723</w:t>
            </w: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91,175</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69,068</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190,805</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126,491</w:t>
            </w: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3"/>
        </w:trPr>
        <w:tc>
          <w:tcPr>
            <w:tcW w:w="4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Earnings per common share:</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4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2.06</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r>
      <w:tr>
        <w:trPr>
          <w:trHeight w:val="213"/>
        </w:trPr>
        <w:tc>
          <w:tcPr>
            <w:tcW w:w="4460" w:type="dxa"/>
            <w:vAlign w:val="bottom"/>
          </w:tcPr>
          <w:p>
            <w:pPr>
              <w:ind w:left="220"/>
              <w:spacing w:after="0"/>
              <w:rPr>
                <w:sz w:val="20"/>
                <w:szCs w:val="20"/>
                <w:color w:val="auto"/>
              </w:rPr>
            </w:pPr>
            <w:r>
              <w:rPr>
                <w:rFonts w:ascii="Arial" w:cs="Arial" w:eastAsia="Arial" w:hAnsi="Arial"/>
                <w:sz w:val="16"/>
                <w:szCs w:val="16"/>
                <w:color w:val="auto"/>
              </w:rPr>
              <w:t>Diluted</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2.69</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2.04</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5.58</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3.74</w:t>
            </w:r>
          </w:p>
        </w:tc>
      </w:tr>
      <w:tr>
        <w:trPr>
          <w:trHeight w:val="260"/>
        </w:trPr>
        <w:tc>
          <w:tcPr>
            <w:tcW w:w="44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4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33,533</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33,210</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33,571</w:t>
            </w:r>
          </w:p>
        </w:tc>
      </w:tr>
      <w:tr>
        <w:trPr>
          <w:trHeight w:val="213"/>
        </w:trPr>
        <w:tc>
          <w:tcPr>
            <w:tcW w:w="4460" w:type="dxa"/>
            <w:vAlign w:val="bottom"/>
          </w:tcPr>
          <w:p>
            <w:pPr>
              <w:ind w:left="220"/>
              <w:spacing w:after="0"/>
              <w:rPr>
                <w:sz w:val="20"/>
                <w:szCs w:val="20"/>
                <w:color w:val="auto"/>
              </w:rPr>
            </w:pPr>
            <w:r>
              <w:rPr>
                <w:rFonts w:ascii="Arial" w:cs="Arial" w:eastAsia="Arial" w:hAnsi="Arial"/>
                <w:sz w:val="16"/>
                <w:szCs w:val="16"/>
                <w:color w:val="auto"/>
              </w:rPr>
              <w:t>Diluted</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33,934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33,910</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34,168</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33,821</w:t>
            </w:r>
          </w:p>
        </w:tc>
      </w:tr>
      <w:tr>
        <w:trPr>
          <w:trHeight w:val="260"/>
        </w:trPr>
        <w:tc>
          <w:tcPr>
            <w:tcW w:w="44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91,175</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69,068</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190,805</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126,491</w:t>
            </w: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177"/>
        </w:trPr>
        <w:tc>
          <w:tcPr>
            <w:tcW w:w="4460" w:type="dxa"/>
            <w:vAlign w:val="bottom"/>
          </w:tcPr>
          <w:p>
            <w:pPr>
              <w:ind w:left="220"/>
              <w:spacing w:after="0" w:line="178" w:lineRule="exact"/>
              <w:rPr>
                <w:sz w:val="20"/>
                <w:szCs w:val="20"/>
                <w:color w:val="auto"/>
              </w:rPr>
            </w:pPr>
            <w:r>
              <w:rPr>
                <w:rFonts w:ascii="Arial" w:cs="Arial" w:eastAsia="Arial" w:hAnsi="Arial"/>
                <w:sz w:val="16"/>
                <w:szCs w:val="16"/>
                <w:color w:val="auto"/>
              </w:rPr>
              <w:t>Amortization of net actuarial loss (net of tax of $3, $3, $6,</w:t>
            </w: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98"/>
        </w:trPr>
        <w:tc>
          <w:tcPr>
            <w:tcW w:w="44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and $6)</w:t>
            </w: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w:t>
            </w: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23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91,184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69,076</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190,823</w:t>
            </w:r>
          </w:p>
        </w:tc>
        <w:tc>
          <w:tcPr>
            <w:tcW w:w="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126,508</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Balance Sheets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February 26,</w:t>
            </w:r>
          </w:p>
        </w:tc>
        <w:tc>
          <w:tcPr>
            <w:tcW w:w="260" w:type="dxa"/>
            <w:vAlign w:val="bottom"/>
          </w:tcPr>
          <w:p>
            <w:pPr>
              <w:spacing w:after="0"/>
              <w:rPr>
                <w:sz w:val="16"/>
                <w:szCs w:val="16"/>
                <w:color w:val="auto"/>
              </w:rPr>
            </w:pPr>
          </w:p>
        </w:tc>
        <w:tc>
          <w:tcPr>
            <w:tcW w:w="138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28,</w:t>
            </w:r>
          </w:p>
        </w:tc>
      </w:tr>
      <w:tr>
        <w:trPr>
          <w:trHeight w:val="215"/>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thousands, except per share data)</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r>
      <w:tr>
        <w:trPr>
          <w:trHeight w:val="210"/>
        </w:trPr>
        <w:tc>
          <w:tcPr>
            <w:tcW w:w="7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320"/>
              <w:spacing w:after="0"/>
              <w:rPr>
                <w:sz w:val="20"/>
                <w:szCs w:val="20"/>
                <w:color w:val="auto"/>
              </w:rPr>
            </w:pPr>
            <w:r>
              <w:rPr>
                <w:rFonts w:ascii="Arial" w:cs="Arial" w:eastAsia="Arial" w:hAnsi="Arial"/>
                <w:sz w:val="16"/>
                <w:szCs w:val="16"/>
                <w:color w:val="auto"/>
              </w:rPr>
              <w:t>(Unaudited)</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5"/>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7"/>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134,832</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434,563</w:t>
            </w:r>
          </w:p>
        </w:tc>
      </w:tr>
      <w:tr>
        <w:trPr>
          <w:trHeight w:val="21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Receivables, less allowance for doubtful accounts ($294 and $307, respectively)</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380,039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253,808</w:t>
            </w: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Inventories, net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469,454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341,473</w:t>
            </w:r>
          </w:p>
        </w:tc>
      </w:tr>
      <w:tr>
        <w:trPr>
          <w:trHeight w:val="216"/>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25,139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29,069</w:t>
            </w:r>
          </w:p>
        </w:tc>
      </w:tr>
      <w:tr>
        <w:trPr>
          <w:trHeight w:val="209"/>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current assets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1,009,464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1,058,913</w:t>
            </w:r>
          </w:p>
        </w:tc>
      </w:tr>
      <w:tr>
        <w:trPr>
          <w:trHeight w:val="213"/>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239,034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191,427</w:t>
            </w: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484,176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348,058</w:t>
            </w: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485,619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390,407</w:t>
            </w: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Investment in life insurance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29,306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28,821</w:t>
            </w: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assets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28,379</w:t>
            </w:r>
          </w:p>
        </w:tc>
      </w:tr>
      <w:tr>
        <w:trPr>
          <w:trHeight w:val="21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assets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18,361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16,562</w:t>
            </w:r>
          </w:p>
        </w:tc>
      </w:tr>
      <w:tr>
        <w:trPr>
          <w:trHeight w:val="23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2,309,433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2,062,567</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211,280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180,030</w:t>
            </w: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Income taxes payable</w:t>
            </w:r>
          </w:p>
        </w:tc>
        <w:tc>
          <w:tcPr>
            <w:tcW w:w="2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8,043</w:t>
            </w:r>
          </w:p>
        </w:tc>
      </w:tr>
      <w:tr>
        <w:trPr>
          <w:trHeight w:val="21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expenses: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3"/>
        </w:trPr>
        <w:tc>
          <w:tcPr>
            <w:tcW w:w="7860" w:type="dxa"/>
            <w:vAlign w:val="bottom"/>
          </w:tcPr>
          <w:p>
            <w:pPr>
              <w:ind w:left="220"/>
              <w:spacing w:after="0"/>
              <w:rPr>
                <w:sz w:val="20"/>
                <w:szCs w:val="20"/>
                <w:color w:val="auto"/>
              </w:rPr>
            </w:pPr>
            <w:r>
              <w:rPr>
                <w:rFonts w:ascii="Arial" w:cs="Arial" w:eastAsia="Arial" w:hAnsi="Arial"/>
                <w:sz w:val="16"/>
                <w:szCs w:val="16"/>
                <w:color w:val="auto"/>
              </w:rPr>
              <w:t>Accrued compensation</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59,947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67,541</w:t>
            </w:r>
          </w:p>
        </w:tc>
      </w:tr>
      <w:tr>
        <w:trPr>
          <w:trHeight w:val="219"/>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Product warranties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91,222</w:t>
            </w:r>
          </w:p>
        </w:tc>
      </w:tr>
      <w:tr>
        <w:trPr>
          <w:trHeight w:val="213"/>
        </w:trPr>
        <w:tc>
          <w:tcPr>
            <w:tcW w:w="7860" w:type="dxa"/>
            <w:vAlign w:val="bottom"/>
          </w:tcPr>
          <w:p>
            <w:pPr>
              <w:ind w:left="220"/>
              <w:spacing w:after="0"/>
              <w:rPr>
                <w:sz w:val="20"/>
                <w:szCs w:val="20"/>
                <w:color w:val="auto"/>
              </w:rPr>
            </w:pPr>
            <w:r>
              <w:rPr>
                <w:rFonts w:ascii="Arial" w:cs="Arial" w:eastAsia="Arial" w:hAnsi="Arial"/>
                <w:sz w:val="16"/>
                <w:szCs w:val="16"/>
                <w:color w:val="auto"/>
              </w:rPr>
              <w:t>Self-insurance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17,871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19,296</w:t>
            </w:r>
          </w:p>
        </w:tc>
      </w:tr>
      <w:tr>
        <w:trPr>
          <w:trHeight w:val="219"/>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Promotional</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10,040</w:t>
            </w:r>
          </w:p>
        </w:tc>
      </w:tr>
      <w:tr>
        <w:trPr>
          <w:trHeight w:val="213"/>
        </w:trPr>
        <w:tc>
          <w:tcPr>
            <w:tcW w:w="7860" w:type="dxa"/>
            <w:vAlign w:val="bottom"/>
          </w:tcPr>
          <w:p>
            <w:pPr>
              <w:ind w:left="220"/>
              <w:spacing w:after="0"/>
              <w:rPr>
                <w:sz w:val="20"/>
                <w:szCs w:val="20"/>
                <w:color w:val="auto"/>
              </w:rPr>
            </w:pPr>
            <w:r>
              <w:rPr>
                <w:rFonts w:ascii="Arial" w:cs="Arial" w:eastAsia="Arial" w:hAnsi="Arial"/>
                <w:sz w:val="16"/>
                <w:szCs w:val="16"/>
                <w:color w:val="auto"/>
              </w:rPr>
              <w:t>Accrued interest and dividends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4,489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10,720</w:t>
            </w:r>
          </w:p>
        </w:tc>
      </w:tr>
      <w:tr>
        <w:trPr>
          <w:trHeight w:val="216"/>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42,918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20,384</w:t>
            </w:r>
          </w:p>
        </w:tc>
      </w:tr>
      <w:tr>
        <w:trPr>
          <w:trHeight w:val="20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464,046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407,276</w:t>
            </w:r>
          </w:p>
        </w:tc>
      </w:tr>
      <w:tr>
        <w:trPr>
          <w:trHeight w:val="213"/>
        </w:trPr>
        <w:tc>
          <w:tcPr>
            <w:tcW w:w="7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debt, net</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536,990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528,559</w:t>
            </w:r>
          </w:p>
        </w:tc>
      </w:tr>
      <w:tr>
        <w:trPr>
          <w:trHeight w:val="213"/>
        </w:trPr>
        <w:tc>
          <w:tcPr>
            <w:tcW w:w="786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11,458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13,429</w:t>
            </w:r>
          </w:p>
        </w:tc>
      </w:tr>
      <w:tr>
        <w:trPr>
          <w:trHeight w:val="219"/>
        </w:trPr>
        <w:tc>
          <w:tcPr>
            <w:tcW w:w="7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Unrecognized tax benefits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6,483</w:t>
            </w: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Long-term operating lease liabilities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42,420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26,745</w:t>
            </w:r>
          </w:p>
        </w:tc>
      </w:tr>
      <w:tr>
        <w:trPr>
          <w:trHeight w:val="219"/>
        </w:trPr>
        <w:tc>
          <w:tcPr>
            <w:tcW w:w="7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compensation benefits, net of current portion</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9,550</w:t>
            </w:r>
          </w:p>
        </w:tc>
      </w:tr>
      <w:tr>
        <w:trPr>
          <w:trHeight w:val="213"/>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long-term liabilities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29,885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13,582</w:t>
            </w:r>
          </w:p>
        </w:tc>
      </w:tr>
      <w:tr>
        <w:trPr>
          <w:trHeight w:val="212"/>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Total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1,100,446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1,005,624</w:t>
            </w:r>
          </w:p>
        </w:tc>
      </w:tr>
      <w:tr>
        <w:trPr>
          <w:trHeight w:val="193"/>
        </w:trPr>
        <w:tc>
          <w:tcPr>
            <w:tcW w:w="7860" w:type="dxa"/>
            <w:vAlign w:val="bottom"/>
          </w:tcPr>
          <w:p>
            <w:pPr>
              <w:ind w:left="20"/>
              <w:spacing w:after="0"/>
              <w:rPr>
                <w:sz w:val="20"/>
                <w:szCs w:val="20"/>
                <w:color w:val="auto"/>
              </w:rPr>
            </w:pPr>
            <w:r>
              <w:rPr>
                <w:rFonts w:ascii="Arial" w:cs="Arial" w:eastAsia="Arial" w:hAnsi="Arial"/>
                <w:sz w:val="16"/>
                <w:szCs w:val="16"/>
                <w:color w:val="auto"/>
              </w:rPr>
              <w:t>Contingent liabilities and commitments (Note 11)</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Shareholders' equity:</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Preferred stock, par value $0.01: 10,000 shares authorized; Zero shares issued and outstanding</w:t>
            </w:r>
          </w:p>
        </w:tc>
        <w:tc>
          <w:tcPr>
            <w:tcW w:w="2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par value $0.50: 120,000 shares authorized; 51,776 shares issued and outstanding</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25,888</w:t>
            </w: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238,159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218,490</w:t>
            </w:r>
          </w:p>
        </w:tc>
      </w:tr>
      <w:tr>
        <w:trPr>
          <w:trHeight w:val="21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1,357,812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1,172,996</w:t>
            </w: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(491)</w:t>
            </w:r>
          </w:p>
        </w:tc>
      </w:tr>
      <w:tr>
        <w:trPr>
          <w:trHeight w:val="21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Treasury stock, at cost: 19,045 and 18,713 shares, respectively</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(412,399)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(359,940)</w:t>
            </w:r>
          </w:p>
        </w:tc>
      </w:tr>
      <w:tr>
        <w:trPr>
          <w:trHeight w:val="209"/>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6"/>
                <w:szCs w:val="16"/>
                <w:b w:val="1"/>
                <w:bCs w:val="1"/>
                <w:color w:val="auto"/>
              </w:rPr>
              <w:t>Total shareholders' equity</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1,208,987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1,056,943</w:t>
            </w:r>
          </w:p>
        </w:tc>
      </w:tr>
      <w:tr>
        <w:trPr>
          <w:trHeight w:val="235"/>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shareholders' equity</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2,309,433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2,062,567</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786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880"/>
        </w:trPr>
        <w:tc>
          <w:tcPr>
            <w:tcW w:w="786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89"/>
        </w:trPr>
        <w:tc>
          <w:tcPr>
            <w:tcW w:w="7860" w:type="dxa"/>
            <w:vAlign w:val="bottom"/>
            <w:gridSpan w:val="2"/>
          </w:tcPr>
          <w:p>
            <w:pPr>
              <w:spacing w:after="0"/>
              <w:rPr>
                <w:sz w:val="20"/>
                <w:szCs w:val="20"/>
                <w:color w:val="auto"/>
              </w:rPr>
            </w:pPr>
            <w:r>
              <w:rPr>
                <w:rFonts w:ascii="Arial" w:cs="Arial" w:eastAsia="Arial" w:hAnsi="Arial"/>
                <w:sz w:val="16"/>
                <w:szCs w:val="16"/>
                <w:b w:val="1"/>
                <w:bCs w:val="1"/>
                <w:color w:val="auto"/>
              </w:rPr>
              <w:t>Consolidated Statements of Cash Flows</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5"/>
        </w:trPr>
        <w:tc>
          <w:tcPr>
            <w:tcW w:w="7860" w:type="dxa"/>
            <w:vAlign w:val="bottom"/>
            <w:gridSpan w:val="2"/>
          </w:tcPr>
          <w:p>
            <w:pPr>
              <w:spacing w:after="0"/>
              <w:rPr>
                <w:sz w:val="20"/>
                <w:szCs w:val="20"/>
                <w:color w:val="auto"/>
              </w:rPr>
            </w:pPr>
            <w:r>
              <w:rPr>
                <w:rFonts w:ascii="Arial" w:cs="Arial" w:eastAsia="Arial" w:hAnsi="Arial"/>
                <w:sz w:val="16"/>
                <w:szCs w:val="16"/>
                <w:b w:val="1"/>
                <w:bCs w:val="1"/>
                <w:color w:val="auto"/>
              </w:rPr>
              <w:t>(Unaudited)</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3"/>
        </w:trPr>
        <w:tc>
          <w:tcPr>
            <w:tcW w:w="126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6"/>
                <w:szCs w:val="16"/>
                <w:b w:val="1"/>
                <w:bCs w:val="1"/>
                <w:color w:val="auto"/>
              </w:rPr>
              <w:t>Six Months Ended</w:t>
            </w:r>
          </w:p>
        </w:tc>
      </w:tr>
      <w:tr>
        <w:trPr>
          <w:trHeight w:val="158"/>
        </w:trPr>
        <w:tc>
          <w:tcPr>
            <w:tcW w:w="126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2"/>
          </w:tcPr>
          <w:p>
            <w:pPr>
              <w:ind w:left="120"/>
              <w:spacing w:after="0" w:line="158" w:lineRule="exact"/>
              <w:rPr>
                <w:sz w:val="20"/>
                <w:szCs w:val="20"/>
                <w:color w:val="auto"/>
              </w:rPr>
            </w:pPr>
            <w:r>
              <w:rPr>
                <w:rFonts w:ascii="Arial" w:cs="Arial" w:eastAsia="Arial" w:hAnsi="Arial"/>
                <w:sz w:val="16"/>
                <w:szCs w:val="16"/>
                <w:b w:val="1"/>
                <w:bCs w:val="1"/>
                <w:color w:val="auto"/>
              </w:rPr>
              <w:t>February 26,</w:t>
            </w:r>
          </w:p>
        </w:tc>
        <w:tc>
          <w:tcPr>
            <w:tcW w:w="220" w:type="dxa"/>
            <w:vAlign w:val="bottom"/>
          </w:tcPr>
          <w:p>
            <w:pPr>
              <w:spacing w:after="0"/>
              <w:rPr>
                <w:sz w:val="13"/>
                <w:szCs w:val="13"/>
                <w:color w:val="auto"/>
              </w:rPr>
            </w:pPr>
          </w:p>
        </w:tc>
        <w:tc>
          <w:tcPr>
            <w:tcW w:w="1420" w:type="dxa"/>
            <w:vAlign w:val="bottom"/>
          </w:tcPr>
          <w:p>
            <w:pPr>
              <w:jc w:val="right"/>
              <w:ind w:right="259"/>
              <w:spacing w:after="0" w:line="158" w:lineRule="exact"/>
              <w:rPr>
                <w:sz w:val="20"/>
                <w:szCs w:val="20"/>
                <w:color w:val="auto"/>
              </w:rPr>
            </w:pPr>
            <w:r>
              <w:rPr>
                <w:rFonts w:ascii="Arial" w:cs="Arial" w:eastAsia="Arial" w:hAnsi="Arial"/>
                <w:sz w:val="16"/>
                <w:szCs w:val="16"/>
                <w:b w:val="1"/>
                <w:bCs w:val="1"/>
                <w:color w:val="auto"/>
              </w:rPr>
              <w:t>February 27,</w:t>
            </w:r>
          </w:p>
        </w:tc>
      </w:tr>
      <w:tr>
        <w:trPr>
          <w:trHeight w:val="215"/>
        </w:trPr>
        <w:tc>
          <w:tcPr>
            <w:tcW w:w="78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(in thousands)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r>
      <w:tr>
        <w:trPr>
          <w:trHeight w:val="21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3"/>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190,805</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126,491</w:t>
            </w:r>
          </w:p>
        </w:tc>
      </w:tr>
      <w:tr>
        <w:trPr>
          <w:trHeight w:val="219"/>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3"/>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Depreciation</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10,767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8,559</w:t>
            </w:r>
          </w:p>
        </w:tc>
      </w:tr>
      <w:tr>
        <w:trPr>
          <w:trHeight w:val="21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Amortization</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7,181</w:t>
            </w:r>
          </w:p>
        </w:tc>
      </w:tr>
      <w:tr>
        <w:trPr>
          <w:trHeight w:val="213"/>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Non-cash interest expense, net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7,326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6,769</w:t>
            </w:r>
          </w:p>
        </w:tc>
      </w:tr>
      <w:tr>
        <w:trPr>
          <w:trHeight w:val="21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Amortization of debt issuance costs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1,229</w:t>
            </w:r>
          </w:p>
        </w:tc>
      </w:tr>
      <w:tr>
        <w:trPr>
          <w:trHeight w:val="213"/>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Last in, first-out expense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2,772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552</w:t>
            </w:r>
          </w:p>
        </w:tc>
      </w:tr>
      <w:tr>
        <w:trPr>
          <w:trHeight w:val="21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6,981</w:t>
            </w:r>
          </w:p>
        </w:tc>
      </w:tr>
      <w:tr>
        <w:trPr>
          <w:trHeight w:val="213"/>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(1,977)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914</w:t>
            </w:r>
          </w:p>
        </w:tc>
      </w:tr>
      <w:tr>
        <w:trPr>
          <w:trHeight w:val="21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Contingent consideration fair value adjustment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Other, net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2,212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(3,460)</w:t>
            </w:r>
          </w:p>
        </w:tc>
      </w:tr>
      <w:tr>
        <w:trPr>
          <w:trHeight w:val="219"/>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Change in operating assets and liabilities, net of assets and liabilities acquired</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3"/>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Receivables, net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(123,595)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(11,547)</w:t>
            </w:r>
          </w:p>
        </w:tc>
      </w:tr>
      <w:tr>
        <w:trPr>
          <w:trHeight w:val="21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Inventories,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(96,079)</w:t>
            </w:r>
          </w:p>
        </w:tc>
      </w:tr>
      <w:tr>
        <w:trPr>
          <w:trHeight w:val="213"/>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Prepaid expenses and other assets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5,613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2,321</w:t>
            </w:r>
          </w:p>
        </w:tc>
      </w:tr>
      <w:tr>
        <w:trPr>
          <w:trHeight w:val="21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12,487</w:t>
            </w:r>
          </w:p>
        </w:tc>
      </w:tr>
      <w:tr>
        <w:trPr>
          <w:trHeight w:val="213"/>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Income taxes and unrecognized tax benefits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(7,941)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(10,698)</w:t>
            </w:r>
          </w:p>
        </w:tc>
      </w:tr>
      <w:tr>
        <w:trPr>
          <w:trHeight w:val="21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Accrued expenses and 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15,222</w:t>
            </w:r>
          </w:p>
        </w:tc>
      </w:tr>
      <w:tr>
        <w:trPr>
          <w:trHeight w:val="209"/>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46,141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66,922</w:t>
            </w:r>
          </w:p>
        </w:tc>
      </w:tr>
      <w:tr>
        <w:trPr>
          <w:trHeight w:val="183"/>
        </w:trPr>
        <w:tc>
          <w:tcPr>
            <w:tcW w:w="1260" w:type="dxa"/>
            <w:vAlign w:val="bottom"/>
            <w:shd w:val="clear" w:color="auto" w:fill="CCEEFF"/>
          </w:tcPr>
          <w:p>
            <w:pPr>
              <w:spacing w:after="0"/>
              <w:rPr>
                <w:sz w:val="15"/>
                <w:szCs w:val="15"/>
                <w:color w:val="auto"/>
              </w:rPr>
            </w:pPr>
          </w:p>
        </w:tc>
        <w:tc>
          <w:tcPr>
            <w:tcW w:w="6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15"/>
        </w:trPr>
        <w:tc>
          <w:tcPr>
            <w:tcW w:w="7860" w:type="dxa"/>
            <w:vAlign w:val="bottom"/>
            <w:gridSpan w:val="2"/>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7"/>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Purchases of property, plant, and equipment</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(14,920)</w:t>
            </w:r>
          </w:p>
        </w:tc>
      </w:tr>
      <w:tr>
        <w:trPr>
          <w:trHeight w:val="213"/>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Acquisition of business, net of cash acquired</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(228,159)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Proceeds from the sale of property, plant, and equipment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7,778</w:t>
            </w:r>
          </w:p>
        </w:tc>
      </w:tr>
      <w:tr>
        <w:trPr>
          <w:trHeight w:val="213"/>
        </w:trPr>
        <w:tc>
          <w:tcPr>
            <w:tcW w:w="78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Other, net</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w:t>
            </w:r>
          </w:p>
        </w:tc>
      </w:tr>
      <w:tr>
        <w:trPr>
          <w:trHeight w:val="212"/>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(271,781)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(7,365)</w:t>
            </w:r>
          </w:p>
        </w:tc>
      </w:tr>
      <w:tr>
        <w:trPr>
          <w:trHeight w:val="183"/>
        </w:trPr>
        <w:tc>
          <w:tcPr>
            <w:tcW w:w="126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16"/>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3"/>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Borrowings on long-term debt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1,943,583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1,647,764</w:t>
            </w:r>
          </w:p>
        </w:tc>
      </w:tr>
      <w:tr>
        <w:trPr>
          <w:trHeight w:val="219"/>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Repayments on long-term debt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(1,943,583)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(1,647,764)</w:t>
            </w:r>
          </w:p>
        </w:tc>
      </w:tr>
      <w:tr>
        <w:trPr>
          <w:trHeight w:val="213"/>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Payments of cash dividends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(11,991)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(8,075)</w:t>
            </w:r>
          </w:p>
        </w:tc>
      </w:tr>
      <w:tr>
        <w:trPr>
          <w:trHeight w:val="219"/>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Payments for repurchases of common stock</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(12,109)</w:t>
            </w:r>
          </w:p>
        </w:tc>
      </w:tr>
      <w:tr>
        <w:trPr>
          <w:trHeight w:val="213"/>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Payments of debt issuance costs</w:t>
            </w:r>
          </w:p>
        </w:tc>
        <w:tc>
          <w:tcPr>
            <w:tcW w:w="2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(224)</w:t>
            </w:r>
          </w:p>
        </w:tc>
      </w:tr>
      <w:tr>
        <w:trPr>
          <w:trHeight w:val="219"/>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1,291</w:t>
            </w:r>
          </w:p>
        </w:tc>
      </w:tr>
      <w:tr>
        <w:trPr>
          <w:trHeight w:val="209"/>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(74,091)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(19,117)</w:t>
            </w:r>
          </w:p>
        </w:tc>
      </w:tr>
      <w:tr>
        <w:trPr>
          <w:trHeight w:val="237"/>
        </w:trPr>
        <w:tc>
          <w:tcPr>
            <w:tcW w:w="1260" w:type="dxa"/>
            <w:vAlign w:val="bottom"/>
            <w:shd w:val="clear" w:color="auto" w:fill="CCEEFF"/>
          </w:tcPr>
          <w:p>
            <w:pPr>
              <w:spacing w:after="0"/>
              <w:rPr>
                <w:sz w:val="20"/>
                <w:szCs w:val="20"/>
                <w:color w:val="auto"/>
              </w:rPr>
            </w:pPr>
          </w:p>
        </w:tc>
        <w:tc>
          <w:tcPr>
            <w:tcW w:w="6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bl>
    <w:p>
      <w:pPr>
        <w:spacing w:after="0" w:line="15" w:lineRule="exact"/>
        <w:rPr>
          <w:sz w:val="20"/>
          <w:szCs w:val="20"/>
          <w:color w:val="auto"/>
        </w:rPr>
      </w:pPr>
    </w:p>
    <w:p>
      <w:pPr>
        <w:sectPr>
          <w:pgSz w:w="11900" w:h="16838" w:orient="portrait"/>
          <w:cols w:equalWidth="0" w:num="1">
            <w:col w:w="11240"/>
          </w:cols>
          <w:pgMar w:left="320" w:top="118" w:right="339" w:bottom="1440" w:gutter="0" w:footer="0" w:header="0"/>
        </w:sectPr>
      </w:pPr>
    </w:p>
    <w:p>
      <w:pPr>
        <w:ind w:left="20"/>
        <w:spacing w:after="0"/>
        <w:rPr>
          <w:sz w:val="20"/>
          <w:szCs w:val="20"/>
          <w:color w:val="auto"/>
        </w:rPr>
      </w:pPr>
      <w:r>
        <w:rPr>
          <w:rFonts w:ascii="Arial" w:cs="Arial" w:eastAsia="Arial" w:hAnsi="Arial"/>
          <w:sz w:val="16"/>
          <w:szCs w:val="16"/>
          <w:color w:val="auto"/>
        </w:rPr>
        <w:t>Net (decrease)/increase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 at beginning of period</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520" w:type="dxa"/>
            <w:vAlign w:val="bottom"/>
          </w:tcPr>
          <w:p>
            <w:pPr>
              <w:spacing w:after="0"/>
              <w:rPr>
                <w:sz w:val="16"/>
                <w:szCs w:val="16"/>
                <w:color w:val="auto"/>
              </w:rPr>
            </w:pPr>
          </w:p>
        </w:tc>
        <w:tc>
          <w:tcPr>
            <w:tcW w:w="1120" w:type="dxa"/>
            <w:vAlign w:val="bottom"/>
          </w:tcPr>
          <w:p>
            <w:pPr>
              <w:jc w:val="center"/>
              <w:ind w:left="299"/>
              <w:spacing w:after="0"/>
              <w:rPr>
                <w:sz w:val="20"/>
                <w:szCs w:val="20"/>
                <w:color w:val="auto"/>
              </w:rPr>
            </w:pPr>
            <w:r>
              <w:rPr>
                <w:rFonts w:ascii="Arial" w:cs="Arial" w:eastAsia="Arial" w:hAnsi="Arial"/>
                <w:sz w:val="16"/>
                <w:szCs w:val="16"/>
                <w:color w:val="auto"/>
              </w:rPr>
              <w:t>(299,731)</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40,440</w:t>
            </w:r>
          </w:p>
        </w:tc>
      </w:tr>
      <w:tr>
        <w:trPr>
          <w:trHeight w:val="219"/>
        </w:trPr>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299"/>
              <w:spacing w:after="0"/>
              <w:rPr>
                <w:sz w:val="20"/>
                <w:szCs w:val="20"/>
                <w:color w:val="auto"/>
              </w:rPr>
            </w:pPr>
            <w:r>
              <w:rPr>
                <w:rFonts w:ascii="Arial" w:cs="Arial" w:eastAsia="Arial" w:hAnsi="Arial"/>
                <w:sz w:val="16"/>
                <w:szCs w:val="16"/>
                <w:color w:val="auto"/>
              </w:rPr>
              <w:t>434,563</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292,575</w:t>
            </w:r>
          </w:p>
        </w:tc>
      </w:tr>
      <w:tr>
        <w:trPr>
          <w:trHeight w:val="210"/>
        </w:trPr>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center"/>
              <w:ind w:left="299"/>
              <w:spacing w:after="0"/>
              <w:rPr>
                <w:sz w:val="20"/>
                <w:szCs w:val="20"/>
                <w:color w:val="auto"/>
              </w:rPr>
            </w:pPr>
            <w:r>
              <w:rPr>
                <w:rFonts w:ascii="Arial" w:cs="Arial" w:eastAsia="Arial" w:hAnsi="Arial"/>
                <w:sz w:val="16"/>
                <w:szCs w:val="16"/>
                <w:color w:val="auto"/>
              </w:rPr>
              <w:t>134,832</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333,015</w:t>
            </w:r>
          </w:p>
        </w:tc>
      </w:tr>
      <w:tr>
        <w:trPr>
          <w:trHeight w:val="23"/>
        </w:trPr>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140" w:space="720"/>
            <w:col w:w="338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644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2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736"/>
        </w:trPr>
        <w:tc>
          <w:tcPr>
            <w:tcW w:w="1260" w:type="dxa"/>
            <w:vAlign w:val="bottom"/>
            <w:tcBorders>
              <w:top w:val="single" w:sz="8" w:color="0000FF"/>
            </w:tcBorders>
          </w:tcPr>
          <w:p>
            <w:pPr>
              <w:spacing w:after="0"/>
              <w:rPr>
                <w:sz w:val="24"/>
                <w:szCs w:val="24"/>
                <w:color w:val="auto"/>
              </w:rPr>
            </w:pPr>
          </w:p>
        </w:tc>
        <w:tc>
          <w:tcPr>
            <w:tcW w:w="5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w:t>
            </w:r>
          </w:p>
        </w:tc>
        <w:tc>
          <w:tcPr>
            <w:tcW w:w="2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6440" w:type="dxa"/>
            <w:vAlign w:val="bottom"/>
            <w:gridSpan w:val="2"/>
          </w:tcPr>
          <w:p>
            <w:pPr>
              <w:ind w:left="140"/>
              <w:spacing w:after="0"/>
              <w:rPr>
                <w:sz w:val="20"/>
                <w:szCs w:val="20"/>
                <w:color w:val="auto"/>
              </w:rPr>
            </w:pPr>
            <w:r>
              <w:rPr>
                <w:rFonts w:ascii="Arial" w:cs="Arial" w:eastAsia="Arial" w:hAnsi="Arial"/>
                <w:sz w:val="16"/>
                <w:szCs w:val="16"/>
                <w:color w:val="auto"/>
              </w:rPr>
              <w:t>Income taxes paid, net</w:t>
            </w:r>
          </w:p>
        </w:tc>
        <w:tc>
          <w:tcPr>
            <w:tcW w:w="202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71,344</w:t>
            </w:r>
          </w:p>
        </w:tc>
        <w:tc>
          <w:tcPr>
            <w:tcW w:w="68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47,804</w:t>
            </w:r>
          </w:p>
        </w:tc>
      </w:tr>
      <w:tr>
        <w:trPr>
          <w:trHeight w:val="219"/>
        </w:trPr>
        <w:tc>
          <w:tcPr>
            <w:tcW w:w="6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 paid</w:t>
            </w:r>
          </w:p>
        </w:tc>
        <w:tc>
          <w:tcPr>
            <w:tcW w:w="20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11,891</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12,244</w:t>
            </w:r>
          </w:p>
        </w:tc>
      </w:tr>
      <w:tr>
        <w:trPr>
          <w:trHeight w:val="256"/>
        </w:trPr>
        <w:tc>
          <w:tcPr>
            <w:tcW w:w="6440" w:type="dxa"/>
            <w:vAlign w:val="bottom"/>
            <w:gridSpan w:val="2"/>
          </w:tcPr>
          <w:p>
            <w:pPr>
              <w:spacing w:after="0"/>
              <w:rPr>
                <w:sz w:val="22"/>
                <w:szCs w:val="22"/>
                <w:color w:val="auto"/>
              </w:rPr>
            </w:pPr>
          </w:p>
        </w:tc>
        <w:tc>
          <w:tcPr>
            <w:tcW w:w="20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16"/>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2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6440" w:type="dxa"/>
            <w:vAlign w:val="bottom"/>
            <w:gridSpan w:val="2"/>
          </w:tcPr>
          <w:p>
            <w:pPr>
              <w:ind w:left="140"/>
              <w:spacing w:after="0"/>
              <w:rPr>
                <w:sz w:val="20"/>
                <w:szCs w:val="20"/>
                <w:color w:val="auto"/>
              </w:rPr>
            </w:pPr>
            <w:r>
              <w:rPr>
                <w:rFonts w:ascii="Arial" w:cs="Arial" w:eastAsia="Arial" w:hAnsi="Arial"/>
                <w:sz w:val="16"/>
                <w:szCs w:val="16"/>
                <w:color w:val="auto"/>
              </w:rPr>
              <w:t>Issuance of common stock for acquisition of business</w:t>
            </w:r>
          </w:p>
        </w:tc>
        <w:tc>
          <w:tcPr>
            <w:tcW w:w="202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22,000</w:t>
            </w:r>
          </w:p>
        </w:tc>
        <w:tc>
          <w:tcPr>
            <w:tcW w:w="68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Capital expenditures in accounts payable</w:t>
            </w:r>
          </w:p>
        </w:tc>
        <w:tc>
          <w:tcPr>
            <w:tcW w:w="20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1,126</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r>
      <w:tr>
        <w:trPr>
          <w:trHeight w:val="213"/>
        </w:trPr>
        <w:tc>
          <w:tcPr>
            <w:tcW w:w="6440" w:type="dxa"/>
            <w:vAlign w:val="bottom"/>
            <w:gridSpan w:val="2"/>
          </w:tcPr>
          <w:p>
            <w:pPr>
              <w:ind w:left="140"/>
              <w:spacing w:after="0"/>
              <w:rPr>
                <w:sz w:val="20"/>
                <w:szCs w:val="20"/>
                <w:color w:val="auto"/>
              </w:rPr>
            </w:pPr>
            <w:r>
              <w:rPr>
                <w:rFonts w:ascii="Arial" w:cs="Arial" w:eastAsia="Arial" w:hAnsi="Arial"/>
                <w:sz w:val="16"/>
                <w:szCs w:val="16"/>
                <w:color w:val="auto"/>
              </w:rPr>
              <w:t>Increase (decrease) in lease assets in exchange for lease liabilities:</w:t>
            </w:r>
          </w:p>
        </w:tc>
        <w:tc>
          <w:tcPr>
            <w:tcW w:w="2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64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Operating leases</w:t>
            </w:r>
          </w:p>
        </w:tc>
        <w:tc>
          <w:tcPr>
            <w:tcW w:w="20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17,164</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r>
      <w:tr>
        <w:trPr>
          <w:trHeight w:val="210"/>
        </w:trPr>
        <w:tc>
          <w:tcPr>
            <w:tcW w:w="6440" w:type="dxa"/>
            <w:vAlign w:val="bottom"/>
            <w:gridSpan w:val="2"/>
          </w:tcPr>
          <w:p>
            <w:pPr>
              <w:ind w:left="220"/>
              <w:spacing w:after="0"/>
              <w:rPr>
                <w:sz w:val="20"/>
                <w:szCs w:val="20"/>
                <w:color w:val="auto"/>
              </w:rPr>
            </w:pPr>
            <w:r>
              <w:rPr>
                <w:rFonts w:ascii="Arial" w:cs="Arial" w:eastAsia="Arial" w:hAnsi="Arial"/>
                <w:sz w:val="16"/>
                <w:szCs w:val="16"/>
                <w:color w:val="auto"/>
              </w:rPr>
              <w:t>Finance leases</w:t>
            </w:r>
          </w:p>
        </w:tc>
        <w:tc>
          <w:tcPr>
            <w:tcW w:w="20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1,698</w:t>
            </w:r>
          </w:p>
        </w:tc>
        <w:tc>
          <w:tcPr>
            <w:tcW w:w="6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Changes in Shareholders' Equity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Three Months Ended February 26, 2022</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2"/>
        </w:trPr>
        <w:tc>
          <w:tcPr>
            <w:tcW w:w="2680" w:type="dxa"/>
            <w:vAlign w:val="bottom"/>
          </w:tcPr>
          <w:p>
            <w:pPr>
              <w:spacing w:after="0"/>
              <w:rPr>
                <w:sz w:val="24"/>
                <w:szCs w:val="24"/>
                <w:color w:val="auto"/>
              </w:rPr>
            </w:pPr>
          </w:p>
        </w:tc>
        <w:tc>
          <w:tcPr>
            <w:tcW w:w="1840" w:type="dxa"/>
            <w:vAlign w:val="bottom"/>
            <w:gridSpan w:val="3"/>
          </w:tcPr>
          <w:p>
            <w:pPr>
              <w:jc w:val="center"/>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24"/>
                <w:szCs w:val="24"/>
                <w:color w:val="auto"/>
              </w:rPr>
            </w:pPr>
          </w:p>
        </w:tc>
        <w:tc>
          <w:tcPr>
            <w:tcW w:w="860" w:type="dxa"/>
            <w:vAlign w:val="bottom"/>
          </w:tcPr>
          <w:p>
            <w:pPr>
              <w:jc w:val="center"/>
              <w:ind w:right="48"/>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880" w:type="dxa"/>
            <w:vAlign w:val="bottom"/>
            <w:gridSpan w:val="3"/>
          </w:tcPr>
          <w:p>
            <w:pPr>
              <w:jc w:val="right"/>
              <w:ind w:right="348"/>
              <w:spacing w:after="0"/>
              <w:rPr>
                <w:sz w:val="20"/>
                <w:szCs w:val="20"/>
                <w:color w:val="auto"/>
              </w:rPr>
            </w:pPr>
            <w:r>
              <w:rPr>
                <w:rFonts w:ascii="Arial" w:cs="Arial" w:eastAsia="Arial" w:hAnsi="Arial"/>
                <w:sz w:val="14"/>
                <w:szCs w:val="14"/>
                <w:b w:val="1"/>
                <w:bCs w:val="1"/>
                <w:color w:val="auto"/>
              </w:rPr>
              <w:t>Treasury Stock</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680" w:type="dxa"/>
            <w:vAlign w:val="bottom"/>
            <w:vMerge w:val="restart"/>
          </w:tcPr>
          <w:p>
            <w:pPr>
              <w:ind w:left="20"/>
              <w:spacing w:after="0" w:line="122" w:lineRule="exact"/>
              <w:rPr>
                <w:sz w:val="20"/>
                <w:szCs w:val="20"/>
                <w:color w:val="auto"/>
              </w:rPr>
            </w:pPr>
            <w:r>
              <w:rPr>
                <w:rFonts w:ascii="Arial" w:cs="Arial" w:eastAsia="Arial" w:hAnsi="Arial"/>
                <w:sz w:val="14"/>
                <w:szCs w:val="14"/>
                <w:color w:val="auto"/>
              </w:rPr>
              <w:t>(in thousands,</w:t>
            </w:r>
          </w:p>
        </w:tc>
        <w:tc>
          <w:tcPr>
            <w:tcW w:w="8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vMerge w:val="restart"/>
          </w:tcPr>
          <w:p>
            <w:pPr>
              <w:jc w:val="center"/>
              <w:ind w:right="48"/>
              <w:spacing w:after="0" w:line="122"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3"/>
                <w:szCs w:val="3"/>
                <w:color w:val="auto"/>
              </w:rPr>
            </w:pPr>
          </w:p>
        </w:tc>
        <w:tc>
          <w:tcPr>
            <w:tcW w:w="860" w:type="dxa"/>
            <w:vAlign w:val="bottom"/>
            <w:vMerge w:val="restart"/>
          </w:tcPr>
          <w:p>
            <w:pPr>
              <w:ind w:left="80"/>
              <w:spacing w:after="0" w:line="122"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3"/>
                <w:szCs w:val="3"/>
                <w:color w:val="auto"/>
              </w:rPr>
            </w:pPr>
          </w:p>
        </w:tc>
        <w:tc>
          <w:tcPr>
            <w:tcW w:w="1300" w:type="dxa"/>
            <w:vAlign w:val="bottom"/>
            <w:vMerge w:val="restart"/>
          </w:tcPr>
          <w:p>
            <w:pPr>
              <w:jc w:val="center"/>
              <w:ind w:right="68"/>
              <w:spacing w:after="0" w:line="122" w:lineRule="exact"/>
              <w:rPr>
                <w:sz w:val="20"/>
                <w:szCs w:val="20"/>
                <w:color w:val="auto"/>
              </w:rPr>
            </w:pPr>
            <w:r>
              <w:rPr>
                <w:rFonts w:ascii="Arial" w:cs="Arial" w:eastAsia="Arial" w:hAnsi="Arial"/>
                <w:sz w:val="14"/>
                <w:szCs w:val="14"/>
                <w:b w:val="1"/>
                <w:bCs w:val="1"/>
                <w:color w:val="auto"/>
              </w:rPr>
              <w:t>Comprehensive</w:t>
            </w:r>
          </w:p>
        </w:tc>
        <w:tc>
          <w:tcPr>
            <w:tcW w:w="8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40" w:type="dxa"/>
            <w:vAlign w:val="bottom"/>
            <w:gridSpan w:val="2"/>
            <w:vMerge w:val="restart"/>
          </w:tcPr>
          <w:p>
            <w:pPr>
              <w:jc w:val="center"/>
              <w:spacing w:after="0" w:line="122" w:lineRule="exact"/>
              <w:rPr>
                <w:sz w:val="20"/>
                <w:szCs w:val="20"/>
                <w:color w:val="auto"/>
              </w:rPr>
            </w:pPr>
            <w:r>
              <w:rPr>
                <w:rFonts w:ascii="Arial" w:cs="Arial" w:eastAsia="Arial" w:hAnsi="Arial"/>
                <w:sz w:val="14"/>
                <w:szCs w:val="14"/>
                <w:b w:val="1"/>
                <w:bCs w:val="1"/>
                <w:color w:val="auto"/>
              </w:rPr>
              <w:t>Total Shareholders'</w:t>
            </w:r>
          </w:p>
        </w:tc>
        <w:tc>
          <w:tcPr>
            <w:tcW w:w="0" w:type="dxa"/>
            <w:vAlign w:val="bottom"/>
          </w:tcPr>
          <w:p>
            <w:pPr>
              <w:spacing w:after="0"/>
              <w:rPr>
                <w:sz w:val="1"/>
                <w:szCs w:val="1"/>
                <w:color w:val="auto"/>
              </w:rPr>
            </w:pPr>
          </w:p>
        </w:tc>
      </w:tr>
      <w:tr>
        <w:trPr>
          <w:trHeight w:val="61"/>
        </w:trPr>
        <w:tc>
          <w:tcPr>
            <w:tcW w:w="2680" w:type="dxa"/>
            <w:vAlign w:val="bottom"/>
            <w:vMerge w:val="continue"/>
          </w:tcPr>
          <w:p>
            <w:pPr>
              <w:spacing w:after="0"/>
              <w:rPr>
                <w:sz w:val="5"/>
                <w:szCs w:val="5"/>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5"/>
                <w:szCs w:val="5"/>
                <w:color w:val="auto"/>
              </w:rPr>
            </w:pPr>
          </w:p>
        </w:tc>
        <w:tc>
          <w:tcPr>
            <w:tcW w:w="8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5"/>
                <w:szCs w:val="5"/>
                <w:color w:val="auto"/>
              </w:rPr>
            </w:pPr>
          </w:p>
        </w:tc>
        <w:tc>
          <w:tcPr>
            <w:tcW w:w="8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except per share data)</w:t>
            </w:r>
          </w:p>
        </w:tc>
        <w:tc>
          <w:tcPr>
            <w:tcW w:w="8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Income (Loss)</w:t>
            </w:r>
          </w:p>
        </w:tc>
        <w:tc>
          <w:tcPr>
            <w:tcW w:w="8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November 27, 2021</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51,776</w:t>
            </w:r>
          </w:p>
        </w:tc>
        <w:tc>
          <w:tcPr>
            <w:tcW w:w="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25,888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233,727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1,272,697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(18,476)</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(372,572)</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1,159,258</w:t>
            </w:r>
          </w:p>
        </w:tc>
        <w:tc>
          <w:tcPr>
            <w:tcW w:w="0" w:type="dxa"/>
            <w:vAlign w:val="bottom"/>
          </w:tcPr>
          <w:p>
            <w:pPr>
              <w:spacing w:after="0"/>
              <w:rPr>
                <w:sz w:val="1"/>
                <w:szCs w:val="1"/>
                <w:color w:val="auto"/>
              </w:rPr>
            </w:pPr>
          </w:p>
        </w:tc>
      </w:tr>
      <w:tr>
        <w:trPr>
          <w:trHeight w:val="189"/>
        </w:trPr>
        <w:tc>
          <w:tcPr>
            <w:tcW w:w="268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4,157</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23</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4,180</w:t>
            </w:r>
          </w:p>
        </w:tc>
        <w:tc>
          <w:tcPr>
            <w:tcW w:w="0" w:type="dxa"/>
            <w:vAlign w:val="bottom"/>
          </w:tcPr>
          <w:p>
            <w:pPr>
              <w:spacing w:after="0"/>
              <w:rPr>
                <w:sz w:val="1"/>
                <w:szCs w:val="1"/>
                <w:color w:val="auto"/>
              </w:rPr>
            </w:pPr>
          </w:p>
        </w:tc>
      </w:tr>
      <w:tr>
        <w:trPr>
          <w:trHeight w:val="189"/>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of stock, net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645</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w:t>
            </w:r>
          </w:p>
        </w:tc>
        <w:tc>
          <w:tcPr>
            <w:tcW w:w="0" w:type="dxa"/>
            <w:vAlign w:val="bottom"/>
          </w:tcPr>
          <w:p>
            <w:pPr>
              <w:spacing w:after="0"/>
              <w:rPr>
                <w:sz w:val="1"/>
                <w:szCs w:val="1"/>
                <w:color w:val="auto"/>
              </w:rPr>
            </w:pPr>
          </w:p>
        </w:tc>
      </w:tr>
      <w:tr>
        <w:trPr>
          <w:trHeight w:val="189"/>
        </w:trPr>
        <w:tc>
          <w:tcPr>
            <w:tcW w:w="2680" w:type="dxa"/>
            <w:vAlign w:val="bottom"/>
          </w:tcPr>
          <w:p>
            <w:pPr>
              <w:ind w:left="140"/>
              <w:spacing w:after="0"/>
              <w:rPr>
                <w:sz w:val="20"/>
                <w:szCs w:val="20"/>
                <w:color w:val="auto"/>
              </w:rPr>
            </w:pPr>
            <w:r>
              <w:rPr>
                <w:rFonts w:ascii="Arial" w:cs="Arial" w:eastAsia="Arial" w:hAnsi="Arial"/>
                <w:sz w:val="14"/>
                <w:szCs w:val="14"/>
                <w:color w:val="auto"/>
              </w:rPr>
              <w:t>Repurchase of common stock</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(601)</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(40,495)</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(40,495)</w:t>
            </w:r>
          </w:p>
        </w:tc>
        <w:tc>
          <w:tcPr>
            <w:tcW w:w="0" w:type="dxa"/>
            <w:vAlign w:val="bottom"/>
          </w:tcPr>
          <w:p>
            <w:pPr>
              <w:spacing w:after="0"/>
              <w:rPr>
                <w:sz w:val="1"/>
                <w:szCs w:val="1"/>
                <w:color w:val="auto"/>
              </w:rPr>
            </w:pPr>
          </w:p>
        </w:tc>
      </w:tr>
      <w:tr>
        <w:trPr>
          <w:trHeight w:val="153"/>
        </w:trPr>
        <w:tc>
          <w:tcPr>
            <w:tcW w:w="268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Common stock dividends; $0.18 per</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(6,060)</w:t>
            </w:r>
          </w:p>
        </w:tc>
        <w:tc>
          <w:tcPr>
            <w:tcW w:w="14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(6,060)</w:t>
            </w:r>
          </w:p>
        </w:tc>
        <w:tc>
          <w:tcPr>
            <w:tcW w:w="0" w:type="dxa"/>
            <w:vAlign w:val="bottom"/>
          </w:tcPr>
          <w:p>
            <w:pPr>
              <w:spacing w:after="0"/>
              <w:rPr>
                <w:sz w:val="1"/>
                <w:szCs w:val="1"/>
                <w:color w:val="auto"/>
              </w:rPr>
            </w:pPr>
          </w:p>
        </w:tc>
      </w:tr>
      <w:tr>
        <w:trPr>
          <w:trHeight w:val="105"/>
        </w:trPr>
        <w:tc>
          <w:tcPr>
            <w:tcW w:w="268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share</w:t>
            </w:r>
          </w:p>
        </w:tc>
        <w:tc>
          <w:tcPr>
            <w:tcW w:w="820" w:type="dxa"/>
            <w:vAlign w:val="bottom"/>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300" w:type="dxa"/>
            <w:vAlign w:val="bottom"/>
            <w:vMerge w:val="continue"/>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1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680" w:type="dxa"/>
            <w:vAlign w:val="bottom"/>
            <w:vMerge w:val="continue"/>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680" w:type="dxa"/>
            <w:vAlign w:val="bottom"/>
          </w:tcPr>
          <w:p>
            <w:pPr>
              <w:ind w:left="140"/>
              <w:spacing w:after="0"/>
              <w:rPr>
                <w:sz w:val="20"/>
                <w:szCs w:val="20"/>
                <w:color w:val="auto"/>
              </w:rPr>
            </w:pPr>
            <w:r>
              <w:rPr>
                <w:rFonts w:ascii="Arial" w:cs="Arial" w:eastAsia="Arial" w:hAnsi="Arial"/>
                <w:sz w:val="14"/>
                <w:szCs w:val="14"/>
                <w:color w:val="auto"/>
              </w:rPr>
              <w:t>Total comprehensive income</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9"/>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91,175</w:t>
            </w:r>
          </w:p>
        </w:tc>
        <w:tc>
          <w:tcPr>
            <w:tcW w:w="1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91,175</w:t>
            </w:r>
          </w:p>
        </w:tc>
        <w:tc>
          <w:tcPr>
            <w:tcW w:w="0" w:type="dxa"/>
            <w:vAlign w:val="bottom"/>
          </w:tcPr>
          <w:p>
            <w:pPr>
              <w:spacing w:after="0"/>
              <w:rPr>
                <w:sz w:val="1"/>
                <w:szCs w:val="1"/>
                <w:color w:val="auto"/>
              </w:rPr>
            </w:pPr>
          </w:p>
        </w:tc>
      </w:tr>
      <w:tr>
        <w:trPr>
          <w:trHeight w:val="183"/>
        </w:trPr>
        <w:tc>
          <w:tcPr>
            <w:tcW w:w="2680" w:type="dxa"/>
            <w:vAlign w:val="bottom"/>
          </w:tcPr>
          <w:p>
            <w:pPr>
              <w:ind w:left="20"/>
              <w:spacing w:after="0"/>
              <w:rPr>
                <w:sz w:val="20"/>
                <w:szCs w:val="20"/>
                <w:color w:val="auto"/>
              </w:rPr>
            </w:pPr>
            <w:r>
              <w:rPr>
                <w:rFonts w:ascii="Arial" w:cs="Arial" w:eastAsia="Arial" w:hAnsi="Arial"/>
                <w:sz w:val="14"/>
                <w:szCs w:val="14"/>
                <w:color w:val="auto"/>
              </w:rPr>
              <w:t>Balance at February 26, 2022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51,776</w:t>
            </w:r>
          </w:p>
        </w:tc>
        <w:tc>
          <w:tcPr>
            <w:tcW w:w="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25,888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238,159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1,357,812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(19,045)</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(412,399)</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1,208,987</w:t>
            </w:r>
          </w:p>
        </w:tc>
        <w:tc>
          <w:tcPr>
            <w:tcW w:w="0" w:type="dxa"/>
            <w:vAlign w:val="bottom"/>
          </w:tcPr>
          <w:p>
            <w:pPr>
              <w:spacing w:after="0"/>
              <w:rPr>
                <w:sz w:val="1"/>
                <w:szCs w:val="1"/>
                <w:color w:val="auto"/>
              </w:rPr>
            </w:pPr>
          </w:p>
        </w:tc>
      </w:tr>
      <w:tr>
        <w:trPr>
          <w:trHeight w:val="21"/>
        </w:trPr>
        <w:tc>
          <w:tcPr>
            <w:tcW w:w="2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gridSpan w:val="4"/>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6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Three Months Ended February 27, 2021</w:t>
            </w: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80" w:type="dxa"/>
            <w:vAlign w:val="bottom"/>
          </w:tcPr>
          <w:p>
            <w:pPr>
              <w:spacing w:after="0"/>
              <w:rPr>
                <w:sz w:val="20"/>
                <w:szCs w:val="20"/>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20"/>
                <w:szCs w:val="20"/>
                <w:color w:val="auto"/>
              </w:rPr>
            </w:pPr>
          </w:p>
        </w:tc>
        <w:tc>
          <w:tcPr>
            <w:tcW w:w="86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88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Treasury Stock</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144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Total Shareholders'</w:t>
            </w:r>
          </w:p>
        </w:tc>
        <w:tc>
          <w:tcPr>
            <w:tcW w:w="0" w:type="dxa"/>
            <w:vAlign w:val="bottom"/>
          </w:tcPr>
          <w:p>
            <w:pPr>
              <w:spacing w:after="0"/>
              <w:rPr>
                <w:sz w:val="1"/>
                <w:szCs w:val="1"/>
                <w:color w:val="auto"/>
              </w:rPr>
            </w:pPr>
          </w:p>
        </w:tc>
      </w:tr>
      <w:tr>
        <w:trPr>
          <w:trHeight w:val="135"/>
        </w:trPr>
        <w:tc>
          <w:tcPr>
            <w:tcW w:w="2680" w:type="dxa"/>
            <w:vAlign w:val="bottom"/>
            <w:vMerge w:val="continue"/>
          </w:tcPr>
          <w:p>
            <w:pPr>
              <w:spacing w:after="0"/>
              <w:rPr>
                <w:sz w:val="11"/>
                <w:szCs w:val="11"/>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1"/>
                <w:szCs w:val="11"/>
                <w:color w:val="auto"/>
              </w:rPr>
            </w:pPr>
          </w:p>
        </w:tc>
        <w:tc>
          <w:tcPr>
            <w:tcW w:w="8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1"/>
                <w:szCs w:val="11"/>
                <w:color w:val="auto"/>
              </w:rPr>
            </w:pPr>
          </w:p>
        </w:tc>
        <w:tc>
          <w:tcPr>
            <w:tcW w:w="86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rPr>
              <w:t>Comprehensive</w:t>
            </w: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1"/>
                <w:szCs w:val="11"/>
                <w:color w:val="auto"/>
              </w:rPr>
            </w:pPr>
          </w:p>
        </w:tc>
        <w:tc>
          <w:tcPr>
            <w:tcW w:w="8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except per share data)</w:t>
            </w:r>
          </w:p>
        </w:tc>
        <w:tc>
          <w:tcPr>
            <w:tcW w:w="8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Income (Loss)</w:t>
            </w:r>
          </w:p>
        </w:tc>
        <w:tc>
          <w:tcPr>
            <w:tcW w:w="8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November 28, 2020</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51,776</w:t>
            </w:r>
          </w:p>
        </w:tc>
        <w:tc>
          <w:tcPr>
            <w:tcW w:w="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25,888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204,551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966,945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(18,275)</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(325,309)</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871,558</w:t>
            </w:r>
          </w:p>
        </w:tc>
        <w:tc>
          <w:tcPr>
            <w:tcW w:w="0" w:type="dxa"/>
            <w:vAlign w:val="bottom"/>
          </w:tcPr>
          <w:p>
            <w:pPr>
              <w:spacing w:after="0"/>
              <w:rPr>
                <w:sz w:val="1"/>
                <w:szCs w:val="1"/>
                <w:color w:val="auto"/>
              </w:rPr>
            </w:pPr>
          </w:p>
        </w:tc>
      </w:tr>
      <w:tr>
        <w:trPr>
          <w:trHeight w:val="189"/>
        </w:trPr>
        <w:tc>
          <w:tcPr>
            <w:tcW w:w="268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4,622</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4,627</w:t>
            </w:r>
          </w:p>
        </w:tc>
        <w:tc>
          <w:tcPr>
            <w:tcW w:w="0" w:type="dxa"/>
            <w:vAlign w:val="bottom"/>
          </w:tcPr>
          <w:p>
            <w:pPr>
              <w:spacing w:after="0"/>
              <w:rPr>
                <w:sz w:val="1"/>
                <w:szCs w:val="1"/>
                <w:color w:val="auto"/>
              </w:rPr>
            </w:pPr>
          </w:p>
        </w:tc>
      </w:tr>
      <w:tr>
        <w:trPr>
          <w:trHeight w:val="189"/>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of stock, net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1,045</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1,599</w:t>
            </w:r>
          </w:p>
        </w:tc>
        <w:tc>
          <w:tcPr>
            <w:tcW w:w="0" w:type="dxa"/>
            <w:vAlign w:val="bottom"/>
          </w:tcPr>
          <w:p>
            <w:pPr>
              <w:spacing w:after="0"/>
              <w:rPr>
                <w:sz w:val="1"/>
                <w:szCs w:val="1"/>
                <w:color w:val="auto"/>
              </w:rPr>
            </w:pPr>
          </w:p>
        </w:tc>
      </w:tr>
      <w:tr>
        <w:trPr>
          <w:trHeight w:val="189"/>
        </w:trPr>
        <w:tc>
          <w:tcPr>
            <w:tcW w:w="2680" w:type="dxa"/>
            <w:vAlign w:val="bottom"/>
          </w:tcPr>
          <w:p>
            <w:pPr>
              <w:ind w:left="140"/>
              <w:spacing w:after="0"/>
              <w:rPr>
                <w:sz w:val="20"/>
                <w:szCs w:val="20"/>
                <w:color w:val="auto"/>
              </w:rPr>
            </w:pPr>
            <w:r>
              <w:rPr>
                <w:rFonts w:ascii="Arial" w:cs="Arial" w:eastAsia="Arial" w:hAnsi="Arial"/>
                <w:sz w:val="14"/>
                <w:szCs w:val="14"/>
                <w:color w:val="auto"/>
              </w:rPr>
              <w:t>Repurchase of common stock</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(503)</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(503)</w:t>
            </w:r>
          </w:p>
        </w:tc>
        <w:tc>
          <w:tcPr>
            <w:tcW w:w="0" w:type="dxa"/>
            <w:vAlign w:val="bottom"/>
          </w:tcPr>
          <w:p>
            <w:pPr>
              <w:spacing w:after="0"/>
              <w:rPr>
                <w:sz w:val="1"/>
                <w:szCs w:val="1"/>
                <w:color w:val="auto"/>
              </w:rPr>
            </w:pPr>
          </w:p>
        </w:tc>
      </w:tr>
      <w:tr>
        <w:trPr>
          <w:trHeight w:val="153"/>
        </w:trPr>
        <w:tc>
          <w:tcPr>
            <w:tcW w:w="268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Common stock dividends; $0.12 per</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(3,993)</w:t>
            </w:r>
          </w:p>
        </w:tc>
        <w:tc>
          <w:tcPr>
            <w:tcW w:w="14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(3,993)</w:t>
            </w:r>
          </w:p>
        </w:tc>
        <w:tc>
          <w:tcPr>
            <w:tcW w:w="0" w:type="dxa"/>
            <w:vAlign w:val="bottom"/>
          </w:tcPr>
          <w:p>
            <w:pPr>
              <w:spacing w:after="0"/>
              <w:rPr>
                <w:sz w:val="1"/>
                <w:szCs w:val="1"/>
                <w:color w:val="auto"/>
              </w:rPr>
            </w:pPr>
          </w:p>
        </w:tc>
      </w:tr>
      <w:tr>
        <w:trPr>
          <w:trHeight w:val="171"/>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w:t>
            </w:r>
          </w:p>
        </w:tc>
        <w:tc>
          <w:tcPr>
            <w:tcW w:w="8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80" w:type="dxa"/>
            <w:vAlign w:val="bottom"/>
          </w:tcPr>
          <w:p>
            <w:pPr>
              <w:ind w:left="140"/>
              <w:spacing w:after="0"/>
              <w:rPr>
                <w:sz w:val="20"/>
                <w:szCs w:val="20"/>
                <w:color w:val="auto"/>
              </w:rPr>
            </w:pPr>
            <w:r>
              <w:rPr>
                <w:rFonts w:ascii="Arial" w:cs="Arial" w:eastAsia="Arial" w:hAnsi="Arial"/>
                <w:sz w:val="14"/>
                <w:szCs w:val="14"/>
                <w:color w:val="auto"/>
              </w:rPr>
              <w:t>Total comprehensive income</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9"/>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69,068</w:t>
            </w:r>
          </w:p>
        </w:tc>
        <w:tc>
          <w:tcPr>
            <w:tcW w:w="1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69,068</w:t>
            </w:r>
          </w:p>
        </w:tc>
        <w:tc>
          <w:tcPr>
            <w:tcW w:w="0" w:type="dxa"/>
            <w:vAlign w:val="bottom"/>
          </w:tcPr>
          <w:p>
            <w:pPr>
              <w:spacing w:after="0"/>
              <w:rPr>
                <w:sz w:val="1"/>
                <w:szCs w:val="1"/>
                <w:color w:val="auto"/>
              </w:rPr>
            </w:pPr>
          </w:p>
        </w:tc>
      </w:tr>
      <w:tr>
        <w:trPr>
          <w:trHeight w:val="183"/>
        </w:trPr>
        <w:tc>
          <w:tcPr>
            <w:tcW w:w="2680" w:type="dxa"/>
            <w:vAlign w:val="bottom"/>
          </w:tcPr>
          <w:p>
            <w:pPr>
              <w:ind w:left="20"/>
              <w:spacing w:after="0"/>
              <w:rPr>
                <w:sz w:val="20"/>
                <w:szCs w:val="20"/>
                <w:color w:val="auto"/>
              </w:rPr>
            </w:pPr>
            <w:r>
              <w:rPr>
                <w:rFonts w:ascii="Arial" w:cs="Arial" w:eastAsia="Arial" w:hAnsi="Arial"/>
                <w:sz w:val="14"/>
                <w:szCs w:val="14"/>
                <w:color w:val="auto"/>
              </w:rPr>
              <w:t>Balance at February 27, 2021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51,776</w:t>
            </w:r>
          </w:p>
        </w:tc>
        <w:tc>
          <w:tcPr>
            <w:tcW w:w="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25,888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209,727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1,032,020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(18,225)</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(324,762)</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942,364</w:t>
            </w:r>
          </w:p>
        </w:tc>
        <w:tc>
          <w:tcPr>
            <w:tcW w:w="0" w:type="dxa"/>
            <w:vAlign w:val="bottom"/>
          </w:tcPr>
          <w:p>
            <w:pPr>
              <w:spacing w:after="0"/>
              <w:rPr>
                <w:sz w:val="1"/>
                <w:szCs w:val="1"/>
                <w:color w:val="auto"/>
              </w:rPr>
            </w:pPr>
          </w:p>
        </w:tc>
      </w:tr>
      <w:tr>
        <w:trPr>
          <w:trHeight w:val="21"/>
        </w:trPr>
        <w:tc>
          <w:tcPr>
            <w:tcW w:w="2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gridSpan w:val="4"/>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6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Six Months Ended February 26, 2022</w:t>
            </w: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80" w:type="dxa"/>
            <w:vAlign w:val="bottom"/>
          </w:tcPr>
          <w:p>
            <w:pPr>
              <w:spacing w:after="0"/>
              <w:rPr>
                <w:sz w:val="20"/>
                <w:szCs w:val="20"/>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20"/>
                <w:szCs w:val="20"/>
                <w:color w:val="auto"/>
              </w:rPr>
            </w:pPr>
          </w:p>
        </w:tc>
        <w:tc>
          <w:tcPr>
            <w:tcW w:w="86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88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Treasury Stock</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144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Total Shareholders'</w:t>
            </w:r>
          </w:p>
        </w:tc>
        <w:tc>
          <w:tcPr>
            <w:tcW w:w="0" w:type="dxa"/>
            <w:vAlign w:val="bottom"/>
          </w:tcPr>
          <w:p>
            <w:pPr>
              <w:spacing w:after="0"/>
              <w:rPr>
                <w:sz w:val="1"/>
                <w:szCs w:val="1"/>
                <w:color w:val="auto"/>
              </w:rPr>
            </w:pPr>
          </w:p>
        </w:tc>
      </w:tr>
      <w:tr>
        <w:trPr>
          <w:trHeight w:val="135"/>
        </w:trPr>
        <w:tc>
          <w:tcPr>
            <w:tcW w:w="2680" w:type="dxa"/>
            <w:vAlign w:val="bottom"/>
            <w:vMerge w:val="continue"/>
          </w:tcPr>
          <w:p>
            <w:pPr>
              <w:spacing w:after="0"/>
              <w:rPr>
                <w:sz w:val="11"/>
                <w:szCs w:val="11"/>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1"/>
                <w:szCs w:val="11"/>
                <w:color w:val="auto"/>
              </w:rPr>
            </w:pPr>
          </w:p>
        </w:tc>
        <w:tc>
          <w:tcPr>
            <w:tcW w:w="8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1"/>
                <w:szCs w:val="11"/>
                <w:color w:val="auto"/>
              </w:rPr>
            </w:pPr>
          </w:p>
        </w:tc>
        <w:tc>
          <w:tcPr>
            <w:tcW w:w="86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rPr>
              <w:t>Comprehensive</w:t>
            </w: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1"/>
                <w:szCs w:val="11"/>
                <w:color w:val="auto"/>
              </w:rPr>
            </w:pPr>
          </w:p>
        </w:tc>
        <w:tc>
          <w:tcPr>
            <w:tcW w:w="8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except per share data)</w:t>
            </w:r>
          </w:p>
        </w:tc>
        <w:tc>
          <w:tcPr>
            <w:tcW w:w="8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Income (Loss)</w:t>
            </w:r>
          </w:p>
        </w:tc>
        <w:tc>
          <w:tcPr>
            <w:tcW w:w="8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August 28, 2021</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51,776</w:t>
            </w:r>
          </w:p>
        </w:tc>
        <w:tc>
          <w:tcPr>
            <w:tcW w:w="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25,888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218,490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1,172,996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(18,713)</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(359,940)</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1,056,943</w:t>
            </w:r>
          </w:p>
        </w:tc>
        <w:tc>
          <w:tcPr>
            <w:tcW w:w="0" w:type="dxa"/>
            <w:vAlign w:val="bottom"/>
          </w:tcPr>
          <w:p>
            <w:pPr>
              <w:spacing w:after="0"/>
              <w:rPr>
                <w:sz w:val="1"/>
                <w:szCs w:val="1"/>
                <w:color w:val="auto"/>
              </w:rPr>
            </w:pPr>
          </w:p>
        </w:tc>
      </w:tr>
      <w:tr>
        <w:trPr>
          <w:trHeight w:val="189"/>
        </w:trPr>
        <w:tc>
          <w:tcPr>
            <w:tcW w:w="268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6,859</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32</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6,891</w:t>
            </w:r>
          </w:p>
        </w:tc>
        <w:tc>
          <w:tcPr>
            <w:tcW w:w="0" w:type="dxa"/>
            <w:vAlign w:val="bottom"/>
          </w:tcPr>
          <w:p>
            <w:pPr>
              <w:spacing w:after="0"/>
              <w:rPr>
                <w:sz w:val="1"/>
                <w:szCs w:val="1"/>
                <w:color w:val="auto"/>
              </w:rPr>
            </w:pPr>
          </w:p>
        </w:tc>
      </w:tr>
      <w:tr>
        <w:trPr>
          <w:trHeight w:val="189"/>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of stock for acquisition</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14,709</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7,291</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22,000</w:t>
            </w:r>
          </w:p>
        </w:tc>
        <w:tc>
          <w:tcPr>
            <w:tcW w:w="0" w:type="dxa"/>
            <w:vAlign w:val="bottom"/>
          </w:tcPr>
          <w:p>
            <w:pPr>
              <w:spacing w:after="0"/>
              <w:rPr>
                <w:sz w:val="1"/>
                <w:szCs w:val="1"/>
                <w:color w:val="auto"/>
              </w:rPr>
            </w:pPr>
          </w:p>
        </w:tc>
      </w:tr>
      <w:tr>
        <w:trPr>
          <w:trHeight w:val="189"/>
        </w:trPr>
        <w:tc>
          <w:tcPr>
            <w:tcW w:w="2680" w:type="dxa"/>
            <w:vAlign w:val="bottom"/>
          </w:tcPr>
          <w:p>
            <w:pPr>
              <w:ind w:left="140"/>
              <w:spacing w:after="0"/>
              <w:rPr>
                <w:sz w:val="20"/>
                <w:szCs w:val="20"/>
                <w:color w:val="auto"/>
              </w:rPr>
            </w:pPr>
            <w:r>
              <w:rPr>
                <w:rFonts w:ascii="Arial" w:cs="Arial" w:eastAsia="Arial" w:hAnsi="Arial"/>
                <w:sz w:val="14"/>
                <w:szCs w:val="14"/>
                <w:color w:val="auto"/>
              </w:rPr>
              <w:t>Issuance of stock, net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(1,899)</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225</w:t>
            </w: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4,436</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2,537</w:t>
            </w:r>
          </w:p>
        </w:tc>
        <w:tc>
          <w:tcPr>
            <w:tcW w:w="0" w:type="dxa"/>
            <w:vAlign w:val="bottom"/>
          </w:tcPr>
          <w:p>
            <w:pPr>
              <w:spacing w:after="0"/>
              <w:rPr>
                <w:sz w:val="1"/>
                <w:szCs w:val="1"/>
                <w:color w:val="auto"/>
              </w:rPr>
            </w:pPr>
          </w:p>
        </w:tc>
      </w:tr>
      <w:tr>
        <w:trPr>
          <w:trHeight w:val="189"/>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 of common stock</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(937)</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(64,218)</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(64,218)</w:t>
            </w:r>
          </w:p>
        </w:tc>
        <w:tc>
          <w:tcPr>
            <w:tcW w:w="0" w:type="dxa"/>
            <w:vAlign w:val="bottom"/>
          </w:tcPr>
          <w:p>
            <w:pPr>
              <w:spacing w:after="0"/>
              <w:rPr>
                <w:sz w:val="1"/>
                <w:szCs w:val="1"/>
                <w:color w:val="auto"/>
              </w:rPr>
            </w:pPr>
          </w:p>
        </w:tc>
      </w:tr>
      <w:tr>
        <w:trPr>
          <w:trHeight w:val="153"/>
        </w:trPr>
        <w:tc>
          <w:tcPr>
            <w:tcW w:w="2680" w:type="dxa"/>
            <w:vAlign w:val="bottom"/>
          </w:tcPr>
          <w:p>
            <w:pPr>
              <w:ind w:left="140"/>
              <w:spacing w:after="0" w:line="153" w:lineRule="exact"/>
              <w:rPr>
                <w:sz w:val="20"/>
                <w:szCs w:val="20"/>
                <w:color w:val="auto"/>
              </w:rPr>
            </w:pPr>
            <w:r>
              <w:rPr>
                <w:rFonts w:ascii="Arial" w:cs="Arial" w:eastAsia="Arial" w:hAnsi="Arial"/>
                <w:sz w:val="14"/>
                <w:szCs w:val="14"/>
                <w:color w:val="auto"/>
              </w:rPr>
              <w:t>Common stock dividends; $0.18 per</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(6,060)</w:t>
            </w:r>
          </w:p>
        </w:tc>
        <w:tc>
          <w:tcPr>
            <w:tcW w:w="14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(6,060)</w:t>
            </w:r>
          </w:p>
        </w:tc>
        <w:tc>
          <w:tcPr>
            <w:tcW w:w="0" w:type="dxa"/>
            <w:vAlign w:val="bottom"/>
          </w:tcPr>
          <w:p>
            <w:pPr>
              <w:spacing w:after="0"/>
              <w:rPr>
                <w:sz w:val="1"/>
                <w:szCs w:val="1"/>
                <w:color w:val="auto"/>
              </w:rPr>
            </w:pPr>
          </w:p>
        </w:tc>
      </w:tr>
      <w:tr>
        <w:trPr>
          <w:trHeight w:val="171"/>
        </w:trPr>
        <w:tc>
          <w:tcPr>
            <w:tcW w:w="2680" w:type="dxa"/>
            <w:vAlign w:val="bottom"/>
          </w:tcPr>
          <w:p>
            <w:pPr>
              <w:ind w:left="140"/>
              <w:spacing w:after="0"/>
              <w:rPr>
                <w:sz w:val="20"/>
                <w:szCs w:val="20"/>
                <w:color w:val="auto"/>
              </w:rPr>
            </w:pPr>
            <w:r>
              <w:rPr>
                <w:rFonts w:ascii="Arial" w:cs="Arial" w:eastAsia="Arial" w:hAnsi="Arial"/>
                <w:sz w:val="14"/>
                <w:szCs w:val="14"/>
                <w:color w:val="auto"/>
              </w:rPr>
              <w:t>share</w:t>
            </w: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89"/>
        </w:trPr>
        <w:tc>
          <w:tcPr>
            <w:tcW w:w="2680" w:type="dxa"/>
            <w:vAlign w:val="bottom"/>
          </w:tcPr>
          <w:p>
            <w:pPr>
              <w:ind w:left="140"/>
              <w:spacing w:after="0"/>
              <w:rPr>
                <w:sz w:val="20"/>
                <w:szCs w:val="20"/>
                <w:color w:val="auto"/>
              </w:rPr>
            </w:pPr>
            <w:r>
              <w:rPr>
                <w:rFonts w:ascii="Arial" w:cs="Arial" w:eastAsia="Arial" w:hAnsi="Arial"/>
                <w:sz w:val="14"/>
                <w:szCs w:val="14"/>
                <w:color w:val="auto"/>
              </w:rPr>
              <w:t>Total comprehensive income</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18</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9"/>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190,805</w:t>
            </w:r>
          </w:p>
        </w:tc>
        <w:tc>
          <w:tcPr>
            <w:tcW w:w="1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190,805</w:t>
            </w:r>
          </w:p>
        </w:tc>
        <w:tc>
          <w:tcPr>
            <w:tcW w:w="0" w:type="dxa"/>
            <w:vAlign w:val="bottom"/>
          </w:tcPr>
          <w:p>
            <w:pPr>
              <w:spacing w:after="0"/>
              <w:rPr>
                <w:sz w:val="1"/>
                <w:szCs w:val="1"/>
                <w:color w:val="auto"/>
              </w:rPr>
            </w:pPr>
          </w:p>
        </w:tc>
      </w:tr>
      <w:tr>
        <w:trPr>
          <w:trHeight w:val="183"/>
        </w:trPr>
        <w:tc>
          <w:tcPr>
            <w:tcW w:w="2680" w:type="dxa"/>
            <w:vAlign w:val="bottom"/>
          </w:tcPr>
          <w:p>
            <w:pPr>
              <w:ind w:left="20"/>
              <w:spacing w:after="0"/>
              <w:rPr>
                <w:sz w:val="20"/>
                <w:szCs w:val="20"/>
                <w:color w:val="auto"/>
              </w:rPr>
            </w:pPr>
            <w:r>
              <w:rPr>
                <w:rFonts w:ascii="Arial" w:cs="Arial" w:eastAsia="Arial" w:hAnsi="Arial"/>
                <w:sz w:val="14"/>
                <w:szCs w:val="14"/>
                <w:color w:val="auto"/>
              </w:rPr>
              <w:t>Balances at February 26, 2022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51,776</w:t>
            </w:r>
          </w:p>
        </w:tc>
        <w:tc>
          <w:tcPr>
            <w:tcW w:w="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25,888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238,159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1,357,812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(19,045)</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(412,399)</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1,208,987</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Six Months Ended February 27, 2021</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80" w:type="dxa"/>
            <w:vAlign w:val="bottom"/>
          </w:tcPr>
          <w:p>
            <w:pPr>
              <w:spacing w:after="0"/>
              <w:rPr>
                <w:sz w:val="21"/>
                <w:szCs w:val="21"/>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21"/>
                <w:szCs w:val="21"/>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88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Treasury Stock</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2"/>
        </w:trPr>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Retained</w:t>
            </w:r>
          </w:p>
        </w:tc>
        <w:tc>
          <w:tcPr>
            <w:tcW w:w="144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Shareholders'</w:t>
            </w:r>
          </w:p>
        </w:tc>
        <w:tc>
          <w:tcPr>
            <w:tcW w:w="0" w:type="dxa"/>
            <w:vAlign w:val="bottom"/>
          </w:tcPr>
          <w:p>
            <w:pPr>
              <w:spacing w:after="0"/>
              <w:rPr>
                <w:sz w:val="1"/>
                <w:szCs w:val="1"/>
                <w:color w:val="auto"/>
              </w:rPr>
            </w:pPr>
          </w:p>
        </w:tc>
      </w:tr>
      <w:tr>
        <w:trPr>
          <w:trHeight w:val="135"/>
        </w:trPr>
        <w:tc>
          <w:tcPr>
            <w:tcW w:w="2680" w:type="dxa"/>
            <w:vAlign w:val="bottom"/>
            <w:vMerge w:val="continue"/>
          </w:tcPr>
          <w:p>
            <w:pPr>
              <w:spacing w:after="0"/>
              <w:rPr>
                <w:sz w:val="11"/>
                <w:szCs w:val="11"/>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1"/>
                <w:szCs w:val="11"/>
                <w:color w:val="auto"/>
              </w:rPr>
            </w:pPr>
          </w:p>
        </w:tc>
        <w:tc>
          <w:tcPr>
            <w:tcW w:w="8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1"/>
                <w:szCs w:val="11"/>
                <w:color w:val="auto"/>
              </w:rPr>
            </w:pPr>
          </w:p>
        </w:tc>
        <w:tc>
          <w:tcPr>
            <w:tcW w:w="860" w:type="dxa"/>
            <w:vAlign w:val="bottom"/>
          </w:tcPr>
          <w:p>
            <w:pPr>
              <w:jc w:val="right"/>
              <w:ind w:right="188"/>
              <w:spacing w:after="0" w:line="135"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rPr>
              <w:t>Comprehensive</w:t>
            </w: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1"/>
                <w:szCs w:val="11"/>
                <w:color w:val="auto"/>
              </w:rPr>
            </w:pPr>
          </w:p>
        </w:tc>
        <w:tc>
          <w:tcPr>
            <w:tcW w:w="8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except per share data)</w:t>
            </w:r>
          </w:p>
        </w:tc>
        <w:tc>
          <w:tcPr>
            <w:tcW w:w="8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Capital</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Earnings</w:t>
            </w: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Income (Loss)</w:t>
            </w:r>
          </w:p>
        </w:tc>
        <w:tc>
          <w:tcPr>
            <w:tcW w:w="8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August 29, 2020</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51,776</w:t>
            </w:r>
          </w:p>
        </w:tc>
        <w:tc>
          <w:tcPr>
            <w:tcW w:w="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25,888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203,791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913,610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(18,133)</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(315,297)</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827,466</w:t>
            </w:r>
          </w:p>
        </w:tc>
        <w:tc>
          <w:tcPr>
            <w:tcW w:w="0" w:type="dxa"/>
            <w:vAlign w:val="bottom"/>
          </w:tcPr>
          <w:p>
            <w:pPr>
              <w:spacing w:after="0"/>
              <w:rPr>
                <w:sz w:val="1"/>
                <w:szCs w:val="1"/>
                <w:color w:val="auto"/>
              </w:rPr>
            </w:pPr>
          </w:p>
        </w:tc>
      </w:tr>
      <w:tr>
        <w:trPr>
          <w:trHeight w:val="189"/>
        </w:trPr>
        <w:tc>
          <w:tcPr>
            <w:tcW w:w="268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6,968</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6,981</w:t>
            </w:r>
          </w:p>
        </w:tc>
        <w:tc>
          <w:tcPr>
            <w:tcW w:w="0" w:type="dxa"/>
            <w:vAlign w:val="bottom"/>
          </w:tcPr>
          <w:p>
            <w:pPr>
              <w:spacing w:after="0"/>
              <w:rPr>
                <w:sz w:val="1"/>
                <w:szCs w:val="1"/>
                <w:color w:val="auto"/>
              </w:rPr>
            </w:pPr>
          </w:p>
        </w:tc>
      </w:tr>
      <w:tr>
        <w:trPr>
          <w:trHeight w:val="189"/>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of stock, net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2,631</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1,599</w:t>
            </w:r>
          </w:p>
        </w:tc>
        <w:tc>
          <w:tcPr>
            <w:tcW w:w="0" w:type="dxa"/>
            <w:vAlign w:val="bottom"/>
          </w:tcPr>
          <w:p>
            <w:pPr>
              <w:spacing w:after="0"/>
              <w:rPr>
                <w:sz w:val="1"/>
                <w:szCs w:val="1"/>
                <w:color w:val="auto"/>
              </w:rPr>
            </w:pPr>
          </w:p>
        </w:tc>
      </w:tr>
      <w:tr>
        <w:trPr>
          <w:trHeight w:val="189"/>
        </w:trPr>
        <w:tc>
          <w:tcPr>
            <w:tcW w:w="2680" w:type="dxa"/>
            <w:vAlign w:val="bottom"/>
          </w:tcPr>
          <w:p>
            <w:pPr>
              <w:ind w:left="140"/>
              <w:spacing w:after="0"/>
              <w:rPr>
                <w:sz w:val="20"/>
                <w:szCs w:val="20"/>
                <w:color w:val="auto"/>
              </w:rPr>
            </w:pPr>
            <w:r>
              <w:rPr>
                <w:rFonts w:ascii="Arial" w:cs="Arial" w:eastAsia="Arial" w:hAnsi="Arial"/>
                <w:sz w:val="14"/>
                <w:szCs w:val="14"/>
                <w:color w:val="auto"/>
              </w:rPr>
              <w:t>Repurchase of common stock</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(242)</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(12,109)</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(12,109)</w:t>
            </w:r>
          </w:p>
        </w:tc>
        <w:tc>
          <w:tcPr>
            <w:tcW w:w="0" w:type="dxa"/>
            <w:vAlign w:val="bottom"/>
          </w:tcPr>
          <w:p>
            <w:pPr>
              <w:spacing w:after="0"/>
              <w:rPr>
                <w:sz w:val="1"/>
                <w:szCs w:val="1"/>
                <w:color w:val="auto"/>
              </w:rPr>
            </w:pPr>
          </w:p>
        </w:tc>
      </w:tr>
      <w:tr>
        <w:trPr>
          <w:trHeight w:val="153"/>
        </w:trPr>
        <w:tc>
          <w:tcPr>
            <w:tcW w:w="268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Common stock dividends; $0.24 per</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(8,081)</w:t>
            </w:r>
          </w:p>
        </w:tc>
        <w:tc>
          <w:tcPr>
            <w:tcW w:w="14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(8,081)</w:t>
            </w:r>
          </w:p>
        </w:tc>
        <w:tc>
          <w:tcPr>
            <w:tcW w:w="0" w:type="dxa"/>
            <w:vAlign w:val="bottom"/>
          </w:tcPr>
          <w:p>
            <w:pPr>
              <w:spacing w:after="0"/>
              <w:rPr>
                <w:sz w:val="1"/>
                <w:szCs w:val="1"/>
                <w:color w:val="auto"/>
              </w:rPr>
            </w:pPr>
          </w:p>
        </w:tc>
      </w:tr>
      <w:tr>
        <w:trPr>
          <w:trHeight w:val="171"/>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w:t>
            </w:r>
          </w:p>
        </w:tc>
        <w:tc>
          <w:tcPr>
            <w:tcW w:w="8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80" w:type="dxa"/>
            <w:vAlign w:val="bottom"/>
          </w:tcPr>
          <w:p>
            <w:pPr>
              <w:ind w:left="140"/>
              <w:spacing w:after="0"/>
              <w:rPr>
                <w:sz w:val="20"/>
                <w:szCs w:val="20"/>
                <w:color w:val="auto"/>
              </w:rPr>
            </w:pPr>
            <w:r>
              <w:rPr>
                <w:rFonts w:ascii="Arial" w:cs="Arial" w:eastAsia="Arial" w:hAnsi="Arial"/>
                <w:sz w:val="14"/>
                <w:szCs w:val="14"/>
                <w:color w:val="auto"/>
              </w:rPr>
              <w:t>Total comprehensive income</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17</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9"/>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126,491</w:t>
            </w:r>
          </w:p>
        </w:tc>
        <w:tc>
          <w:tcPr>
            <w:tcW w:w="1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126,491</w:t>
            </w:r>
          </w:p>
        </w:tc>
        <w:tc>
          <w:tcPr>
            <w:tcW w:w="0" w:type="dxa"/>
            <w:vAlign w:val="bottom"/>
          </w:tcPr>
          <w:p>
            <w:pPr>
              <w:spacing w:after="0"/>
              <w:rPr>
                <w:sz w:val="1"/>
                <w:szCs w:val="1"/>
                <w:color w:val="auto"/>
              </w:rPr>
            </w:pPr>
          </w:p>
        </w:tc>
      </w:tr>
      <w:tr>
        <w:trPr>
          <w:trHeight w:val="183"/>
        </w:trPr>
        <w:tc>
          <w:tcPr>
            <w:tcW w:w="2680" w:type="dxa"/>
            <w:vAlign w:val="bottom"/>
          </w:tcPr>
          <w:p>
            <w:pPr>
              <w:ind w:left="20"/>
              <w:spacing w:after="0"/>
              <w:rPr>
                <w:sz w:val="20"/>
                <w:szCs w:val="20"/>
                <w:color w:val="auto"/>
              </w:rPr>
            </w:pPr>
            <w:r>
              <w:rPr>
                <w:rFonts w:ascii="Arial" w:cs="Arial" w:eastAsia="Arial" w:hAnsi="Arial"/>
                <w:sz w:val="14"/>
                <w:szCs w:val="14"/>
                <w:color w:val="auto"/>
              </w:rPr>
              <w:t>Balances at February 27, 2021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51,776</w:t>
            </w:r>
          </w:p>
        </w:tc>
        <w:tc>
          <w:tcPr>
            <w:tcW w:w="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25,888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209,727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1,032,020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(18,225)</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(324,762)</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942,364</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6"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(All amounts in tables are in thousands, except share and per share data, unless otherwise designated)</w:t>
      </w:r>
    </w:p>
    <w:p>
      <w:pPr>
        <w:spacing w:after="0" w:line="228"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1.</w:t>
        <w:tab/>
        <w:t>Basis of Presentation</w:t>
      </w:r>
    </w:p>
    <w:p>
      <w:pPr>
        <w:spacing w:after="0" w:line="268"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The consolidated financial statements include the accounts of Winnebago Industries, Inc. and its wholly owned subsidiaries. Significant intercompany account balances and transactions have been eliminated.</w:t>
      </w:r>
    </w:p>
    <w:p>
      <w:pPr>
        <w:spacing w:after="0" w:line="222"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The use of the terms "Winnebago Industries," "Winnebago," "we," "our," and "us" in this Quarterly Report on Form 10-Q, unless the context otherwise requires, refers to Winnebago Industries, Inc. and its wholly owned subsidiaries.</w:t>
      </w:r>
    </w:p>
    <w:p>
      <w:pPr>
        <w:spacing w:after="0" w:line="222"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The interim unaudited consolidated financial statements included herein are prepared pursuant to the rules and regulations of the United States (“U.S.”) Securities and Exchange Commission (“SEC”). The information furnished in these consolidated financial statements includes normal recurring adjustments, unless noted otherwise in the Notes to Consolidated Financial Statements, and reflects all adjustments that are, in management’s opinion, necessary for a fair presentation of such financial statements. The consolidated financial statements are prepared in accordance with U.S. Generally Accepted Accounting Principles (“GAAP”). GAAP requires us to make estimates and assumptions that affect amounts reported. Certain information and footnote disclosures normally included in financial statements prepared in accordance with GAAP have been condensed or omitted pursuant to SEC rules and regulations.</w:t>
      </w:r>
    </w:p>
    <w:p>
      <w:pPr>
        <w:spacing w:after="0" w:line="232"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The consolidated financial statements included in this Quarterly Report on Form 10-Q should be read in conjunction with the audited consolidated financial statements and notes thereto included in our Annual Report on Form 10-K for the fiscal year ended August 28, 2021 filed with the SEC. Interim results of operations are not necessarily indicative of the results to be expected for the full fiscal year ending August 27, 2022.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Subsequent Events</w:t>
      </w:r>
    </w:p>
    <w:p>
      <w:pPr>
        <w:spacing w:after="0" w:line="133"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In preparing the accompanying unaudited consolidated financial statements, we have evaluated subsequent events for potential recognition and disclosure through the date of this filing noting no material subsequent events except for the item noted below:</w:t>
      </w:r>
    </w:p>
    <w:p>
      <w:pPr>
        <w:spacing w:after="0" w:line="222"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On March 16, 2022, our Board of Directors declared a quarterly cash dividend of $0.18 per share payable on April 27, 2022 to common shareholders of record at the close of business on April 13, 2022.</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CARES Act</w:t>
      </w:r>
    </w:p>
    <w:p>
      <w:pPr>
        <w:spacing w:after="0" w:line="133"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The Coronavirus Aid, Relief, and Economic Security ("CARES") Act was signed into law on March 27, 2020 to help alleviate the impact of the COVID-19 pandemic in the U.S. We took advantage of the employer payroll tax deferral offered by the CARES Act, which allowed us to defer the payment of employer payroll taxes for the period from March 27, 2020 to December 31, 2020. The deferred employer payroll tax liability paid in the first six months of Fiscal 2022 was $8.0 million and the liability left to pay as of February 26, 2022 was $8.2 million, which will be paid in December 2022. We also took advantage of a tax credit granted to companies under the CARES Act who continued to pay their employees when operations were fully or partially suspended. The refundable tax credit available through the end of the third quarter of Fiscal 2020 reflected in cost of goods sold on the Consolidated Statements of Income and Comprehensive Income was approximately $4.0 million. The entire amount is expected to be received during calendar year 2022. As of February 26, 2022, $2.3 million remains outstanding within other current assets on the Consolidated Balance Sheets.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Adopted Accounting Pronouncements</w:t>
      </w:r>
    </w:p>
    <w:p>
      <w:pPr>
        <w:spacing w:after="0" w:line="117" w:lineRule="exact"/>
        <w:rPr>
          <w:sz w:val="20"/>
          <w:szCs w:val="20"/>
          <w:color w:val="auto"/>
        </w:rPr>
      </w:pPr>
    </w:p>
    <w:p>
      <w:pPr>
        <w:ind w:right="300"/>
        <w:spacing w:after="0" w:line="258" w:lineRule="auto"/>
        <w:rPr>
          <w:sz w:val="20"/>
          <w:szCs w:val="20"/>
          <w:color w:val="auto"/>
        </w:rPr>
      </w:pPr>
      <w:r>
        <w:rPr>
          <w:rFonts w:ascii="Arial" w:cs="Arial" w:eastAsia="Arial" w:hAnsi="Arial"/>
          <w:sz w:val="16"/>
          <w:szCs w:val="16"/>
          <w:color w:val="auto"/>
        </w:rPr>
        <w:t xml:space="preserve">Accounting Standards Update ("ASU") Topic 740, </w:t>
      </w:r>
      <w:r>
        <w:rPr>
          <w:rFonts w:ascii="Arial" w:cs="Arial" w:eastAsia="Arial" w:hAnsi="Arial"/>
          <w:sz w:val="16"/>
          <w:szCs w:val="16"/>
          <w:i w:val="1"/>
          <w:iCs w:val="1"/>
          <w:color w:val="auto"/>
        </w:rPr>
        <w:t>Income Taxes: Simplifying the Accounting for Income Taxes</w:t>
      </w:r>
      <w:r>
        <w:rPr>
          <w:rFonts w:ascii="Arial" w:cs="Arial" w:eastAsia="Arial" w:hAnsi="Arial"/>
          <w:sz w:val="16"/>
          <w:szCs w:val="16"/>
          <w:color w:val="auto"/>
        </w:rPr>
        <w:t>, was adopted in the first quarter of Fiscal 2022. The new standard eliminates certain exceptions to Topic 740's general principles, improves consistent application and simplifies its application. We adopted the new guidance in the first quarter of Fiscal 2022, and there was not a material impact to our financial condition, results of operations or disclosures.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17"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 xml:space="preserve">In August 2020, the Financial Accounting Standards Board ("FASB") issued ASU 2020-06, </w:t>
      </w:r>
      <w:r>
        <w:rPr>
          <w:rFonts w:ascii="Arial" w:cs="Arial" w:eastAsia="Arial" w:hAnsi="Arial"/>
          <w:sz w:val="16"/>
          <w:szCs w:val="16"/>
          <w:i w:val="1"/>
          <w:iCs w:val="1"/>
          <w:color w:val="auto"/>
        </w:rPr>
        <w:t>Debt - Debt with Conversion and Other Options (Subtopic 470-20)</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Derivatives and Hedging - Contracts in Entity's Own Equity (Subtopic 815-40) </w:t>
      </w:r>
      <w:r>
        <w:rPr>
          <w:rFonts w:ascii="Arial" w:cs="Arial" w:eastAsia="Arial" w:hAnsi="Arial"/>
          <w:sz w:val="16"/>
          <w:szCs w:val="16"/>
          <w:color w:val="auto"/>
        </w:rPr>
        <w:t>which reduces the number of models used to account for convertible</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amends diluted earnings per share ("EPS") calculations for convertible instruments, and amends the requirements for a contract (or embedded derivative) that is potentially settled in an entity's own shares to be classified in equity. Certain disclosure requirements were also added to increase transparency and decision-usefulness regarding a convertible instrument's terms and features. Additionally, the if-converted method for including convertible instruments must be used in diluted EPS as opposed to the treasury stock method. The new guidance is effective for annual reporting periods beginning after December 15, 2021, which is our Fiscal 2023. Early adoption is permitted using either a</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modified retrospective or full retrospective approach. We expect to adopt the new guidance in the first quarter of Fiscal 2023 and have not yet evaluated the impact the adoption of this guidance will have on our financial condition, results of operations or disclosures; however, the new guidance is expected to change our diluted EPS reporting.</w:t>
      </w:r>
    </w:p>
    <w:p>
      <w:pPr>
        <w:spacing w:after="0" w:line="212"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Effects of Reference Rate Reform on Financial Reporting</w:t>
      </w:r>
      <w:r>
        <w:rPr>
          <w:rFonts w:ascii="Arial" w:cs="Arial" w:eastAsia="Arial" w:hAnsi="Arial"/>
          <w:sz w:val="16"/>
          <w:szCs w:val="16"/>
          <w:color w:val="auto"/>
        </w:rPr>
        <w:t>, which provides practical expedients and exceptions for applying GAAP to contracts, hedging relationships, and other transactions affected by reference rate reform if certain criteria are met. The expedients and exceptions provided by this guidance apply only to contracts, hedging relationships, and other transactions that reference the London interbank offered rate (“LIBOR”) or another reference rate expected to be discontinued as a result of reference rate reform. This guidance is not applicable to contract modifications made and hedging relationships entered into or evaluated after December 31, 2022. The guidance can be applied immediately through December 31, 2022. We will adopt this standard when LIBOR is discontinued and do not expect a material impact to our financial condition, results of operations or disclosures based on the current debt portfolio and capital structure.</w:t>
      </w:r>
    </w:p>
    <w:p>
      <w:pPr>
        <w:spacing w:after="0" w:line="210"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2.</w:t>
        <w:tab/>
        <w:t>Business Combinations</w:t>
      </w:r>
    </w:p>
    <w:p>
      <w:pPr>
        <w:spacing w:after="0" w:line="268" w:lineRule="exact"/>
        <w:rPr>
          <w:sz w:val="20"/>
          <w:szCs w:val="20"/>
          <w:color w:val="auto"/>
        </w:rPr>
      </w:pPr>
    </w:p>
    <w:p>
      <w:pPr>
        <w:ind w:right="860"/>
        <w:spacing w:after="0" w:line="260" w:lineRule="auto"/>
        <w:rPr>
          <w:sz w:val="20"/>
          <w:szCs w:val="20"/>
          <w:color w:val="auto"/>
        </w:rPr>
      </w:pPr>
      <w:r>
        <w:rPr>
          <w:rFonts w:ascii="Arial" w:cs="Arial" w:eastAsia="Arial" w:hAnsi="Arial"/>
          <w:sz w:val="16"/>
          <w:szCs w:val="16"/>
          <w:color w:val="auto"/>
        </w:rPr>
        <w:t>On August 31, 2021, we purchased 100% of the equity interests of Barletta Boat Company, LLC and Three Limes, LLC (collectively, "Barletta"), a manufacturer of high-quality, premium pontoon boats that are sold through a network of independent authorized dealers.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acquisition of Barletta resulted in a newly created Marine reportable segment that includes the Barletta and Chris-Craft operating segments.</w:t>
      </w:r>
    </w:p>
    <w:p>
      <w:pPr>
        <w:spacing w:after="0" w:line="248"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We acquired Barletta for a purchase price of $286.3 million, including cash payments of $240.1 million, $25.0 million in common stock issued to the sellers (subject to a discount noted below), and contingent consideration from earnout provisions. The common stock fair value included in the purchase price reflects a 12% discount, due to the lack of marketability as these are unregistered shares that have a one-year lockup restriction, which reduced the value of the common stock to $22.0 million. The contingent consideration includes both a potential stock payout as well as a potential cash payment based on achievement of certain financial performance metrics over the next few years. The maximum payout under the earnout is $50.0 million in cash and $15.0 million in stock if all metrics are achieved. The fair value of the earnout as of August 31, 2021 was $24.2 million. The fair value of the earnout as of February 26, 2022 was $37.1 million, of which $13.8 million is included in other current liabilities and $23.3 million is included in other long-term liabilities on the Consolidated Balance Sheets.</w:t>
      </w:r>
    </w:p>
    <w:p>
      <w:pPr>
        <w:spacing w:after="0" w:line="234"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The total purchase price was allocated to the acquired net tangible and intangible assets of Barletta, based on their preliminary fair values at the date of the acquisition. We expect to finalize the allocation of the purchase price when our valuation of the acquired intangible assets, goodwill, and tax accounts is complete.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preliminary fair values assigned to the Barletta net assets acquired as of the date of acquisition:</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August 31, 2021</w:t>
            </w:r>
          </w:p>
        </w:tc>
      </w:tr>
      <w:tr>
        <w:trPr>
          <w:trHeight w:val="209"/>
        </w:trPr>
        <w:tc>
          <w:tcPr>
            <w:tcW w:w="8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11,903</w:t>
            </w:r>
          </w:p>
        </w:tc>
      </w:tr>
      <w:tr>
        <w:trPr>
          <w:trHeight w:val="213"/>
        </w:trPr>
        <w:tc>
          <w:tcPr>
            <w:tcW w:w="886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3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24,564</w:t>
            </w:r>
          </w:p>
        </w:tc>
      </w:tr>
      <w:tr>
        <w:trPr>
          <w:trHeight w:val="219"/>
        </w:trPr>
        <w:tc>
          <w:tcPr>
            <w:tcW w:w="8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34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17,250</w:t>
            </w:r>
          </w:p>
        </w:tc>
      </w:tr>
      <w:tr>
        <w:trPr>
          <w:trHeight w:val="213"/>
        </w:trPr>
        <w:tc>
          <w:tcPr>
            <w:tcW w:w="8860" w:type="dxa"/>
            <w:vAlign w:val="bottom"/>
          </w:tcPr>
          <w:p>
            <w:pPr>
              <w:ind w:left="20"/>
              <w:spacing w:after="0"/>
              <w:rPr>
                <w:sz w:val="20"/>
                <w:szCs w:val="20"/>
                <w:color w:val="auto"/>
              </w:rPr>
            </w:pPr>
            <w:r>
              <w:rPr>
                <w:rFonts w:ascii="Arial" w:cs="Arial" w:eastAsia="Arial" w:hAnsi="Arial"/>
                <w:sz w:val="16"/>
                <w:szCs w:val="16"/>
                <w:color w:val="auto"/>
              </w:rPr>
              <w:t>Goodwill</w:t>
            </w:r>
          </w:p>
        </w:tc>
        <w:tc>
          <w:tcPr>
            <w:tcW w:w="3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136,118</w:t>
            </w:r>
          </w:p>
        </w:tc>
      </w:tr>
      <w:tr>
        <w:trPr>
          <w:trHeight w:val="216"/>
        </w:trPr>
        <w:tc>
          <w:tcPr>
            <w:tcW w:w="8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w:t>
            </w:r>
          </w:p>
        </w:tc>
        <w:tc>
          <w:tcPr>
            <w:tcW w:w="340" w:type="dxa"/>
            <w:vAlign w:val="bottom"/>
            <w:tcBorders>
              <w:bottom w:val="single" w:sz="8" w:color="auto"/>
            </w:tcBorders>
            <w:shd w:val="clear" w:color="auto" w:fill="CCEEFF"/>
          </w:tcPr>
          <w:p>
            <w:pPr>
              <w:spacing w:after="0"/>
              <w:rPr>
                <w:sz w:val="18"/>
                <w:szCs w:val="18"/>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111,400</w:t>
            </w:r>
          </w:p>
        </w:tc>
      </w:tr>
      <w:tr>
        <w:trPr>
          <w:trHeight w:val="209"/>
        </w:trPr>
        <w:tc>
          <w:tcPr>
            <w:tcW w:w="8860" w:type="dxa"/>
            <w:vAlign w:val="bottom"/>
          </w:tcPr>
          <w:p>
            <w:pPr>
              <w:ind w:left="240"/>
              <w:spacing w:after="0"/>
              <w:rPr>
                <w:sz w:val="20"/>
                <w:szCs w:val="20"/>
                <w:color w:val="auto"/>
              </w:rPr>
            </w:pPr>
            <w:r>
              <w:rPr>
                <w:rFonts w:ascii="Arial" w:cs="Arial" w:eastAsia="Arial" w:hAnsi="Arial"/>
                <w:sz w:val="16"/>
                <w:szCs w:val="16"/>
                <w:color w:val="auto"/>
              </w:rPr>
              <w:t>Total assets acquired</w:t>
            </w:r>
          </w:p>
        </w:tc>
        <w:tc>
          <w:tcPr>
            <w:tcW w:w="3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301,235</w:t>
            </w:r>
          </w:p>
        </w:tc>
      </w:tr>
      <w:tr>
        <w:trPr>
          <w:trHeight w:val="219"/>
        </w:trPr>
        <w:tc>
          <w:tcPr>
            <w:tcW w:w="8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34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7,181</w:t>
            </w:r>
          </w:p>
        </w:tc>
      </w:tr>
      <w:tr>
        <w:trPr>
          <w:trHeight w:val="213"/>
        </w:trPr>
        <w:tc>
          <w:tcPr>
            <w:tcW w:w="8860" w:type="dxa"/>
            <w:vAlign w:val="bottom"/>
          </w:tcPr>
          <w:p>
            <w:pPr>
              <w:ind w:left="20"/>
              <w:spacing w:after="0"/>
              <w:rPr>
                <w:sz w:val="20"/>
                <w:szCs w:val="20"/>
                <w:color w:val="auto"/>
              </w:rPr>
            </w:pPr>
            <w:r>
              <w:rPr>
                <w:rFonts w:ascii="Arial" w:cs="Arial" w:eastAsia="Arial" w:hAnsi="Arial"/>
                <w:sz w:val="16"/>
                <w:szCs w:val="16"/>
                <w:color w:val="auto"/>
              </w:rPr>
              <w:t>Product warranties</w:t>
            </w:r>
          </w:p>
        </w:tc>
        <w:tc>
          <w:tcPr>
            <w:tcW w:w="3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4,656</w:t>
            </w:r>
          </w:p>
        </w:tc>
      </w:tr>
      <w:tr>
        <w:trPr>
          <w:trHeight w:val="216"/>
        </w:trPr>
        <w:tc>
          <w:tcPr>
            <w:tcW w:w="8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340" w:type="dxa"/>
            <w:vAlign w:val="bottom"/>
            <w:tcBorders>
              <w:bottom w:val="single" w:sz="8" w:color="auto"/>
            </w:tcBorders>
            <w:shd w:val="clear" w:color="auto" w:fill="CCEEFF"/>
          </w:tcPr>
          <w:p>
            <w:pPr>
              <w:spacing w:after="0"/>
              <w:rPr>
                <w:sz w:val="18"/>
                <w:szCs w:val="18"/>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3,146</w:t>
            </w:r>
          </w:p>
        </w:tc>
      </w:tr>
      <w:tr>
        <w:trPr>
          <w:trHeight w:val="209"/>
        </w:trPr>
        <w:tc>
          <w:tcPr>
            <w:tcW w:w="88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liabilities assumed</w:t>
            </w:r>
          </w:p>
        </w:tc>
        <w:tc>
          <w:tcPr>
            <w:tcW w:w="3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14,983</w:t>
            </w:r>
          </w:p>
        </w:tc>
      </w:tr>
      <w:tr>
        <w:trPr>
          <w:trHeight w:val="238"/>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purchase price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286,252</w:t>
            </w: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Goodwill from the Barletta acquisition is recognized in our newly created Marine segment. We expect that the full amount of goodwill will be deductible for tax purposes.</w:t>
      </w:r>
    </w:p>
    <w:p>
      <w:pPr>
        <w:spacing w:after="0" w:line="222"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The intangible assets acquired include a trade name, dealer network, and backlog. The trade name has an indefinite life, while the backlog and dealer network will be amortized on a straight line basis over 10 months and 12 years, respectively.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right="280"/>
        <w:spacing w:after="0" w:line="253" w:lineRule="auto"/>
        <w:rPr>
          <w:sz w:val="20"/>
          <w:szCs w:val="20"/>
          <w:color w:val="auto"/>
        </w:rPr>
      </w:pPr>
      <w:r>
        <w:rPr>
          <w:rFonts w:ascii="Arial" w:cs="Arial" w:eastAsia="Arial" w:hAnsi="Arial"/>
          <w:sz w:val="16"/>
          <w:szCs w:val="16"/>
          <w:color w:val="auto"/>
        </w:rPr>
        <w:t>Total transaction costs related to the Barletta acquisition were $3.1 million, of which $2.4 million were expensed during the first quarter of Fiscal 2022 and $0.7 million were expensed during the fourth quarter of Fiscal 2021. Transaction costs are included in selling, general and administrative expenses in the accompanying Consolidated Statements of Income and Comprehensive Income.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Pro forma results of operations for this acquisition have not been presented as they were immaterial to the reported results.</w:t>
      </w:r>
    </w:p>
    <w:p>
      <w:pPr>
        <w:spacing w:after="0" w:line="228"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3.</w:t>
        <w:tab/>
        <w:t>Business Segments</w:t>
      </w:r>
    </w:p>
    <w:p>
      <w:pPr>
        <w:spacing w:after="0" w:line="26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have seven operating segments: 1) Grand Design towables, 2) Winnebago towables, 3) Winnebago motorhomes, 4) Newmar motorhomes, 5) Chris-Craft marine, 6) Barletta marine and 7) Winnebago specialty vehicles. Financial performance is evaluated based on each operating segment's Adjusted Earnings Before Interest, Taxes, Depreciation and Amortization ("EBITDA"), as defined below, which excludes certain corporate administration expenses and non-operating income and expense.</w:t>
      </w:r>
    </w:p>
    <w:p>
      <w:pPr>
        <w:spacing w:after="0" w:line="229"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The acquisition of Barletta resulted in a newly created Marine reportable segment effective for the first quarter of Fiscal 2022. The segment consists of Barletta and our existing Chris-Craft operating segment. Prior year amounts for Chris-Craft have been reclassified from Corporate / All Other category to the Marine segment.</w:t>
      </w:r>
    </w:p>
    <w:p>
      <w:pPr>
        <w:spacing w:after="0" w:line="228" w:lineRule="exact"/>
        <w:rPr>
          <w:sz w:val="20"/>
          <w:szCs w:val="20"/>
          <w:color w:val="auto"/>
        </w:rPr>
      </w:pPr>
    </w:p>
    <w:p>
      <w:pPr>
        <w:jc w:val="both"/>
        <w:ind w:right="80"/>
        <w:spacing w:after="0" w:line="250" w:lineRule="auto"/>
        <w:rPr>
          <w:sz w:val="20"/>
          <w:szCs w:val="20"/>
          <w:color w:val="auto"/>
        </w:rPr>
      </w:pPr>
      <w:r>
        <w:rPr>
          <w:rFonts w:ascii="Arial" w:cs="Arial" w:eastAsia="Arial" w:hAnsi="Arial"/>
          <w:sz w:val="16"/>
          <w:szCs w:val="16"/>
          <w:color w:val="auto"/>
        </w:rPr>
        <w:t>Our three reportable segments are: Towable (an aggregation of the Grand Design towables and the Winnebago towables operating segments); Motorhome (an aggregation of the Winnebago motorhomes and Newmar motorhomes operating segments); and Marine (an aggregation of the Chris Craft marine and Barletta marine operating segments). Towable is comprised of non-motorized products that are generally towed by another vehicle, along with other related manufactured products and services. Motorhome is comprised of products that include a motorized chassis, along with other related manufactured products and services. Marine is comprised of products that include boats, along with other manufactured products and services.</w:t>
      </w:r>
    </w:p>
    <w:p>
      <w:pPr>
        <w:spacing w:after="0" w:line="230"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color w:val="auto"/>
        </w:rPr>
        <w:t>The Corporate / All Other category includes the Winnebago specialty vehicles operating segment as well as certain corporate administration expenses related to the oversight of the enterprise, such as corporate leadership and administration costs.</w:t>
      </w:r>
    </w:p>
    <w:p>
      <w:pPr>
        <w:spacing w:after="0" w:line="222"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Identifiable assets of the reportable segments exclude general corporate assets, which principally consist of cash and cash equivalents and certain deferred tax balances. The general corporate assets are included in the Corporate / All Other category.</w:t>
      </w:r>
    </w:p>
    <w:p>
      <w:pPr>
        <w:spacing w:after="0" w:line="222"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Our Chief Executive Officer (the Chief Operating Decision Maker ("CODM")) regularly reviews consolidated financial results in their entirety and operating segment financial information through Adjusted EBITDA and has ultimate responsibility for enterprise decisions. Our CODM is responsible for allocating resources and assessing performance of the consolidated enterprise, reportable segments and between operating segments. Management of each operating segment has responsibility for operating decisions, allocating resources and assessing performance within their respective operating segment. The accounting policies of all reportable segments are the same as those described in Note 1 to the Consolidated Financial Statements included in Item 8 of Part II of our Annual Report on Form 10-K for the fiscal year ended August 28, 2021.</w:t>
      </w:r>
    </w:p>
    <w:p>
      <w:pPr>
        <w:spacing w:after="0" w:line="232"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We monitor and evaluate operating performance of our reportable segments based on Adjusted EBITDA. We believe disclosing Adjusted EBITDA is useful to securities analysts, investors and other interested parties when evaluating companies in our industries. EBITDA is defined as net income before interest expense, provision for income taxes, and depreciation and amortization expense. Adjusted EBITDA is defined as net income before interest expense, provision for income taxes, depreciation and amortization expense, and other pretax adjustments made in order to present comparable results period over period. Examples of items excluded from Adjusted EBITDA include acquisition-related costs, litigation reserves, restructuring expenses, gain or loss on sale of property, plant and equipment, contingent consideration fair value adjustment, and non-operating income or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4"/>
        </w:trPr>
        <w:tc>
          <w:tcPr>
            <w:tcW w:w="444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6"/>
        </w:trPr>
        <w:tc>
          <w:tcPr>
            <w:tcW w:w="4440" w:type="dxa"/>
            <w:vAlign w:val="bottom"/>
            <w:gridSpan w:val="2"/>
          </w:tcPr>
          <w:p>
            <w:pPr>
              <w:spacing w:after="0"/>
              <w:rPr>
                <w:sz w:val="20"/>
                <w:szCs w:val="20"/>
                <w:color w:val="auto"/>
              </w:rPr>
            </w:pPr>
            <w:r>
              <w:rPr>
                <w:rFonts w:ascii="Arial" w:cs="Arial" w:eastAsia="Arial" w:hAnsi="Arial"/>
                <w:sz w:val="16"/>
                <w:szCs w:val="16"/>
                <w:color w:val="auto"/>
              </w:rPr>
              <w:t>Financial information by reportable segment is as follows:</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5"/>
          </w:tcPr>
          <w:p>
            <w:pPr>
              <w:jc w:val="right"/>
              <w:ind w:right="79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7"/>
          </w:tcPr>
          <w:p>
            <w:pPr>
              <w:jc w:val="right"/>
              <w:ind w:right="89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58"/>
        </w:trPr>
        <w:tc>
          <w:tcPr>
            <w:tcW w:w="126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2"/>
          </w:tcPr>
          <w:p>
            <w:pPr>
              <w:ind w:left="120"/>
              <w:spacing w:after="0" w:line="158" w:lineRule="exact"/>
              <w:rPr>
                <w:sz w:val="20"/>
                <w:szCs w:val="20"/>
                <w:color w:val="auto"/>
              </w:rPr>
            </w:pPr>
            <w:r>
              <w:rPr>
                <w:rFonts w:ascii="Arial" w:cs="Arial" w:eastAsia="Arial" w:hAnsi="Arial"/>
                <w:sz w:val="16"/>
                <w:szCs w:val="16"/>
                <w:b w:val="1"/>
                <w:bCs w:val="1"/>
                <w:color w:val="auto"/>
              </w:rPr>
              <w:t>February 26,</w:t>
            </w:r>
          </w:p>
        </w:tc>
        <w:tc>
          <w:tcPr>
            <w:tcW w:w="220" w:type="dxa"/>
            <w:vAlign w:val="bottom"/>
          </w:tcPr>
          <w:p>
            <w:pPr>
              <w:spacing w:after="0"/>
              <w:rPr>
                <w:sz w:val="13"/>
                <w:szCs w:val="13"/>
                <w:color w:val="auto"/>
              </w:rPr>
            </w:pPr>
          </w:p>
        </w:tc>
        <w:tc>
          <w:tcPr>
            <w:tcW w:w="1400" w:type="dxa"/>
            <w:vAlign w:val="bottom"/>
            <w:gridSpan w:val="2"/>
          </w:tcPr>
          <w:p>
            <w:pPr>
              <w:jc w:val="right"/>
              <w:ind w:right="259"/>
              <w:spacing w:after="0" w:line="158" w:lineRule="exact"/>
              <w:rPr>
                <w:sz w:val="20"/>
                <w:szCs w:val="20"/>
                <w:color w:val="auto"/>
              </w:rPr>
            </w:pPr>
            <w:r>
              <w:rPr>
                <w:rFonts w:ascii="Arial" w:cs="Arial" w:eastAsia="Arial" w:hAnsi="Arial"/>
                <w:sz w:val="16"/>
                <w:szCs w:val="16"/>
                <w:b w:val="1"/>
                <w:bCs w:val="1"/>
                <w:color w:val="auto"/>
              </w:rPr>
              <w:t>February 27,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gridSpan w:val="5"/>
          </w:tcPr>
          <w:p>
            <w:pPr>
              <w:spacing w:after="0" w:line="158" w:lineRule="exact"/>
              <w:rPr>
                <w:sz w:val="20"/>
                <w:szCs w:val="20"/>
                <w:color w:val="auto"/>
              </w:rPr>
            </w:pPr>
            <w:r>
              <w:rPr>
                <w:rFonts w:ascii="Arial" w:cs="Arial" w:eastAsia="Arial" w:hAnsi="Arial"/>
                <w:sz w:val="16"/>
                <w:szCs w:val="16"/>
                <w:b w:val="1"/>
                <w:bCs w:val="1"/>
                <w:color w:val="auto"/>
              </w:rPr>
              <w:t>February 26,</w:t>
            </w:r>
          </w:p>
        </w:tc>
        <w:tc>
          <w:tcPr>
            <w:tcW w:w="140" w:type="dxa"/>
            <w:vAlign w:val="bottom"/>
          </w:tcPr>
          <w:p>
            <w:pPr>
              <w:spacing w:after="0"/>
              <w:rPr>
                <w:sz w:val="13"/>
                <w:szCs w:val="13"/>
                <w:color w:val="auto"/>
              </w:rPr>
            </w:pPr>
          </w:p>
        </w:tc>
        <w:tc>
          <w:tcPr>
            <w:tcW w:w="1480" w:type="dxa"/>
            <w:vAlign w:val="bottom"/>
          </w:tcPr>
          <w:p>
            <w:pPr>
              <w:jc w:val="right"/>
              <w:ind w:right="239"/>
              <w:spacing w:after="0" w:line="158" w:lineRule="exact"/>
              <w:rPr>
                <w:sz w:val="20"/>
                <w:szCs w:val="20"/>
                <w:color w:val="auto"/>
              </w:rPr>
            </w:pPr>
            <w:r>
              <w:rPr>
                <w:rFonts w:ascii="Arial" w:cs="Arial" w:eastAsia="Arial" w:hAnsi="Arial"/>
                <w:sz w:val="16"/>
                <w:szCs w:val="16"/>
                <w:b w:val="1"/>
                <w:bCs w:val="1"/>
                <w:color w:val="auto"/>
              </w:rPr>
              <w:t>February 27,</w:t>
            </w:r>
          </w:p>
        </w:tc>
        <w:tc>
          <w:tcPr>
            <w:tcW w:w="0" w:type="dxa"/>
            <w:vAlign w:val="bottom"/>
          </w:tcPr>
          <w:p>
            <w:pPr>
              <w:spacing w:after="0"/>
              <w:rPr>
                <w:sz w:val="1"/>
                <w:szCs w:val="1"/>
                <w:color w:val="auto"/>
              </w:rPr>
            </w:pPr>
          </w:p>
        </w:tc>
      </w:tr>
      <w:tr>
        <w:trPr>
          <w:trHeight w:val="216"/>
        </w:trPr>
        <w:tc>
          <w:tcPr>
            <w:tcW w:w="44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2022</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Towable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646,601</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439,284</w:t>
            </w:r>
          </w:p>
        </w:tc>
        <w:tc>
          <w:tcPr>
            <w:tcW w:w="4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300" w:type="dxa"/>
            <w:vAlign w:val="bottom"/>
            <w:gridSpan w:val="4"/>
          </w:tcPr>
          <w:p>
            <w:pPr>
              <w:jc w:val="right"/>
              <w:ind w:right="80"/>
              <w:spacing w:after="0"/>
              <w:rPr>
                <w:sz w:val="20"/>
                <w:szCs w:val="20"/>
                <w:color w:val="auto"/>
              </w:rPr>
            </w:pPr>
            <w:r>
              <w:rPr>
                <w:rFonts w:ascii="Arial" w:cs="Arial" w:eastAsia="Arial" w:hAnsi="Arial"/>
                <w:sz w:val="16"/>
                <w:szCs w:val="16"/>
                <w:color w:val="auto"/>
              </w:rPr>
              <w:t>1,297,625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894,185</w:t>
            </w:r>
          </w:p>
        </w:tc>
        <w:tc>
          <w:tcPr>
            <w:tcW w:w="0" w:type="dxa"/>
            <w:vAlign w:val="bottom"/>
          </w:tcPr>
          <w:p>
            <w:pPr>
              <w:spacing w:after="0"/>
              <w:rPr>
                <w:sz w:val="1"/>
                <w:szCs w:val="1"/>
                <w:color w:val="auto"/>
              </w:rPr>
            </w:pPr>
          </w:p>
        </w:tc>
      </w:tr>
      <w:tr>
        <w:trPr>
          <w:trHeight w:val="21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417,565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382,575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839,044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704,964</w:t>
            </w:r>
          </w:p>
        </w:tc>
        <w:tc>
          <w:tcPr>
            <w:tcW w:w="0" w:type="dxa"/>
            <w:vAlign w:val="bottom"/>
          </w:tcPr>
          <w:p>
            <w:pPr>
              <w:spacing w:after="0"/>
              <w:rPr>
                <w:sz w:val="1"/>
                <w:szCs w:val="1"/>
                <w:color w:val="auto"/>
              </w:rPr>
            </w:pPr>
          </w:p>
        </w:tc>
      </w:tr>
      <w:tr>
        <w:trPr>
          <w:trHeight w:val="213"/>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Marine</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97,309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14,463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4"/>
          </w:tcPr>
          <w:p>
            <w:pPr>
              <w:jc w:val="right"/>
              <w:ind w:right="80"/>
              <w:spacing w:after="0"/>
              <w:rPr>
                <w:sz w:val="20"/>
                <w:szCs w:val="20"/>
                <w:color w:val="auto"/>
              </w:rPr>
            </w:pPr>
            <w:r>
              <w:rPr>
                <w:rFonts w:ascii="Arial" w:cs="Arial" w:eastAsia="Arial" w:hAnsi="Arial"/>
                <w:sz w:val="16"/>
                <w:szCs w:val="16"/>
                <w:color w:val="auto"/>
              </w:rPr>
              <w:t>176,627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26,357</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Corporate / All Other</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3,564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w w:val="99"/>
              </w:rPr>
              <w:t>7,175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7,511</w:t>
            </w:r>
          </w:p>
        </w:tc>
        <w:tc>
          <w:tcPr>
            <w:tcW w:w="0" w:type="dxa"/>
            <w:vAlign w:val="bottom"/>
          </w:tcPr>
          <w:p>
            <w:pPr>
              <w:spacing w:after="0"/>
              <w:rPr>
                <w:sz w:val="1"/>
                <w:szCs w:val="1"/>
                <w:color w:val="auto"/>
              </w:rPr>
            </w:pPr>
          </w:p>
        </w:tc>
      </w:tr>
      <w:tr>
        <w:trPr>
          <w:trHeight w:val="212"/>
        </w:trPr>
        <w:tc>
          <w:tcPr>
            <w:tcW w:w="4440" w:type="dxa"/>
            <w:vAlign w:val="bottom"/>
            <w:gridSpan w:val="2"/>
          </w:tcPr>
          <w:p>
            <w:pPr>
              <w:ind w:left="140"/>
              <w:spacing w:after="0"/>
              <w:rPr>
                <w:sz w:val="20"/>
                <w:szCs w:val="20"/>
                <w:color w:val="auto"/>
              </w:rPr>
            </w:pPr>
            <w:r>
              <w:rPr>
                <w:rFonts w:ascii="Arial" w:cs="Arial" w:eastAsia="Arial" w:hAnsi="Arial"/>
                <w:sz w:val="16"/>
                <w:szCs w:val="16"/>
                <w:color w:val="auto"/>
              </w:rPr>
              <w:t>Consolidated</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1,164,731</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839,886</w:t>
            </w:r>
          </w:p>
        </w:tc>
        <w:tc>
          <w:tcPr>
            <w:tcW w:w="4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300" w:type="dxa"/>
            <w:vAlign w:val="bottom"/>
            <w:gridSpan w:val="4"/>
          </w:tcPr>
          <w:p>
            <w:pPr>
              <w:jc w:val="right"/>
              <w:ind w:right="80"/>
              <w:spacing w:after="0"/>
              <w:rPr>
                <w:sz w:val="20"/>
                <w:szCs w:val="20"/>
                <w:color w:val="auto"/>
              </w:rPr>
            </w:pPr>
            <w:r>
              <w:rPr>
                <w:rFonts w:ascii="Arial" w:cs="Arial" w:eastAsia="Arial" w:hAnsi="Arial"/>
                <w:sz w:val="16"/>
                <w:szCs w:val="16"/>
                <w:color w:val="auto"/>
              </w:rPr>
              <w:t>2,320,471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1,633,017</w:t>
            </w:r>
          </w:p>
        </w:tc>
        <w:tc>
          <w:tcPr>
            <w:tcW w:w="0" w:type="dxa"/>
            <w:vAlign w:val="bottom"/>
          </w:tcPr>
          <w:p>
            <w:pPr>
              <w:spacing w:after="0"/>
              <w:rPr>
                <w:sz w:val="1"/>
                <w:szCs w:val="1"/>
                <w:color w:val="auto"/>
              </w:rPr>
            </w:pPr>
          </w:p>
        </w:tc>
      </w:tr>
      <w:tr>
        <w:trPr>
          <w:trHeight w:val="20"/>
        </w:trPr>
        <w:tc>
          <w:tcPr>
            <w:tcW w:w="1260" w:type="dxa"/>
            <w:vAlign w:val="bottom"/>
            <w:tcBorders>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260" w:type="dxa"/>
            <w:vAlign w:val="bottom"/>
            <w:shd w:val="clear" w:color="auto" w:fill="CCEEFF"/>
          </w:tcPr>
          <w:p>
            <w:pPr>
              <w:spacing w:after="0"/>
              <w:rPr>
                <w:sz w:val="6"/>
                <w:szCs w:val="6"/>
                <w:color w:val="auto"/>
              </w:rPr>
            </w:pPr>
          </w:p>
        </w:tc>
        <w:tc>
          <w:tcPr>
            <w:tcW w:w="31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4440" w:type="dxa"/>
            <w:vAlign w:val="bottom"/>
            <w:gridSpan w:val="2"/>
          </w:tcPr>
          <w:p>
            <w:pPr>
              <w:ind w:left="20"/>
              <w:spacing w:after="0"/>
              <w:rPr>
                <w:sz w:val="20"/>
                <w:szCs w:val="20"/>
                <w:color w:val="auto"/>
              </w:rPr>
            </w:pPr>
            <w:r>
              <w:rPr>
                <w:rFonts w:ascii="Arial" w:cs="Arial" w:eastAsia="Arial" w:hAnsi="Arial"/>
                <w:sz w:val="16"/>
                <w:szCs w:val="16"/>
                <w:b w:val="1"/>
                <w:bCs w:val="1"/>
                <w:color w:val="auto"/>
              </w:rPr>
              <w:t>Adjusted EBITDA</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Towable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100,573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62,366</w:t>
            </w:r>
          </w:p>
        </w:tc>
        <w:tc>
          <w:tcPr>
            <w:tcW w:w="4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0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212,650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125,509</w:t>
            </w:r>
          </w:p>
        </w:tc>
        <w:tc>
          <w:tcPr>
            <w:tcW w:w="0" w:type="dxa"/>
            <w:vAlign w:val="bottom"/>
          </w:tcPr>
          <w:p>
            <w:pPr>
              <w:spacing w:after="0"/>
              <w:rPr>
                <w:sz w:val="1"/>
                <w:szCs w:val="1"/>
                <w:color w:val="auto"/>
              </w:rPr>
            </w:pPr>
          </w:p>
        </w:tc>
      </w:tr>
      <w:tr>
        <w:trPr>
          <w:trHeight w:val="213"/>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Motorhome</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46,095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50,969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4"/>
          </w:tcPr>
          <w:p>
            <w:pPr>
              <w:jc w:val="right"/>
              <w:ind w:right="80"/>
              <w:spacing w:after="0"/>
              <w:rPr>
                <w:sz w:val="20"/>
                <w:szCs w:val="20"/>
                <w:color w:val="auto"/>
              </w:rPr>
            </w:pPr>
            <w:r>
              <w:rPr>
                <w:rFonts w:ascii="Arial" w:cs="Arial" w:eastAsia="Arial" w:hAnsi="Arial"/>
                <w:sz w:val="16"/>
                <w:szCs w:val="16"/>
                <w:color w:val="auto"/>
              </w:rPr>
              <w:t>96,248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81,312</w:t>
            </w:r>
          </w:p>
        </w:tc>
        <w:tc>
          <w:tcPr>
            <w:tcW w:w="0" w:type="dxa"/>
            <w:vAlign w:val="bottom"/>
          </w:tcPr>
          <w:p>
            <w:pPr>
              <w:spacing w:after="0"/>
              <w:rPr>
                <w:sz w:val="1"/>
                <w:szCs w:val="1"/>
                <w:color w:val="auto"/>
              </w:rPr>
            </w:pPr>
          </w:p>
        </w:tc>
      </w:tr>
      <w:tr>
        <w:trPr>
          <w:trHeight w:val="21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Marine</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23,523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1,878</w:t>
            </w:r>
          </w:p>
        </w:tc>
        <w:tc>
          <w:tcPr>
            <w:tcW w:w="0" w:type="dxa"/>
            <w:vAlign w:val="bottom"/>
          </w:tcPr>
          <w:p>
            <w:pPr>
              <w:spacing w:after="0"/>
              <w:rPr>
                <w:sz w:val="1"/>
                <w:szCs w:val="1"/>
                <w:color w:val="auto"/>
              </w:rPr>
            </w:pPr>
          </w:p>
        </w:tc>
      </w:tr>
      <w:tr>
        <w:trPr>
          <w:trHeight w:val="213"/>
        </w:trPr>
        <w:tc>
          <w:tcPr>
            <w:tcW w:w="44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Corporate / All Other</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860"/>
              <w:spacing w:after="0"/>
              <w:rPr>
                <w:sz w:val="20"/>
                <w:szCs w:val="20"/>
                <w:color w:val="auto"/>
              </w:rPr>
            </w:pPr>
            <w:r>
              <w:rPr>
                <w:rFonts w:ascii="Arial" w:cs="Arial" w:eastAsia="Arial" w:hAnsi="Arial"/>
                <w:sz w:val="16"/>
                <w:szCs w:val="16"/>
                <w:color w:val="auto"/>
              </w:rPr>
              <w:t>(8,892)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(6,394)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6"/>
                <w:szCs w:val="16"/>
                <w:color w:val="auto"/>
              </w:rPr>
              <w:t>(14,460)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(11,441)</w:t>
            </w:r>
          </w:p>
        </w:tc>
        <w:tc>
          <w:tcPr>
            <w:tcW w:w="0" w:type="dxa"/>
            <w:vAlign w:val="bottom"/>
          </w:tcPr>
          <w:p>
            <w:pPr>
              <w:spacing w:after="0"/>
              <w:rPr>
                <w:sz w:val="1"/>
                <w:szCs w:val="1"/>
                <w:color w:val="auto"/>
              </w:rPr>
            </w:pPr>
          </w:p>
        </w:tc>
      </w:tr>
      <w:tr>
        <w:trPr>
          <w:trHeight w:val="232"/>
        </w:trPr>
        <w:tc>
          <w:tcPr>
            <w:tcW w:w="4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Consolidated</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150,729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107,965</w:t>
            </w:r>
          </w:p>
        </w:tc>
        <w:tc>
          <w:tcPr>
            <w:tcW w:w="4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0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317,961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197,258</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1260" w:type="dxa"/>
            <w:vAlign w:val="bottom"/>
          </w:tcPr>
          <w:p>
            <w:pPr>
              <w:spacing w:after="0"/>
              <w:rPr>
                <w:sz w:val="4"/>
                <w:szCs w:val="4"/>
                <w:color w:val="auto"/>
              </w:rPr>
            </w:pPr>
          </w:p>
        </w:tc>
        <w:tc>
          <w:tcPr>
            <w:tcW w:w="3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Capital Expenditures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Towable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10,181</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2,714</w:t>
            </w:r>
          </w:p>
        </w:tc>
        <w:tc>
          <w:tcPr>
            <w:tcW w:w="4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300" w:type="dxa"/>
            <w:vAlign w:val="bottom"/>
            <w:gridSpan w:val="4"/>
          </w:tcPr>
          <w:p>
            <w:pPr>
              <w:jc w:val="right"/>
              <w:ind w:right="80"/>
              <w:spacing w:after="0"/>
              <w:rPr>
                <w:sz w:val="20"/>
                <w:szCs w:val="20"/>
                <w:color w:val="auto"/>
              </w:rPr>
            </w:pPr>
            <w:r>
              <w:rPr>
                <w:rFonts w:ascii="Arial" w:cs="Arial" w:eastAsia="Arial" w:hAnsi="Arial"/>
                <w:sz w:val="16"/>
                <w:szCs w:val="16"/>
                <w:color w:val="auto"/>
              </w:rPr>
              <w:t>21,339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6,851</w:t>
            </w:r>
          </w:p>
        </w:tc>
        <w:tc>
          <w:tcPr>
            <w:tcW w:w="0" w:type="dxa"/>
            <w:vAlign w:val="bottom"/>
          </w:tcPr>
          <w:p>
            <w:pPr>
              <w:spacing w:after="0"/>
              <w:rPr>
                <w:sz w:val="1"/>
                <w:szCs w:val="1"/>
                <w:color w:val="auto"/>
              </w:rPr>
            </w:pPr>
          </w:p>
        </w:tc>
      </w:tr>
      <w:tr>
        <w:trPr>
          <w:trHeight w:val="21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15,626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7,271</w:t>
            </w:r>
          </w:p>
        </w:tc>
        <w:tc>
          <w:tcPr>
            <w:tcW w:w="0" w:type="dxa"/>
            <w:vAlign w:val="bottom"/>
          </w:tcPr>
          <w:p>
            <w:pPr>
              <w:spacing w:after="0"/>
              <w:rPr>
                <w:sz w:val="1"/>
                <w:szCs w:val="1"/>
                <w:color w:val="auto"/>
              </w:rPr>
            </w:pPr>
          </w:p>
        </w:tc>
      </w:tr>
      <w:tr>
        <w:trPr>
          <w:trHeight w:val="213"/>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Marine</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6"/>
                <w:szCs w:val="16"/>
                <w:color w:val="auto"/>
                <w:w w:val="99"/>
              </w:rPr>
              <w:t>2,540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798</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Corporate / All Other</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w w:val="99"/>
              </w:rPr>
              <w:t>3,921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440" w:type="dxa"/>
            <w:vAlign w:val="bottom"/>
            <w:gridSpan w:val="2"/>
          </w:tcPr>
          <w:p>
            <w:pPr>
              <w:ind w:left="140"/>
              <w:spacing w:after="0"/>
              <w:rPr>
                <w:sz w:val="20"/>
                <w:szCs w:val="20"/>
                <w:color w:val="auto"/>
              </w:rPr>
            </w:pPr>
            <w:r>
              <w:rPr>
                <w:rFonts w:ascii="Arial" w:cs="Arial" w:eastAsia="Arial" w:hAnsi="Arial"/>
                <w:sz w:val="16"/>
                <w:szCs w:val="16"/>
                <w:color w:val="auto"/>
              </w:rPr>
              <w:t>Consolidated</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20,211</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6,231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color w:val="auto"/>
              </w:rPr>
              <w:t>43,426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14,920</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33"/>
        </w:trPr>
        <w:tc>
          <w:tcPr>
            <w:tcW w:w="1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2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February 26,</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right"/>
              <w:ind w:right="539"/>
              <w:spacing w:after="0"/>
              <w:rPr>
                <w:sz w:val="20"/>
                <w:szCs w:val="20"/>
                <w:color w:val="auto"/>
              </w:rPr>
            </w:pPr>
            <w:r>
              <w:rPr>
                <w:rFonts w:ascii="Arial" w:cs="Arial" w:eastAsia="Arial" w:hAnsi="Arial"/>
                <w:sz w:val="16"/>
                <w:szCs w:val="16"/>
                <w:b w:val="1"/>
                <w:bCs w:val="1"/>
                <w:color w:val="auto"/>
              </w:rPr>
              <w:t>August 28,</w:t>
            </w:r>
          </w:p>
        </w:tc>
        <w:tc>
          <w:tcPr>
            <w:tcW w:w="0" w:type="dxa"/>
            <w:vAlign w:val="bottom"/>
          </w:tcPr>
          <w:p>
            <w:pPr>
              <w:spacing w:after="0"/>
              <w:rPr>
                <w:sz w:val="1"/>
                <w:szCs w:val="1"/>
                <w:color w:val="auto"/>
              </w:rPr>
            </w:pPr>
          </w:p>
        </w:tc>
      </w:tr>
      <w:tr>
        <w:trPr>
          <w:trHeight w:val="216"/>
        </w:trPr>
        <w:tc>
          <w:tcPr>
            <w:tcW w:w="44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8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0"/>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Towable</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6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850,244</w:t>
            </w:r>
          </w:p>
        </w:tc>
        <w:tc>
          <w:tcPr>
            <w:tcW w:w="5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790,257</w:t>
            </w:r>
          </w:p>
        </w:tc>
        <w:tc>
          <w:tcPr>
            <w:tcW w:w="0" w:type="dxa"/>
            <w:vAlign w:val="bottom"/>
          </w:tcPr>
          <w:p>
            <w:pPr>
              <w:spacing w:after="0"/>
              <w:rPr>
                <w:sz w:val="1"/>
                <w:szCs w:val="1"/>
                <w:color w:val="auto"/>
              </w:rPr>
            </w:pPr>
          </w:p>
        </w:tc>
      </w:tr>
      <w:tr>
        <w:trPr>
          <w:trHeight w:val="21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910,496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728,060</w:t>
            </w:r>
          </w:p>
        </w:tc>
        <w:tc>
          <w:tcPr>
            <w:tcW w:w="0" w:type="dxa"/>
            <w:vAlign w:val="bottom"/>
          </w:tcPr>
          <w:p>
            <w:pPr>
              <w:spacing w:after="0"/>
              <w:rPr>
                <w:sz w:val="1"/>
                <w:szCs w:val="1"/>
                <w:color w:val="auto"/>
              </w:rPr>
            </w:pPr>
          </w:p>
        </w:tc>
      </w:tr>
      <w:tr>
        <w:trPr>
          <w:trHeight w:val="213"/>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Marine</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402,395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102,901</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Corporate / All Other</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146,298</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441,349</w:t>
            </w:r>
          </w:p>
        </w:tc>
        <w:tc>
          <w:tcPr>
            <w:tcW w:w="0" w:type="dxa"/>
            <w:vAlign w:val="bottom"/>
          </w:tcPr>
          <w:p>
            <w:pPr>
              <w:spacing w:after="0"/>
              <w:rPr>
                <w:sz w:val="1"/>
                <w:szCs w:val="1"/>
                <w:color w:val="auto"/>
              </w:rPr>
            </w:pPr>
          </w:p>
        </w:tc>
      </w:tr>
      <w:tr>
        <w:trPr>
          <w:trHeight w:val="213"/>
        </w:trPr>
        <w:tc>
          <w:tcPr>
            <w:tcW w:w="4440" w:type="dxa"/>
            <w:vAlign w:val="bottom"/>
            <w:gridSpan w:val="2"/>
          </w:tcPr>
          <w:p>
            <w:pPr>
              <w:ind w:left="140"/>
              <w:spacing w:after="0"/>
              <w:rPr>
                <w:sz w:val="20"/>
                <w:szCs w:val="20"/>
                <w:color w:val="auto"/>
              </w:rPr>
            </w:pPr>
            <w:r>
              <w:rPr>
                <w:rFonts w:ascii="Arial" w:cs="Arial" w:eastAsia="Arial" w:hAnsi="Arial"/>
                <w:sz w:val="16"/>
                <w:szCs w:val="16"/>
                <w:color w:val="auto"/>
              </w:rPr>
              <w:t>Consolidated</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6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2,309,433</w:t>
            </w:r>
          </w:p>
        </w:tc>
        <w:tc>
          <w:tcPr>
            <w:tcW w:w="5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2,062,567</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vMerge w:val="restart"/>
          </w:tcPr>
          <w:p>
            <w:pPr>
              <w:ind w:left="88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3"/>
        </w:trPr>
        <w:tc>
          <w:tcPr>
            <w:tcW w:w="1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260" w:type="dxa"/>
            <w:vAlign w:val="bottom"/>
            <w:tcBorders>
              <w:bottom w:val="single" w:sz="8" w:color="9A9A9A"/>
            </w:tcBorders>
          </w:tcPr>
          <w:p>
            <w:pPr>
              <w:spacing w:after="0"/>
              <w:rPr>
                <w:sz w:val="9"/>
                <w:szCs w:val="9"/>
                <w:color w:val="auto"/>
              </w:rPr>
            </w:pPr>
          </w:p>
        </w:tc>
        <w:tc>
          <w:tcPr>
            <w:tcW w:w="31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Reconciliation of net income to consolidated Adjusted EBITDA is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gridSpan w:val="5"/>
          </w:tcPr>
          <w:p>
            <w:pPr>
              <w:ind w:left="76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3220" w:type="dxa"/>
            <w:vAlign w:val="bottom"/>
            <w:gridSpan w:val="4"/>
          </w:tcPr>
          <w:p>
            <w:pPr>
              <w:jc w:val="right"/>
              <w:ind w:right="879"/>
              <w:spacing w:after="0"/>
              <w:rPr>
                <w:sz w:val="20"/>
                <w:szCs w:val="20"/>
                <w:color w:val="auto"/>
              </w:rPr>
            </w:pPr>
            <w:r>
              <w:rPr>
                <w:rFonts w:ascii="Arial" w:cs="Arial" w:eastAsia="Arial" w:hAnsi="Arial"/>
                <w:sz w:val="16"/>
                <w:szCs w:val="16"/>
                <w:b w:val="1"/>
                <w:bCs w:val="1"/>
                <w:color w:val="auto"/>
              </w:rPr>
              <w:t>Six Months Ended</w:t>
            </w:r>
          </w:p>
        </w:tc>
      </w:tr>
      <w:tr>
        <w:trPr>
          <w:trHeight w:val="213"/>
        </w:trPr>
        <w:tc>
          <w:tcPr>
            <w:tcW w:w="44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February 26, 2022</w:t>
            </w:r>
          </w:p>
        </w:tc>
        <w:tc>
          <w:tcPr>
            <w:tcW w:w="1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February 27, 2021</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February 26, 2022</w:t>
            </w:r>
          </w:p>
        </w:tc>
        <w:tc>
          <w:tcPr>
            <w:tcW w:w="1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February 27, 2021</w:t>
            </w:r>
          </w:p>
        </w:tc>
      </w:tr>
      <w:tr>
        <w:trPr>
          <w:trHeight w:val="210"/>
        </w:trPr>
        <w:tc>
          <w:tcPr>
            <w:tcW w:w="4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91,175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69,068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190,805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126,491</w:t>
            </w: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10,325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10,052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20,567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19,993</w:t>
            </w: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28,760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21,166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38,723</w:t>
            </w: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5,461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4,399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10,767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8,559</w:t>
            </w:r>
          </w:p>
        </w:tc>
      </w:tr>
      <w:tr>
        <w:trPr>
          <w:trHeight w:val="216"/>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8,015</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16,187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7,181</w:t>
            </w:r>
          </w:p>
        </w:tc>
      </w:tr>
      <w:tr>
        <w:trPr>
          <w:trHeight w:val="209"/>
        </w:trPr>
        <w:tc>
          <w:tcPr>
            <w:tcW w:w="4460" w:type="dxa"/>
            <w:vAlign w:val="bottom"/>
          </w:tcPr>
          <w:p>
            <w:pPr>
              <w:ind w:left="140"/>
              <w:spacing w:after="0"/>
              <w:rPr>
                <w:sz w:val="20"/>
                <w:szCs w:val="20"/>
                <w:color w:val="auto"/>
              </w:rPr>
            </w:pPr>
            <w:r>
              <w:rPr>
                <w:rFonts w:ascii="Arial" w:cs="Arial" w:eastAsia="Arial" w:hAnsi="Arial"/>
                <w:sz w:val="16"/>
                <w:szCs w:val="16"/>
                <w:color w:val="auto"/>
              </w:rPr>
              <w:t>EBITDA</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143,736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108,276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297,227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200,947</w:t>
            </w: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costs</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Litigation reserves</w:t>
            </w:r>
          </w:p>
        </w:tc>
        <w:tc>
          <w:tcPr>
            <w:tcW w:w="12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Gain on sale of property, plant and equipment</w:t>
            </w:r>
          </w:p>
        </w:tc>
        <w:tc>
          <w:tcPr>
            <w:tcW w:w="12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(3,565)</w:t>
            </w: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 fair value adjustment</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Non-operating income</w:t>
            </w: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r>
      <w:tr>
        <w:trPr>
          <w:trHeight w:val="237"/>
        </w:trPr>
        <w:tc>
          <w:tcPr>
            <w:tcW w:w="4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Adjusted 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150,729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107,965</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317,961</w:t>
            </w: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197,258</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4.</w:t>
        <w:tab/>
        <w:t>Investments and Fair Value Measurements</w:t>
      </w:r>
    </w:p>
    <w:p>
      <w:pPr>
        <w:spacing w:after="0" w:line="18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determining the fair value of financial assets and liabilities, we utilize market data or other assumptions that we believe market participants would use in pricing the asset or liability in the principal or most advantageous market and adjust for non-performance and/or other risks associated with us as well as counterparties, as appropriate. Assets and liabilities measured at fair value are classified using the following hierarchy, which is based upon the transparency of inputs to the valuation as of the measurement date:</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 Unadjusted quoted prices which are available in active markets for identical assets or liabilities accessible at the measurement date.</w:t>
      </w:r>
    </w:p>
    <w:p>
      <w:pPr>
        <w:spacing w:after="0" w:line="248" w:lineRule="exact"/>
        <w:rPr>
          <w:sz w:val="20"/>
          <w:szCs w:val="20"/>
          <w:color w:val="auto"/>
        </w:rPr>
      </w:pPr>
    </w:p>
    <w:p>
      <w:pPr>
        <w:ind w:left="660" w:right="440"/>
        <w:spacing w:after="0" w:line="281"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Inputs other than quoted prices included in Level 1 inputs that are observable for the asset or liability, either directly or indirectly, for</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substantially the full term of the asset or liability.</w:t>
      </w:r>
    </w:p>
    <w:p>
      <w:pPr>
        <w:spacing w:after="0" w:line="190" w:lineRule="exact"/>
        <w:rPr>
          <w:sz w:val="20"/>
          <w:szCs w:val="20"/>
          <w:color w:val="auto"/>
        </w:rPr>
      </w:pPr>
    </w:p>
    <w:p>
      <w:pPr>
        <w:ind w:left="660" w:right="300"/>
        <w:spacing w:after="0" w:line="281" w:lineRule="auto"/>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Unobservable inputs for the asset or liability used to measure fair value to the extent that observable inputs are not available, thereby</w:t>
      </w:r>
      <w:r>
        <w:rPr>
          <w:rFonts w:ascii="Arial" w:cs="Arial" w:eastAsia="Arial" w:hAnsi="Arial"/>
          <w:sz w:val="16"/>
          <w:szCs w:val="16"/>
          <w:i w:val="1"/>
          <w:iCs w:val="1"/>
          <w:color w:val="auto"/>
        </w:rPr>
        <w:t xml:space="preserve"> </w:t>
      </w:r>
      <w:r>
        <w:rPr>
          <w:rFonts w:ascii="Arial" w:cs="Arial" w:eastAsia="Arial" w:hAnsi="Arial"/>
          <w:sz w:val="16"/>
          <w:szCs w:val="16"/>
          <w:color w:val="auto"/>
        </w:rPr>
        <w:t>allowing for situations in which there is little, if any, market activity for the asset or liability at the measurement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4"/>
        </w:trPr>
        <w:tc>
          <w:tcPr>
            <w:tcW w:w="4420" w:type="dxa"/>
            <w:vAlign w:val="bottom"/>
            <w:gridSpan w:val="3"/>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906"/>
        </w:trPr>
        <w:tc>
          <w:tcPr>
            <w:tcW w:w="6160" w:type="dxa"/>
            <w:vAlign w:val="bottom"/>
            <w:gridSpan w:val="8"/>
          </w:tcPr>
          <w:p>
            <w:pPr>
              <w:spacing w:after="0"/>
              <w:rPr>
                <w:sz w:val="20"/>
                <w:szCs w:val="20"/>
                <w:color w:val="auto"/>
              </w:rPr>
            </w:pPr>
            <w:r>
              <w:rPr>
                <w:rFonts w:ascii="Arial" w:cs="Arial" w:eastAsia="Arial" w:hAnsi="Arial"/>
                <w:sz w:val="16"/>
                <w:szCs w:val="16"/>
                <w:b w:val="1"/>
                <w:bCs w:val="1"/>
                <w:color w:val="auto"/>
              </w:rPr>
              <w:t>Assets and Liabilities that are Measured at Fair Value on a Recurring Basis</w:t>
            </w: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97"/>
        </w:trPr>
        <w:tc>
          <w:tcPr>
            <w:tcW w:w="6500" w:type="dxa"/>
            <w:vAlign w:val="bottom"/>
            <w:gridSpan w:val="9"/>
          </w:tcPr>
          <w:p>
            <w:pPr>
              <w:spacing w:after="0"/>
              <w:rPr>
                <w:sz w:val="20"/>
                <w:szCs w:val="20"/>
                <w:color w:val="auto"/>
              </w:rPr>
            </w:pPr>
            <w:r>
              <w:rPr>
                <w:rFonts w:ascii="Arial" w:cs="Arial" w:eastAsia="Arial" w:hAnsi="Arial"/>
                <w:sz w:val="16"/>
                <w:szCs w:val="16"/>
                <w:color w:val="auto"/>
              </w:rPr>
              <w:t>Financial assets and liabilities measured at fair value on a recurring basis are as follows:</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8"/>
              </w:rPr>
              <w:t>Fair Value at</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Fair Value Hierarchy</w:t>
            </w: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148"/>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3"/>
          </w:tcPr>
          <w:p>
            <w:pPr>
              <w:jc w:val="center"/>
              <w:ind w:right="340"/>
              <w:spacing w:after="0" w:line="148" w:lineRule="exact"/>
              <w:rPr>
                <w:sz w:val="20"/>
                <w:szCs w:val="20"/>
                <w:color w:val="auto"/>
              </w:rPr>
            </w:pPr>
            <w:r>
              <w:rPr>
                <w:rFonts w:ascii="Arial" w:cs="Arial" w:eastAsia="Arial" w:hAnsi="Arial"/>
                <w:sz w:val="16"/>
                <w:szCs w:val="16"/>
                <w:b w:val="1"/>
                <w:bCs w:val="1"/>
                <w:color w:val="auto"/>
              </w:rPr>
              <w:t>February 26,</w:t>
            </w:r>
          </w:p>
        </w:tc>
        <w:tc>
          <w:tcPr>
            <w:tcW w:w="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139"/>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3"/>
          </w:tcPr>
          <w:p>
            <w:pPr>
              <w:ind w:left="180"/>
              <w:spacing w:after="0"/>
              <w:rPr>
                <w:sz w:val="20"/>
                <w:szCs w:val="20"/>
                <w:color w:val="auto"/>
              </w:rPr>
            </w:pPr>
            <w:r>
              <w:rPr>
                <w:rFonts w:ascii="Arial" w:cs="Arial" w:eastAsia="Arial" w:hAnsi="Arial"/>
                <w:sz w:val="16"/>
                <w:szCs w:val="16"/>
                <w:b w:val="1"/>
                <w:bCs w:val="1"/>
                <w:color w:val="auto"/>
              </w:rPr>
              <w:t>Level 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3"/>
          </w:tcPr>
          <w:p>
            <w:pPr>
              <w:ind w:left="200"/>
              <w:spacing w:after="0"/>
              <w:rPr>
                <w:sz w:val="20"/>
                <w:szCs w:val="20"/>
                <w:color w:val="auto"/>
              </w:rPr>
            </w:pPr>
            <w:r>
              <w:rPr>
                <w:rFonts w:ascii="Arial" w:cs="Arial" w:eastAsia="Arial" w:hAnsi="Arial"/>
                <w:sz w:val="16"/>
                <w:szCs w:val="16"/>
                <w:b w:val="1"/>
                <w:bCs w:val="1"/>
                <w:color w:val="auto"/>
              </w:rPr>
              <w:t>Level 2</w:t>
            </w:r>
          </w:p>
        </w:tc>
        <w:tc>
          <w:tcPr>
            <w:tcW w:w="320" w:type="dxa"/>
            <w:vAlign w:val="bottom"/>
          </w:tcPr>
          <w:p>
            <w:pPr>
              <w:spacing w:after="0"/>
              <w:rPr>
                <w:sz w:val="18"/>
                <w:szCs w:val="18"/>
                <w:color w:val="auto"/>
              </w:rPr>
            </w:pPr>
          </w:p>
        </w:tc>
        <w:tc>
          <w:tcPr>
            <w:tcW w:w="1300" w:type="dxa"/>
            <w:vAlign w:val="bottom"/>
          </w:tcPr>
          <w:p>
            <w:pPr>
              <w:jc w:val="right"/>
              <w:ind w:right="459"/>
              <w:spacing w:after="0"/>
              <w:rPr>
                <w:sz w:val="20"/>
                <w:szCs w:val="20"/>
                <w:color w:val="auto"/>
              </w:rPr>
            </w:pPr>
            <w:r>
              <w:rPr>
                <w:rFonts w:ascii="Arial" w:cs="Arial" w:eastAsia="Arial" w:hAnsi="Arial"/>
                <w:sz w:val="16"/>
                <w:szCs w:val="16"/>
                <w:b w:val="1"/>
                <w:bCs w:val="1"/>
                <w:color w:val="auto"/>
              </w:rPr>
              <w:t>Level 3</w:t>
            </w:r>
          </w:p>
        </w:tc>
      </w:tr>
      <w:tr>
        <w:trPr>
          <w:trHeight w:val="209"/>
        </w:trPr>
        <w:tc>
          <w:tcPr>
            <w:tcW w:w="20" w:type="dxa"/>
            <w:vAlign w:val="bottom"/>
            <w:tcBorders>
              <w:top w:val="single" w:sz="8" w:color="auto"/>
            </w:tcBorders>
            <w:shd w:val="clear" w:color="auto" w:fill="CCEEFF"/>
          </w:tcPr>
          <w:p>
            <w:pPr>
              <w:spacing w:after="0"/>
              <w:rPr>
                <w:sz w:val="18"/>
                <w:szCs w:val="18"/>
                <w:color w:val="auto"/>
              </w:rPr>
            </w:pPr>
          </w:p>
        </w:tc>
        <w:tc>
          <w:tcPr>
            <w:tcW w:w="44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Assets that fund deferred compensation</w:t>
            </w: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400" w:type="dxa"/>
            <w:vAlign w:val="bottom"/>
            <w:gridSpan w:val="2"/>
          </w:tcPr>
          <w:p>
            <w:pPr>
              <w:ind w:left="120"/>
              <w:spacing w:after="0"/>
              <w:rPr>
                <w:sz w:val="20"/>
                <w:szCs w:val="20"/>
                <w:color w:val="auto"/>
              </w:rPr>
            </w:pPr>
            <w:r>
              <w:rPr>
                <w:rFonts w:ascii="Arial" w:cs="Arial" w:eastAsia="Arial" w:hAnsi="Arial"/>
                <w:sz w:val="16"/>
                <w:szCs w:val="16"/>
                <w:color w:val="auto"/>
              </w:rPr>
              <w:t>Domestic equity funds</w:t>
            </w:r>
          </w:p>
        </w:tc>
        <w:tc>
          <w:tcPr>
            <w:tcW w:w="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1,265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1,265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400" w:type="dxa"/>
            <w:vAlign w:val="bottom"/>
            <w:gridSpan w:val="3"/>
          </w:tcPr>
          <w:p>
            <w:pPr>
              <w:ind w:left="10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International equity funds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Borders>
              <w:bottom w:val="single" w:sz="8" w:color="CCEEFF"/>
            </w:tcBorders>
          </w:tcPr>
          <w:p>
            <w:pPr>
              <w:spacing w:after="0"/>
              <w:rPr>
                <w:sz w:val="18"/>
                <w:szCs w:val="18"/>
                <w:color w:val="auto"/>
              </w:rPr>
            </w:pPr>
          </w:p>
        </w:tc>
        <w:tc>
          <w:tcPr>
            <w:tcW w:w="44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Fixed income funds</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10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gridSpan w:val="2"/>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2"/>
        </w:trPr>
        <w:tc>
          <w:tcPr>
            <w:tcW w:w="20" w:type="dxa"/>
            <w:vAlign w:val="bottom"/>
            <w:shd w:val="clear" w:color="auto" w:fill="CCEEFF"/>
          </w:tcPr>
          <w:p>
            <w:pPr>
              <w:spacing w:after="0"/>
              <w:rPr>
                <w:sz w:val="20"/>
                <w:szCs w:val="20"/>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assets at fair value</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0" w:type="dxa"/>
            <w:vAlign w:val="bottom"/>
            <w:gridSpan w:val="3"/>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96"/>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00" w:type="dxa"/>
            <w:vAlign w:val="bottom"/>
          </w:tcPr>
          <w:p>
            <w:pPr>
              <w:spacing w:after="0"/>
              <w:rPr>
                <w:sz w:val="8"/>
                <w:szCs w:val="8"/>
                <w:color w:val="auto"/>
              </w:rPr>
            </w:pPr>
          </w:p>
        </w:tc>
      </w:tr>
      <w:tr>
        <w:trPr>
          <w:trHeight w:val="216"/>
        </w:trPr>
        <w:tc>
          <w:tcPr>
            <w:tcW w:w="2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Contingent consideration</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40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Earnout liability</w:t>
            </w: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37,078</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gridSpan w:val="2"/>
          </w:tcPr>
          <w:p>
            <w:pPr>
              <w:spacing w:after="0"/>
              <w:rPr>
                <w:sz w:val="18"/>
                <w:szCs w:val="18"/>
                <w:color w:val="auto"/>
              </w:rPr>
            </w:pPr>
          </w:p>
        </w:tc>
        <w:tc>
          <w:tcPr>
            <w:tcW w:w="3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ind w:left="10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gridSpan w:val="2"/>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37,078</w:t>
            </w:r>
          </w:p>
        </w:tc>
      </w:tr>
      <w:tr>
        <w:trPr>
          <w:trHeight w:val="232"/>
        </w:trPr>
        <w:tc>
          <w:tcPr>
            <w:tcW w:w="20" w:type="dxa"/>
            <w:vAlign w:val="bottom"/>
            <w:shd w:val="clear" w:color="auto" w:fill="CCEEFF"/>
          </w:tcPr>
          <w:p>
            <w:pPr>
              <w:spacing w:after="0"/>
              <w:rPr>
                <w:sz w:val="20"/>
                <w:szCs w:val="20"/>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liabilities at fair value</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37,078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0" w:type="dxa"/>
            <w:vAlign w:val="bottom"/>
            <w:gridSpan w:val="3"/>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37,078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522"/>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rPr>
              <w:t>Fair Value at</w:t>
            </w: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Fair Value Hierarchy</w:t>
            </w: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148"/>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3"/>
          </w:tcPr>
          <w:p>
            <w:pPr>
              <w:jc w:val="center"/>
              <w:ind w:right="320"/>
              <w:spacing w:after="0" w:line="148" w:lineRule="exact"/>
              <w:rPr>
                <w:sz w:val="20"/>
                <w:szCs w:val="20"/>
                <w:color w:val="auto"/>
              </w:rPr>
            </w:pPr>
            <w:r>
              <w:rPr>
                <w:rFonts w:ascii="Arial" w:cs="Arial" w:eastAsia="Arial" w:hAnsi="Arial"/>
                <w:sz w:val="16"/>
                <w:szCs w:val="16"/>
                <w:b w:val="1"/>
                <w:bCs w:val="1"/>
                <w:color w:val="auto"/>
              </w:rPr>
              <w:t>August 28,</w:t>
            </w:r>
          </w:p>
        </w:tc>
        <w:tc>
          <w:tcPr>
            <w:tcW w:w="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99"/>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3"/>
          </w:tcPr>
          <w:p>
            <w:pPr>
              <w:ind w:left="200"/>
              <w:spacing w:after="0"/>
              <w:rPr>
                <w:sz w:val="20"/>
                <w:szCs w:val="20"/>
                <w:color w:val="auto"/>
              </w:rPr>
            </w:pPr>
            <w:r>
              <w:rPr>
                <w:rFonts w:ascii="Arial" w:cs="Arial" w:eastAsia="Arial" w:hAnsi="Arial"/>
                <w:sz w:val="16"/>
                <w:szCs w:val="16"/>
                <w:b w:val="1"/>
                <w:bCs w:val="1"/>
                <w:color w:val="auto"/>
              </w:rPr>
              <w:t>Level 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3"/>
          </w:tcPr>
          <w:p>
            <w:pPr>
              <w:ind w:left="220"/>
              <w:spacing w:after="0"/>
              <w:rPr>
                <w:sz w:val="20"/>
                <w:szCs w:val="20"/>
                <w:color w:val="auto"/>
              </w:rPr>
            </w:pPr>
            <w:r>
              <w:rPr>
                <w:rFonts w:ascii="Arial" w:cs="Arial" w:eastAsia="Arial" w:hAnsi="Arial"/>
                <w:sz w:val="16"/>
                <w:szCs w:val="16"/>
                <w:b w:val="1"/>
                <w:bCs w:val="1"/>
                <w:color w:val="auto"/>
              </w:rPr>
              <w:t>Level 2</w:t>
            </w:r>
          </w:p>
        </w:tc>
        <w:tc>
          <w:tcPr>
            <w:tcW w:w="320" w:type="dxa"/>
            <w:vAlign w:val="bottom"/>
          </w:tcPr>
          <w:p>
            <w:pPr>
              <w:spacing w:after="0"/>
              <w:rPr>
                <w:sz w:val="18"/>
                <w:szCs w:val="18"/>
                <w:color w:val="auto"/>
              </w:rPr>
            </w:pPr>
          </w:p>
        </w:tc>
        <w:tc>
          <w:tcPr>
            <w:tcW w:w="1300" w:type="dxa"/>
            <w:vAlign w:val="bottom"/>
          </w:tcPr>
          <w:p>
            <w:pPr>
              <w:jc w:val="right"/>
              <w:ind w:right="439"/>
              <w:spacing w:after="0"/>
              <w:rPr>
                <w:sz w:val="20"/>
                <w:szCs w:val="20"/>
                <w:color w:val="auto"/>
              </w:rPr>
            </w:pPr>
            <w:r>
              <w:rPr>
                <w:rFonts w:ascii="Arial" w:cs="Arial" w:eastAsia="Arial" w:hAnsi="Arial"/>
                <w:sz w:val="16"/>
                <w:szCs w:val="16"/>
                <w:b w:val="1"/>
                <w:bCs w:val="1"/>
                <w:color w:val="auto"/>
              </w:rPr>
              <w:t>Level 3</w:t>
            </w:r>
          </w:p>
        </w:tc>
      </w:tr>
      <w:tr>
        <w:trPr>
          <w:trHeight w:val="209"/>
        </w:trPr>
        <w:tc>
          <w:tcPr>
            <w:tcW w:w="20" w:type="dxa"/>
            <w:vAlign w:val="bottom"/>
          </w:tcPr>
          <w:p>
            <w:pPr>
              <w:spacing w:after="0"/>
              <w:rPr>
                <w:sz w:val="18"/>
                <w:szCs w:val="18"/>
                <w:color w:val="auto"/>
              </w:rPr>
            </w:pPr>
          </w:p>
        </w:tc>
        <w:tc>
          <w:tcPr>
            <w:tcW w:w="44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Assets that fund deferred compensation</w:t>
            </w: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400" w:type="dxa"/>
            <w:vAlign w:val="bottom"/>
            <w:gridSpan w:val="2"/>
          </w:tcPr>
          <w:p>
            <w:pPr>
              <w:ind w:left="140"/>
              <w:spacing w:after="0"/>
              <w:rPr>
                <w:sz w:val="20"/>
                <w:szCs w:val="20"/>
                <w:color w:val="auto"/>
              </w:rPr>
            </w:pPr>
            <w:r>
              <w:rPr>
                <w:rFonts w:ascii="Arial" w:cs="Arial" w:eastAsia="Arial" w:hAnsi="Arial"/>
                <w:sz w:val="16"/>
                <w:szCs w:val="16"/>
                <w:color w:val="auto"/>
              </w:rPr>
              <w:t>Domestic equity funds</w:t>
            </w:r>
          </w:p>
        </w:tc>
        <w:tc>
          <w:tcPr>
            <w:tcW w:w="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940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940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400" w:type="dxa"/>
            <w:vAlign w:val="bottom"/>
            <w:gridSpan w:val="3"/>
          </w:tcPr>
          <w:p>
            <w:pPr>
              <w:ind w:left="10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tcPr>
          <w:p>
            <w:pPr>
              <w:spacing w:after="0"/>
              <w:rPr>
                <w:sz w:val="19"/>
                <w:szCs w:val="19"/>
                <w:color w:val="auto"/>
              </w:rPr>
            </w:pPr>
          </w:p>
        </w:tc>
        <w:tc>
          <w:tcPr>
            <w:tcW w:w="44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International equity funds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440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Fixed income funds</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10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2"/>
        </w:trPr>
        <w:tc>
          <w:tcPr>
            <w:tcW w:w="20" w:type="dxa"/>
            <w:vAlign w:val="bottom"/>
          </w:tcPr>
          <w:p>
            <w:pPr>
              <w:spacing w:after="0"/>
              <w:rPr>
                <w:sz w:val="20"/>
                <w:szCs w:val="20"/>
                <w:color w:val="auto"/>
              </w:rPr>
            </w:pPr>
          </w:p>
        </w:tc>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assets at fair value</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400" w:type="dxa"/>
            <w:vAlign w:val="bottom"/>
            <w:gridSpan w:val="3"/>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Assets that Fund Deferred Compensation</w:t>
      </w:r>
    </w:p>
    <w:p>
      <w:pPr>
        <w:spacing w:after="0" w:line="21"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auto"/>
        </w:rPr>
        <w:t>Our assets that fund deferred compensation are marketable equity securities measured at fair value using quoted market prices and primarily consist of equity-based mutual funds. These securities, used to fund the Executive Share Option Plan and the Executive Deferred Compensation Plan, are classified as Level 1 as they are traded in an active market for which closing stock prices are readily available. Refer to Note 11 of the Notes to the Consolidated Financial Statements included in Item 8 of Part II of our Annual Report on Form 10-K for the fiscal year ended August 28, 2021 for additional information regarding these plans.</w:t>
      </w:r>
    </w:p>
    <w:p>
      <w:pPr>
        <w:spacing w:after="0" w:line="230"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proportion of the assets that will fund options which expire within a year are included in prepaid expenses and other assets on the Consolidated Balance Sheets. The remaining assets are classified as non-current and are included in other assets on the Consolidated Balance Sheets.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Contingent Consideration</w:t>
      </w:r>
    </w:p>
    <w:p>
      <w:pPr>
        <w:spacing w:after="0" w:line="21"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Contingent consideration represents the earnout liability related to the Barletta acquisition and is valued using a probability-weighted scenario analysis of projected EBITDA and gross profit results and discounted at a risk-free rate. The contingent consideration is classified as Level 3. Actual EBITDA and gross profit results may differ significantly from those used in the estimate above, which may affect future payments. Changes in future payments will be reflected in future operating results as they occur.</w:t>
      </w:r>
    </w:p>
    <w:p>
      <w:pPr>
        <w:spacing w:after="0" w:line="229" w:lineRule="exact"/>
        <w:rPr>
          <w:sz w:val="20"/>
          <w:szCs w:val="20"/>
          <w:color w:val="auto"/>
        </w:rPr>
      </w:pPr>
    </w:p>
    <w:p>
      <w:pPr>
        <w:ind w:right="760"/>
        <w:spacing w:after="0" w:line="260" w:lineRule="auto"/>
        <w:rPr>
          <w:sz w:val="20"/>
          <w:szCs w:val="20"/>
          <w:color w:val="auto"/>
        </w:rPr>
      </w:pPr>
      <w:r>
        <w:rPr>
          <w:rFonts w:ascii="Arial" w:cs="Arial" w:eastAsia="Arial" w:hAnsi="Arial"/>
          <w:sz w:val="16"/>
          <w:szCs w:val="16"/>
          <w:color w:val="auto"/>
        </w:rPr>
        <w:t>The fair value of the earnout liability that will be settled within a year is included in other current liabilities on the Consolidated Balance Sheets. The remaining earnout liability is included in other long-term liabilities on the Consolidated Balance Sheets.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Measured at Fair Value on a Nonrecurring Basis</w:t>
      </w:r>
    </w:p>
    <w:p>
      <w:pPr>
        <w:spacing w:after="0" w:line="13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Certain financial instruments are measured at fair value on a nonrecurring basis. These assets primarily include goodwill, intangible assets, property, plant and equipment, and right-of-use lease assets. These assets were originally recognized at amounts equal to the fair value determined at date of acquisition or purchase. If certain triggering events occur, or if an annual impairment test is required, we will evaluate the non-financial asset for impairment. If an impairment has occurred, the asset will be written down to its current estimated fair value. No impairments were recorded for non-financial assets in the three or six months ended February 26, 2022 or February 27,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ind w:left="100"/>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Assets and Liabilities Not Measured at Fair Value</w:t>
      </w:r>
    </w:p>
    <w:p>
      <w:pPr>
        <w:spacing w:after="0" w:line="133" w:lineRule="exact"/>
        <w:rPr>
          <w:sz w:val="20"/>
          <w:szCs w:val="20"/>
          <w:color w:val="auto"/>
        </w:rPr>
      </w:pPr>
    </w:p>
    <w:p>
      <w:pPr>
        <w:ind w:left="100" w:right="120"/>
        <w:spacing w:after="0" w:line="250" w:lineRule="auto"/>
        <w:rPr>
          <w:sz w:val="20"/>
          <w:szCs w:val="20"/>
          <w:color w:val="auto"/>
        </w:rPr>
      </w:pPr>
      <w:r>
        <w:rPr>
          <w:rFonts w:ascii="Arial" w:cs="Arial" w:eastAsia="Arial" w:hAnsi="Arial"/>
          <w:sz w:val="16"/>
          <w:szCs w:val="16"/>
          <w:color w:val="auto"/>
        </w:rPr>
        <w:t>Certain financial instruments are not measured at fair value but are recorded at carrying amounts approximating fair value based on their short-term nature. These financial instruments include cash and cash equivalents, receivables, accounts payable, other payables, and long-term debt. If these instruments were measured at fair value in the financial statements, they would be classified as Level 1 in the fair value hierarchy. The fair value of our long-term debt was determined using current quoted prices in active markets for our publicly traded debt obligations, which is classified as Level 1 in the fair value hierarchy. See Note 9 for the fair value of our long-term debt.</w:t>
      </w:r>
    </w:p>
    <w:p>
      <w:pPr>
        <w:spacing w:after="0" w:line="210"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7000" w:type="dxa"/>
            <w:vAlign w:val="bottom"/>
          </w:tcPr>
          <w:p>
            <w:pPr>
              <w:spacing w:after="0"/>
              <w:rPr>
                <w:sz w:val="20"/>
                <w:szCs w:val="20"/>
                <w:color w:val="auto"/>
              </w:rPr>
            </w:pPr>
            <w:r>
              <w:rPr>
                <w:rFonts w:ascii="Arial" w:cs="Arial" w:eastAsia="Arial" w:hAnsi="Arial"/>
                <w:sz w:val="16"/>
                <w:szCs w:val="16"/>
                <w:b w:val="1"/>
                <w:bCs w:val="1"/>
                <w:color w:val="auto"/>
              </w:rPr>
              <w:t>Note 5.  Inventories</w:t>
            </w:r>
          </w:p>
        </w:tc>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000" w:type="dxa"/>
            <w:vAlign w:val="bottom"/>
          </w:tcPr>
          <w:p>
            <w:pPr>
              <w:spacing w:after="0"/>
              <w:rPr>
                <w:sz w:val="20"/>
                <w:szCs w:val="20"/>
                <w:color w:val="auto"/>
              </w:rPr>
            </w:pPr>
            <w:r>
              <w:rPr>
                <w:rFonts w:ascii="Arial" w:cs="Arial" w:eastAsia="Arial" w:hAnsi="Arial"/>
                <w:sz w:val="16"/>
                <w:szCs w:val="16"/>
                <w:color w:val="auto"/>
              </w:rPr>
              <w:t>Inventories consist of the following:</w:t>
            </w: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40" w:type="dxa"/>
            <w:vAlign w:val="bottom"/>
            <w:gridSpan w:val="2"/>
          </w:tcPr>
          <w:p>
            <w:pPr>
              <w:jc w:val="center"/>
              <w:ind w:right="440"/>
              <w:spacing w:after="0" w:line="181" w:lineRule="exact"/>
              <w:rPr>
                <w:sz w:val="20"/>
                <w:szCs w:val="20"/>
                <w:color w:val="auto"/>
              </w:rPr>
            </w:pPr>
            <w:r>
              <w:rPr>
                <w:rFonts w:ascii="Arial" w:cs="Arial" w:eastAsia="Arial" w:hAnsi="Arial"/>
                <w:sz w:val="16"/>
                <w:szCs w:val="16"/>
                <w:b w:val="1"/>
                <w:bCs w:val="1"/>
                <w:color w:val="auto"/>
              </w:rPr>
              <w:t>February 26,</w:t>
            </w:r>
          </w:p>
        </w:tc>
        <w:tc>
          <w:tcPr>
            <w:tcW w:w="360" w:type="dxa"/>
            <w:vAlign w:val="bottom"/>
          </w:tcPr>
          <w:p>
            <w:pPr>
              <w:spacing w:after="0"/>
              <w:rPr>
                <w:sz w:val="15"/>
                <w:szCs w:val="15"/>
                <w:color w:val="auto"/>
              </w:rPr>
            </w:pPr>
          </w:p>
        </w:tc>
        <w:tc>
          <w:tcPr>
            <w:tcW w:w="1700" w:type="dxa"/>
            <w:vAlign w:val="bottom"/>
          </w:tcPr>
          <w:p>
            <w:pPr>
              <w:jc w:val="center"/>
              <w:ind w:right="279"/>
              <w:spacing w:after="0" w:line="181" w:lineRule="exact"/>
              <w:rPr>
                <w:sz w:val="20"/>
                <w:szCs w:val="20"/>
                <w:color w:val="auto"/>
              </w:rPr>
            </w:pPr>
            <w:r>
              <w:rPr>
                <w:rFonts w:ascii="Arial" w:cs="Arial" w:eastAsia="Arial" w:hAnsi="Arial"/>
                <w:sz w:val="16"/>
                <w:szCs w:val="16"/>
                <w:b w:val="1"/>
                <w:bCs w:val="1"/>
                <w:color w:val="auto"/>
              </w:rPr>
              <w:t>August 28,</w:t>
            </w:r>
          </w:p>
        </w:tc>
        <w:tc>
          <w:tcPr>
            <w:tcW w:w="0" w:type="dxa"/>
            <w:vAlign w:val="bottom"/>
          </w:tcPr>
          <w:p>
            <w:pPr>
              <w:spacing w:after="0"/>
              <w:rPr>
                <w:sz w:val="1"/>
                <w:szCs w:val="1"/>
                <w:color w:val="auto"/>
              </w:rPr>
            </w:pPr>
          </w:p>
        </w:tc>
      </w:tr>
      <w:tr>
        <w:trPr>
          <w:trHeight w:val="216"/>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9"/>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14,438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12,243</w:t>
            </w: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3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187,826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184,611</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34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308,926</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183,583</w:t>
            </w:r>
          </w:p>
        </w:tc>
        <w:tc>
          <w:tcPr>
            <w:tcW w:w="0" w:type="dxa"/>
            <w:vAlign w:val="bottom"/>
          </w:tcPr>
          <w:p>
            <w:pPr>
              <w:spacing w:after="0"/>
              <w:rPr>
                <w:sz w:val="1"/>
                <w:szCs w:val="1"/>
                <w:color w:val="auto"/>
              </w:rPr>
            </w:pPr>
          </w:p>
        </w:tc>
      </w:tr>
      <w:tr>
        <w:trPr>
          <w:trHeight w:val="209"/>
        </w:trPr>
        <w:tc>
          <w:tcPr>
            <w:tcW w:w="7000" w:type="dxa"/>
            <w:vAlign w:val="bottom"/>
          </w:tcPr>
          <w:p>
            <w:pPr>
              <w:ind w:left="140"/>
              <w:spacing w:after="0"/>
              <w:rPr>
                <w:sz w:val="20"/>
                <w:szCs w:val="20"/>
                <w:color w:val="auto"/>
              </w:rPr>
            </w:pPr>
            <w:r>
              <w:rPr>
                <w:rFonts w:ascii="Arial" w:cs="Arial" w:eastAsia="Arial" w:hAnsi="Arial"/>
                <w:sz w:val="16"/>
                <w:szCs w:val="16"/>
                <w:color w:val="auto"/>
              </w:rPr>
              <w:t>Total</w:t>
            </w:r>
          </w:p>
        </w:tc>
        <w:tc>
          <w:tcPr>
            <w:tcW w:w="3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511,190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380,437</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Excess of FIFO over LIFO cost</w:t>
            </w:r>
          </w:p>
        </w:tc>
        <w:tc>
          <w:tcPr>
            <w:tcW w:w="34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41,736</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38,964</w:t>
            </w:r>
          </w:p>
        </w:tc>
        <w:tc>
          <w:tcPr>
            <w:tcW w:w="0" w:type="dxa"/>
            <w:vAlign w:val="bottom"/>
          </w:tcPr>
          <w:p>
            <w:pPr>
              <w:spacing w:after="0"/>
              <w:rPr>
                <w:sz w:val="1"/>
                <w:szCs w:val="1"/>
                <w:color w:val="auto"/>
              </w:rPr>
            </w:pPr>
          </w:p>
        </w:tc>
      </w:tr>
      <w:tr>
        <w:trPr>
          <w:trHeight w:val="212"/>
        </w:trPr>
        <w:tc>
          <w:tcPr>
            <w:tcW w:w="7000" w:type="dxa"/>
            <w:vAlign w:val="bottom"/>
          </w:tcPr>
          <w:p>
            <w:pPr>
              <w:ind w:left="140"/>
              <w:spacing w:after="0"/>
              <w:rPr>
                <w:sz w:val="20"/>
                <w:szCs w:val="20"/>
                <w:color w:val="auto"/>
              </w:rPr>
            </w:pPr>
            <w:r>
              <w:rPr>
                <w:rFonts w:ascii="Arial" w:cs="Arial" w:eastAsia="Arial" w:hAnsi="Arial"/>
                <w:sz w:val="16"/>
                <w:szCs w:val="16"/>
                <w:color w:val="auto"/>
              </w:rPr>
              <w:t>Inventories, net</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469,454</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341,473</w:t>
            </w:r>
          </w:p>
        </w:tc>
        <w:tc>
          <w:tcPr>
            <w:tcW w:w="0" w:type="dxa"/>
            <w:vAlign w:val="bottom"/>
          </w:tcPr>
          <w:p>
            <w:pPr>
              <w:spacing w:after="0"/>
              <w:rPr>
                <w:sz w:val="1"/>
                <w:szCs w:val="1"/>
                <w:color w:val="auto"/>
              </w:rPr>
            </w:pPr>
          </w:p>
        </w:tc>
      </w:tr>
      <w:tr>
        <w:trPr>
          <w:trHeight w:val="21"/>
        </w:trPr>
        <w:tc>
          <w:tcPr>
            <w:tcW w:w="7000" w:type="dxa"/>
            <w:vAlign w:val="bottom"/>
            <w:vMerge w:val="restart"/>
          </w:tcPr>
          <w:p>
            <w:pPr>
              <w:spacing w:after="0"/>
              <w:rPr>
                <w:sz w:val="20"/>
                <w:szCs w:val="20"/>
                <w:color w:val="auto"/>
              </w:rPr>
            </w:pPr>
            <w:r>
              <w:rPr>
                <w:rFonts w:ascii="Arial" w:cs="Arial" w:eastAsia="Arial" w:hAnsi="Arial"/>
                <w:sz w:val="16"/>
                <w:szCs w:val="16"/>
                <w:color w:val="auto"/>
              </w:rPr>
              <w:t>Inventory valuation methods consist of the following:</w:t>
            </w: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8"/>
        </w:trPr>
        <w:tc>
          <w:tcPr>
            <w:tcW w:w="70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40" w:type="dxa"/>
            <w:vAlign w:val="bottom"/>
            <w:gridSpan w:val="2"/>
          </w:tcPr>
          <w:p>
            <w:pPr>
              <w:jc w:val="center"/>
              <w:ind w:right="440"/>
              <w:spacing w:after="0" w:line="181" w:lineRule="exact"/>
              <w:rPr>
                <w:sz w:val="20"/>
                <w:szCs w:val="20"/>
                <w:color w:val="auto"/>
              </w:rPr>
            </w:pPr>
            <w:r>
              <w:rPr>
                <w:rFonts w:ascii="Arial" w:cs="Arial" w:eastAsia="Arial" w:hAnsi="Arial"/>
                <w:sz w:val="16"/>
                <w:szCs w:val="16"/>
                <w:b w:val="1"/>
                <w:bCs w:val="1"/>
                <w:color w:val="auto"/>
              </w:rPr>
              <w:t>February 26,</w:t>
            </w:r>
          </w:p>
        </w:tc>
        <w:tc>
          <w:tcPr>
            <w:tcW w:w="360" w:type="dxa"/>
            <w:vAlign w:val="bottom"/>
          </w:tcPr>
          <w:p>
            <w:pPr>
              <w:spacing w:after="0"/>
              <w:rPr>
                <w:sz w:val="15"/>
                <w:szCs w:val="15"/>
                <w:color w:val="auto"/>
              </w:rPr>
            </w:pPr>
          </w:p>
        </w:tc>
        <w:tc>
          <w:tcPr>
            <w:tcW w:w="1700" w:type="dxa"/>
            <w:vAlign w:val="bottom"/>
          </w:tcPr>
          <w:p>
            <w:pPr>
              <w:jc w:val="center"/>
              <w:ind w:right="279"/>
              <w:spacing w:after="0" w:line="181" w:lineRule="exact"/>
              <w:rPr>
                <w:sz w:val="20"/>
                <w:szCs w:val="20"/>
                <w:color w:val="auto"/>
              </w:rPr>
            </w:pPr>
            <w:r>
              <w:rPr>
                <w:rFonts w:ascii="Arial" w:cs="Arial" w:eastAsia="Arial" w:hAnsi="Arial"/>
                <w:sz w:val="16"/>
                <w:szCs w:val="16"/>
                <w:b w:val="1"/>
                <w:bCs w:val="1"/>
                <w:color w:val="auto"/>
              </w:rPr>
              <w:t>August 28,</w:t>
            </w:r>
          </w:p>
        </w:tc>
        <w:tc>
          <w:tcPr>
            <w:tcW w:w="0" w:type="dxa"/>
            <w:vAlign w:val="bottom"/>
          </w:tcPr>
          <w:p>
            <w:pPr>
              <w:spacing w:after="0"/>
              <w:rPr>
                <w:sz w:val="1"/>
                <w:szCs w:val="1"/>
                <w:color w:val="auto"/>
              </w:rPr>
            </w:pPr>
          </w:p>
        </w:tc>
      </w:tr>
      <w:tr>
        <w:trPr>
          <w:trHeight w:val="216"/>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9"/>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LIFO basis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202,162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139,544</w:t>
            </w:r>
          </w:p>
        </w:tc>
        <w:tc>
          <w:tcPr>
            <w:tcW w:w="0" w:type="dxa"/>
            <w:vAlign w:val="bottom"/>
          </w:tcPr>
          <w:p>
            <w:pPr>
              <w:spacing w:after="0"/>
              <w:rPr>
                <w:sz w:val="1"/>
                <w:szCs w:val="1"/>
                <w:color w:val="auto"/>
              </w:rPr>
            </w:pPr>
          </w:p>
        </w:tc>
      </w:tr>
      <w:tr>
        <w:trPr>
          <w:trHeight w:val="213"/>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First-in, first-out basis</w:t>
            </w: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309,028</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240,893</w:t>
            </w:r>
          </w:p>
        </w:tc>
        <w:tc>
          <w:tcPr>
            <w:tcW w:w="0" w:type="dxa"/>
            <w:vAlign w:val="bottom"/>
          </w:tcPr>
          <w:p>
            <w:pPr>
              <w:spacing w:after="0"/>
              <w:rPr>
                <w:sz w:val="1"/>
                <w:szCs w:val="1"/>
                <w:color w:val="auto"/>
              </w:rPr>
            </w:pPr>
          </w:p>
        </w:tc>
      </w:tr>
      <w:tr>
        <w:trPr>
          <w:trHeight w:val="238"/>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511,190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380,437</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The above inventory value, before reduction for the LIFO reserve, approximates replacement cost at the respective dates.</w:t>
      </w:r>
    </w:p>
    <w:p>
      <w:pPr>
        <w:spacing w:after="0" w:line="228"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6"/>
          <w:szCs w:val="16"/>
          <w:b w:val="1"/>
          <w:bCs w:val="1"/>
          <w:color w:val="auto"/>
        </w:rPr>
        <w:t>Note 6.</w:t>
        <w:tab/>
        <w:t>Property, Plant, and Equipment</w:t>
      </w:r>
    </w:p>
    <w:p>
      <w:pPr>
        <w:spacing w:after="0" w:line="187" w:lineRule="exact"/>
        <w:rPr>
          <w:sz w:val="20"/>
          <w:szCs w:val="20"/>
          <w:color w:val="auto"/>
        </w:rPr>
      </w:pPr>
    </w:p>
    <w:p>
      <w:pPr>
        <w:ind w:left="100"/>
        <w:spacing w:after="0"/>
        <w:rPr>
          <w:sz w:val="20"/>
          <w:szCs w:val="20"/>
          <w:color w:val="auto"/>
        </w:rPr>
      </w:pPr>
      <w:r>
        <w:rPr>
          <w:rFonts w:ascii="Arial" w:cs="Arial" w:eastAsia="Arial" w:hAnsi="Arial"/>
          <w:sz w:val="16"/>
          <w:szCs w:val="16"/>
          <w:color w:val="auto"/>
        </w:rPr>
        <w:t>Property, plant, and equipment is stated at cost, net of accumulated depreciation, and consists of the following:</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February 26,</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jc w:val="right"/>
              <w:ind w:right="679"/>
              <w:spacing w:after="0"/>
              <w:rPr>
                <w:sz w:val="20"/>
                <w:szCs w:val="20"/>
                <w:color w:val="auto"/>
              </w:rPr>
            </w:pPr>
            <w:r>
              <w:rPr>
                <w:rFonts w:ascii="Arial" w:cs="Arial" w:eastAsia="Arial" w:hAnsi="Arial"/>
                <w:sz w:val="16"/>
                <w:szCs w:val="16"/>
                <w:b w:val="1"/>
                <w:bCs w:val="1"/>
                <w:color w:val="auto"/>
              </w:rPr>
              <w:t>August 28,</w:t>
            </w:r>
          </w:p>
        </w:tc>
      </w:tr>
      <w:tr>
        <w:trPr>
          <w:trHeight w:val="216"/>
        </w:trPr>
        <w:tc>
          <w:tcPr>
            <w:tcW w:w="460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364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2022</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jc w:val="right"/>
              <w:ind w:right="739"/>
              <w:spacing w:after="0"/>
              <w:rPr>
                <w:sz w:val="20"/>
                <w:szCs w:val="20"/>
                <w:color w:val="auto"/>
              </w:rPr>
            </w:pPr>
            <w:r>
              <w:rPr>
                <w:rFonts w:ascii="Arial" w:cs="Arial" w:eastAsia="Arial" w:hAnsi="Arial"/>
                <w:sz w:val="16"/>
                <w:szCs w:val="16"/>
                <w:b w:val="1"/>
                <w:bCs w:val="1"/>
                <w:color w:val="auto"/>
              </w:rPr>
              <w:t>2021</w:t>
            </w:r>
          </w:p>
        </w:tc>
      </w:tr>
      <w:tr>
        <w:trPr>
          <w:trHeight w:val="20"/>
        </w:trPr>
        <w:tc>
          <w:tcPr>
            <w:tcW w:w="100" w:type="dxa"/>
            <w:vAlign w:val="bottom"/>
          </w:tcPr>
          <w:p>
            <w:pPr>
              <w:spacing w:after="0" w:line="20" w:lineRule="exact"/>
              <w:rPr>
                <w:sz w:val="1"/>
                <w:szCs w:val="1"/>
                <w:color w:val="auto"/>
              </w:rPr>
            </w:pPr>
          </w:p>
        </w:tc>
        <w:tc>
          <w:tcPr>
            <w:tcW w:w="4500" w:type="dxa"/>
            <w:vAlign w:val="bottom"/>
            <w:shd w:val="clear" w:color="auto" w:fill="000000"/>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r>
      <w:tr>
        <w:trPr>
          <w:trHeight w:val="203"/>
        </w:trPr>
        <w:tc>
          <w:tcPr>
            <w:tcW w:w="4600" w:type="dxa"/>
            <w:vAlign w:val="bottom"/>
            <w:gridSpan w:val="2"/>
          </w:tcPr>
          <w:p>
            <w:pPr>
              <w:spacing w:after="0"/>
              <w:rPr>
                <w:sz w:val="20"/>
                <w:szCs w:val="20"/>
                <w:color w:val="auto"/>
              </w:rPr>
            </w:pPr>
            <w:r>
              <w:rPr>
                <w:rFonts w:ascii="Arial" w:cs="Arial" w:eastAsia="Arial" w:hAnsi="Arial"/>
                <w:sz w:val="16"/>
                <w:szCs w:val="16"/>
                <w:color w:val="auto"/>
              </w:rPr>
              <w:t>nd</w:t>
            </w:r>
          </w:p>
        </w:tc>
        <w:tc>
          <w:tcPr>
            <w:tcW w:w="23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10,697$</w:t>
            </w:r>
          </w:p>
        </w:tc>
        <w:tc>
          <w:tcPr>
            <w:tcW w:w="12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9,111</w:t>
            </w:r>
          </w:p>
        </w:tc>
      </w:tr>
      <w:tr>
        <w:trPr>
          <w:trHeight w:val="219"/>
        </w:trPr>
        <w:tc>
          <w:tcPr>
            <w:tcW w:w="4600" w:type="dxa"/>
            <w:vAlign w:val="bottom"/>
            <w:gridSpan w:val="2"/>
          </w:tcPr>
          <w:p>
            <w:pPr>
              <w:spacing w:after="0"/>
              <w:rPr>
                <w:sz w:val="20"/>
                <w:szCs w:val="20"/>
                <w:color w:val="auto"/>
              </w:rPr>
            </w:pPr>
            <w:r>
              <w:rPr>
                <w:rFonts w:ascii="Arial" w:cs="Arial" w:eastAsia="Arial" w:hAnsi="Arial"/>
                <w:sz w:val="16"/>
                <w:szCs w:val="16"/>
                <w:color w:val="auto"/>
              </w:rPr>
              <w:t>ildings and building improvements</w:t>
            </w:r>
          </w:p>
        </w:tc>
        <w:tc>
          <w:tcPr>
            <w:tcW w:w="2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168,554</w:t>
            </w:r>
          </w:p>
        </w:tc>
        <w:tc>
          <w:tcPr>
            <w:tcW w:w="1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147,629</w:t>
            </w:r>
          </w:p>
        </w:tc>
      </w:tr>
      <w:tr>
        <w:trPr>
          <w:trHeight w:val="219"/>
        </w:trPr>
        <w:tc>
          <w:tcPr>
            <w:tcW w:w="100" w:type="dxa"/>
            <w:vAlign w:val="bottom"/>
          </w:tcPr>
          <w:p>
            <w:pPr>
              <w:spacing w:after="0"/>
              <w:rPr>
                <w:sz w:val="19"/>
                <w:szCs w:val="19"/>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chinery and equipment</w:t>
            </w:r>
          </w:p>
        </w:tc>
        <w:tc>
          <w:tcPr>
            <w:tcW w:w="2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128,707</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121,911</w:t>
            </w:r>
          </w:p>
        </w:tc>
      </w:tr>
      <w:tr>
        <w:trPr>
          <w:trHeight w:val="213"/>
        </w:trPr>
        <w:tc>
          <w:tcPr>
            <w:tcW w:w="4600" w:type="dxa"/>
            <w:vAlign w:val="bottom"/>
            <w:gridSpan w:val="2"/>
          </w:tcPr>
          <w:p>
            <w:pPr>
              <w:spacing w:after="0"/>
              <w:rPr>
                <w:sz w:val="20"/>
                <w:szCs w:val="20"/>
                <w:color w:val="auto"/>
              </w:rPr>
            </w:pPr>
            <w:r>
              <w:rPr>
                <w:rFonts w:ascii="Arial" w:cs="Arial" w:eastAsia="Arial" w:hAnsi="Arial"/>
                <w:sz w:val="16"/>
                <w:szCs w:val="16"/>
                <w:color w:val="auto"/>
              </w:rPr>
              <w:t>ftware</w:t>
            </w:r>
          </w:p>
        </w:tc>
        <w:tc>
          <w:tcPr>
            <w:tcW w:w="2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36,259</w:t>
            </w:r>
          </w:p>
        </w:tc>
        <w:tc>
          <w:tcPr>
            <w:tcW w:w="1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36,815</w:t>
            </w:r>
          </w:p>
        </w:tc>
      </w:tr>
      <w:tr>
        <w:trPr>
          <w:trHeight w:val="219"/>
        </w:trPr>
        <w:tc>
          <w:tcPr>
            <w:tcW w:w="100" w:type="dxa"/>
            <w:vAlign w:val="bottom"/>
          </w:tcPr>
          <w:p>
            <w:pPr>
              <w:spacing w:after="0"/>
              <w:rPr>
                <w:sz w:val="19"/>
                <w:szCs w:val="19"/>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nsportation</w:t>
            </w:r>
          </w:p>
        </w:tc>
        <w:tc>
          <w:tcPr>
            <w:tcW w:w="2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5,977</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5,335</w:t>
            </w:r>
          </w:p>
        </w:tc>
      </w:tr>
      <w:tr>
        <w:trPr>
          <w:trHeight w:val="213"/>
        </w:trPr>
        <w:tc>
          <w:tcPr>
            <w:tcW w:w="4600" w:type="dxa"/>
            <w:vAlign w:val="bottom"/>
            <w:gridSpan w:val="2"/>
          </w:tcPr>
          <w:p>
            <w:pPr>
              <w:ind w:left="20"/>
              <w:spacing w:after="0"/>
              <w:rPr>
                <w:sz w:val="20"/>
                <w:szCs w:val="20"/>
                <w:color w:val="auto"/>
              </w:rPr>
            </w:pPr>
            <w:r>
              <w:rPr>
                <w:rFonts w:ascii="Arial" w:cs="Arial" w:eastAsia="Arial" w:hAnsi="Arial"/>
                <w:sz w:val="16"/>
                <w:szCs w:val="16"/>
                <w:color w:val="auto"/>
              </w:rPr>
              <w:t>nstruction in progress</w:t>
            </w:r>
          </w:p>
        </w:tc>
        <w:tc>
          <w:tcPr>
            <w:tcW w:w="2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58,075</w:t>
            </w:r>
          </w:p>
        </w:tc>
        <w:tc>
          <w:tcPr>
            <w:tcW w:w="1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31,137</w:t>
            </w:r>
          </w:p>
        </w:tc>
      </w:tr>
      <w:tr>
        <w:trPr>
          <w:trHeight w:val="213"/>
        </w:trPr>
        <w:tc>
          <w:tcPr>
            <w:tcW w:w="10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roperty, plant, and equipment, gross</w:t>
            </w:r>
          </w:p>
        </w:tc>
        <w:tc>
          <w:tcPr>
            <w:tcW w:w="23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408,269</w:t>
            </w:r>
          </w:p>
        </w:tc>
        <w:tc>
          <w:tcPr>
            <w:tcW w:w="1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351,938</w:t>
            </w:r>
          </w:p>
        </w:tc>
      </w:tr>
      <w:tr>
        <w:trPr>
          <w:trHeight w:val="213"/>
        </w:trPr>
        <w:tc>
          <w:tcPr>
            <w:tcW w:w="4600" w:type="dxa"/>
            <w:vAlign w:val="bottom"/>
            <w:gridSpan w:val="2"/>
          </w:tcPr>
          <w:p>
            <w:pPr>
              <w:spacing w:after="0"/>
              <w:rPr>
                <w:sz w:val="20"/>
                <w:szCs w:val="20"/>
                <w:color w:val="auto"/>
              </w:rPr>
            </w:pPr>
            <w:r>
              <w:rPr>
                <w:rFonts w:ascii="Arial" w:cs="Arial" w:eastAsia="Arial" w:hAnsi="Arial"/>
                <w:sz w:val="16"/>
                <w:szCs w:val="16"/>
                <w:color w:val="auto"/>
              </w:rPr>
              <w:t>ss: Accumulated depreciation</w:t>
            </w:r>
          </w:p>
        </w:tc>
        <w:tc>
          <w:tcPr>
            <w:tcW w:w="2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169,235</w:t>
            </w:r>
          </w:p>
        </w:tc>
        <w:tc>
          <w:tcPr>
            <w:tcW w:w="1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160,511</w:t>
            </w:r>
          </w:p>
        </w:tc>
      </w:tr>
      <w:tr>
        <w:trPr>
          <w:trHeight w:val="238"/>
        </w:trPr>
        <w:tc>
          <w:tcPr>
            <w:tcW w:w="100" w:type="dxa"/>
            <w:vAlign w:val="bottom"/>
          </w:tcPr>
          <w:p>
            <w:pPr>
              <w:spacing w:after="0"/>
              <w:rPr>
                <w:sz w:val="20"/>
                <w:szCs w:val="20"/>
                <w:color w:val="auto"/>
              </w:rPr>
            </w:pPr>
          </w:p>
        </w:tc>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roperty, plant, and equipment, net</w:t>
            </w:r>
          </w:p>
        </w:tc>
        <w:tc>
          <w:tcPr>
            <w:tcW w:w="2320" w:type="dxa"/>
            <w:vAlign w:val="bottom"/>
            <w:tcBorders>
              <w:top w:val="single" w:sz="8" w:color="CCEEFF"/>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239,034$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191,427</w:t>
            </w:r>
          </w:p>
        </w:tc>
      </w:tr>
      <w:tr>
        <w:trPr>
          <w:trHeight w:val="20"/>
        </w:trPr>
        <w:tc>
          <w:tcPr>
            <w:tcW w:w="100" w:type="dxa"/>
            <w:vAlign w:val="bottom"/>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-1293495</wp:posOffset>
            </wp:positionV>
            <wp:extent cx="692658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26580" cy="146050"/>
                    </a:xfrm>
                    <a:prstGeom prst="rect">
                      <a:avLst/>
                    </a:prstGeom>
                    <a:noFill/>
                  </pic:spPr>
                </pic:pic>
              </a:graphicData>
            </a:graphic>
          </wp:anchor>
        </w:drawing>
      </w:r>
    </w:p>
    <w:p>
      <w:pPr>
        <w:spacing w:after="0" w:line="319" w:lineRule="exact"/>
        <w:rPr>
          <w:sz w:val="20"/>
          <w:szCs w:val="20"/>
          <w:color w:val="auto"/>
        </w:rPr>
      </w:pPr>
    </w:p>
    <w:p>
      <w:pPr>
        <w:ind w:left="100" w:right="480"/>
        <w:spacing w:after="0" w:line="260" w:lineRule="auto"/>
        <w:rPr>
          <w:sz w:val="20"/>
          <w:szCs w:val="20"/>
          <w:color w:val="auto"/>
        </w:rPr>
      </w:pPr>
      <w:r>
        <w:rPr>
          <w:rFonts w:ascii="Arial" w:cs="Arial" w:eastAsia="Arial" w:hAnsi="Arial"/>
          <w:sz w:val="16"/>
          <w:szCs w:val="16"/>
          <w:color w:val="auto"/>
        </w:rPr>
        <w:t>Depreciation expense was $5.5 million and $4.4 million for the three months ended February 26, 2022 and February 27, 2021, respectively; and $10.8 million and $8.6 million for the six months ended February 26, 2022 and February 27,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57785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41" w:right="33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7.</w:t>
        <w:tab/>
        <w:t>Goodwill and Intangible Assets</w:t>
      </w:r>
    </w:p>
    <w:p>
      <w:pPr>
        <w:spacing w:after="0" w:line="268"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changes in the carrying amount of goodwill by reportable segment, with no accumulated impairment losses, for the six months ended February 26, 2022 and February 27, 2021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Towable</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Motorhome</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Marine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Total</w:t>
            </w:r>
          </w:p>
        </w:tc>
      </w:tr>
      <w:tr>
        <w:trPr>
          <w:trHeight w:val="235"/>
        </w:trPr>
        <w:tc>
          <w:tcPr>
            <w:tcW w:w="4860" w:type="dxa"/>
            <w:vAlign w:val="bottom"/>
            <w:tcBorders>
              <w:bottom w:val="single" w:sz="8" w:color="CCEEFF"/>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Balances at August 29, 2020 and February 27, 2021</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244,684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73,127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30,247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348,058</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at August 28, 2021</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244,684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73,127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348,058</w:t>
            </w:r>
          </w:p>
        </w:tc>
      </w:tr>
      <w:tr>
        <w:trPr>
          <w:trHeight w:val="216"/>
        </w:trPr>
        <w:tc>
          <w:tcPr>
            <w:tcW w:w="4860" w:type="dxa"/>
            <w:vAlign w:val="bottom"/>
          </w:tcPr>
          <w:p>
            <w:pPr>
              <w:ind w:left="140"/>
              <w:spacing w:after="0" w:line="216" w:lineRule="exact"/>
              <w:rPr>
                <w:sz w:val="20"/>
                <w:szCs w:val="20"/>
                <w:color w:val="auto"/>
              </w:rPr>
            </w:pPr>
            <w:r>
              <w:rPr>
                <w:rFonts w:ascii="Arial" w:cs="Arial" w:eastAsia="Arial" w:hAnsi="Arial"/>
                <w:sz w:val="16"/>
                <w:szCs w:val="16"/>
                <w:color w:val="auto"/>
              </w:rPr>
              <w:t>Acquisition of Barletta</w:t>
            </w:r>
            <w:r>
              <w:rPr>
                <w:rFonts w:ascii="Arial" w:cs="Arial" w:eastAsia="Arial" w:hAnsi="Arial"/>
                <w:sz w:val="21"/>
                <w:szCs w:val="21"/>
                <w:color w:val="auto"/>
                <w:vertAlign w:val="superscript"/>
              </w:rPr>
              <w:t>(2)</w:t>
            </w:r>
          </w:p>
        </w:tc>
        <w:tc>
          <w:tcPr>
            <w:tcW w:w="2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136,118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136,118</w:t>
            </w:r>
          </w:p>
        </w:tc>
      </w:tr>
      <w:tr>
        <w:trPr>
          <w:trHeight w:val="234"/>
        </w:trPr>
        <w:tc>
          <w:tcPr>
            <w:tcW w:w="4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February 26, 2022</w:t>
            </w: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244,684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166,365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484,176</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ind w:left="260" w:hanging="252"/>
        <w:spacing w:after="0"/>
        <w:tabs>
          <w:tab w:leader="none" w:pos="260" w:val="left"/>
        </w:tabs>
        <w:numPr>
          <w:ilvl w:val="0"/>
          <w:numId w:val="2"/>
        </w:numPr>
        <w:rPr>
          <w:rFonts w:ascii="Arial" w:cs="Arial" w:eastAsia="Arial" w:hAnsi="Arial"/>
          <w:sz w:val="21"/>
          <w:szCs w:val="21"/>
          <w:color w:val="auto"/>
          <w:vertAlign w:val="superscript"/>
        </w:rPr>
      </w:pPr>
      <w:r>
        <w:rPr>
          <w:rFonts w:ascii="Arial" w:cs="Arial" w:eastAsia="Arial" w:hAnsi="Arial"/>
          <w:sz w:val="14"/>
          <w:szCs w:val="14"/>
          <w:color w:val="auto"/>
        </w:rPr>
        <w:t>There was no activity in the six months ended February 27, 2021.</w:t>
      </w:r>
    </w:p>
    <w:p>
      <w:pPr>
        <w:spacing w:after="0" w:line="43" w:lineRule="exact"/>
        <w:rPr>
          <w:rFonts w:ascii="Arial" w:cs="Arial" w:eastAsia="Arial" w:hAnsi="Arial"/>
          <w:sz w:val="21"/>
          <w:szCs w:val="21"/>
          <w:color w:val="auto"/>
          <w:vertAlign w:val="superscript"/>
        </w:rPr>
      </w:pPr>
    </w:p>
    <w:p>
      <w:pPr>
        <w:ind w:left="260" w:right="320" w:hanging="252"/>
        <w:spacing w:after="0" w:line="188" w:lineRule="auto"/>
        <w:tabs>
          <w:tab w:leader="none" w:pos="270" w:val="left"/>
        </w:tabs>
        <w:numPr>
          <w:ilvl w:val="0"/>
          <w:numId w:val="2"/>
        </w:numPr>
        <w:rPr>
          <w:rFonts w:ascii="Arial" w:cs="Arial" w:eastAsia="Arial" w:hAnsi="Arial"/>
          <w:sz w:val="23"/>
          <w:szCs w:val="23"/>
          <w:color w:val="auto"/>
          <w:vertAlign w:val="superscript"/>
        </w:rPr>
      </w:pPr>
      <w:r>
        <w:rPr>
          <w:rFonts w:ascii="Arial" w:cs="Arial" w:eastAsia="Arial" w:hAnsi="Arial"/>
          <w:sz w:val="14"/>
          <w:szCs w:val="14"/>
          <w:color w:val="auto"/>
        </w:rPr>
        <w:t>The change in marine activity is related to the acquisition of Barletta that occurred on August 31, 2021. See Note 2 to the Consolidated Financial Statements included in Item 1 of Part I of this quarterly report on Form 10-Q.</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20" w:type="dxa"/>
            <w:vAlign w:val="bottom"/>
            <w:gridSpan w:val="4"/>
          </w:tcPr>
          <w:p>
            <w:pPr>
              <w:spacing w:after="0"/>
              <w:rPr>
                <w:sz w:val="20"/>
                <w:szCs w:val="20"/>
                <w:color w:val="auto"/>
              </w:rPr>
            </w:pPr>
            <w:r>
              <w:rPr>
                <w:rFonts w:ascii="Arial" w:cs="Arial" w:eastAsia="Arial" w:hAnsi="Arial"/>
                <w:sz w:val="16"/>
                <w:szCs w:val="16"/>
                <w:color w:val="auto"/>
              </w:rPr>
              <w:t>Other intangible assets, net of accumulated amortization, consist of the following:</w:t>
            </w:r>
          </w:p>
        </w:tc>
        <w:tc>
          <w:tcPr>
            <w:tcW w:w="2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3"/>
        </w:trPr>
        <w:tc>
          <w:tcPr>
            <w:tcW w:w="4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rPr>
              <w:t>February 26, 2022</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158"/>
        </w:trPr>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20" w:type="dxa"/>
            <w:vAlign w:val="bottom"/>
            <w:gridSpan w:val="2"/>
          </w:tcPr>
          <w:p>
            <w:pPr>
              <w:jc w:val="center"/>
              <w:ind w:right="340"/>
              <w:spacing w:after="0" w:line="158" w:lineRule="exact"/>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16"/>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Gross Carrying Amount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rPr>
              <w:t>Net Carrying Value</w:t>
            </w:r>
          </w:p>
        </w:tc>
      </w:tr>
      <w:tr>
        <w:trPr>
          <w:trHeight w:val="209"/>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352,250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352,250</w:t>
            </w: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Dealer networks</w:t>
            </w:r>
          </w:p>
        </w:tc>
        <w:tc>
          <w:tcPr>
            <w:tcW w:w="1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179,981</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53,084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126,897</w:t>
            </w: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Backlog</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5,600</w:t>
            </w:r>
          </w:p>
        </w:tc>
      </w:tr>
      <w:tr>
        <w:trPr>
          <w:trHeight w:val="213"/>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Non-compete agreements</w:t>
            </w: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w:t>
            </w:r>
          </w:p>
        </w:tc>
      </w:tr>
      <w:tr>
        <w:trPr>
          <w:trHeight w:val="238"/>
        </w:trPr>
        <w:tc>
          <w:tcPr>
            <w:tcW w:w="4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intangible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581,205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95,586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485,619</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322"/>
        </w:trPr>
        <w:tc>
          <w:tcPr>
            <w:tcW w:w="48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rPr>
              <w:t>August 28, 2021</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59"/>
        </w:trPr>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20" w:type="dxa"/>
            <w:vAlign w:val="bottom"/>
            <w:gridSpan w:val="2"/>
          </w:tcPr>
          <w:p>
            <w:pPr>
              <w:jc w:val="center"/>
              <w:ind w:right="340"/>
              <w:spacing w:after="0" w:line="158" w:lineRule="exact"/>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16"/>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Gross Carrying Amount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rPr>
              <w:t>Net Carrying Value</w:t>
            </w:r>
          </w:p>
        </w:tc>
      </w:tr>
      <w:tr>
        <w:trPr>
          <w:trHeight w:val="210"/>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275,250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275,250</w:t>
            </w: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Dealer networks</w:t>
            </w:r>
          </w:p>
        </w:tc>
        <w:tc>
          <w:tcPr>
            <w:tcW w:w="1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159,581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45,652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113,929</w:t>
            </w: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Backlog</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Non-compete agreements</w:t>
            </w: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1,228</w:t>
            </w:r>
          </w:p>
        </w:tc>
      </w:tr>
      <w:tr>
        <w:trPr>
          <w:trHeight w:val="238"/>
        </w:trPr>
        <w:tc>
          <w:tcPr>
            <w:tcW w:w="4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intangible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469,805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79,398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390,407</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495"/>
        </w:trPr>
        <w:tc>
          <w:tcPr>
            <w:tcW w:w="9180" w:type="dxa"/>
            <w:vAlign w:val="bottom"/>
            <w:gridSpan w:val="7"/>
          </w:tcPr>
          <w:p>
            <w:pPr>
              <w:spacing w:after="0"/>
              <w:rPr>
                <w:sz w:val="20"/>
                <w:szCs w:val="20"/>
                <w:color w:val="auto"/>
              </w:rPr>
            </w:pPr>
            <w:r>
              <w:rPr>
                <w:rFonts w:ascii="Arial" w:cs="Arial" w:eastAsia="Arial" w:hAnsi="Arial"/>
                <w:sz w:val="16"/>
                <w:szCs w:val="16"/>
                <w:color w:val="auto"/>
              </w:rPr>
              <w:t>The weighted average remaining amortization period for intangible assets as of February 26, 2022 was approximately 9 years.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32"/>
        </w:trPr>
        <w:tc>
          <w:tcPr>
            <w:tcW w:w="7020" w:type="dxa"/>
            <w:vAlign w:val="bottom"/>
            <w:gridSpan w:val="4"/>
          </w:tcPr>
          <w:p>
            <w:pPr>
              <w:spacing w:after="0"/>
              <w:rPr>
                <w:sz w:val="20"/>
                <w:szCs w:val="20"/>
                <w:color w:val="auto"/>
              </w:rPr>
            </w:pPr>
            <w:r>
              <w:rPr>
                <w:rFonts w:ascii="Arial" w:cs="Arial" w:eastAsia="Arial" w:hAnsi="Arial"/>
                <w:sz w:val="16"/>
                <w:szCs w:val="16"/>
                <w:color w:val="auto"/>
              </w:rPr>
              <w:t>Estimated future amortization expense related to finite-lived intangible assets is as follows:</w:t>
            </w: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5"/>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Amount</w:t>
            </w:r>
          </w:p>
        </w:tc>
      </w:tr>
      <w:tr>
        <w:trPr>
          <w:trHeight w:val="210"/>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Fiscal 2022</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13,232</w:t>
            </w: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Fiscal 2023</w:t>
            </w: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15,226</w:t>
            </w: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2024</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15,124</w:t>
            </w: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Fiscal 2025</w:t>
            </w: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14,919</w:t>
            </w: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2026</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14,865</w:t>
            </w: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Fiscal 2027</w:t>
            </w: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14,865</w:t>
            </w: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45,138</w:t>
            </w:r>
          </w:p>
        </w:tc>
      </w:tr>
      <w:tr>
        <w:trPr>
          <w:trHeight w:val="213"/>
        </w:trPr>
        <w:tc>
          <w:tcPr>
            <w:tcW w:w="4860" w:type="dxa"/>
            <w:vAlign w:val="bottom"/>
          </w:tcPr>
          <w:p>
            <w:pPr>
              <w:ind w:left="140"/>
              <w:spacing w:after="0"/>
              <w:rPr>
                <w:sz w:val="20"/>
                <w:szCs w:val="20"/>
                <w:color w:val="auto"/>
              </w:rPr>
            </w:pPr>
            <w:r>
              <w:rPr>
                <w:rFonts w:ascii="Arial" w:cs="Arial" w:eastAsia="Arial" w:hAnsi="Arial"/>
                <w:sz w:val="16"/>
                <w:szCs w:val="16"/>
                <w:color w:val="auto"/>
              </w:rPr>
              <w:t>Total amortization expense remaining</w:t>
            </w: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133,369</w:t>
            </w:r>
          </w:p>
        </w:tc>
      </w:tr>
      <w:tr>
        <w:trPr>
          <w:trHeight w:val="20"/>
        </w:trPr>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8.</w:t>
        <w:tab/>
        <w:t>Product Warranties</w:t>
      </w:r>
    </w:p>
    <w:p>
      <w:pPr>
        <w:spacing w:after="0" w:line="268"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We provide certain service and warranty on our products. From time to time, we also voluntarily incur costs for certain warranty-type expenses occurring after the normal warranty period expires to help protect the reputation of our products and maintain the goodwill of our customers. Estimated costs related to product warranty are accrued at the time of sale and are based upon</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historical warranty and service claims experience. Adjustments are made to accruals as claim data and cost experience becomes available.</w:t>
      </w:r>
    </w:p>
    <w:p>
      <w:pPr>
        <w:spacing w:after="0" w:line="248" w:lineRule="exact"/>
        <w:rPr>
          <w:sz w:val="20"/>
          <w:szCs w:val="20"/>
          <w:color w:val="auto"/>
        </w:rPr>
      </w:pPr>
    </w:p>
    <w:p>
      <w:pPr>
        <w:ind w:right="320"/>
        <w:spacing w:after="0" w:line="251" w:lineRule="auto"/>
        <w:rPr>
          <w:sz w:val="20"/>
          <w:szCs w:val="20"/>
          <w:color w:val="auto"/>
        </w:rPr>
      </w:pPr>
      <w:r>
        <w:rPr>
          <w:rFonts w:ascii="Arial" w:cs="Arial" w:eastAsia="Arial" w:hAnsi="Arial"/>
          <w:sz w:val="16"/>
          <w:szCs w:val="16"/>
          <w:color w:val="auto"/>
        </w:rPr>
        <w:t>In addition to the costs associated with the contractual warranty coverage provided on products, we also occasionally incur costs as a result of additional service actions not covered by warranties, including product recalls and customer satisfaction actions. Although we estimate and reserve for the cost of these service actions when probable and estimable, there can be no assurance that expense levels will remain at current levels or such reserves will continue to be adequate.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60" w:type="dxa"/>
            <w:vAlign w:val="bottom"/>
          </w:tcPr>
          <w:p>
            <w:pPr>
              <w:spacing w:after="0"/>
              <w:rPr>
                <w:sz w:val="20"/>
                <w:szCs w:val="20"/>
                <w:color w:val="auto"/>
              </w:rPr>
            </w:pPr>
            <w:r>
              <w:rPr>
                <w:rFonts w:ascii="Arial" w:cs="Arial" w:eastAsia="Arial" w:hAnsi="Arial"/>
                <w:sz w:val="16"/>
                <w:szCs w:val="16"/>
                <w:color w:val="auto"/>
              </w:rPr>
              <w:t>Changes in the product warranty liability are as follows:</w:t>
            </w: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33"/>
        </w:trPr>
        <w:tc>
          <w:tcPr>
            <w:tcW w:w="4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2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20"/>
                <w:szCs w:val="20"/>
                <w:color w:val="auto"/>
              </w:rPr>
            </w:pPr>
          </w:p>
        </w:tc>
        <w:tc>
          <w:tcPr>
            <w:tcW w:w="3120" w:type="dxa"/>
            <w:vAlign w:val="bottom"/>
            <w:gridSpan w:val="4"/>
          </w:tcPr>
          <w:p>
            <w:pPr>
              <w:jc w:val="right"/>
              <w:ind w:right="879"/>
              <w:spacing w:after="0"/>
              <w:rPr>
                <w:sz w:val="20"/>
                <w:szCs w:val="20"/>
                <w:color w:val="auto"/>
              </w:rPr>
            </w:pPr>
            <w:r>
              <w:rPr>
                <w:rFonts w:ascii="Arial" w:cs="Arial" w:eastAsia="Arial" w:hAnsi="Arial"/>
                <w:sz w:val="16"/>
                <w:szCs w:val="16"/>
                <w:b w:val="1"/>
                <w:bCs w:val="1"/>
                <w:color w:val="auto"/>
              </w:rPr>
              <w:t>Six Months Ended</w:t>
            </w:r>
          </w:p>
        </w:tc>
      </w:tr>
      <w:tr>
        <w:trPr>
          <w:trHeight w:val="158"/>
        </w:trPr>
        <w:tc>
          <w:tcPr>
            <w:tcW w:w="44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2"/>
          </w:tcPr>
          <w:p>
            <w:pPr>
              <w:ind w:left="120"/>
              <w:spacing w:after="0" w:line="158" w:lineRule="exact"/>
              <w:rPr>
                <w:sz w:val="20"/>
                <w:szCs w:val="20"/>
                <w:color w:val="auto"/>
              </w:rPr>
            </w:pPr>
            <w:r>
              <w:rPr>
                <w:rFonts w:ascii="Arial" w:cs="Arial" w:eastAsia="Arial" w:hAnsi="Arial"/>
                <w:sz w:val="16"/>
                <w:szCs w:val="16"/>
                <w:b w:val="1"/>
                <w:bCs w:val="1"/>
                <w:color w:val="auto"/>
              </w:rPr>
              <w:t>February 26,</w:t>
            </w:r>
          </w:p>
        </w:tc>
        <w:tc>
          <w:tcPr>
            <w:tcW w:w="2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259"/>
              <w:spacing w:after="0" w:line="158" w:lineRule="exact"/>
              <w:rPr>
                <w:sz w:val="20"/>
                <w:szCs w:val="20"/>
                <w:color w:val="auto"/>
              </w:rPr>
            </w:pPr>
            <w:r>
              <w:rPr>
                <w:rFonts w:ascii="Arial" w:cs="Arial" w:eastAsia="Arial" w:hAnsi="Arial"/>
                <w:sz w:val="16"/>
                <w:szCs w:val="16"/>
                <w:b w:val="1"/>
                <w:bCs w:val="1"/>
                <w:color w:val="auto"/>
              </w:rPr>
              <w:t>February 27,</w:t>
            </w: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2"/>
          </w:tcPr>
          <w:p>
            <w:pPr>
              <w:ind w:left="120"/>
              <w:spacing w:after="0" w:line="158" w:lineRule="exact"/>
              <w:rPr>
                <w:sz w:val="20"/>
                <w:szCs w:val="20"/>
                <w:color w:val="auto"/>
              </w:rPr>
            </w:pPr>
            <w:r>
              <w:rPr>
                <w:rFonts w:ascii="Arial" w:cs="Arial" w:eastAsia="Arial" w:hAnsi="Arial"/>
                <w:sz w:val="16"/>
                <w:szCs w:val="16"/>
                <w:b w:val="1"/>
                <w:bCs w:val="1"/>
                <w:color w:val="auto"/>
              </w:rPr>
              <w:t>February 26,</w:t>
            </w:r>
          </w:p>
        </w:tc>
        <w:tc>
          <w:tcPr>
            <w:tcW w:w="2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239"/>
              <w:spacing w:after="0" w:line="158" w:lineRule="exact"/>
              <w:rPr>
                <w:sz w:val="20"/>
                <w:szCs w:val="20"/>
                <w:color w:val="auto"/>
              </w:rPr>
            </w:pPr>
            <w:r>
              <w:rPr>
                <w:rFonts w:ascii="Arial" w:cs="Arial" w:eastAsia="Arial" w:hAnsi="Arial"/>
                <w:sz w:val="16"/>
                <w:szCs w:val="16"/>
                <w:b w:val="1"/>
                <w:bCs w:val="1"/>
                <w:color w:val="auto"/>
              </w:rPr>
              <w:t>February 27,</w:t>
            </w:r>
          </w:p>
        </w:tc>
      </w:tr>
      <w:tr>
        <w:trPr>
          <w:trHeight w:val="216"/>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r>
      <w:tr>
        <w:trPr>
          <w:trHeight w:val="20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70,502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64,031</w:t>
            </w:r>
          </w:p>
        </w:tc>
      </w:tr>
      <w:tr>
        <w:trPr>
          <w:trHeight w:val="216"/>
        </w:trPr>
        <w:tc>
          <w:tcPr>
            <w:tcW w:w="4460" w:type="dxa"/>
            <w:vAlign w:val="bottom"/>
          </w:tcPr>
          <w:p>
            <w:pPr>
              <w:ind w:left="140"/>
              <w:spacing w:after="0" w:line="216" w:lineRule="exact"/>
              <w:rPr>
                <w:sz w:val="20"/>
                <w:szCs w:val="20"/>
                <w:color w:val="auto"/>
              </w:rPr>
            </w:pPr>
            <w:r>
              <w:rPr>
                <w:rFonts w:ascii="Arial" w:cs="Arial" w:eastAsia="Arial" w:hAnsi="Arial"/>
                <w:sz w:val="16"/>
                <w:szCs w:val="16"/>
                <w:color w:val="auto"/>
              </w:rPr>
              <w:t>Business acquisition</w:t>
            </w:r>
            <w:r>
              <w:rPr>
                <w:rFonts w:ascii="Arial" w:cs="Arial" w:eastAsia="Arial" w:hAnsi="Arial"/>
                <w:sz w:val="21"/>
                <w:szCs w:val="21"/>
                <w:color w:val="auto"/>
                <w:vertAlign w:val="superscript"/>
              </w:rPr>
              <w:t>(1)</w:t>
            </w:r>
          </w:p>
        </w:tc>
        <w:tc>
          <w:tcPr>
            <w:tcW w:w="2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4,656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Provision</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31,163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41,930</w:t>
            </w:r>
          </w:p>
        </w:tc>
      </w:tr>
      <w:tr>
        <w:trPr>
          <w:trHeight w:val="213"/>
        </w:trPr>
        <w:tc>
          <w:tcPr>
            <w:tcW w:w="44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Claims paid</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(19,769)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(14,689)</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(39,282)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(29,921)</w:t>
            </w:r>
          </w:p>
        </w:tc>
      </w:tr>
      <w:tr>
        <w:trPr>
          <w:trHeight w:val="23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end of period</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113,818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76,040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113,818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76,040</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260" w:right="180" w:hanging="252"/>
        <w:spacing w:after="0" w:line="199" w:lineRule="auto"/>
        <w:tabs>
          <w:tab w:leader="none" w:pos="305" w:val="left"/>
        </w:tabs>
        <w:numPr>
          <w:ilvl w:val="0"/>
          <w:numId w:val="3"/>
        </w:numPr>
        <w:rPr>
          <w:rFonts w:ascii="Arial" w:cs="Arial" w:eastAsia="Arial" w:hAnsi="Arial"/>
          <w:sz w:val="21"/>
          <w:szCs w:val="21"/>
          <w:color w:val="auto"/>
          <w:vertAlign w:val="superscript"/>
        </w:rPr>
      </w:pPr>
      <w:r>
        <w:rPr>
          <w:rFonts w:ascii="Arial" w:cs="Arial" w:eastAsia="Arial" w:hAnsi="Arial"/>
          <w:sz w:val="14"/>
          <w:szCs w:val="14"/>
          <w:color w:val="auto"/>
        </w:rPr>
        <w:t>Relates to the acquisition of Barletta on August 31, 2021. See Note 2 to the Consolidated Financial Statements in Item 1 of Part I of this quarterly report on Form 10-Q for additional acquisition information.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0" w:type="dxa"/>
            <w:vAlign w:val="bottom"/>
          </w:tcPr>
          <w:p>
            <w:pPr>
              <w:spacing w:after="0"/>
              <w:rPr>
                <w:sz w:val="20"/>
                <w:szCs w:val="20"/>
                <w:color w:val="auto"/>
              </w:rPr>
            </w:pPr>
            <w:r>
              <w:rPr>
                <w:rFonts w:ascii="Arial" w:cs="Arial" w:eastAsia="Arial" w:hAnsi="Arial"/>
                <w:sz w:val="16"/>
                <w:szCs w:val="16"/>
                <w:b w:val="1"/>
                <w:bCs w:val="1"/>
                <w:color w:val="auto"/>
              </w:rPr>
              <w:t>Note 9.  Long-Term Debt</w:t>
            </w:r>
          </w:p>
        </w:tc>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2"/>
        </w:trPr>
        <w:tc>
          <w:tcPr>
            <w:tcW w:w="7000" w:type="dxa"/>
            <w:vAlign w:val="bottom"/>
          </w:tcPr>
          <w:p>
            <w:pPr>
              <w:spacing w:after="0"/>
              <w:rPr>
                <w:sz w:val="20"/>
                <w:szCs w:val="20"/>
                <w:color w:val="auto"/>
              </w:rPr>
            </w:pPr>
            <w:r>
              <w:rPr>
                <w:rFonts w:ascii="Arial" w:cs="Arial" w:eastAsia="Arial" w:hAnsi="Arial"/>
                <w:sz w:val="16"/>
                <w:szCs w:val="16"/>
                <w:color w:val="auto"/>
              </w:rPr>
              <w:t>Long-term debt consists of the following:</w:t>
            </w: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81"/>
        </w:trPr>
        <w:tc>
          <w:tcPr>
            <w:tcW w:w="7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40" w:type="dxa"/>
            <w:vAlign w:val="bottom"/>
            <w:gridSpan w:val="2"/>
          </w:tcPr>
          <w:p>
            <w:pPr>
              <w:ind w:left="220"/>
              <w:spacing w:after="0" w:line="181" w:lineRule="exact"/>
              <w:rPr>
                <w:sz w:val="20"/>
                <w:szCs w:val="20"/>
                <w:color w:val="auto"/>
              </w:rPr>
            </w:pPr>
            <w:r>
              <w:rPr>
                <w:rFonts w:ascii="Arial" w:cs="Arial" w:eastAsia="Arial" w:hAnsi="Arial"/>
                <w:sz w:val="16"/>
                <w:szCs w:val="16"/>
                <w:b w:val="1"/>
                <w:bCs w:val="1"/>
                <w:color w:val="auto"/>
              </w:rPr>
              <w:t>February 26,</w:t>
            </w:r>
          </w:p>
        </w:tc>
        <w:tc>
          <w:tcPr>
            <w:tcW w:w="360" w:type="dxa"/>
            <w:vAlign w:val="bottom"/>
          </w:tcPr>
          <w:p>
            <w:pPr>
              <w:spacing w:after="0"/>
              <w:rPr>
                <w:sz w:val="15"/>
                <w:szCs w:val="15"/>
                <w:color w:val="auto"/>
              </w:rPr>
            </w:pPr>
          </w:p>
        </w:tc>
        <w:tc>
          <w:tcPr>
            <w:tcW w:w="1700" w:type="dxa"/>
            <w:vAlign w:val="bottom"/>
          </w:tcPr>
          <w:p>
            <w:pPr>
              <w:jc w:val="right"/>
              <w:ind w:right="539"/>
              <w:spacing w:after="0" w:line="181" w:lineRule="exact"/>
              <w:rPr>
                <w:sz w:val="20"/>
                <w:szCs w:val="20"/>
                <w:color w:val="auto"/>
              </w:rPr>
            </w:pPr>
            <w:r>
              <w:rPr>
                <w:rFonts w:ascii="Arial" w:cs="Arial" w:eastAsia="Arial" w:hAnsi="Arial"/>
                <w:sz w:val="16"/>
                <w:szCs w:val="16"/>
                <w:b w:val="1"/>
                <w:bCs w:val="1"/>
                <w:color w:val="auto"/>
              </w:rPr>
              <w:t>August 28,</w:t>
            </w:r>
          </w:p>
        </w:tc>
      </w:tr>
      <w:tr>
        <w:trPr>
          <w:trHeight w:val="216"/>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2021</w:t>
            </w:r>
          </w:p>
        </w:tc>
      </w:tr>
      <w:tr>
        <w:trPr>
          <w:trHeight w:val="209"/>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ABL Credit Facility</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000" w:type="dxa"/>
            <w:vAlign w:val="bottom"/>
          </w:tcPr>
          <w:p>
            <w:pPr>
              <w:ind w:left="20"/>
              <w:spacing w:after="0"/>
              <w:rPr>
                <w:sz w:val="20"/>
                <w:szCs w:val="20"/>
                <w:color w:val="auto"/>
              </w:rPr>
            </w:pPr>
            <w:r>
              <w:rPr>
                <w:rFonts w:ascii="Arial" w:cs="Arial" w:eastAsia="Arial" w:hAnsi="Arial"/>
                <w:sz w:val="16"/>
                <w:szCs w:val="16"/>
                <w:color w:val="auto"/>
              </w:rPr>
              <w:t>Senior Secured Notes</w:t>
            </w:r>
          </w:p>
        </w:tc>
        <w:tc>
          <w:tcPr>
            <w:tcW w:w="3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300,000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300,000</w:t>
            </w: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Notes</w:t>
            </w:r>
          </w:p>
        </w:tc>
        <w:tc>
          <w:tcPr>
            <w:tcW w:w="34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300,000</w:t>
            </w:r>
          </w:p>
        </w:tc>
      </w:tr>
      <w:tr>
        <w:trPr>
          <w:trHeight w:val="209"/>
        </w:trPr>
        <w:tc>
          <w:tcPr>
            <w:tcW w:w="7000" w:type="dxa"/>
            <w:vAlign w:val="bottom"/>
          </w:tcPr>
          <w:p>
            <w:pPr>
              <w:ind w:left="140"/>
              <w:spacing w:after="0"/>
              <w:rPr>
                <w:sz w:val="20"/>
                <w:szCs w:val="20"/>
                <w:color w:val="auto"/>
              </w:rPr>
            </w:pPr>
            <w:r>
              <w:rPr>
                <w:rFonts w:ascii="Arial" w:cs="Arial" w:eastAsia="Arial" w:hAnsi="Arial"/>
                <w:sz w:val="16"/>
                <w:szCs w:val="16"/>
                <w:color w:val="auto"/>
              </w:rPr>
              <w:t>Long-term debt, gross</w:t>
            </w:r>
          </w:p>
        </w:tc>
        <w:tc>
          <w:tcPr>
            <w:tcW w:w="3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600,000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600,000</w:t>
            </w:r>
          </w:p>
        </w:tc>
      </w:tr>
      <w:tr>
        <w:trPr>
          <w:trHeight w:val="219"/>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Notes unamortized interest discount</w:t>
            </w: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(53,040)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(60,366)</w:t>
            </w:r>
          </w:p>
        </w:tc>
      </w:tr>
      <w:tr>
        <w:trPr>
          <w:trHeight w:val="213"/>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Debt issuance costs, net</w:t>
            </w: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(9,970)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(11,075)</w:t>
            </w:r>
          </w:p>
        </w:tc>
      </w:tr>
      <w:tr>
        <w:trPr>
          <w:trHeight w:val="238"/>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Long-term debt, net</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536,990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528,559</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Agreements</w:t>
      </w:r>
    </w:p>
    <w:p>
      <w:pPr>
        <w:spacing w:after="0" w:line="133"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On July 8, 2020, we closed our private offering (the “Senior Secured Notes Offering”) of $300.0 million aggregate principal amount of 6.25% Senior Secured Notes due 2028 (the “Senior Secured Notes”). The Senior Secured Notes were issued in accordance with an Indenture dated as of July 8, 2020 (the “Indenture”). The Senior Secured Notes will mature on July 15, 2028 unless earlier redeemed or repurchased. Interest on the Senior Secured Notes accrues starting July 8, 2020 and is payable semi-annually in arrears on January 15 and July 15 of each year, which began on January 15, 2021.</w:t>
      </w:r>
    </w:p>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Debt issuance costs incurred and capitalized are amortized on a straight-line basis over the term of the associated debt agreement. If early principal payments are made on the Senior Secured Notes, a proportional amount of the unamortized debt issuance costs is expensed. As part of the Senior Secured Notes Offering, we capitalized $7.5 million in debt issuance costs that will be amortized over the eight-year term of the agreement.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On November 8, 2016, we entered into an asset-based revolving credit agreement ("ABL") and a loan agreement ("Term Loan") with JPMorgan Chase Bank,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N.A. ("JPMorgan Chase"), as administrative agent and certain lenders from time to time party thereto. Under the ABL, we have a $192.5 million credit facility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that matures on October 22, 2024 (subject to certain factors which may accelerate the maturity date) on a revolving basis, subject to availability under 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borrowing base consisting of eligible accounts receivable and eligible inventory. The ABL is available for issuance of letters of credit to a specified limit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$19.3 million. We pay a commitment fee of 0.25% on the average daily amount of the facility available, but unused. We can elect to base the interest rate 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various rates plus specific spreads depending on the amount of borrowings outstanding. If drawn, we would pay interest on ABL borrowings at a floating rate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based upon a spread between 1.25% and 1.75% plus LIBOR, depending on the usage of the facility during the most recent quarter. Based on current usage,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we would pay LIBOR plus 1.25%.</w:t>
      </w:r>
    </w:p>
    <w:p>
      <w:pPr>
        <w:spacing w:after="0" w:line="248"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Refer to Note 9 of the Notes to the Consolidated Financial Statements included in Item 8 of Part II of our Annual Report on Form 10-K for the fiscal year ended August 28, 2021 for additional information regarding these credit agreements.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Convertible Notes</w:t>
      </w:r>
    </w:p>
    <w:p>
      <w:pPr>
        <w:spacing w:after="0" w:line="133"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On November 1, 2019, we issued $300.0 million in aggregate principal amount of 1.5% unsecured convertible senior notes due 2025 (“Convertible Notes”). The net proceeds from the issuance of the Convertible Notes, after deducting the initial purchasers' transaction fees and offering expense payable by us, were approximately $290.2 million. The Convertible Notes bear interest at the annual rate of 1.5%, payable on April 1 and October 1 of each year, beginning on April 1, 2020, and will mature on April 1, 2025, unless earlier converted or repurchased by us.</w:t>
      </w:r>
    </w:p>
    <w:p>
      <w:pPr>
        <w:spacing w:after="0" w:line="229"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The Convertible Notes will be convertible into cash, shares of our common stock or a combination thereof, at the election of us, at an initial conversion rate of 15.6906 shares of common stock per $1 thousand principal amount of Convertible Notes, which is equivalent to an initial conversion price of approximately $63.73 per share, as adjusted pursuant to the terms of the indenture governing the Convertible Notes. The Convertible Notes may be converted at any time on or after October 1, 2024, until the close of business on the second scheduled trading day immediately preceding the maturity date.</w:t>
      </w:r>
    </w:p>
    <w:p>
      <w:pPr>
        <w:spacing w:after="0" w:line="216" w:lineRule="exact"/>
        <w:rPr>
          <w:sz w:val="20"/>
          <w:szCs w:val="20"/>
          <w:color w:val="auto"/>
        </w:rPr>
      </w:pPr>
    </w:p>
    <w:p>
      <w:pPr>
        <w:ind w:right="100"/>
        <w:spacing w:after="0" w:line="242" w:lineRule="auto"/>
        <w:rPr>
          <w:sz w:val="20"/>
          <w:szCs w:val="20"/>
          <w:color w:val="auto"/>
        </w:rPr>
      </w:pPr>
      <w:r>
        <w:rPr>
          <w:rFonts w:ascii="Arial" w:cs="Arial" w:eastAsia="Arial" w:hAnsi="Arial"/>
          <w:sz w:val="16"/>
          <w:szCs w:val="16"/>
          <w:color w:val="auto"/>
        </w:rPr>
        <w:t>It is our current intent to settle all conversions of the Convertible Notes in cash. Our ability to cash settle may be limited depending on the stock price at the time of conversion.</w:t>
      </w:r>
    </w:p>
    <w:p>
      <w:pPr>
        <w:spacing w:after="0" w:line="236"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On October 29, 2019 and October 30, 2019, in connection with the offering of the Convertible Notes, we entered into privately negotiated convertible note hedge transactions (collectively, the “Hedge Transactions”) that cover, subject to customary anti-dilution adjustments, the number of shares of our common stock that initially underlie the Convertible Notes.</w:t>
      </w:r>
    </w:p>
    <w:p>
      <w:pPr>
        <w:spacing w:after="0" w:line="228" w:lineRule="exact"/>
        <w:rPr>
          <w:sz w:val="20"/>
          <w:szCs w:val="20"/>
          <w:color w:val="auto"/>
        </w:rPr>
      </w:pPr>
    </w:p>
    <w:p>
      <w:pPr>
        <w:jc w:val="both"/>
        <w:ind w:right="300"/>
        <w:spacing w:after="0" w:line="253" w:lineRule="auto"/>
        <w:rPr>
          <w:sz w:val="20"/>
          <w:szCs w:val="20"/>
          <w:color w:val="auto"/>
        </w:rPr>
      </w:pPr>
      <w:r>
        <w:rPr>
          <w:rFonts w:ascii="Arial" w:cs="Arial" w:eastAsia="Arial" w:hAnsi="Arial"/>
          <w:sz w:val="16"/>
          <w:szCs w:val="16"/>
          <w:color w:val="auto"/>
        </w:rPr>
        <w:t>On October 29, 2019 and October 30, 2019, we also entered into privately negotiated warrant transactions (collectively, the “Warrant Transactions” and, together with the Hedge Transactions, the “Call Spread Transactions”), whereby we sold warrants at a higher strike price relating to the same number of shares of our common stock that initially underlie the Convertible Notes, subject to customary anti-dilution adjustments.</w:t>
      </w:r>
    </w:p>
    <w:p>
      <w:pPr>
        <w:spacing w:after="0" w:line="174"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The Hedge Transactions and the Warrant Transactions are separate transactions, in each case, and are not part of the terms of the Convertible Notes and will not affect any holder’s rights under the Convertible Notes. Holders of the Convertible Notes will not have any rights with respect to the Call Spread Transactions.</w:t>
      </w:r>
    </w:p>
    <w:p>
      <w:pPr>
        <w:spacing w:after="0" w:line="228"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Refer to Note 9 of the Notes to the Consolidated Financial Statements included in Item 8 of Part II of our Annual Report on Form 10-K for the fiscal year ended August 28, 2021 for additional information regarding the Convertible Notes and the Call Spread Transactions.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Treatment of the Convertible Notes and Related Hedge Transactions and Warrant Transactions</w:t>
      </w:r>
    </w:p>
    <w:p>
      <w:pPr>
        <w:spacing w:after="0" w:line="75"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Call Spread Transactions were classified as equity. We bifurcated the proceeds from the offering of the Convertible Notes between liability and equity components. On the date of issuance, the liability and equity components were calculated to be approximately $215.0 million and $85.0 million, respectively. The initial $215.0 million liability component was determined based on the fair value of similar debt instruments excluding the conversion feature assuming a hypothetical interest rate of 8%. The initial $85.0 million ($64.1 million net of tax) equity component represents the difference between the fair value of the initial $215.0 million in debt and the $300.0 million of gross proceeds. The related initial debt discount of $85.0 million is being amortized over the life of the Convertible Notes as non-cash interest expense using the effective interest method.</w:t>
      </w:r>
    </w:p>
    <w:p>
      <w:pPr>
        <w:spacing w:after="0" w:line="232"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In connection with the above-noted transactions, we incurred approximately $9.8 million of offering-related costs. These offering fees were allocated to the liability and equity components in proportion to the allocation of proceeds and accounted for as debt and equity issuance costs, respectively. We allocated $7.0 million of debt issuance costs to the liability component, which were capitalized as deferred financing costs within long-term debt on the Consolidated Balance Sheets. These costs are being amortized as interest expense over the term of the debt using the effective interest method. The remaining $2.8 million of transaction costs allocated to the equity component were recorded as a reduction of the equity component.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 w:right="39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and Future Maturities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As of February 26, 2022 and August 28, 2021, the fair value of long-term debt, gross, was $663.5 million and $726.6 million,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Aggregate contractual maturities of debt in future fiscal years are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09"/>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Fiscal 2022</w:t>
            </w:r>
          </w:p>
        </w:tc>
        <w:tc>
          <w:tcPr>
            <w:tcW w:w="3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Fiscal 2023</w:t>
            </w:r>
          </w:p>
        </w:tc>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2024</w:t>
            </w: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Fiscal 2025</w:t>
            </w:r>
          </w:p>
        </w:tc>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300,000</w:t>
            </w:r>
          </w:p>
        </w:tc>
        <w:tc>
          <w:tcPr>
            <w:tcW w:w="0" w:type="dxa"/>
            <w:vAlign w:val="bottom"/>
          </w:tcPr>
          <w:p>
            <w:pPr>
              <w:spacing w:after="0"/>
              <w:rPr>
                <w:sz w:val="1"/>
                <w:szCs w:val="1"/>
                <w:color w:val="auto"/>
              </w:rPr>
            </w:pPr>
          </w:p>
        </w:tc>
      </w:tr>
      <w:tr>
        <w:trPr>
          <w:trHeight w:val="219"/>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2026</w:t>
            </w: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Fiscal 2027</w:t>
            </w:r>
          </w:p>
        </w:tc>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3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0" w:type="dxa"/>
            <w:vAlign w:val="bottom"/>
          </w:tcPr>
          <w:p>
            <w:pPr>
              <w:spacing w:after="0"/>
              <w:rPr>
                <w:sz w:val="1"/>
                <w:szCs w:val="1"/>
                <w:color w:val="auto"/>
              </w:rPr>
            </w:pPr>
          </w:p>
        </w:tc>
      </w:tr>
      <w:tr>
        <w:trPr>
          <w:trHeight w:val="213"/>
        </w:trPr>
        <w:tc>
          <w:tcPr>
            <w:tcW w:w="7100" w:type="dxa"/>
            <w:vAlign w:val="bottom"/>
          </w:tcPr>
          <w:p>
            <w:pPr>
              <w:ind w:left="140"/>
              <w:spacing w:after="0"/>
              <w:rPr>
                <w:sz w:val="20"/>
                <w:szCs w:val="20"/>
                <w:color w:val="auto"/>
              </w:rPr>
            </w:pPr>
            <w:r>
              <w:rPr>
                <w:rFonts w:ascii="Arial" w:cs="Arial" w:eastAsia="Arial" w:hAnsi="Arial"/>
                <w:sz w:val="16"/>
                <w:szCs w:val="16"/>
                <w:color w:val="auto"/>
              </w:rPr>
              <w:t>Total Senior Secured Notes and Convertible Notes</w:t>
            </w:r>
          </w:p>
        </w:tc>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600,000</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6"/>
                <w:szCs w:val="16"/>
                <w:b w:val="1"/>
                <w:bCs w:val="1"/>
                <w:color w:val="auto"/>
              </w:rPr>
              <w:t>Note 10.  Employee and Retiree Benefits</w:t>
            </w:r>
          </w:p>
        </w:tc>
        <w:tc>
          <w:tcPr>
            <w:tcW w:w="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8"/>
        </w:trPr>
        <w:tc>
          <w:tcPr>
            <w:tcW w:w="71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00" w:type="dxa"/>
            <w:vAlign w:val="bottom"/>
          </w:tcPr>
          <w:p>
            <w:pPr>
              <w:spacing w:after="0"/>
              <w:rPr>
                <w:sz w:val="20"/>
                <w:szCs w:val="20"/>
                <w:color w:val="auto"/>
              </w:rPr>
            </w:pPr>
            <w:r>
              <w:rPr>
                <w:rFonts w:ascii="Arial" w:cs="Arial" w:eastAsia="Arial" w:hAnsi="Arial"/>
                <w:sz w:val="16"/>
                <w:szCs w:val="16"/>
                <w:color w:val="auto"/>
              </w:rPr>
              <w:t>Deferred compensation liabilities are as follows:</w:t>
            </w: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40" w:type="dxa"/>
            <w:vAlign w:val="bottom"/>
          </w:tcPr>
          <w:p>
            <w:pPr>
              <w:jc w:val="right"/>
              <w:ind w:right="479"/>
              <w:spacing w:after="0" w:line="181" w:lineRule="exact"/>
              <w:rPr>
                <w:sz w:val="20"/>
                <w:szCs w:val="20"/>
                <w:color w:val="auto"/>
              </w:rPr>
            </w:pPr>
            <w:r>
              <w:rPr>
                <w:rFonts w:ascii="Arial" w:cs="Arial" w:eastAsia="Arial" w:hAnsi="Arial"/>
                <w:sz w:val="16"/>
                <w:szCs w:val="16"/>
                <w:b w:val="1"/>
                <w:bCs w:val="1"/>
                <w:color w:val="auto"/>
              </w:rPr>
              <w:t>February 26,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20" w:type="dxa"/>
            <w:vAlign w:val="bottom"/>
          </w:tcPr>
          <w:p>
            <w:pPr>
              <w:jc w:val="right"/>
              <w:ind w:right="479"/>
              <w:spacing w:after="0" w:line="181" w:lineRule="exact"/>
              <w:rPr>
                <w:sz w:val="20"/>
                <w:szCs w:val="20"/>
                <w:color w:val="auto"/>
              </w:rPr>
            </w:pPr>
            <w:r>
              <w:rPr>
                <w:rFonts w:ascii="Arial" w:cs="Arial" w:eastAsia="Arial" w:hAnsi="Arial"/>
                <w:sz w:val="16"/>
                <w:szCs w:val="16"/>
                <w:b w:val="1"/>
                <w:bCs w:val="1"/>
                <w:color w:val="auto"/>
              </w:rPr>
              <w:t>August 28,</w:t>
            </w:r>
          </w:p>
        </w:tc>
        <w:tc>
          <w:tcPr>
            <w:tcW w:w="0" w:type="dxa"/>
            <w:vAlign w:val="bottom"/>
          </w:tcPr>
          <w:p>
            <w:pPr>
              <w:spacing w:after="0"/>
              <w:rPr>
                <w:sz w:val="1"/>
                <w:szCs w:val="1"/>
                <w:color w:val="auto"/>
              </w:rPr>
            </w:pPr>
          </w:p>
        </w:tc>
      </w:tr>
      <w:tr>
        <w:trPr>
          <w:trHeight w:val="216"/>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9"/>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Non-qualified deferred compensation</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9,015</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9,731</w:t>
            </w:r>
          </w:p>
        </w:tc>
        <w:tc>
          <w:tcPr>
            <w:tcW w:w="0" w:type="dxa"/>
            <w:vAlign w:val="bottom"/>
          </w:tcPr>
          <w:p>
            <w:pPr>
              <w:spacing w:after="0"/>
              <w:rPr>
                <w:sz w:val="1"/>
                <w:szCs w:val="1"/>
                <w:color w:val="auto"/>
              </w:rPr>
            </w:pP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Supplemental executive retirement plan</w:t>
            </w:r>
          </w:p>
        </w:tc>
        <w:tc>
          <w:tcPr>
            <w:tcW w:w="3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1,623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1,615</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Executive deferred compensation plan</w:t>
            </w:r>
          </w:p>
        </w:tc>
        <w:tc>
          <w:tcPr>
            <w:tcW w:w="34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1,029</w:t>
            </w:r>
          </w:p>
        </w:tc>
        <w:tc>
          <w:tcPr>
            <w:tcW w:w="0" w:type="dxa"/>
            <w:vAlign w:val="bottom"/>
          </w:tcPr>
          <w:p>
            <w:pPr>
              <w:spacing w:after="0"/>
              <w:rPr>
                <w:sz w:val="1"/>
                <w:szCs w:val="1"/>
                <w:color w:val="auto"/>
              </w:rPr>
            </w:pPr>
          </w:p>
        </w:tc>
      </w:tr>
      <w:tr>
        <w:trPr>
          <w:trHeight w:val="209"/>
        </w:trPr>
        <w:tc>
          <w:tcPr>
            <w:tcW w:w="7100" w:type="dxa"/>
            <w:vAlign w:val="bottom"/>
          </w:tcPr>
          <w:p>
            <w:pPr>
              <w:ind w:left="140"/>
              <w:spacing w:after="0"/>
              <w:rPr>
                <w:sz w:val="20"/>
                <w:szCs w:val="20"/>
                <w:color w:val="auto"/>
              </w:rPr>
            </w:pPr>
            <w:r>
              <w:rPr>
                <w:rFonts w:ascii="Arial" w:cs="Arial" w:eastAsia="Arial" w:hAnsi="Arial"/>
                <w:sz w:val="16"/>
                <w:szCs w:val="16"/>
                <w:color w:val="auto"/>
              </w:rPr>
              <w:t>Total deferred compensation benefits</w:t>
            </w:r>
          </w:p>
        </w:tc>
        <w:tc>
          <w:tcPr>
            <w:tcW w:w="3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12,158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12,375</w:t>
            </w:r>
          </w:p>
        </w:tc>
        <w:tc>
          <w:tcPr>
            <w:tcW w:w="0" w:type="dxa"/>
            <w:vAlign w:val="bottom"/>
          </w:tcPr>
          <w:p>
            <w:pPr>
              <w:spacing w:after="0"/>
              <w:rPr>
                <w:sz w:val="1"/>
                <w:szCs w:val="1"/>
                <w:color w:val="auto"/>
              </w:rPr>
            </w:pPr>
          </w:p>
        </w:tc>
      </w:tr>
      <w:tr>
        <w:trPr>
          <w:trHeight w:val="219"/>
        </w:trPr>
        <w:tc>
          <w:tcPr>
            <w:tcW w:w="710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Less current portion</w:t>
            </w:r>
            <w:r>
              <w:rPr>
                <w:rFonts w:ascii="Arial" w:cs="Arial" w:eastAsia="Arial" w:hAnsi="Arial"/>
                <w:sz w:val="21"/>
                <w:szCs w:val="21"/>
                <w:color w:val="auto"/>
                <w:vertAlign w:val="superscript"/>
              </w:rPr>
              <w:t>(1)</w:t>
            </w:r>
          </w:p>
        </w:tc>
        <w:tc>
          <w:tcPr>
            <w:tcW w:w="3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2,825</w:t>
            </w:r>
          </w:p>
        </w:tc>
        <w:tc>
          <w:tcPr>
            <w:tcW w:w="0" w:type="dxa"/>
            <w:vAlign w:val="bottom"/>
          </w:tcPr>
          <w:p>
            <w:pPr>
              <w:spacing w:after="0"/>
              <w:rPr>
                <w:sz w:val="1"/>
                <w:szCs w:val="1"/>
                <w:color w:val="auto"/>
              </w:rPr>
            </w:pPr>
          </w:p>
        </w:tc>
      </w:tr>
      <w:tr>
        <w:trPr>
          <w:trHeight w:val="209"/>
        </w:trPr>
        <w:tc>
          <w:tcPr>
            <w:tcW w:w="7100" w:type="dxa"/>
            <w:vAlign w:val="bottom"/>
          </w:tcPr>
          <w:p>
            <w:pPr>
              <w:ind w:left="140"/>
              <w:spacing w:after="0"/>
              <w:rPr>
                <w:sz w:val="20"/>
                <w:szCs w:val="20"/>
                <w:color w:val="auto"/>
              </w:rPr>
            </w:pPr>
            <w:r>
              <w:rPr>
                <w:rFonts w:ascii="Arial" w:cs="Arial" w:eastAsia="Arial" w:hAnsi="Arial"/>
                <w:sz w:val="16"/>
                <w:szCs w:val="16"/>
                <w:color w:val="auto"/>
              </w:rPr>
              <w:t>Deferred compensation benefits, net of current portion</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9,425</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9,550</w:t>
            </w:r>
          </w:p>
        </w:tc>
        <w:tc>
          <w:tcPr>
            <w:tcW w:w="0" w:type="dxa"/>
            <w:vAlign w:val="bottom"/>
          </w:tcPr>
          <w:p>
            <w:pPr>
              <w:spacing w:after="0"/>
              <w:rPr>
                <w:sz w:val="1"/>
                <w:szCs w:val="1"/>
                <w:color w:val="auto"/>
              </w:rPr>
            </w:pPr>
          </w:p>
        </w:tc>
      </w:tr>
      <w:tr>
        <w:trPr>
          <w:trHeight w:val="21"/>
        </w:trPr>
        <w:tc>
          <w:tcPr>
            <w:tcW w:w="7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4"/>
          <w:szCs w:val="14"/>
          <w:color w:val="auto"/>
        </w:rPr>
        <w:t xml:space="preserve"> Included in accrued compensation on the Consolidated Balance Sheets.</w:t>
      </w:r>
    </w:p>
    <w:p>
      <w:pPr>
        <w:spacing w:after="0" w:line="160"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Note 11.</w:t>
        <w:tab/>
        <w:t>Contingent Liabilities and Commitments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133"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Generally, manufacturers in the same industries as us enter into repurchase agreements with lending institutions which have provided wholesale floorplan financing to dealers. Most dealers are financed on a "floorplan" basis under which a bank or finance company lends the dealer all, or substantially all, of the purchase price, collateralized by a security interest in the units purchased.</w:t>
      </w:r>
    </w:p>
    <w:p>
      <w:pPr>
        <w:spacing w:after="0" w:line="228"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Our repurchase agreements generally provide that, in the event of default by the dealer on the agreement to pay the lending institution, we will repurchase the financed merchandise. The terms of these agreements, which generally can last up to 24 months, provide that our liability will be the lesser of remaining principal owed by the dealer to the lending institution, or dealer invoice less periodic reductions based on the time since the date of the original invoice. Our liability cannot exceed 100% of the dealer invoice. In certain instances, we also repurchase inventory from dealers due to state law or regulatory requirements that govern voluntary or involuntary relationship terminations. Although laws vary from state to state, some states have laws in place that require manufacturers of recreational vehicles or boats to repurchase current inventory if a dealership exits the business. The total contingent liability on all of our repurchase agreements was approximately $1,452.6 million and $727.7 million at February 26, 2022 and August 28, 2021, respectively.</w:t>
      </w:r>
    </w:p>
    <w:p>
      <w:pPr>
        <w:spacing w:after="0" w:line="235"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Repurchased sales are not recorded as a revenue transaction, rather the net difference between the original repurchase price and the resale price is recorded against the loss reserve, which is a deduction from gross revenue. Our loss reserve for repurchase commitments contains uncertainties because the calculation requires management to make assumptions and apply judgment regarding a number of factors. Our risk of loss related to these repurchase commitments is significantly reduced by the potential resale value of any products that are subject to repurchase and is spread over numerous dealers and lenders. The aggregate contingent liability related to our repurchase agreements represents all financed dealer inventory at the period-end reporting date subject to a repurchase agreement, net of the greater of periodic reductions per the agreement or dealer principal payments. Based on these repurchase agreements and our historical loss experience, an associated loss reserve is established which is included in accrued expenses: other on the Consolidated Balance Sheets. Our repurchase accrual was $1.2 million and $0.9 million at February 26, 2022 and August 28, 2021, respectively. Repurchase risk is affected by the credit worthiness of our dealer network. We do not believe there is a reasonable likelihood that there will be a material change in the estimates or assumptions used to establish the loss reserve for repurchase commitments.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There was no material activity related to repurchase agreements during the six months ended February 26, 2022 and February 27, 2021.</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133"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We are involved in various legal proceedings which are considered ordinary and routine litigation incidental to the business, some of which are covered in whole or in part by insurance. While we believe the ultimate disposition of litigation will not have a material adverse effect on our financial position, results of operations or liquidity, the possibility exists that such litigation may have an impact on our results for a particular reporting period in which litigation effects become probable and reasonably estimable. Though we do not believe there is a reasonable likelihood that there will be a material change related to these matters, litigation is subject to inherent uncertainties and our view of these matters may change in the future.</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Revenue</w:t>
      </w:r>
    </w:p>
    <w:p>
      <w:pPr>
        <w:spacing w:after="0" w:line="268"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All operating revenue is generated from contracts with customers. Our primary revenue source is generated through the sale of manufactured non-motorized towable units, motorized units and marine units to our independent dealer network (our customers). The following table disaggregates revenue by reportable segment and product category:</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2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8"/>
                <w:szCs w:val="18"/>
                <w:color w:val="auto"/>
              </w:rPr>
            </w:pPr>
          </w:p>
        </w:tc>
        <w:tc>
          <w:tcPr>
            <w:tcW w:w="3120" w:type="dxa"/>
            <w:vAlign w:val="bottom"/>
            <w:gridSpan w:val="4"/>
          </w:tcPr>
          <w:p>
            <w:pPr>
              <w:jc w:val="right"/>
              <w:ind w:right="879"/>
              <w:spacing w:after="0"/>
              <w:rPr>
                <w:sz w:val="20"/>
                <w:szCs w:val="20"/>
                <w:color w:val="auto"/>
              </w:rPr>
            </w:pPr>
            <w:r>
              <w:rPr>
                <w:rFonts w:ascii="Arial" w:cs="Arial" w:eastAsia="Arial" w:hAnsi="Arial"/>
                <w:sz w:val="16"/>
                <w:szCs w:val="16"/>
                <w:b w:val="1"/>
                <w:bCs w:val="1"/>
                <w:color w:val="auto"/>
              </w:rPr>
              <w:t>Six Months Ended</w:t>
            </w:r>
          </w:p>
        </w:tc>
      </w:tr>
      <w:tr>
        <w:trPr>
          <w:trHeight w:val="158"/>
        </w:trPr>
        <w:tc>
          <w:tcPr>
            <w:tcW w:w="44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2"/>
          </w:tcPr>
          <w:p>
            <w:pPr>
              <w:ind w:left="120"/>
              <w:spacing w:after="0" w:line="158" w:lineRule="exact"/>
              <w:rPr>
                <w:sz w:val="20"/>
                <w:szCs w:val="20"/>
                <w:color w:val="auto"/>
              </w:rPr>
            </w:pPr>
            <w:r>
              <w:rPr>
                <w:rFonts w:ascii="Arial" w:cs="Arial" w:eastAsia="Arial" w:hAnsi="Arial"/>
                <w:sz w:val="16"/>
                <w:szCs w:val="16"/>
                <w:b w:val="1"/>
                <w:bCs w:val="1"/>
                <w:color w:val="auto"/>
              </w:rPr>
              <w:t>February 26,</w:t>
            </w:r>
          </w:p>
        </w:tc>
        <w:tc>
          <w:tcPr>
            <w:tcW w:w="2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259"/>
              <w:spacing w:after="0" w:line="158" w:lineRule="exact"/>
              <w:rPr>
                <w:sz w:val="20"/>
                <w:szCs w:val="20"/>
                <w:color w:val="auto"/>
              </w:rPr>
            </w:pPr>
            <w:r>
              <w:rPr>
                <w:rFonts w:ascii="Arial" w:cs="Arial" w:eastAsia="Arial" w:hAnsi="Arial"/>
                <w:sz w:val="16"/>
                <w:szCs w:val="16"/>
                <w:b w:val="1"/>
                <w:bCs w:val="1"/>
                <w:color w:val="auto"/>
              </w:rPr>
              <w:t>February 27,</w:t>
            </w: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2"/>
          </w:tcPr>
          <w:p>
            <w:pPr>
              <w:ind w:left="120"/>
              <w:spacing w:after="0" w:line="158" w:lineRule="exact"/>
              <w:rPr>
                <w:sz w:val="20"/>
                <w:szCs w:val="20"/>
                <w:color w:val="auto"/>
              </w:rPr>
            </w:pPr>
            <w:r>
              <w:rPr>
                <w:rFonts w:ascii="Arial" w:cs="Arial" w:eastAsia="Arial" w:hAnsi="Arial"/>
                <w:sz w:val="16"/>
                <w:szCs w:val="16"/>
                <w:b w:val="1"/>
                <w:bCs w:val="1"/>
                <w:color w:val="auto"/>
              </w:rPr>
              <w:t>February 26,</w:t>
            </w:r>
          </w:p>
        </w:tc>
        <w:tc>
          <w:tcPr>
            <w:tcW w:w="2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239"/>
              <w:spacing w:after="0" w:line="158" w:lineRule="exact"/>
              <w:rPr>
                <w:sz w:val="20"/>
                <w:szCs w:val="20"/>
                <w:color w:val="auto"/>
              </w:rPr>
            </w:pPr>
            <w:r>
              <w:rPr>
                <w:rFonts w:ascii="Arial" w:cs="Arial" w:eastAsia="Arial" w:hAnsi="Arial"/>
                <w:sz w:val="16"/>
                <w:szCs w:val="16"/>
                <w:b w:val="1"/>
                <w:bCs w:val="1"/>
                <w:color w:val="auto"/>
              </w:rPr>
              <w:t>February 27,</w:t>
            </w:r>
          </w:p>
        </w:tc>
      </w:tr>
      <w:tr>
        <w:trPr>
          <w:trHeight w:val="216"/>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r>
      <w:tr>
        <w:trPr>
          <w:trHeight w:val="20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Towable</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4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Fifth Wheel</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281,147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226,942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606,909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467,390</w:t>
            </w:r>
          </w:p>
        </w:tc>
      </w:tr>
      <w:tr>
        <w:trPr>
          <w:trHeight w:val="213"/>
        </w:trPr>
        <w:tc>
          <w:tcPr>
            <w:tcW w:w="4460" w:type="dxa"/>
            <w:vAlign w:val="bottom"/>
          </w:tcPr>
          <w:p>
            <w:pPr>
              <w:ind w:left="140"/>
              <w:spacing w:after="0"/>
              <w:rPr>
                <w:sz w:val="20"/>
                <w:szCs w:val="20"/>
                <w:color w:val="auto"/>
              </w:rPr>
            </w:pPr>
            <w:r>
              <w:rPr>
                <w:rFonts w:ascii="Arial" w:cs="Arial" w:eastAsia="Arial" w:hAnsi="Arial"/>
                <w:sz w:val="16"/>
                <w:szCs w:val="16"/>
                <w:color w:val="auto"/>
              </w:rPr>
              <w:t>Travel Trailer</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356,750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207,042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672,164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415,638</w:t>
            </w:r>
          </w:p>
        </w:tc>
      </w:tr>
      <w:tr>
        <w:trPr>
          <w:trHeight w:val="219"/>
        </w:trPr>
        <w:tc>
          <w:tcPr>
            <w:tcW w:w="446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8,704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18,552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11,157</w:t>
            </w:r>
          </w:p>
        </w:tc>
      </w:tr>
      <w:tr>
        <w:trPr>
          <w:trHeight w:val="207"/>
        </w:trPr>
        <w:tc>
          <w:tcPr>
            <w:tcW w:w="4460" w:type="dxa"/>
            <w:vAlign w:val="bottom"/>
          </w:tcPr>
          <w:p>
            <w:pPr>
              <w:ind w:left="220"/>
              <w:spacing w:after="0"/>
              <w:rPr>
                <w:sz w:val="20"/>
                <w:szCs w:val="20"/>
                <w:color w:val="auto"/>
              </w:rPr>
            </w:pPr>
            <w:r>
              <w:rPr>
                <w:rFonts w:ascii="Arial" w:cs="Arial" w:eastAsia="Arial" w:hAnsi="Arial"/>
                <w:sz w:val="16"/>
                <w:szCs w:val="16"/>
                <w:color w:val="auto"/>
              </w:rPr>
              <w:t>Total Towable</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646,601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439,284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1,297,625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894,185</w:t>
            </w: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460" w:type="dxa"/>
            <w:vAlign w:val="bottom"/>
          </w:tcPr>
          <w:p>
            <w:pPr>
              <w:ind w:left="140"/>
              <w:spacing w:after="0"/>
              <w:rPr>
                <w:sz w:val="20"/>
                <w:szCs w:val="20"/>
                <w:color w:val="auto"/>
              </w:rPr>
            </w:pPr>
            <w:r>
              <w:rPr>
                <w:rFonts w:ascii="Arial" w:cs="Arial" w:eastAsia="Arial" w:hAnsi="Arial"/>
                <w:sz w:val="16"/>
                <w:szCs w:val="16"/>
                <w:color w:val="auto"/>
              </w:rPr>
              <w:t>Class A</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164,999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157,744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360,296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291,910</w:t>
            </w:r>
          </w:p>
        </w:tc>
      </w:tr>
      <w:tr>
        <w:trPr>
          <w:trHeight w:val="219"/>
        </w:trPr>
        <w:tc>
          <w:tcPr>
            <w:tcW w:w="4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Class B</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167,691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137,170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312,702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246,457</w:t>
            </w:r>
          </w:p>
        </w:tc>
      </w:tr>
      <w:tr>
        <w:trPr>
          <w:trHeight w:val="216"/>
        </w:trPr>
        <w:tc>
          <w:tcPr>
            <w:tcW w:w="446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Class C and Other</w:t>
            </w:r>
            <w:r>
              <w:rPr>
                <w:rFonts w:ascii="Arial" w:cs="Arial" w:eastAsia="Arial" w:hAnsi="Arial"/>
                <w:sz w:val="21"/>
                <w:szCs w:val="21"/>
                <w:color w:val="auto"/>
                <w:vertAlign w:val="superscript"/>
              </w:rPr>
              <w:t>(1)</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84,875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87,661</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166,046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166,597</w:t>
            </w:r>
          </w:p>
        </w:tc>
      </w:tr>
      <w:tr>
        <w:trPr>
          <w:trHeight w:val="209"/>
        </w:trPr>
        <w:tc>
          <w:tcPr>
            <w:tcW w:w="4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Motorhome</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417,565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382,575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839,044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704,964</w:t>
            </w: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Marine</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97,309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14,463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176,627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26,357</w:t>
            </w:r>
          </w:p>
        </w:tc>
      </w:tr>
      <w:tr>
        <w:trPr>
          <w:trHeight w:val="219"/>
        </w:trPr>
        <w:tc>
          <w:tcPr>
            <w:tcW w:w="446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Corporate / All Other</w:t>
            </w:r>
            <w:r>
              <w:rPr>
                <w:rFonts w:ascii="Arial" w:cs="Arial" w:eastAsia="Arial" w:hAnsi="Arial"/>
                <w:sz w:val="21"/>
                <w:szCs w:val="21"/>
                <w:color w:val="auto"/>
                <w:vertAlign w:val="superscript"/>
              </w:rPr>
              <w:t>(2)</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7,511</w:t>
            </w:r>
          </w:p>
        </w:tc>
      </w:tr>
      <w:tr>
        <w:trPr>
          <w:trHeight w:val="210"/>
        </w:trPr>
        <w:tc>
          <w:tcPr>
            <w:tcW w:w="4460" w:type="dxa"/>
            <w:vAlign w:val="bottom"/>
          </w:tcPr>
          <w:p>
            <w:pPr>
              <w:ind w:left="360"/>
              <w:spacing w:after="0"/>
              <w:rPr>
                <w:sz w:val="20"/>
                <w:szCs w:val="20"/>
                <w:color w:val="auto"/>
              </w:rPr>
            </w:pPr>
            <w:r>
              <w:rPr>
                <w:rFonts w:ascii="Arial" w:cs="Arial" w:eastAsia="Arial" w:hAnsi="Arial"/>
                <w:sz w:val="16"/>
                <w:szCs w:val="16"/>
                <w:color w:val="auto"/>
              </w:rPr>
              <w:t>Consolidated Net Revenues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1,164,731</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839,886</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2,320,471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1,633,017</w:t>
            </w:r>
          </w:p>
        </w:tc>
      </w:tr>
      <w:tr>
        <w:trPr>
          <w:trHeight w:val="20"/>
        </w:trPr>
        <w:tc>
          <w:tcPr>
            <w:tcW w:w="4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300" w:hanging="292"/>
        <w:spacing w:after="0"/>
        <w:tabs>
          <w:tab w:leader="none" w:pos="300" w:val="left"/>
        </w:tabs>
        <w:numPr>
          <w:ilvl w:val="0"/>
          <w:numId w:val="4"/>
        </w:numPr>
        <w:rPr>
          <w:rFonts w:ascii="Arial" w:cs="Arial" w:eastAsia="Arial" w:hAnsi="Arial"/>
          <w:sz w:val="21"/>
          <w:szCs w:val="21"/>
          <w:color w:val="auto"/>
          <w:vertAlign w:val="superscript"/>
        </w:rPr>
      </w:pPr>
      <w:r>
        <w:rPr>
          <w:rFonts w:ascii="Arial" w:cs="Arial" w:eastAsia="Arial" w:hAnsi="Arial"/>
          <w:sz w:val="14"/>
          <w:szCs w:val="14"/>
          <w:color w:val="auto"/>
        </w:rPr>
        <w:t>Relates to parts, accessories, and services.</w:t>
      </w:r>
    </w:p>
    <w:p>
      <w:pPr>
        <w:ind w:left="300" w:hanging="292"/>
        <w:spacing w:after="0" w:line="189" w:lineRule="auto"/>
        <w:tabs>
          <w:tab w:leader="none" w:pos="300" w:val="left"/>
        </w:tabs>
        <w:numPr>
          <w:ilvl w:val="0"/>
          <w:numId w:val="4"/>
        </w:numPr>
        <w:rPr>
          <w:rFonts w:ascii="Arial" w:cs="Arial" w:eastAsia="Arial" w:hAnsi="Arial"/>
          <w:sz w:val="19"/>
          <w:szCs w:val="19"/>
          <w:color w:val="auto"/>
          <w:vertAlign w:val="superscript"/>
        </w:rPr>
      </w:pPr>
      <w:r>
        <w:rPr>
          <w:rFonts w:ascii="Arial" w:cs="Arial" w:eastAsia="Arial" w:hAnsi="Arial"/>
          <w:sz w:val="13"/>
          <w:szCs w:val="13"/>
          <w:color w:val="auto"/>
        </w:rPr>
        <w:t>Relates to specialty vehicle units, parts, accessories, and services.</w:t>
      </w:r>
    </w:p>
    <w:p>
      <w:pPr>
        <w:spacing w:after="0" w:line="230"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We do not have material contract assets or liabilities. Allowances for uncollectible receivables are established based on historical collection trends, write-off history, consideration of current conditions and expectations for future economic conditions.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 of Risk</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No single dealer organization accounted for more than 10% of net revenue for the six months ended February 26, 2022 or February 27, 2021.</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Stock-Based Compensation</w:t>
      </w:r>
    </w:p>
    <w:p>
      <w:pPr>
        <w:spacing w:after="0" w:line="26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On December 11, 2018, our shareholders approved the Winnebago Industries, Inc. 2019 Omnibus Incentive Plan ("2019 Plan") as detailed in our Proxy Statement for the 2018 Annual Meeting of Shareholders. The 2019 Plan allows us to grant or issue non-qualified stock options, incentive stock options, restricted share units, and other equity compensation to key employees and to non-employee directors. The 2019 Plan replaces the 2014 Omnibus Equity, Performance Award, and Incentive Compensation Plan (as amended, the "2014 Plan"). The number of shares of our common stock that may be awarded and issued under the 2019 Plan is 4.1 million shares, plus the shares subject to any awards outstanding under the 2014 Plan and our predecessor plan, the 2004 Incentive Compensation Plan (the “2004 Plan”), on December 11, 2018 that subsequently expire, are forfeited or canceled, or are settled for cash. Until such time, awards under the 2014 Plan and the 2004 Plan, respectively, that were outstanding on December 11, 2018 will continue to be subject to the terms of the 2014 Plan or 2004 Plan, as applicable. Shares remaining available for future awards under the 2014 Plan were not carried over into the 2019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Stock-based compensation expense was $4.2 million and $4.6 million during the three months ended February 26, 2022 and February 27, 2021, respectively; and $6.9 million and $7.0 million during the six months ended February 26, 2022 and February 27, 2021, respectively. Compensation expense is recognized over the requisite service or performance period of the award.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Income Taxes</w:t>
      </w:r>
    </w:p>
    <w:p>
      <w:pPr>
        <w:spacing w:after="0" w:line="26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Our effective tax rate was 24.0% and 23.5% for the three months ended February 26, 2022 and February 27, 2021, respectively, and 23.6% and 23.4% for the six months ended February 26, 2022 and February 27, 2021, respectively. The increase in tax rate for the three and six months ended February 26, 2022 compared to the three and six months ended February 27, 2021 was driven primarily by the impact of both consistent tax credits year-over-year over increased income in the current year and a net unfavorable expense in the current year related to stock compensation.</w:t>
      </w:r>
    </w:p>
    <w:p>
      <w:pPr>
        <w:spacing w:after="0" w:line="229"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We file a U.S. Federal tax return, as well as returns in various international and state jurisdictions. As of February 26, 2022, our Federal returns from Fiscal 2018 to present are subject to review by the Internal Revenue Service. With limited exceptions, state returns from Fiscal 2017 to present continue to be subject to review by state taxing jurisdictions. We are currently under review by certain U.S. state tax authorities for Fiscal 2016 through Fiscal 2019. We believe we have adequately reserved for our exposure to potential additional payments for uncertain tax positions in our liability for unrecognized tax benefits.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Earnings Per Share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Basic and diluted earnings per share are calculated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4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8"/>
                <w:szCs w:val="18"/>
                <w:color w:val="auto"/>
              </w:rPr>
            </w:pPr>
          </w:p>
        </w:tc>
        <w:tc>
          <w:tcPr>
            <w:tcW w:w="3120" w:type="dxa"/>
            <w:vAlign w:val="bottom"/>
            <w:gridSpan w:val="4"/>
          </w:tcPr>
          <w:p>
            <w:pPr>
              <w:jc w:val="right"/>
              <w:ind w:right="89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58"/>
        </w:trPr>
        <w:tc>
          <w:tcPr>
            <w:tcW w:w="44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2"/>
          </w:tcPr>
          <w:p>
            <w:pPr>
              <w:ind w:left="120"/>
              <w:spacing w:after="0" w:line="158" w:lineRule="exact"/>
              <w:rPr>
                <w:sz w:val="20"/>
                <w:szCs w:val="20"/>
                <w:color w:val="auto"/>
              </w:rPr>
            </w:pPr>
            <w:r>
              <w:rPr>
                <w:rFonts w:ascii="Arial" w:cs="Arial" w:eastAsia="Arial" w:hAnsi="Arial"/>
                <w:sz w:val="16"/>
                <w:szCs w:val="16"/>
                <w:b w:val="1"/>
                <w:bCs w:val="1"/>
                <w:color w:val="auto"/>
              </w:rPr>
              <w:t>February 26,</w:t>
            </w:r>
          </w:p>
        </w:tc>
        <w:tc>
          <w:tcPr>
            <w:tcW w:w="2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259"/>
              <w:spacing w:after="0" w:line="158" w:lineRule="exact"/>
              <w:rPr>
                <w:sz w:val="20"/>
                <w:szCs w:val="20"/>
                <w:color w:val="auto"/>
              </w:rPr>
            </w:pPr>
            <w:r>
              <w:rPr>
                <w:rFonts w:ascii="Arial" w:cs="Arial" w:eastAsia="Arial" w:hAnsi="Arial"/>
                <w:sz w:val="16"/>
                <w:szCs w:val="16"/>
                <w:b w:val="1"/>
                <w:bCs w:val="1"/>
                <w:color w:val="auto"/>
              </w:rPr>
              <w:t>February 27,</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2"/>
          </w:tcPr>
          <w:p>
            <w:pPr>
              <w:ind w:left="100"/>
              <w:spacing w:after="0" w:line="158" w:lineRule="exact"/>
              <w:rPr>
                <w:sz w:val="20"/>
                <w:szCs w:val="20"/>
                <w:color w:val="auto"/>
              </w:rPr>
            </w:pPr>
            <w:r>
              <w:rPr>
                <w:rFonts w:ascii="Arial" w:cs="Arial" w:eastAsia="Arial" w:hAnsi="Arial"/>
                <w:sz w:val="16"/>
                <w:szCs w:val="16"/>
                <w:b w:val="1"/>
                <w:bCs w:val="1"/>
                <w:color w:val="auto"/>
              </w:rPr>
              <w:t>February 26,</w:t>
            </w:r>
          </w:p>
        </w:tc>
        <w:tc>
          <w:tcPr>
            <w:tcW w:w="2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239"/>
              <w:spacing w:after="0" w:line="158" w:lineRule="exact"/>
              <w:rPr>
                <w:sz w:val="20"/>
                <w:szCs w:val="20"/>
                <w:color w:val="auto"/>
              </w:rPr>
            </w:pPr>
            <w:r>
              <w:rPr>
                <w:rFonts w:ascii="Arial" w:cs="Arial" w:eastAsia="Arial" w:hAnsi="Arial"/>
                <w:sz w:val="16"/>
                <w:szCs w:val="16"/>
                <w:b w:val="1"/>
                <w:bCs w:val="1"/>
                <w:color w:val="auto"/>
              </w:rPr>
              <w:t>February 27,</w:t>
            </w:r>
          </w:p>
        </w:tc>
        <w:tc>
          <w:tcPr>
            <w:tcW w:w="0" w:type="dxa"/>
            <w:vAlign w:val="bottom"/>
          </w:tcPr>
          <w:p>
            <w:pPr>
              <w:spacing w:after="0"/>
              <w:rPr>
                <w:sz w:val="1"/>
                <w:szCs w:val="1"/>
                <w:color w:val="auto"/>
              </w:rPr>
            </w:pPr>
          </w:p>
        </w:tc>
      </w:tr>
      <w:tr>
        <w:trPr>
          <w:trHeight w:val="216"/>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data)</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34"/>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91,175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69,068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190,805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126,491</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33,098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33,571</w:t>
            </w:r>
          </w:p>
        </w:tc>
        <w:tc>
          <w:tcPr>
            <w:tcW w:w="0" w:type="dxa"/>
            <w:vAlign w:val="bottom"/>
          </w:tcPr>
          <w:p>
            <w:pPr>
              <w:spacing w:after="0"/>
              <w:rPr>
                <w:sz w:val="1"/>
                <w:szCs w:val="1"/>
                <w:color w:val="auto"/>
              </w:rPr>
            </w:pPr>
          </w:p>
        </w:tc>
      </w:tr>
      <w:tr>
        <w:trPr>
          <w:trHeight w:val="213"/>
        </w:trPr>
        <w:tc>
          <w:tcPr>
            <w:tcW w:w="4440" w:type="dxa"/>
            <w:vAlign w:val="bottom"/>
          </w:tcPr>
          <w:p>
            <w:pPr>
              <w:ind w:left="20"/>
              <w:spacing w:after="0"/>
              <w:rPr>
                <w:sz w:val="20"/>
                <w:szCs w:val="20"/>
                <w:color w:val="auto"/>
              </w:rPr>
            </w:pPr>
            <w:r>
              <w:rPr>
                <w:rFonts w:ascii="Arial" w:cs="Arial" w:eastAsia="Arial" w:hAnsi="Arial"/>
                <w:sz w:val="16"/>
                <w:szCs w:val="16"/>
                <w:color w:val="auto"/>
              </w:rPr>
              <w:t>Dilutive impact of stock compensation awards</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458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Dilutive impact of convertible notes</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7"/>
        </w:trPr>
        <w:tc>
          <w:tcPr>
            <w:tcW w:w="4440" w:type="dxa"/>
            <w:vAlign w:val="bottom"/>
          </w:tcPr>
          <w:p>
            <w:pPr>
              <w:ind w:left="20"/>
              <w:spacing w:after="0" w:line="158" w:lineRule="exact"/>
              <w:rPr>
                <w:sz w:val="20"/>
                <w:szCs w:val="20"/>
                <w:color w:val="auto"/>
              </w:rPr>
            </w:pPr>
            <w:r>
              <w:rPr>
                <w:rFonts w:ascii="Arial" w:cs="Arial" w:eastAsia="Arial" w:hAnsi="Arial"/>
                <w:sz w:val="16"/>
                <w:szCs w:val="16"/>
                <w:color w:val="auto"/>
              </w:rPr>
              <w:t>Weighted average common shares outstanding, assuming</w:t>
            </w:r>
          </w:p>
        </w:tc>
        <w:tc>
          <w:tcPr>
            <w:tcW w:w="22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33,934</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33,910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34,168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33,821</w:t>
            </w:r>
          </w:p>
        </w:tc>
        <w:tc>
          <w:tcPr>
            <w:tcW w:w="0" w:type="dxa"/>
            <w:vAlign w:val="bottom"/>
          </w:tcPr>
          <w:p>
            <w:pPr>
              <w:spacing w:after="0"/>
              <w:rPr>
                <w:sz w:val="1"/>
                <w:szCs w:val="1"/>
                <w:color w:val="auto"/>
              </w:rPr>
            </w:pPr>
          </w:p>
        </w:tc>
      </w:tr>
      <w:tr>
        <w:trPr>
          <w:trHeight w:val="174"/>
        </w:trPr>
        <w:tc>
          <w:tcPr>
            <w:tcW w:w="4440" w:type="dxa"/>
            <w:vAlign w:val="bottom"/>
          </w:tcPr>
          <w:p>
            <w:pPr>
              <w:ind w:left="20"/>
              <w:spacing w:after="0" w:line="174" w:lineRule="exact"/>
              <w:rPr>
                <w:sz w:val="20"/>
                <w:szCs w:val="20"/>
                <w:color w:val="auto"/>
              </w:rPr>
            </w:pPr>
            <w:r>
              <w:rPr>
                <w:rFonts w:ascii="Arial" w:cs="Arial" w:eastAsia="Arial" w:hAnsi="Arial"/>
                <w:sz w:val="16"/>
                <w:szCs w:val="16"/>
                <w:color w:val="auto"/>
              </w:rPr>
              <w:t>dilution</w:t>
            </w: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4440" w:type="dxa"/>
            <w:vAlign w:val="bottom"/>
          </w:tcPr>
          <w:p>
            <w:pPr>
              <w:ind w:left="20"/>
              <w:spacing w:after="0" w:line="178" w:lineRule="exact"/>
              <w:rPr>
                <w:sz w:val="20"/>
                <w:szCs w:val="20"/>
                <w:color w:val="auto"/>
              </w:rPr>
            </w:pPr>
            <w:r>
              <w:rPr>
                <w:rFonts w:ascii="Arial" w:cs="Arial" w:eastAsia="Arial" w:hAnsi="Arial"/>
                <w:sz w:val="16"/>
                <w:szCs w:val="16"/>
                <w:color w:val="auto"/>
              </w:rPr>
              <w:t>Anti-dilutive securities excluded from weighted average</w:t>
            </w: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440" w:type="dxa"/>
            <w:vAlign w:val="bottom"/>
          </w:tcPr>
          <w:p>
            <w:pPr>
              <w:ind w:left="20"/>
              <w:spacing w:after="0"/>
              <w:rPr>
                <w:sz w:val="20"/>
                <w:szCs w:val="20"/>
                <w:color w:val="auto"/>
              </w:rPr>
            </w:pPr>
            <w:r>
              <w:rPr>
                <w:rFonts w:ascii="Arial" w:cs="Arial" w:eastAsia="Arial" w:hAnsi="Arial"/>
                <w:sz w:val="16"/>
                <w:szCs w:val="16"/>
                <w:color w:val="auto"/>
              </w:rPr>
              <w:t>common shares outstanding, assuming dilution</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65"/>
        </w:trPr>
        <w:tc>
          <w:tcPr>
            <w:tcW w:w="4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20"/>
              <w:spacing w:after="0"/>
              <w:rPr>
                <w:sz w:val="20"/>
                <w:szCs w:val="20"/>
                <w:color w:val="auto"/>
              </w:rPr>
            </w:pPr>
            <w:r>
              <w:rPr>
                <w:rFonts w:ascii="Arial" w:cs="Arial" w:eastAsia="Arial" w:hAnsi="Arial"/>
                <w:sz w:val="16"/>
                <w:szCs w:val="16"/>
                <w:color w:val="auto"/>
              </w:rPr>
              <w:t>Basic earnings per common share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5.75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earnings per common share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bl>
    <w:p>
      <w:pPr>
        <w:spacing w:after="0" w:line="339"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Under the treasury stock method, shares associated with certain anti-dilutive securities have been excluded from the diluted weighted average shares outstanding calculation because the exercise of those options would lead to a net reduction in common shares outstanding or anti-dilution.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16. Accumulated Other Comprehensive Income (Loss)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Changes in Accumulated Other Comprehensive Income ("AOCI") by component, net of tax, were: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40" w:type="dxa"/>
            <w:vAlign w:val="bottom"/>
            <w:gridSpan w:val="5"/>
          </w:tcPr>
          <w:p>
            <w:pPr>
              <w:ind w:left="76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3240" w:type="dxa"/>
            <w:vAlign w:val="bottom"/>
            <w:gridSpan w:val="4"/>
          </w:tcPr>
          <w:p>
            <w:pPr>
              <w:jc w:val="right"/>
              <w:ind w:right="899"/>
              <w:spacing w:after="0"/>
              <w:rPr>
                <w:sz w:val="20"/>
                <w:szCs w:val="20"/>
                <w:color w:val="auto"/>
              </w:rPr>
            </w:pPr>
            <w:r>
              <w:rPr>
                <w:rFonts w:ascii="Arial" w:cs="Arial" w:eastAsia="Arial" w:hAnsi="Arial"/>
                <w:sz w:val="16"/>
                <w:szCs w:val="16"/>
                <w:b w:val="1"/>
                <w:bCs w:val="1"/>
                <w:color w:val="auto"/>
              </w:rPr>
              <w:t>Six Months Ended</w:t>
            </w:r>
          </w:p>
        </w:tc>
      </w:tr>
      <w:tr>
        <w:trPr>
          <w:trHeight w:val="212"/>
        </w:trPr>
        <w:tc>
          <w:tcPr>
            <w:tcW w:w="4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rPr>
              <w:t>February 26, 2022</w:t>
            </w:r>
          </w:p>
        </w:tc>
        <w:tc>
          <w:tcPr>
            <w:tcW w:w="1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February 27, 2021</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rPr>
              <w:t>February 26, 2022</w:t>
            </w:r>
          </w:p>
        </w:tc>
        <w:tc>
          <w:tcPr>
            <w:tcW w:w="1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February 27, 2021</w:t>
            </w:r>
          </w:p>
        </w:tc>
      </w:tr>
      <w:tr>
        <w:trPr>
          <w:trHeight w:val="156"/>
        </w:trPr>
        <w:tc>
          <w:tcPr>
            <w:tcW w:w="44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jc w:val="center"/>
              <w:ind w:right="19"/>
              <w:spacing w:after="0" w:line="156" w:lineRule="exact"/>
              <w:rPr>
                <w:sz w:val="20"/>
                <w:szCs w:val="20"/>
                <w:color w:val="auto"/>
              </w:rPr>
            </w:pPr>
            <w:r>
              <w:rPr>
                <w:rFonts w:ascii="Arial" w:cs="Arial" w:eastAsia="Arial" w:hAnsi="Arial"/>
                <w:sz w:val="16"/>
                <w:szCs w:val="16"/>
                <w:b w:val="1"/>
                <w:bCs w:val="1"/>
                <w:color w:val="auto"/>
              </w:rPr>
              <w:t>Defined Benefit</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jc w:val="center"/>
              <w:ind w:right="39"/>
              <w:spacing w:after="0" w:line="156" w:lineRule="exact"/>
              <w:rPr>
                <w:sz w:val="20"/>
                <w:szCs w:val="20"/>
                <w:color w:val="auto"/>
              </w:rPr>
            </w:pPr>
            <w:r>
              <w:rPr>
                <w:rFonts w:ascii="Arial" w:cs="Arial" w:eastAsia="Arial" w:hAnsi="Arial"/>
                <w:sz w:val="16"/>
                <w:szCs w:val="16"/>
                <w:b w:val="1"/>
                <w:bCs w:val="1"/>
                <w:color w:val="auto"/>
              </w:rPr>
              <w:t>Defined Benefit</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jc w:val="center"/>
              <w:ind w:right="39"/>
              <w:spacing w:after="0" w:line="156" w:lineRule="exact"/>
              <w:rPr>
                <w:sz w:val="20"/>
                <w:szCs w:val="20"/>
                <w:color w:val="auto"/>
              </w:rPr>
            </w:pPr>
            <w:r>
              <w:rPr>
                <w:rFonts w:ascii="Arial" w:cs="Arial" w:eastAsia="Arial" w:hAnsi="Arial"/>
                <w:sz w:val="16"/>
                <w:szCs w:val="16"/>
                <w:b w:val="1"/>
                <w:bCs w:val="1"/>
                <w:color w:val="auto"/>
              </w:rPr>
              <w:t>Defined Benefit</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jc w:val="center"/>
              <w:ind w:right="39"/>
              <w:spacing w:after="0" w:line="156" w:lineRule="exact"/>
              <w:rPr>
                <w:sz w:val="20"/>
                <w:szCs w:val="20"/>
                <w:color w:val="auto"/>
              </w:rPr>
            </w:pPr>
            <w:r>
              <w:rPr>
                <w:rFonts w:ascii="Arial" w:cs="Arial" w:eastAsia="Arial" w:hAnsi="Arial"/>
                <w:sz w:val="16"/>
                <w:szCs w:val="16"/>
                <w:b w:val="1"/>
                <w:bCs w:val="1"/>
                <w:color w:val="auto"/>
              </w:rPr>
              <w:t>Defined Benefit</w:t>
            </w:r>
          </w:p>
        </w:tc>
      </w:tr>
      <w:tr>
        <w:trPr>
          <w:trHeight w:val="216"/>
        </w:trPr>
        <w:tc>
          <w:tcPr>
            <w:tcW w:w="444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Pension Items</w:t>
            </w:r>
          </w:p>
        </w:tc>
        <w:tc>
          <w:tcPr>
            <w:tcW w:w="1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Pension Items</w:t>
            </w:r>
          </w:p>
        </w:tc>
        <w:tc>
          <w:tcPr>
            <w:tcW w:w="100" w:type="dxa"/>
            <w:vAlign w:val="bottom"/>
          </w:tcPr>
          <w:p>
            <w:pPr>
              <w:spacing w:after="0"/>
              <w:rPr>
                <w:sz w:val="18"/>
                <w:szCs w:val="18"/>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Pension Items</w:t>
            </w:r>
          </w:p>
        </w:tc>
        <w:tc>
          <w:tcPr>
            <w:tcW w:w="120" w:type="dxa"/>
            <w:vAlign w:val="bottom"/>
          </w:tcPr>
          <w:p>
            <w:pPr>
              <w:spacing w:after="0"/>
              <w:rPr>
                <w:sz w:val="18"/>
                <w:szCs w:val="18"/>
                <w:color w:val="auto"/>
              </w:rPr>
            </w:pPr>
          </w:p>
        </w:tc>
        <w:tc>
          <w:tcPr>
            <w:tcW w:w="1500" w:type="dxa"/>
            <w:vAlign w:val="bottom"/>
          </w:tcPr>
          <w:p>
            <w:pPr>
              <w:jc w:val="center"/>
              <w:ind w:right="39"/>
              <w:spacing w:after="0"/>
              <w:rPr>
                <w:sz w:val="20"/>
                <w:szCs w:val="20"/>
                <w:color w:val="auto"/>
              </w:rPr>
            </w:pPr>
            <w:r>
              <w:rPr>
                <w:rFonts w:ascii="Arial" w:cs="Arial" w:eastAsia="Arial" w:hAnsi="Arial"/>
                <w:sz w:val="16"/>
                <w:szCs w:val="16"/>
                <w:b w:val="1"/>
                <w:bCs w:val="1"/>
                <w:color w:val="auto"/>
              </w:rPr>
              <w:t>Pension Items</w:t>
            </w:r>
          </w:p>
        </w:tc>
      </w:tr>
      <w:tr>
        <w:trPr>
          <w:trHeight w:val="210"/>
        </w:trPr>
        <w:tc>
          <w:tcPr>
            <w:tcW w:w="4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w:t>
            </w:r>
          </w:p>
        </w:tc>
      </w:tr>
      <w:tr>
        <w:trPr>
          <w:trHeight w:val="213"/>
        </w:trPr>
        <w:tc>
          <w:tcPr>
            <w:tcW w:w="44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Amounts reclassified from AOCI</w:t>
            </w: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210"/>
        </w:trPr>
        <w:tc>
          <w:tcPr>
            <w:tcW w:w="4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current-period OCI</w:t>
            </w: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3"/>
        </w:trPr>
        <w:tc>
          <w:tcPr>
            <w:tcW w:w="444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w:t>
            </w:r>
          </w:p>
        </w:tc>
      </w:tr>
      <w:tr>
        <w:trPr>
          <w:trHeight w:val="20"/>
        </w:trPr>
        <w:tc>
          <w:tcPr>
            <w:tcW w:w="4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Reclassifications out of AOCI, net of tax, were: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2320" w:type="dxa"/>
            <w:vAlign w:val="bottom"/>
          </w:tcPr>
          <w:p>
            <w:pPr>
              <w:jc w:val="center"/>
              <w:spacing w:after="0" w:line="148" w:lineRule="exact"/>
              <w:rPr>
                <w:sz w:val="20"/>
                <w:szCs w:val="20"/>
                <w:color w:val="auto"/>
              </w:rPr>
            </w:pPr>
            <w:r>
              <w:rPr>
                <w:rFonts w:ascii="Arial" w:cs="Arial" w:eastAsia="Arial" w:hAnsi="Arial"/>
                <w:sz w:val="16"/>
                <w:szCs w:val="16"/>
                <w:b w:val="1"/>
                <w:bCs w:val="1"/>
                <w:color w:val="auto"/>
              </w:rPr>
              <w:t>Location on Consolidated</w:t>
            </w: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2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Statements</w:t>
            </w:r>
          </w:p>
        </w:tc>
        <w:tc>
          <w:tcPr>
            <w:tcW w:w="220" w:type="dxa"/>
            <w:vAlign w:val="bottom"/>
          </w:tcPr>
          <w:p>
            <w:pPr>
              <w:spacing w:after="0"/>
              <w:rPr>
                <w:sz w:val="14"/>
                <w:szCs w:val="14"/>
                <w:color w:val="auto"/>
              </w:rPr>
            </w:pPr>
          </w:p>
        </w:tc>
        <w:tc>
          <w:tcPr>
            <w:tcW w:w="150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rPr>
              <w:t>February 26,</w:t>
            </w:r>
          </w:p>
        </w:tc>
        <w:tc>
          <w:tcPr>
            <w:tcW w:w="1360" w:type="dxa"/>
            <w:vAlign w:val="bottom"/>
            <w:vMerge w:val="restart"/>
          </w:tcPr>
          <w:p>
            <w:pPr>
              <w:jc w:val="center"/>
              <w:ind w:left="159"/>
              <w:spacing w:after="0"/>
              <w:rPr>
                <w:sz w:val="20"/>
                <w:szCs w:val="20"/>
                <w:color w:val="auto"/>
              </w:rPr>
            </w:pPr>
            <w:r>
              <w:rPr>
                <w:rFonts w:ascii="Arial" w:cs="Arial" w:eastAsia="Arial" w:hAnsi="Arial"/>
                <w:sz w:val="16"/>
                <w:szCs w:val="16"/>
                <w:b w:val="1"/>
                <w:bCs w:val="1"/>
                <w:color w:val="auto"/>
              </w:rPr>
              <w:t>February 27,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rPr>
              <w:t>February 26,</w:t>
            </w:r>
          </w:p>
        </w:tc>
        <w:tc>
          <w:tcPr>
            <w:tcW w:w="220" w:type="dxa"/>
            <w:vAlign w:val="bottom"/>
          </w:tcPr>
          <w:p>
            <w:pPr>
              <w:spacing w:after="0"/>
              <w:rPr>
                <w:sz w:val="14"/>
                <w:szCs w:val="14"/>
                <w:color w:val="auto"/>
              </w:rPr>
            </w:pPr>
          </w:p>
        </w:tc>
        <w:tc>
          <w:tcPr>
            <w:tcW w:w="1400" w:type="dxa"/>
            <w:vAlign w:val="bottom"/>
            <w:vMerge w:val="restart"/>
          </w:tcPr>
          <w:p>
            <w:pPr>
              <w:jc w:val="center"/>
              <w:ind w:right="139"/>
              <w:spacing w:after="0"/>
              <w:rPr>
                <w:sz w:val="20"/>
                <w:szCs w:val="20"/>
                <w:color w:val="auto"/>
              </w:rPr>
            </w:pPr>
            <w:r>
              <w:rPr>
                <w:rFonts w:ascii="Arial" w:cs="Arial" w:eastAsia="Arial" w:hAnsi="Arial"/>
                <w:sz w:val="16"/>
                <w:szCs w:val="16"/>
                <w:b w:val="1"/>
                <w:bCs w:val="1"/>
                <w:color w:val="auto"/>
              </w:rPr>
              <w:t>February 27,</w:t>
            </w: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2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of Income and</w:t>
            </w:r>
          </w:p>
        </w:tc>
        <w:tc>
          <w:tcPr>
            <w:tcW w:w="2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Comprehensive Income</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71"/>
        </w:trPr>
        <w:tc>
          <w:tcPr>
            <w:tcW w:w="2180" w:type="dxa"/>
            <w:vAlign w:val="bottom"/>
            <w:shd w:val="clear" w:color="auto" w:fill="CCEEFF"/>
          </w:tcPr>
          <w:p>
            <w:pPr>
              <w:ind w:left="20"/>
              <w:spacing w:after="0" w:line="171" w:lineRule="exact"/>
              <w:rPr>
                <w:sz w:val="20"/>
                <w:szCs w:val="20"/>
                <w:color w:val="auto"/>
              </w:rPr>
            </w:pPr>
            <w:r>
              <w:rPr>
                <w:rFonts w:ascii="Arial" w:cs="Arial" w:eastAsia="Arial" w:hAnsi="Arial"/>
                <w:sz w:val="16"/>
                <w:szCs w:val="16"/>
                <w:color w:val="auto"/>
              </w:rPr>
              <w:t>Amortization of net actuarial</w:t>
            </w:r>
          </w:p>
        </w:tc>
        <w:tc>
          <w:tcPr>
            <w:tcW w:w="23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8"/>
              </w:rPr>
              <w:t>SG&amp;A</w:t>
            </w: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ind w:right="1179"/>
              <w:spacing w:after="0"/>
              <w:rPr>
                <w:sz w:val="20"/>
                <w:szCs w:val="20"/>
                <w:color w:val="auto"/>
              </w:rPr>
            </w:pPr>
            <w:r>
              <w:rPr>
                <w:rFonts w:ascii="Arial" w:cs="Arial" w:eastAsia="Arial" w:hAnsi="Arial"/>
                <w:sz w:val="16"/>
                <w:szCs w:val="16"/>
                <w:color w:val="auto"/>
                <w:w w:val="89"/>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1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loss</w:t>
            </w:r>
          </w:p>
        </w:tc>
        <w:tc>
          <w:tcPr>
            <w:tcW w:w="2320" w:type="dxa"/>
            <w:vAlign w:val="bottom"/>
            <w:vMerge w:val="continue"/>
            <w:shd w:val="clear" w:color="auto" w:fill="CCEEFF"/>
          </w:tcPr>
          <w:p>
            <w:pPr>
              <w:spacing w:after="0"/>
              <w:rPr>
                <w:sz w:val="9"/>
                <w:szCs w:val="9"/>
                <w:color w:val="auto"/>
              </w:rPr>
            </w:pPr>
          </w:p>
        </w:tc>
        <w:tc>
          <w:tcPr>
            <w:tcW w:w="220" w:type="dxa"/>
            <w:vAlign w:val="bottom"/>
            <w:vMerge w:val="continue"/>
            <w:shd w:val="clear" w:color="auto" w:fill="CCEEFF"/>
          </w:tcPr>
          <w:p>
            <w:pPr>
              <w:spacing w:after="0"/>
              <w:rPr>
                <w:sz w:val="9"/>
                <w:szCs w:val="9"/>
                <w:color w:val="auto"/>
              </w:rPr>
            </w:pPr>
          </w:p>
        </w:tc>
        <w:tc>
          <w:tcPr>
            <w:tcW w:w="138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60" w:type="dxa"/>
            <w:vAlign w:val="bottom"/>
            <w:vMerge w:val="continue"/>
            <w:shd w:val="clear" w:color="auto" w:fill="CCEEFF"/>
          </w:tcPr>
          <w:p>
            <w:pPr>
              <w:spacing w:after="0"/>
              <w:rPr>
                <w:sz w:val="9"/>
                <w:szCs w:val="9"/>
                <w:color w:val="auto"/>
              </w:rPr>
            </w:pPr>
          </w:p>
        </w:tc>
        <w:tc>
          <w:tcPr>
            <w:tcW w:w="2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87"/>
        </w:trPr>
        <w:tc>
          <w:tcPr>
            <w:tcW w:w="2180" w:type="dxa"/>
            <w:vAlign w:val="bottom"/>
            <w:vMerge w:val="continue"/>
            <w:shd w:val="clear" w:color="auto" w:fill="CCEEFF"/>
          </w:tcPr>
          <w:p>
            <w:pPr>
              <w:spacing w:after="0"/>
              <w:rPr>
                <w:sz w:val="7"/>
                <w:szCs w:val="7"/>
                <w:color w:val="auto"/>
              </w:rPr>
            </w:pPr>
          </w:p>
        </w:tc>
        <w:tc>
          <w:tcPr>
            <w:tcW w:w="23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vMerge w:val="continue"/>
            <w:shd w:val="clear" w:color="auto" w:fill="CCEEFF"/>
          </w:tcPr>
          <w:p>
            <w:pPr>
              <w:spacing w:after="0"/>
              <w:rPr>
                <w:sz w:val="7"/>
                <w:szCs w:val="7"/>
                <w:color w:val="auto"/>
              </w:rPr>
            </w:pPr>
          </w:p>
        </w:tc>
        <w:tc>
          <w:tcPr>
            <w:tcW w:w="13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vMerge w:val="continue"/>
            <w:shd w:val="clear" w:color="auto" w:fill="CCEEFF"/>
          </w:tcPr>
          <w:p>
            <w:pPr>
              <w:spacing w:after="0"/>
              <w:rPr>
                <w:sz w:val="7"/>
                <w:szCs w:val="7"/>
                <w:color w:val="auto"/>
              </w:rPr>
            </w:pPr>
          </w:p>
        </w:tc>
        <w:tc>
          <w:tcPr>
            <w:tcW w:w="14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terms "Winnebago," "we," "us," and "our," unless the context otherwise requires, refer to Winnebago Industries, Inc. and its wholly-owned subsidiaries.</w:t>
      </w:r>
    </w:p>
    <w:p>
      <w:pPr>
        <w:spacing w:after="0" w:line="248"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Management’s Discussion and Analysis of Financial Condition and Results of Operations (“MD&amp;A”) is intended to provide a reader of our financial statements with a narrative from the perspective of management on our financial condition, results of operations, liquidity, and certain other factors that may affect our future results. Unless otherwise noted, transactions and other factors significantly impacting our financial condition, results of operations and liquidity are discussed in order of magnitude.</w:t>
      </w:r>
    </w:p>
    <w:p>
      <w:pPr>
        <w:spacing w:after="0" w:line="229"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Our MD&amp;A should be read in conjunction with the Consolidated Financial Statements and related Notes included in Item 1 of Part I of this Quarterly Report on Form 10-Q and our Annual Report on Form 10-K for the fiscal year ended August 28, 2021 (including the information presented therein under Risk Factors), as well as our reports on Forms 10-Q and 8-K and other publicly available information. All amounts herein are unaudited. All amounts in tables are in thousands, except share and per share data, unless otherwise noted.</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33"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Winnebago Industries, Inc. is one of the leading North American manufacturers of recreation vehicles ("RV"s) and marine products with a diversified portfolio used primarily in leisure travel and outdoor recreational activities. We produce our motorhome units in Iowa and Indiana; our towable units in Indiana; and our marine units in Indiana and Florida. We distribute our RV and marine products primarily through independent dealers throughout the U.S. and Canada, who then retail the products to the end consumer. We also distribute our marine products internationally through independent dealers, who then retail the products to the end consumer.</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Macroeconomic Events</w:t>
      </w:r>
    </w:p>
    <w:p>
      <w:pPr>
        <w:spacing w:after="0" w:line="133"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In February 2022, the United States announced targeted economic sanctions on Russia in response to the military conflict in Ukraine. As described in Part I, Item 1A — Risk Factors, in the Annual Report on Form 10-K for the fiscal year ended August 28, 2021, our business may be sensitive to economic conditions such as the adverse impact of global tensions, which could impact input costs, consumer spending, and fuel prices. As our operations are primarily in North America, we have no direct exposure to Russia and Ukraine. However, we are actively monitoring the broader economic impact of the crisis, especially the potential impact of rising commodity and fuel prices, and the potential decreased demand for our products.</w:t>
      </w:r>
    </w:p>
    <w:p>
      <w:pPr>
        <w:spacing w:after="0" w:line="230" w:lineRule="exact"/>
        <w:rPr>
          <w:sz w:val="20"/>
          <w:szCs w:val="20"/>
          <w:color w:val="auto"/>
        </w:rPr>
      </w:pPr>
    </w:p>
    <w:p>
      <w:pPr>
        <w:ind w:right="220"/>
        <w:spacing w:after="0" w:line="248" w:lineRule="auto"/>
        <w:rPr>
          <w:sz w:val="20"/>
          <w:szCs w:val="20"/>
          <w:color w:val="auto"/>
        </w:rPr>
      </w:pPr>
      <w:r>
        <w:rPr>
          <w:rFonts w:ascii="Arial" w:cs="Arial" w:eastAsia="Arial" w:hAnsi="Arial"/>
          <w:sz w:val="16"/>
          <w:szCs w:val="16"/>
          <w:color w:val="212529"/>
        </w:rPr>
        <w:t>We continue to monitor guidance from international and domestic authorities, including federal, state and local public health authorities, regarding the COVID-19 pandemic and may take additional actions based on their requirements and recommendations. In these circumstances, there may be developments outside our control requiring us to adjust our operating plan. Overall, t</w:t>
      </w:r>
      <w:r>
        <w:rPr>
          <w:rFonts w:ascii="Arial" w:cs="Arial" w:eastAsia="Arial" w:hAnsi="Arial"/>
          <w:sz w:val="16"/>
          <w:szCs w:val="16"/>
          <w:color w:val="000000"/>
        </w:rPr>
        <w:t>here has been strong retail demand by consumers of RVs as a safe</w:t>
      </w:r>
      <w:r>
        <w:rPr>
          <w:rFonts w:ascii="Arial" w:cs="Arial" w:eastAsia="Arial" w:hAnsi="Arial"/>
          <w:sz w:val="16"/>
          <w:szCs w:val="16"/>
          <w:color w:val="212529"/>
        </w:rPr>
        <w:t xml:space="preserve"> </w:t>
      </w:r>
      <w:r>
        <w:rPr>
          <w:rFonts w:ascii="Arial" w:cs="Arial" w:eastAsia="Arial" w:hAnsi="Arial"/>
          <w:sz w:val="16"/>
          <w:szCs w:val="16"/>
          <w:color w:val="000000"/>
        </w:rPr>
        <w:t xml:space="preserve">travel option, and of marine products as a safe way to experience the outdoors, during the COVID-19 pandemic. Our production has experienced certain supply shortages and material and component cost inflation. If these disruptions continue, or if there are additional disruptions in our supply chain, it could materially or adversely impact our operating results and financial condition. Despite certain supply shortages and inflationary cost input pressures, we continue to actively manage through these temporary supply chain disruptions. </w:t>
      </w:r>
      <w:r>
        <w:rPr>
          <w:rFonts w:ascii="Arial" w:cs="Arial" w:eastAsia="Arial" w:hAnsi="Arial"/>
          <w:sz w:val="16"/>
          <w:szCs w:val="16"/>
          <w:color w:val="212529"/>
        </w:rPr>
        <w:t>Refer to the COVID-19 related risk factors disclosed in Item 1A of Part I in</w:t>
      </w:r>
      <w:r>
        <w:rPr>
          <w:rFonts w:ascii="Arial" w:cs="Arial" w:eastAsia="Arial" w:hAnsi="Arial"/>
          <w:sz w:val="16"/>
          <w:szCs w:val="16"/>
          <w:color w:val="000000"/>
        </w:rPr>
        <w:t xml:space="preserve"> </w:t>
      </w:r>
      <w:r>
        <w:rPr>
          <w:rFonts w:ascii="Arial" w:cs="Arial" w:eastAsia="Arial" w:hAnsi="Arial"/>
          <w:sz w:val="16"/>
          <w:szCs w:val="16"/>
          <w:color w:val="212529"/>
        </w:rPr>
        <w:t>our Annual Report on Form 10-K for the fiscal year ended August 28, 2021.</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 of Barletta</w:t>
      </w:r>
    </w:p>
    <w:p>
      <w:pPr>
        <w:spacing w:after="0" w:line="133"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On August 31, 2021, we completed our acquisition of all the equity interests of Barletta for $286.3 million funded with cash payments of $240.1 million, $25.0 million in common stock issued to the sellers (subject to a 12% discount), and contingent consideration from earnout provisions. For further discussion regarding the acquisition, refer to Note 2 to the Notes to Consolidated Financial Statements, included in Item 1 of Part I in this Quarterly Report on Form 10-Q.</w:t>
      </w:r>
    </w:p>
    <w:p>
      <w:pPr>
        <w:spacing w:after="0" w:line="200" w:lineRule="exact"/>
        <w:rPr>
          <w:sz w:val="20"/>
          <w:szCs w:val="20"/>
          <w:color w:val="auto"/>
        </w:rPr>
      </w:pPr>
    </w:p>
    <w:p>
      <w:pPr>
        <w:spacing w:after="0" w:line="219"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The acquisition of Barletta resulted in a newly created Marine reportable segment effective as of the first quarter of Fiscal 2022. The segment consists of Barletta and our existing Chris-Craft operating segment.</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133" w:lineRule="exact"/>
        <w:rPr>
          <w:sz w:val="20"/>
          <w:szCs w:val="20"/>
          <w:color w:val="auto"/>
        </w:rPr>
      </w:pPr>
    </w:p>
    <w:p>
      <w:pPr>
        <w:ind w:right="320"/>
        <w:spacing w:after="0" w:line="251" w:lineRule="auto"/>
        <w:rPr>
          <w:sz w:val="20"/>
          <w:szCs w:val="20"/>
          <w:color w:val="auto"/>
        </w:rPr>
      </w:pPr>
      <w:r>
        <w:rPr>
          <w:rFonts w:ascii="Arial" w:cs="Arial" w:eastAsia="Arial" w:hAnsi="Arial"/>
          <w:sz w:val="16"/>
          <w:szCs w:val="16"/>
          <w:color w:val="auto"/>
        </w:rPr>
        <w:t>This MD&amp;A includes financial information prepared in accordance with generally accepted accounting principles ("GAAP"), as well as certain adjusted or non-GAAP financial measures such as EBITDA and Adjusted EBITDA. EBITDA is defined as net income before interest expense, provision for income taxes, and depreciation and amortization expense. Adjusted EBITDA is defined as net income before interest expense, provision for income taxes, depreciation and amortization expense, and other pretax adjustments made in order to present comparable results from period to period.</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These non-GAAP financial measures, which are not calculated or presented in accordance with GAAP, have been provided as information supplemental and in addition to the financial measures presented in accordance with GAAP. Such non-GAAP financial measures should not be considered superior to, as a substitute for, or as an alternative to, and should be considered in conjunction</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700"/>
        <w:spacing w:after="0" w:line="260" w:lineRule="auto"/>
        <w:rPr>
          <w:sz w:val="20"/>
          <w:szCs w:val="20"/>
          <w:color w:val="auto"/>
        </w:rPr>
      </w:pPr>
      <w:r>
        <w:rPr>
          <w:rFonts w:ascii="Arial" w:cs="Arial" w:eastAsia="Arial" w:hAnsi="Arial"/>
          <w:sz w:val="16"/>
          <w:szCs w:val="16"/>
          <w:color w:val="auto"/>
        </w:rPr>
        <w:t>with, the GAAP financial measures presented herein. The non-GAAP financial measures presented may differ from similar measures used by other companies.</w:t>
      </w:r>
    </w:p>
    <w:p>
      <w:pPr>
        <w:spacing w:after="0" w:line="222"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Included in "Results of Operations" below for the three and six months ended February 26, 2022 compared to the comparable prior year period is a reconciliation of EBITDA and Adjusted EBITDA from net income, the nearest GAAP measure. We have included these non-GAAP performance measures as a comparable measure to illustrate the effect of non-recurring transactions that occurred during the reported periods and to improve comparability of our results from period to period. We believe Adjusted EBITDA provides meaningful supplemental information about our operating performance as this measure excludes amounts from net income that we do not consider part of our core operating results when assessing our performance. Examples of items excluded from Adjusted EBITDA include acquisition-related costs, litigation reserves, restructuring expenses, gain or loss on sale of property, plant and equipment, contingent consideration fair value adjustment, and non-operating income or loss.</w:t>
      </w:r>
    </w:p>
    <w:p>
      <w:pPr>
        <w:spacing w:after="0" w:line="235"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Management uses these non-GAAP financial measures (a) to evaluate our historical and prospective financial performance and trends as well as our performance relative to competitors and peers; (b) to measure operational profitability on a consistent basis; (c) in presentations to the members of our Board of Directors to enable our Board of Directors to have the same measurement basis of operating performance as used by management in their assessment of performance and in forecasting; (d) to evaluate potential acquisitions; and (e) to ensure compliance with covenants and restricted activities under the terms of our ABL Credit Facility and outstanding notes, as further described in Note 9 to the Consolidated Financial Statements included in Item 1 of Part I of this Quarterly Report on Form 10-Q. We believe these non-GAAP financial measures are frequently used by securities analysts, investors and other interested parties to evaluate companies in the industry.</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Trends</w:t>
      </w:r>
    </w:p>
    <w:p>
      <w:pPr>
        <w:spacing w:after="0" w:line="133" w:lineRule="exact"/>
        <w:rPr>
          <w:sz w:val="20"/>
          <w:szCs w:val="20"/>
          <w:color w:val="auto"/>
        </w:rPr>
      </w:pPr>
    </w:p>
    <w:p>
      <w:pPr>
        <w:jc w:val="both"/>
        <w:ind w:right="260"/>
        <w:spacing w:after="0" w:line="253" w:lineRule="auto"/>
        <w:rPr>
          <w:sz w:val="20"/>
          <w:szCs w:val="20"/>
          <w:color w:val="auto"/>
        </w:rPr>
      </w:pPr>
      <w:r>
        <w:rPr>
          <w:rFonts w:ascii="Arial" w:cs="Arial" w:eastAsia="Arial" w:hAnsi="Arial"/>
          <w:sz w:val="16"/>
          <w:szCs w:val="16"/>
          <w:color w:val="auto"/>
        </w:rPr>
        <w:t>The RV and marine industries continue to experience supply chain disruptions, including supply shortages, shipping delays, and material and component cost inflation. While we continue to manage through these supply chain disruptions, they have impacted our ability to increase production to meet existing demand in the current fiscal year. If these disruptions worsen, we could experience a negative impact on our sales and earnings in the future.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 - Three Months Ended February 26, 2022 Compared to the Three Months Ended February 27, 2021</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Consolidated Performance Summary</w:t>
      </w:r>
    </w:p>
    <w:p>
      <w:pPr>
        <w:spacing w:after="0" w:line="133" w:lineRule="exact"/>
        <w:rPr>
          <w:sz w:val="20"/>
          <w:szCs w:val="20"/>
          <w:color w:val="auto"/>
        </w:rPr>
      </w:pPr>
    </w:p>
    <w:p>
      <w:pPr>
        <w:ind w:right="460"/>
        <w:spacing w:after="0" w:line="259" w:lineRule="auto"/>
        <w:rPr>
          <w:sz w:val="20"/>
          <w:szCs w:val="20"/>
          <w:color w:val="auto"/>
        </w:rPr>
      </w:pPr>
      <w:r>
        <w:rPr>
          <w:rFonts w:ascii="Arial" w:cs="Arial" w:eastAsia="Arial" w:hAnsi="Arial"/>
          <w:sz w:val="16"/>
          <w:szCs w:val="16"/>
          <w:color w:val="auto"/>
        </w:rPr>
        <w:t>The following is an analysis of changes in key items included in the Consolidated Statements of Income for the three months ended February 26, 2022 compared to the three months ended February 27,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9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ind w:left="32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158"/>
        </w:trPr>
        <w:tc>
          <w:tcPr>
            <w:tcW w:w="2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auto"/>
              </w:rPr>
              <w:t>February 26,</w:t>
            </w: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rPr>
              <w:t>February 27,</w:t>
            </w: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16"/>
        </w:trPr>
        <w:tc>
          <w:tcPr>
            <w:tcW w:w="2900" w:type="dxa"/>
            <w:vAlign w:val="bottom"/>
          </w:tcPr>
          <w:p>
            <w:pPr>
              <w:ind w:left="20"/>
              <w:spacing w:after="0"/>
              <w:rPr>
                <w:sz w:val="20"/>
                <w:szCs w:val="20"/>
                <w:color w:val="auto"/>
              </w:rPr>
            </w:pPr>
            <w:r>
              <w:rPr>
                <w:rFonts w:ascii="Arial" w:cs="Arial" w:eastAsia="Arial" w:hAnsi="Arial"/>
                <w:sz w:val="14"/>
                <w:szCs w:val="14"/>
                <w:color w:val="auto"/>
              </w:rPr>
              <w:t>($ in thousands, except per share data)</w:t>
            </w:r>
          </w:p>
        </w:tc>
        <w:tc>
          <w:tcPr>
            <w:tcW w:w="140" w:type="dxa"/>
            <w:vAlign w:val="bottom"/>
          </w:tcPr>
          <w:p>
            <w:pPr>
              <w:spacing w:after="0"/>
              <w:rPr>
                <w:sz w:val="18"/>
                <w:szCs w:val="18"/>
                <w:color w:val="auto"/>
              </w:rPr>
            </w:pPr>
          </w:p>
        </w:tc>
        <w:tc>
          <w:tcPr>
            <w:tcW w:w="1200" w:type="dxa"/>
            <w:vAlign w:val="bottom"/>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420" w:type="dxa"/>
            <w:vAlign w:val="bottom"/>
            <w:gridSpan w:val="2"/>
          </w:tcPr>
          <w:p>
            <w:pPr>
              <w:ind w:left="20"/>
              <w:spacing w:after="0" w:line="216"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60" w:type="dxa"/>
            <w:vAlign w:val="bottom"/>
          </w:tcPr>
          <w:p>
            <w:pPr>
              <w:spacing w:after="0"/>
              <w:rPr>
                <w:sz w:val="18"/>
                <w:szCs w:val="18"/>
                <w:color w:val="auto"/>
              </w:rPr>
            </w:pPr>
          </w:p>
        </w:tc>
        <w:tc>
          <w:tcPr>
            <w:tcW w:w="1180" w:type="dxa"/>
            <w:vAlign w:val="bottom"/>
          </w:tcPr>
          <w:p>
            <w:pPr>
              <w:ind w:left="340"/>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420" w:type="dxa"/>
            <w:vAlign w:val="bottom"/>
            <w:gridSpan w:val="2"/>
          </w:tcPr>
          <w:p>
            <w:pPr>
              <w:ind w:left="20"/>
              <w:spacing w:after="0" w:line="216"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2"/>
          </w:tcPr>
          <w:p>
            <w:pPr>
              <w:ind w:left="20"/>
              <w:spacing w:after="0"/>
              <w:rPr>
                <w:sz w:val="20"/>
                <w:szCs w:val="20"/>
                <w:color w:val="auto"/>
              </w:rPr>
            </w:pPr>
            <w:r>
              <w:rPr>
                <w:rFonts w:ascii="Arial" w:cs="Arial" w:eastAsia="Arial" w:hAnsi="Arial"/>
                <w:sz w:val="16"/>
                <w:szCs w:val="16"/>
                <w:b w:val="1"/>
                <w:bCs w:val="1"/>
                <w:color w:val="auto"/>
              </w:rPr>
              <w:t>Change</w:t>
            </w:r>
          </w:p>
        </w:tc>
        <w:tc>
          <w:tcPr>
            <w:tcW w:w="1260" w:type="dxa"/>
            <w:vAlign w:val="bottom"/>
          </w:tcPr>
          <w:p>
            <w:pPr>
              <w:jc w:val="right"/>
              <w:ind w:right="15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1,164,731</w:t>
            </w: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839,886</w:t>
            </w: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324,845</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38.7 %</w:t>
            </w:r>
          </w:p>
        </w:tc>
      </w:tr>
      <w:tr>
        <w:trPr>
          <w:trHeight w:val="213"/>
        </w:trPr>
        <w:tc>
          <w:tcPr>
            <w:tcW w:w="2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948,154</w:t>
            </w: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81.4 %</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683,304</w:t>
            </w: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81.4 %</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264,850</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38.8 %</w:t>
            </w:r>
          </w:p>
        </w:tc>
      </w:tr>
      <w:tr>
        <w:trPr>
          <w:trHeight w:val="213"/>
        </w:trPr>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216,577</w:t>
            </w:r>
          </w:p>
        </w:tc>
        <w:tc>
          <w:tcPr>
            <w:tcW w:w="12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156,582</w:t>
            </w:r>
          </w:p>
        </w:tc>
        <w:tc>
          <w:tcPr>
            <w:tcW w:w="12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18.6 %</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59,995</w:t>
            </w:r>
          </w:p>
        </w:tc>
        <w:tc>
          <w:tcPr>
            <w:tcW w:w="12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38.3 %</w:t>
            </w:r>
          </w:p>
        </w:tc>
      </w:tr>
      <w:tr>
        <w:trPr>
          <w:trHeight w:val="157"/>
        </w:trPr>
        <w:tc>
          <w:tcPr>
            <w:tcW w:w="2900" w:type="dxa"/>
            <w:vAlign w:val="bottom"/>
          </w:tcPr>
          <w:p>
            <w:pPr>
              <w:ind w:left="20"/>
              <w:spacing w:after="0" w:line="158" w:lineRule="exact"/>
              <w:rPr>
                <w:sz w:val="20"/>
                <w:szCs w:val="20"/>
                <w:color w:val="auto"/>
              </w:rPr>
            </w:pPr>
            <w:r>
              <w:rPr>
                <w:rFonts w:ascii="Arial" w:cs="Arial" w:eastAsia="Arial" w:hAnsi="Arial"/>
                <w:sz w:val="16"/>
                <w:szCs w:val="16"/>
                <w:color w:val="auto"/>
              </w:rPr>
              <w:t>Selling, general, and administrative</w:t>
            </w: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98"/>
        </w:trPr>
        <w:tc>
          <w:tcPr>
            <w:tcW w:w="2900" w:type="dxa"/>
            <w:vAlign w:val="bottom"/>
          </w:tcPr>
          <w:p>
            <w:pPr>
              <w:ind w:left="20"/>
              <w:spacing w:after="0"/>
              <w:rPr>
                <w:sz w:val="20"/>
                <w:szCs w:val="20"/>
                <w:color w:val="auto"/>
              </w:rPr>
            </w:pPr>
            <w:r>
              <w:rPr>
                <w:rFonts w:ascii="Arial" w:cs="Arial" w:eastAsia="Arial" w:hAnsi="Arial"/>
                <w:sz w:val="16"/>
                <w:szCs w:val="16"/>
                <w:color w:val="auto"/>
              </w:rPr>
              <w:t>expenses</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71,795</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6.2 %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53,016</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6.3 %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18,779</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35.4 %</w:t>
            </w:r>
          </w:p>
        </w:tc>
      </w:tr>
      <w:tr>
        <w:trPr>
          <w:trHeight w:val="216"/>
        </w:trPr>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8,015</w:t>
            </w:r>
          </w:p>
        </w:tc>
        <w:tc>
          <w:tcPr>
            <w:tcW w:w="12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3,591</w:t>
            </w:r>
          </w:p>
        </w:tc>
        <w:tc>
          <w:tcPr>
            <w:tcW w:w="12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4,424</w:t>
            </w:r>
          </w:p>
        </w:tc>
        <w:tc>
          <w:tcPr>
            <w:tcW w:w="12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123.2 %</w:t>
            </w:r>
          </w:p>
        </w:tc>
      </w:tr>
      <w:tr>
        <w:trPr>
          <w:trHeight w:val="210"/>
        </w:trPr>
        <w:tc>
          <w:tcPr>
            <w:tcW w:w="2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79,810</w:t>
            </w: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6.9 %</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56,607</w:t>
            </w: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6.7 %</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23,203</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41.0 %</w:t>
            </w:r>
          </w:p>
        </w:tc>
      </w:tr>
      <w:tr>
        <w:trPr>
          <w:trHeight w:val="213"/>
        </w:trPr>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136,767</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99,975</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36,792</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36.8 %</w:t>
            </w:r>
          </w:p>
        </w:tc>
      </w:tr>
      <w:tr>
        <w:trPr>
          <w:trHeight w:val="213"/>
        </w:trPr>
        <w:tc>
          <w:tcPr>
            <w:tcW w:w="290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10,325</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10,052</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273</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2.7 %</w:t>
            </w:r>
          </w:p>
        </w:tc>
      </w:tr>
      <w:tr>
        <w:trPr>
          <w:trHeight w:val="216"/>
        </w:trPr>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loss (income)</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6,507</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(6,818)</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(2,192.3)%</w:t>
            </w:r>
          </w:p>
        </w:tc>
      </w:tr>
      <w:tr>
        <w:trPr>
          <w:trHeight w:val="210"/>
        </w:trPr>
        <w:tc>
          <w:tcPr>
            <w:tcW w:w="290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119,935</w:t>
            </w:r>
          </w:p>
        </w:tc>
        <w:tc>
          <w:tcPr>
            <w:tcW w:w="12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10.3 %</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90,234</w:t>
            </w:r>
          </w:p>
        </w:tc>
        <w:tc>
          <w:tcPr>
            <w:tcW w:w="12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10.7 %</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29,701</w:t>
            </w:r>
          </w:p>
        </w:tc>
        <w:tc>
          <w:tcPr>
            <w:tcW w:w="12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32.9 %</w:t>
            </w:r>
          </w:p>
        </w:tc>
      </w:tr>
      <w:tr>
        <w:trPr>
          <w:trHeight w:val="216"/>
        </w:trPr>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28,760</w:t>
            </w:r>
          </w:p>
        </w:tc>
        <w:tc>
          <w:tcPr>
            <w:tcW w:w="12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21,166</w:t>
            </w:r>
          </w:p>
        </w:tc>
        <w:tc>
          <w:tcPr>
            <w:tcW w:w="12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7,594</w:t>
            </w:r>
          </w:p>
        </w:tc>
        <w:tc>
          <w:tcPr>
            <w:tcW w:w="12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35.9 %</w:t>
            </w:r>
          </w:p>
        </w:tc>
      </w:tr>
      <w:tr>
        <w:trPr>
          <w:trHeight w:val="213"/>
        </w:trPr>
        <w:tc>
          <w:tcPr>
            <w:tcW w:w="29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91,175</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7.8 %</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69,068</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8.2 %</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22,107</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32.0 %</w:t>
            </w: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2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290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2.69</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0.65</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31.9 %</w:t>
            </w:r>
          </w:p>
        </w:tc>
      </w:tr>
      <w:tr>
        <w:trPr>
          <w:trHeight w:val="180"/>
        </w:trPr>
        <w:tc>
          <w:tcPr>
            <w:tcW w:w="290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Diluted weighted average shares</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01"/>
        </w:trPr>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33,934</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33,910</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r>
    </w:tbl>
    <w:p>
      <w:pPr>
        <w:spacing w:after="0" w:line="84" w:lineRule="exact"/>
        <w:rPr>
          <w:sz w:val="20"/>
          <w:szCs w:val="20"/>
          <w:color w:val="auto"/>
        </w:rPr>
      </w:pPr>
    </w:p>
    <w:p>
      <w:pPr>
        <w:ind w:left="300" w:hanging="292"/>
        <w:spacing w:after="0"/>
        <w:tabs>
          <w:tab w:leader="none" w:pos="300" w:val="left"/>
        </w:tabs>
        <w:numPr>
          <w:ilvl w:val="0"/>
          <w:numId w:val="5"/>
        </w:numPr>
        <w:rPr>
          <w:rFonts w:ascii="Arial" w:cs="Arial" w:eastAsia="Arial" w:hAnsi="Arial"/>
          <w:sz w:val="21"/>
          <w:szCs w:val="21"/>
          <w:color w:val="auto"/>
          <w:vertAlign w:val="superscript"/>
        </w:rPr>
      </w:pPr>
      <w:r>
        <w:rPr>
          <w:rFonts w:ascii="Arial" w:cs="Arial" w:eastAsia="Arial" w:hAnsi="Arial"/>
          <w:sz w:val="14"/>
          <w:szCs w:val="14"/>
          <w:color w:val="auto"/>
        </w:rPr>
        <w:t>Percentages may not add due to rounding differences.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780"/>
        <w:spacing w:after="0" w:line="260" w:lineRule="auto"/>
        <w:rPr>
          <w:sz w:val="20"/>
          <w:szCs w:val="20"/>
          <w:color w:val="auto"/>
        </w:rPr>
      </w:pPr>
      <w:r>
        <w:rPr>
          <w:rFonts w:ascii="Arial" w:cs="Arial" w:eastAsia="Arial" w:hAnsi="Arial"/>
          <w:sz w:val="16"/>
          <w:szCs w:val="16"/>
          <w:color w:val="auto"/>
        </w:rPr>
        <w:t>Net revenues increased in the second quarter of Fiscal 2022 compared to the second quarter of Fiscal 2021 primarily due to unit growth, including incremental volume from the acquisition of Barletta, and price increases related to current and anticipated higher material and component costs.</w:t>
      </w:r>
    </w:p>
    <w:p>
      <w:pPr>
        <w:spacing w:after="0" w:line="222" w:lineRule="exact"/>
        <w:rPr>
          <w:sz w:val="20"/>
          <w:szCs w:val="20"/>
          <w:color w:val="auto"/>
        </w:rPr>
      </w:pPr>
    </w:p>
    <w:p>
      <w:pPr>
        <w:jc w:val="both"/>
        <w:ind w:right="320"/>
        <w:spacing w:after="0" w:line="253" w:lineRule="auto"/>
        <w:rPr>
          <w:sz w:val="20"/>
          <w:szCs w:val="20"/>
          <w:color w:val="auto"/>
        </w:rPr>
      </w:pPr>
      <w:r>
        <w:rPr>
          <w:rFonts w:ascii="Arial" w:cs="Arial" w:eastAsia="Arial" w:hAnsi="Arial"/>
          <w:sz w:val="16"/>
          <w:szCs w:val="16"/>
          <w:color w:val="auto"/>
        </w:rPr>
        <w:t>Gross profit as a percentage of revenue was essentially flat in the second quarter of Fiscal 2022 compared to the second quarter of Fiscal 2021 primarily due to price increases ahead of known and anticipated material and component cost inflation, and operating leverage, offset by production inefficiencies related to supply constraints.</w:t>
      </w:r>
    </w:p>
    <w:p>
      <w:pPr>
        <w:spacing w:after="0" w:line="228" w:lineRule="exact"/>
        <w:rPr>
          <w:sz w:val="20"/>
          <w:szCs w:val="20"/>
          <w:color w:val="auto"/>
        </w:rPr>
      </w:pPr>
    </w:p>
    <w:p>
      <w:pPr>
        <w:ind w:right="500"/>
        <w:spacing w:after="0" w:line="253" w:lineRule="auto"/>
        <w:rPr>
          <w:sz w:val="20"/>
          <w:szCs w:val="20"/>
          <w:color w:val="auto"/>
        </w:rPr>
      </w:pPr>
      <w:r>
        <w:rPr>
          <w:rFonts w:ascii="Arial" w:cs="Arial" w:eastAsia="Arial" w:hAnsi="Arial"/>
          <w:sz w:val="16"/>
          <w:szCs w:val="16"/>
          <w:color w:val="auto"/>
        </w:rPr>
        <w:t>Operating expenses increased in the second quarter of Fiscal 2022 compared to the second quarter of Fiscal 2021 primarily due to higher operating expenses to support increasing sales and improved operating performance, and incremental operating expenses and amortization associated with the acquisition of Barletta.</w:t>
      </w:r>
    </w:p>
    <w:p>
      <w:pPr>
        <w:spacing w:after="0" w:line="228"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Non-operating loss increased in the second quarter of Fiscal 2022 compared to the second quarter of Fiscal 2021 due to the contingent consideration fair value adjustment related to the acquisition of Barletta.</w:t>
      </w:r>
    </w:p>
    <w:p>
      <w:pPr>
        <w:spacing w:after="0" w:line="209" w:lineRule="exact"/>
        <w:rPr>
          <w:sz w:val="20"/>
          <w:szCs w:val="20"/>
          <w:color w:val="auto"/>
        </w:rPr>
      </w:pPr>
    </w:p>
    <w:p>
      <w:pPr>
        <w:jc w:val="both"/>
        <w:ind w:right="320"/>
        <w:spacing w:after="0" w:line="237" w:lineRule="auto"/>
        <w:rPr>
          <w:sz w:val="20"/>
          <w:szCs w:val="20"/>
          <w:color w:val="auto"/>
        </w:rPr>
      </w:pPr>
      <w:r>
        <w:rPr>
          <w:rFonts w:ascii="Arial" w:cs="Arial" w:eastAsia="Arial" w:hAnsi="Arial"/>
          <w:sz w:val="16"/>
          <w:szCs w:val="16"/>
          <w:color w:val="auto"/>
        </w:rPr>
        <w:t>Our effective tax rate was relatively flat in the second quarter of Fiscal 2022 compared to the second quarter of Fiscal 2021 primarily due to the impact of consistent tax credits compared to prior year over increased income in the current year and net unfavorable expense in the current year related to stock compensation.</w:t>
      </w:r>
    </w:p>
    <w:p>
      <w:pPr>
        <w:spacing w:after="0" w:line="238"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Net income and diluted earnings per share increased in the second quarter of Fiscal 2022 compared to the second quarter of Fiscal 2021 primarily due to leverage gained on higher revenues, partially offset by increased operating expenses and higher income tax expense.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Reconciliation</w:t>
      </w:r>
    </w:p>
    <w:p>
      <w:pPr>
        <w:spacing w:after="0" w:line="133"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The following table reconciles net income to consolidated EBITDA and Adjusted EBITDA for the three months ended February 26, 2022 and February 27,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4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4"/>
          </w:tcPr>
          <w:p>
            <w:pPr>
              <w:jc w:val="right"/>
              <w:ind w:right="999"/>
              <w:spacing w:after="0"/>
              <w:rPr>
                <w:sz w:val="20"/>
                <w:szCs w:val="20"/>
                <w:color w:val="auto"/>
              </w:rPr>
            </w:pPr>
            <w:r>
              <w:rPr>
                <w:rFonts w:ascii="Arial" w:cs="Arial" w:eastAsia="Arial" w:hAnsi="Arial"/>
                <w:sz w:val="16"/>
                <w:szCs w:val="16"/>
                <w:b w:val="1"/>
                <w:bCs w:val="1"/>
                <w:color w:val="auto"/>
              </w:rPr>
              <w:t>Three Months Ended</w:t>
            </w:r>
          </w:p>
        </w:tc>
      </w:tr>
      <w:tr>
        <w:trPr>
          <w:trHeight w:val="212"/>
        </w:trPr>
        <w:tc>
          <w:tcPr>
            <w:tcW w:w="74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8"/>
                <w:szCs w:val="18"/>
                <w:color w:val="auto"/>
              </w:rPr>
            </w:pPr>
          </w:p>
        </w:tc>
        <w:tc>
          <w:tcPr>
            <w:tcW w:w="176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26, 2022</w:t>
            </w:r>
          </w:p>
        </w:tc>
        <w:tc>
          <w:tcPr>
            <w:tcW w:w="180" w:type="dxa"/>
            <w:vAlign w:val="bottom"/>
          </w:tcPr>
          <w:p>
            <w:pPr>
              <w:spacing w:after="0"/>
              <w:rPr>
                <w:sz w:val="18"/>
                <w:szCs w:val="18"/>
                <w:color w:val="auto"/>
              </w:rPr>
            </w:pPr>
          </w:p>
        </w:tc>
        <w:tc>
          <w:tcPr>
            <w:tcW w:w="1660" w:type="dxa"/>
            <w:vAlign w:val="bottom"/>
          </w:tcPr>
          <w:p>
            <w:pPr>
              <w:jc w:val="right"/>
              <w:ind w:right="159"/>
              <w:spacing w:after="0"/>
              <w:rPr>
                <w:sz w:val="20"/>
                <w:szCs w:val="20"/>
                <w:color w:val="auto"/>
              </w:rPr>
            </w:pPr>
            <w:r>
              <w:rPr>
                <w:rFonts w:ascii="Arial" w:cs="Arial" w:eastAsia="Arial" w:hAnsi="Arial"/>
                <w:sz w:val="16"/>
                <w:szCs w:val="16"/>
                <w:b w:val="1"/>
                <w:bCs w:val="1"/>
                <w:color w:val="auto"/>
              </w:rPr>
              <w:t>February 27, 2021</w:t>
            </w:r>
          </w:p>
        </w:tc>
      </w:tr>
      <w:tr>
        <w:trPr>
          <w:trHeight w:val="210"/>
        </w:trPr>
        <w:tc>
          <w:tcPr>
            <w:tcW w:w="7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91,175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69,068</w:t>
            </w:r>
          </w:p>
        </w:tc>
      </w:tr>
      <w:tr>
        <w:trPr>
          <w:trHeight w:val="213"/>
        </w:trPr>
        <w:tc>
          <w:tcPr>
            <w:tcW w:w="746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10,325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10,052</w:t>
            </w:r>
          </w:p>
        </w:tc>
      </w:tr>
      <w:tr>
        <w:trPr>
          <w:trHeight w:val="219"/>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21,166</w:t>
            </w:r>
          </w:p>
        </w:tc>
      </w:tr>
      <w:tr>
        <w:trPr>
          <w:trHeight w:val="213"/>
        </w:trPr>
        <w:tc>
          <w:tcPr>
            <w:tcW w:w="746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5,461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4,399</w:t>
            </w: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3,591</w:t>
            </w:r>
          </w:p>
        </w:tc>
      </w:tr>
      <w:tr>
        <w:trPr>
          <w:trHeight w:val="210"/>
        </w:trPr>
        <w:tc>
          <w:tcPr>
            <w:tcW w:w="7460" w:type="dxa"/>
            <w:vAlign w:val="bottom"/>
          </w:tcPr>
          <w:p>
            <w:pPr>
              <w:ind w:left="140"/>
              <w:spacing w:after="0"/>
              <w:rPr>
                <w:sz w:val="20"/>
                <w:szCs w:val="20"/>
                <w:color w:val="auto"/>
              </w:rPr>
            </w:pPr>
            <w:r>
              <w:rPr>
                <w:rFonts w:ascii="Arial" w:cs="Arial" w:eastAsia="Arial" w:hAnsi="Arial"/>
                <w:sz w:val="16"/>
                <w:szCs w:val="16"/>
                <w:color w:val="auto"/>
              </w:rPr>
              <w:t>EBITDA</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143,736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108,276</w:t>
            </w:r>
          </w:p>
        </w:tc>
      </w:tr>
      <w:tr>
        <w:trPr>
          <w:trHeight w:val="219"/>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costs</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460" w:type="dxa"/>
            <w:vAlign w:val="bottom"/>
          </w:tcPr>
          <w:p>
            <w:pPr>
              <w:ind w:left="20"/>
              <w:spacing w:after="0"/>
              <w:rPr>
                <w:sz w:val="20"/>
                <w:szCs w:val="20"/>
                <w:color w:val="auto"/>
              </w:rPr>
            </w:pPr>
            <w:r>
              <w:rPr>
                <w:rFonts w:ascii="Arial" w:cs="Arial" w:eastAsia="Arial" w:hAnsi="Arial"/>
                <w:sz w:val="16"/>
                <w:szCs w:val="16"/>
                <w:color w:val="auto"/>
              </w:rPr>
              <w:t>Contingent consideration fair value adjustment</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6,517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w:t>
            </w: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w:t>
            </w:r>
          </w:p>
        </w:tc>
      </w:tr>
      <w:tr>
        <w:trPr>
          <w:trHeight w:val="213"/>
        </w:trPr>
        <w:tc>
          <w:tcPr>
            <w:tcW w:w="7460" w:type="dxa"/>
            <w:vAlign w:val="bottom"/>
          </w:tcPr>
          <w:p>
            <w:pPr>
              <w:ind w:left="140"/>
              <w:spacing w:after="0"/>
              <w:rPr>
                <w:sz w:val="20"/>
                <w:szCs w:val="20"/>
                <w:color w:val="auto"/>
              </w:rPr>
            </w:pPr>
            <w:r>
              <w:rPr>
                <w:rFonts w:ascii="Arial" w:cs="Arial" w:eastAsia="Arial" w:hAnsi="Arial"/>
                <w:sz w:val="16"/>
                <w:szCs w:val="16"/>
                <w:color w:val="auto"/>
              </w:rPr>
              <w:t>Adjusted EBITDA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150,729</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107,965</w:t>
            </w:r>
          </w:p>
        </w:tc>
      </w:tr>
      <w:tr>
        <w:trPr>
          <w:trHeight w:val="20"/>
        </w:trPr>
        <w:tc>
          <w:tcPr>
            <w:tcW w:w="7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Reportable Segment Performance Summary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Towable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Towable segment for the three months ended February 26, 2022 compared to the three months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rPr>
              <w:t>February 26,</w:t>
            </w: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rPr>
              <w:t>February 27,</w:t>
            </w: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4"/>
                <w:szCs w:val="14"/>
                <w:color w:val="auto"/>
              </w:rPr>
              <w:t>(in thousands, except ASP and units)</w:t>
            </w:r>
          </w:p>
        </w:tc>
        <w:tc>
          <w:tcPr>
            <w:tcW w:w="180" w:type="dxa"/>
            <w:vAlign w:val="bottom"/>
          </w:tcPr>
          <w:p>
            <w:pPr>
              <w:spacing w:after="0"/>
              <w:rPr>
                <w:sz w:val="18"/>
                <w:szCs w:val="18"/>
                <w:color w:val="auto"/>
              </w:rPr>
            </w:pPr>
          </w:p>
        </w:tc>
        <w:tc>
          <w:tcPr>
            <w:tcW w:w="1260" w:type="dxa"/>
            <w:vAlign w:val="bottom"/>
          </w:tcPr>
          <w:p>
            <w:pPr>
              <w:jc w:val="center"/>
              <w:ind w:right="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160" w:type="dxa"/>
            <w:vAlign w:val="bottom"/>
          </w:tcPr>
          <w:p>
            <w:pPr>
              <w:spacing w:after="0"/>
              <w:rPr>
                <w:sz w:val="18"/>
                <w:szCs w:val="18"/>
                <w:color w:val="auto"/>
              </w:rPr>
            </w:pPr>
          </w:p>
        </w:tc>
        <w:tc>
          <w:tcPr>
            <w:tcW w:w="1260" w:type="dxa"/>
            <w:vAlign w:val="bottom"/>
          </w:tcPr>
          <w:p>
            <w:pPr>
              <w:jc w:val="center"/>
              <w:ind w:right="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 Change</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9"/>
        </w:trPr>
        <w:tc>
          <w:tcPr>
            <w:tcW w:w="3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646,601</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439,284</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207,317</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47.2 %</w:t>
            </w: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100,573</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15.6 %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62,366</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14.2 %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38,207</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61.3 %</w:t>
            </w:r>
          </w:p>
        </w:tc>
        <w:tc>
          <w:tcPr>
            <w:tcW w:w="0" w:type="dxa"/>
            <w:vAlign w:val="bottom"/>
          </w:tcPr>
          <w:p>
            <w:pPr>
              <w:spacing w:after="0"/>
              <w:rPr>
                <w:sz w:val="1"/>
                <w:szCs w:val="1"/>
                <w:color w:val="auto"/>
              </w:rPr>
            </w:pPr>
          </w:p>
        </w:tc>
      </w:tr>
      <w:tr>
        <w:trPr>
          <w:trHeight w:val="259"/>
        </w:trPr>
        <w:tc>
          <w:tcPr>
            <w:tcW w:w="3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3160" w:type="dxa"/>
            <w:vAlign w:val="bottom"/>
          </w:tcPr>
          <w:p>
            <w:pPr>
              <w:ind w:left="20"/>
              <w:spacing w:after="0"/>
              <w:rPr>
                <w:sz w:val="20"/>
                <w:szCs w:val="20"/>
                <w:color w:val="auto"/>
              </w:rPr>
            </w:pPr>
            <w:r>
              <w:rPr>
                <w:rFonts w:ascii="Arial" w:cs="Arial" w:eastAsia="Arial" w:hAnsi="Arial"/>
                <w:sz w:val="16"/>
                <w:szCs w:val="16"/>
                <w:color w:val="auto"/>
              </w:rPr>
              <w:t>Average Selling Price ("ASP")</w:t>
            </w:r>
            <w:r>
              <w:rPr>
                <w:rFonts w:ascii="Arial" w:cs="Arial" w:eastAsia="Arial" w:hAnsi="Arial"/>
                <w:sz w:val="21"/>
                <w:szCs w:val="21"/>
                <w:color w:val="auto"/>
                <w:vertAlign w:val="superscript"/>
              </w:rPr>
              <w:t>(1)</w:t>
            </w: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41,917</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32,377</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9,540</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29.5 %</w:t>
            </w:r>
          </w:p>
        </w:tc>
        <w:tc>
          <w:tcPr>
            <w:tcW w:w="0" w:type="dxa"/>
            <w:vAlign w:val="bottom"/>
          </w:tcPr>
          <w:p>
            <w:pPr>
              <w:spacing w:after="0"/>
              <w:rPr>
                <w:sz w:val="1"/>
                <w:szCs w:val="1"/>
                <w:color w:val="auto"/>
              </w:rPr>
            </w:pPr>
          </w:p>
        </w:tc>
      </w:tr>
      <w:tr>
        <w:trPr>
          <w:trHeight w:val="310"/>
        </w:trPr>
        <w:tc>
          <w:tcPr>
            <w:tcW w:w="3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Unit deliveries</w:t>
            </w:r>
          </w:p>
        </w:tc>
        <w:tc>
          <w:tcPr>
            <w:tcW w:w="180" w:type="dxa"/>
            <w:vAlign w:val="bottom"/>
          </w:tcPr>
          <w:p>
            <w:pPr>
              <w:spacing w:after="0"/>
              <w:rPr>
                <w:sz w:val="13"/>
                <w:szCs w:val="13"/>
                <w:color w:val="auto"/>
              </w:rPr>
            </w:pPr>
          </w:p>
        </w:tc>
        <w:tc>
          <w:tcPr>
            <w:tcW w:w="136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rPr>
              <w:t>February 26,</w:t>
            </w: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60" w:type="dxa"/>
            <w:vAlign w:val="bottom"/>
          </w:tcPr>
          <w:p>
            <w:pPr>
              <w:spacing w:after="0"/>
              <w:rPr>
                <w:sz w:val="13"/>
                <w:szCs w:val="13"/>
                <w:color w:val="auto"/>
              </w:rPr>
            </w:pPr>
          </w:p>
        </w:tc>
        <w:tc>
          <w:tcPr>
            <w:tcW w:w="138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rPr>
              <w:t>February 27,</w:t>
            </w: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rPr>
              <w:t>Unit Change</w:t>
            </w:r>
          </w:p>
        </w:tc>
        <w:tc>
          <w:tcPr>
            <w:tcW w:w="11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31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center"/>
              <w:ind w:right="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10,764</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70.4 %</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8,876</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1,888</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21.3 %</w:t>
            </w:r>
          </w:p>
        </w:tc>
        <w:tc>
          <w:tcPr>
            <w:tcW w:w="0" w:type="dxa"/>
            <w:vAlign w:val="bottom"/>
          </w:tcPr>
          <w:p>
            <w:pPr>
              <w:spacing w:after="0"/>
              <w:rPr>
                <w:sz w:val="1"/>
                <w:szCs w:val="1"/>
                <w:color w:val="auto"/>
              </w:rPr>
            </w:pPr>
          </w:p>
        </w:tc>
      </w:tr>
      <w:tr>
        <w:trPr>
          <w:trHeight w:val="213"/>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Fifth wheel</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4,530</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29.6 %</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4,632</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7"/>
        </w:trPr>
        <w:tc>
          <w:tcPr>
            <w:tcW w:w="3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towables</w:t>
            </w: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15,294</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13,508</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1,786</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13.2 %</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280" w:hanging="272"/>
        <w:spacing w:after="0"/>
        <w:tabs>
          <w:tab w:leader="none" w:pos="280" w:val="left"/>
        </w:tabs>
        <w:numPr>
          <w:ilvl w:val="0"/>
          <w:numId w:val="6"/>
        </w:numPr>
        <w:rPr>
          <w:rFonts w:ascii="Arial" w:cs="Arial" w:eastAsia="Arial" w:hAnsi="Arial"/>
          <w:sz w:val="21"/>
          <w:szCs w:val="21"/>
          <w:color w:val="auto"/>
          <w:vertAlign w:val="superscript"/>
        </w:rPr>
      </w:pPr>
      <w:r>
        <w:rPr>
          <w:rFonts w:ascii="Arial" w:cs="Arial" w:eastAsia="Arial" w:hAnsi="Arial"/>
          <w:sz w:val="14"/>
          <w:szCs w:val="14"/>
          <w:color w:val="auto"/>
        </w:rPr>
        <w:t>Average selling price excludes off-invoice dealer incentives.</w:t>
      </w:r>
    </w:p>
    <w:p>
      <w:pPr>
        <w:ind w:left="300" w:hanging="292"/>
        <w:spacing w:after="0" w:line="189" w:lineRule="auto"/>
        <w:tabs>
          <w:tab w:leader="none" w:pos="300" w:val="left"/>
        </w:tabs>
        <w:numPr>
          <w:ilvl w:val="0"/>
          <w:numId w:val="6"/>
        </w:numPr>
        <w:rPr>
          <w:rFonts w:ascii="Arial" w:cs="Arial" w:eastAsia="Arial" w:hAnsi="Arial"/>
          <w:sz w:val="19"/>
          <w:szCs w:val="19"/>
          <w:color w:val="auto"/>
          <w:vertAlign w:val="superscript"/>
        </w:rPr>
      </w:pPr>
      <w:r>
        <w:rPr>
          <w:rFonts w:ascii="Arial" w:cs="Arial" w:eastAsia="Arial" w:hAnsi="Arial"/>
          <w:sz w:val="13"/>
          <w:szCs w:val="13"/>
          <w:color w:val="auto"/>
        </w:rPr>
        <w:t>Percentages may not add due to rounding differences.</w:t>
      </w:r>
    </w:p>
    <w:p>
      <w:pPr>
        <w:spacing w:after="0" w:line="230"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Net revenues increased in the second quarter of Fiscal 2022 compared to the second quarter of Fiscal 2021 primarily due to price increases related to current and anticipated higher material and component costs, and unit growth.</w:t>
      </w:r>
    </w:p>
    <w:p>
      <w:pPr>
        <w:spacing w:after="0" w:line="222"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Adjusted EBITDA increased in the second quarter of Fiscal 2022 compared to the second quarter of Fiscal 2021 primarily due to price increases ahead of current and anticipated material and component cost inflation, partially offset by higher operating expenses.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Motorhome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Motorhome segment for the three months ended February 26, 2022 compared to the three months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rPr>
              <w:t>February 26,</w:t>
            </w: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rPr>
              <w:t>February 27,</w:t>
            </w: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Arial" w:cs="Arial" w:eastAsia="Arial" w:hAnsi="Arial"/>
                <w:sz w:val="14"/>
                <w:szCs w:val="14"/>
                <w:color w:val="auto"/>
              </w:rPr>
              <w:t>(in thousands, except ASP and units)</w:t>
            </w:r>
          </w:p>
        </w:tc>
        <w:tc>
          <w:tcPr>
            <w:tcW w:w="180" w:type="dxa"/>
            <w:vAlign w:val="bottom"/>
          </w:tcPr>
          <w:p>
            <w:pPr>
              <w:spacing w:after="0"/>
              <w:rPr>
                <w:sz w:val="18"/>
                <w:szCs w:val="18"/>
                <w:color w:val="auto"/>
              </w:rPr>
            </w:pPr>
          </w:p>
        </w:tc>
        <w:tc>
          <w:tcPr>
            <w:tcW w:w="1260" w:type="dxa"/>
            <w:vAlign w:val="bottom"/>
          </w:tcPr>
          <w:p>
            <w:pPr>
              <w:jc w:val="center"/>
              <w:ind w:right="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180" w:type="dxa"/>
            <w:vAlign w:val="bottom"/>
          </w:tcPr>
          <w:p>
            <w:pPr>
              <w:spacing w:after="0"/>
              <w:rPr>
                <w:sz w:val="18"/>
                <w:szCs w:val="18"/>
                <w:color w:val="auto"/>
              </w:rPr>
            </w:pPr>
          </w:p>
        </w:tc>
        <w:tc>
          <w:tcPr>
            <w:tcW w:w="1260" w:type="dxa"/>
            <w:vAlign w:val="bottom"/>
          </w:tcPr>
          <w:p>
            <w:pPr>
              <w:jc w:val="center"/>
              <w:ind w:right="9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tcPr>
          <w:p>
            <w:pPr>
              <w:ind w:left="20"/>
              <w:spacing w:after="0"/>
              <w:rPr>
                <w:sz w:val="20"/>
                <w:szCs w:val="20"/>
                <w:color w:val="auto"/>
              </w:rPr>
            </w:pPr>
            <w:r>
              <w:rPr>
                <w:rFonts w:ascii="Arial" w:cs="Arial" w:eastAsia="Arial" w:hAnsi="Arial"/>
                <w:sz w:val="16"/>
                <w:szCs w:val="16"/>
                <w:b w:val="1"/>
                <w:bCs w:val="1"/>
                <w:color w:val="auto"/>
              </w:rPr>
              <w:t>Change</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9"/>
        </w:trPr>
        <w:tc>
          <w:tcPr>
            <w:tcW w:w="3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417,565</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382,575</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34,990</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9.1 %</w:t>
            </w:r>
          </w:p>
        </w:tc>
        <w:tc>
          <w:tcPr>
            <w:tcW w:w="0" w:type="dxa"/>
            <w:vAlign w:val="bottom"/>
          </w:tcPr>
          <w:p>
            <w:pPr>
              <w:spacing w:after="0"/>
              <w:rPr>
                <w:sz w:val="1"/>
                <w:szCs w:val="1"/>
                <w:color w:val="auto"/>
              </w:rPr>
            </w:pPr>
          </w:p>
        </w:tc>
      </w:tr>
      <w:tr>
        <w:trPr>
          <w:trHeight w:val="213"/>
        </w:trPr>
        <w:tc>
          <w:tcPr>
            <w:tcW w:w="32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46,095</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11.0 %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50,969</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13.3 %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(4,874)</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60"/>
        </w:trPr>
        <w:tc>
          <w:tcPr>
            <w:tcW w:w="3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73"/>
        </w:trPr>
        <w:tc>
          <w:tcPr>
            <w:tcW w:w="3200" w:type="dxa"/>
            <w:vAlign w:val="bottom"/>
          </w:tcPr>
          <w:p>
            <w:pPr>
              <w:ind w:left="20"/>
              <w:spacing w:after="0"/>
              <w:rPr>
                <w:sz w:val="20"/>
                <w:szCs w:val="20"/>
                <w:color w:val="auto"/>
              </w:rPr>
            </w:pPr>
            <w:r>
              <w:rPr>
                <w:rFonts w:ascii="Arial" w:cs="Arial" w:eastAsia="Arial" w:hAnsi="Arial"/>
                <w:sz w:val="32"/>
                <w:szCs w:val="32"/>
                <w:color w:val="auto"/>
                <w:vertAlign w:val="subscript"/>
              </w:rPr>
              <w:t>ASP</w:t>
            </w:r>
            <w:r>
              <w:rPr>
                <w:rFonts w:ascii="Arial" w:cs="Arial" w:eastAsia="Arial" w:hAnsi="Arial"/>
                <w:sz w:val="11"/>
                <w:szCs w:val="11"/>
                <w:color w:val="auto"/>
              </w:rPr>
              <w:t>(1)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146,289</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130,856</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15,433</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11.8 %</w:t>
            </w:r>
          </w:p>
        </w:tc>
        <w:tc>
          <w:tcPr>
            <w:tcW w:w="0" w:type="dxa"/>
            <w:vAlign w:val="bottom"/>
          </w:tcPr>
          <w:p>
            <w:pPr>
              <w:spacing w:after="0"/>
              <w:rPr>
                <w:sz w:val="1"/>
                <w:szCs w:val="1"/>
                <w:color w:val="auto"/>
              </w:rPr>
            </w:pPr>
          </w:p>
        </w:tc>
      </w:tr>
      <w:tr>
        <w:trPr>
          <w:trHeight w:val="218"/>
        </w:trPr>
        <w:tc>
          <w:tcPr>
            <w:tcW w:w="3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2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Unit deliveries</w:t>
            </w:r>
          </w:p>
        </w:tc>
        <w:tc>
          <w:tcPr>
            <w:tcW w:w="180" w:type="dxa"/>
            <w:vAlign w:val="bottom"/>
          </w:tcPr>
          <w:p>
            <w:pPr>
              <w:spacing w:after="0"/>
              <w:rPr>
                <w:sz w:val="13"/>
                <w:szCs w:val="13"/>
                <w:color w:val="auto"/>
              </w:rPr>
            </w:pPr>
          </w:p>
        </w:tc>
        <w:tc>
          <w:tcPr>
            <w:tcW w:w="136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rPr>
              <w:t>February 26,</w:t>
            </w: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5"/>
              </w:rPr>
              <w:t>Product Mix</w:t>
            </w:r>
            <w:r>
              <w:rPr>
                <w:rFonts w:ascii="Arial" w:cs="Arial" w:eastAsia="Arial" w:hAnsi="Arial"/>
                <w:sz w:val="21"/>
                <w:szCs w:val="21"/>
                <w:b w:val="1"/>
                <w:bCs w:val="1"/>
                <w:color w:val="auto"/>
                <w:w w:val="95"/>
                <w:vertAlign w:val="superscript"/>
              </w:rPr>
              <w:t>(2)</w:t>
            </w:r>
          </w:p>
        </w:tc>
        <w:tc>
          <w:tcPr>
            <w:tcW w:w="180" w:type="dxa"/>
            <w:vAlign w:val="bottom"/>
          </w:tcPr>
          <w:p>
            <w:pPr>
              <w:spacing w:after="0"/>
              <w:rPr>
                <w:sz w:val="13"/>
                <w:szCs w:val="13"/>
                <w:color w:val="auto"/>
              </w:rPr>
            </w:pPr>
          </w:p>
        </w:tc>
        <w:tc>
          <w:tcPr>
            <w:tcW w:w="138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rPr>
              <w:t>February 27,</w:t>
            </w: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16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Unit Change</w:t>
            </w:r>
          </w:p>
        </w:tc>
        <w:tc>
          <w:tcPr>
            <w:tcW w:w="11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32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9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20.8 %</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24.4 %</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13"/>
        </w:trPr>
        <w:tc>
          <w:tcPr>
            <w:tcW w:w="3200" w:type="dxa"/>
            <w:vAlign w:val="bottom"/>
          </w:tcPr>
          <w:p>
            <w:pPr>
              <w:ind w:left="20"/>
              <w:spacing w:after="0"/>
              <w:rPr>
                <w:sz w:val="20"/>
                <w:szCs w:val="20"/>
                <w:color w:val="auto"/>
              </w:rPr>
            </w:pPr>
            <w:r>
              <w:rPr>
                <w:rFonts w:ascii="Arial" w:cs="Arial" w:eastAsia="Arial" w:hAnsi="Arial"/>
                <w:sz w:val="16"/>
                <w:szCs w:val="16"/>
                <w:color w:val="auto"/>
              </w:rPr>
              <w:t>Class B</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1,641</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58.0 %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1,419</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49.2 %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15.6 %</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21.3 %</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762</w:t>
            </w:r>
          </w:p>
        </w:tc>
        <w:tc>
          <w:tcPr>
            <w:tcW w:w="12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26.4 %</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13"/>
        </w:trPr>
        <w:tc>
          <w:tcPr>
            <w:tcW w:w="3200" w:type="dxa"/>
            <w:vAlign w:val="bottom"/>
          </w:tcPr>
          <w:p>
            <w:pPr>
              <w:ind w:left="140"/>
              <w:spacing w:after="0"/>
              <w:rPr>
                <w:sz w:val="20"/>
                <w:szCs w:val="20"/>
                <w:color w:val="auto"/>
              </w:rPr>
            </w:pPr>
            <w:r>
              <w:rPr>
                <w:rFonts w:ascii="Arial" w:cs="Arial" w:eastAsia="Arial" w:hAnsi="Arial"/>
                <w:sz w:val="16"/>
                <w:szCs w:val="16"/>
                <w:color w:val="auto"/>
              </w:rPr>
              <w:t>Total motorhomes</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2,831</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2,885</w:t>
            </w:r>
          </w:p>
        </w:tc>
        <w:tc>
          <w:tcPr>
            <w:tcW w:w="12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280" w:hanging="272"/>
        <w:spacing w:after="0"/>
        <w:tabs>
          <w:tab w:leader="none" w:pos="280" w:val="left"/>
        </w:tabs>
        <w:numPr>
          <w:ilvl w:val="0"/>
          <w:numId w:val="7"/>
        </w:numPr>
        <w:rPr>
          <w:rFonts w:ascii="Arial" w:cs="Arial" w:eastAsia="Arial" w:hAnsi="Arial"/>
          <w:sz w:val="21"/>
          <w:szCs w:val="21"/>
          <w:color w:val="auto"/>
          <w:vertAlign w:val="superscript"/>
        </w:rPr>
      </w:pPr>
      <w:r>
        <w:rPr>
          <w:rFonts w:ascii="Arial" w:cs="Arial" w:eastAsia="Arial" w:hAnsi="Arial"/>
          <w:sz w:val="14"/>
          <w:szCs w:val="14"/>
          <w:color w:val="auto"/>
        </w:rPr>
        <w:t>ASP excludes off-invoice dealer incentives.</w:t>
      </w:r>
    </w:p>
    <w:p>
      <w:pPr>
        <w:ind w:left="300" w:hanging="292"/>
        <w:spacing w:after="0" w:line="189" w:lineRule="auto"/>
        <w:tabs>
          <w:tab w:leader="none" w:pos="300" w:val="left"/>
        </w:tabs>
        <w:numPr>
          <w:ilvl w:val="0"/>
          <w:numId w:val="7"/>
        </w:numPr>
        <w:rPr>
          <w:rFonts w:ascii="Arial" w:cs="Arial" w:eastAsia="Arial" w:hAnsi="Arial"/>
          <w:sz w:val="19"/>
          <w:szCs w:val="19"/>
          <w:color w:val="auto"/>
          <w:vertAlign w:val="superscript"/>
        </w:rPr>
      </w:pPr>
      <w:r>
        <w:rPr>
          <w:rFonts w:ascii="Arial" w:cs="Arial" w:eastAsia="Arial" w:hAnsi="Arial"/>
          <w:sz w:val="13"/>
          <w:szCs w:val="13"/>
          <w:color w:val="auto"/>
        </w:rPr>
        <w:t>Percentages may not add due to rounding differences.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Net revenues increased in the second quarter of Fiscal 2022 compared to the second quarter of Fiscal 2021 primarily due to price increases.</w:t>
      </w:r>
    </w:p>
    <w:p>
      <w:pPr>
        <w:spacing w:after="0" w:line="235" w:lineRule="exact"/>
        <w:rPr>
          <w:sz w:val="20"/>
          <w:szCs w:val="20"/>
          <w:color w:val="auto"/>
        </w:rPr>
      </w:pPr>
    </w:p>
    <w:p>
      <w:pPr>
        <w:ind w:right="240"/>
        <w:spacing w:after="0" w:line="232" w:lineRule="auto"/>
        <w:rPr>
          <w:sz w:val="20"/>
          <w:szCs w:val="20"/>
          <w:color w:val="auto"/>
        </w:rPr>
      </w:pPr>
      <w:r>
        <w:rPr>
          <w:rFonts w:ascii="Arial" w:cs="Arial" w:eastAsia="Arial" w:hAnsi="Arial"/>
          <w:sz w:val="16"/>
          <w:szCs w:val="16"/>
          <w:color w:val="auto"/>
        </w:rPr>
        <w:t>Adjusted EBITDA decreased in the second quarter of Fiscal 2022 compared to the second quarter of Fiscal 2021 primarily due to production inefficiencies caused by supply constraints, partially offset by price increases ahead of known and anticipated material</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auto"/>
        </w:rPr>
        <w:t>and component cost inflation.</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Marine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Marine segment for the three months ended February 26, 2022 compared to the three months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3"/>
        </w:trPr>
        <w:tc>
          <w:tcPr>
            <w:tcW w:w="3160" w:type="dxa"/>
            <w:vAlign w:val="bottom"/>
          </w:tcPr>
          <w:p>
            <w:pPr>
              <w:ind w:left="20"/>
              <w:spacing w:after="0"/>
              <w:rPr>
                <w:sz w:val="20"/>
                <w:szCs w:val="20"/>
                <w:color w:val="auto"/>
              </w:rPr>
            </w:pPr>
            <w:r>
              <w:rPr>
                <w:rFonts w:ascii="Arial" w:cs="Arial" w:eastAsia="Arial" w:hAnsi="Arial"/>
                <w:sz w:val="14"/>
                <w:szCs w:val="14"/>
                <w:color w:val="auto"/>
              </w:rPr>
              <w:t>(in thousands, except ASP and units)</w:t>
            </w: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26, 2022</w:t>
            </w: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 of Revenues</w:t>
            </w:r>
          </w:p>
        </w:tc>
        <w:tc>
          <w:tcPr>
            <w:tcW w:w="1420" w:type="dxa"/>
            <w:vAlign w:val="bottom"/>
            <w:gridSpan w:val="2"/>
          </w:tcPr>
          <w:p>
            <w:pPr>
              <w:ind w:left="20"/>
              <w:spacing w:after="0"/>
              <w:rPr>
                <w:sz w:val="20"/>
                <w:szCs w:val="20"/>
                <w:color w:val="auto"/>
              </w:rPr>
            </w:pPr>
            <w:r>
              <w:rPr>
                <w:rFonts w:ascii="Arial" w:cs="Arial" w:eastAsia="Arial" w:hAnsi="Arial"/>
                <w:sz w:val="16"/>
                <w:szCs w:val="16"/>
                <w:b w:val="1"/>
                <w:bCs w:val="1"/>
                <w:color w:val="auto"/>
              </w:rPr>
              <w:t>February 27, 2021</w:t>
            </w:r>
          </w:p>
        </w:tc>
        <w:tc>
          <w:tcPr>
            <w:tcW w:w="12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 Change</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3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97,309</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14,463</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82,846</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572.8 %</w:t>
            </w:r>
          </w:p>
        </w:tc>
      </w:tr>
      <w:tr>
        <w:trPr>
          <w:trHeight w:val="213"/>
        </w:trPr>
        <w:tc>
          <w:tcPr>
            <w:tcW w:w="31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12,953</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13.3 %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1,024</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7.1 %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11,929</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1,164.9 %</w:t>
            </w:r>
          </w:p>
        </w:tc>
      </w:tr>
      <w:tr>
        <w:trPr>
          <w:trHeight w:val="259"/>
        </w:trPr>
        <w:tc>
          <w:tcPr>
            <w:tcW w:w="31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373"/>
        </w:trPr>
        <w:tc>
          <w:tcPr>
            <w:tcW w:w="3160" w:type="dxa"/>
            <w:vAlign w:val="bottom"/>
          </w:tcPr>
          <w:p>
            <w:pPr>
              <w:ind w:left="20"/>
              <w:spacing w:after="0"/>
              <w:rPr>
                <w:sz w:val="20"/>
                <w:szCs w:val="20"/>
                <w:color w:val="auto"/>
              </w:rPr>
            </w:pPr>
            <w:r>
              <w:rPr>
                <w:rFonts w:ascii="Arial" w:cs="Arial" w:eastAsia="Arial" w:hAnsi="Arial"/>
                <w:sz w:val="32"/>
                <w:szCs w:val="32"/>
                <w:color w:val="auto"/>
                <w:vertAlign w:val="subscript"/>
              </w:rPr>
              <w:t>ASP</w:t>
            </w:r>
            <w:r>
              <w:rPr>
                <w:rFonts w:ascii="Arial" w:cs="Arial" w:eastAsia="Arial" w:hAnsi="Arial"/>
                <w:sz w:val="11"/>
                <w:szCs w:val="11"/>
                <w:color w:val="auto"/>
              </w:rPr>
              <w:t>(1)</w:t>
            </w:r>
          </w:p>
        </w:tc>
        <w:tc>
          <w:tcPr>
            <w:tcW w:w="50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73,492</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209,931</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(136,439)</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(65.0)%</w:t>
            </w:r>
          </w:p>
        </w:tc>
      </w:tr>
      <w:tr>
        <w:trPr>
          <w:trHeight w:val="215"/>
        </w:trPr>
        <w:tc>
          <w:tcPr>
            <w:tcW w:w="3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5"/>
        </w:trPr>
        <w:tc>
          <w:tcPr>
            <w:tcW w:w="316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26, 2022</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ind w:left="20"/>
              <w:spacing w:after="0"/>
              <w:rPr>
                <w:sz w:val="20"/>
                <w:szCs w:val="20"/>
                <w:color w:val="auto"/>
              </w:rPr>
            </w:pPr>
            <w:r>
              <w:rPr>
                <w:rFonts w:ascii="Arial" w:cs="Arial" w:eastAsia="Arial" w:hAnsi="Arial"/>
                <w:sz w:val="16"/>
                <w:szCs w:val="16"/>
                <w:b w:val="1"/>
                <w:bCs w:val="1"/>
                <w:color w:val="auto"/>
              </w:rPr>
              <w:t>February 27, 2021</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Unit Change</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3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Boats</w:t>
            </w:r>
          </w:p>
        </w:tc>
        <w:tc>
          <w:tcPr>
            <w:tcW w:w="5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1,322</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1,253</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1,815.9 %</w:t>
            </w:r>
          </w:p>
        </w:tc>
      </w:tr>
    </w:tbl>
    <w:p>
      <w:pPr>
        <w:spacing w:after="0" w:line="84" w:lineRule="exact"/>
        <w:rPr>
          <w:sz w:val="20"/>
          <w:szCs w:val="20"/>
          <w:color w:val="auto"/>
        </w:rPr>
      </w:pPr>
    </w:p>
    <w:p>
      <w:pPr>
        <w:ind w:left="280" w:hanging="272"/>
        <w:spacing w:after="0"/>
        <w:tabs>
          <w:tab w:leader="none" w:pos="280" w:val="left"/>
        </w:tabs>
        <w:numPr>
          <w:ilvl w:val="0"/>
          <w:numId w:val="8"/>
        </w:numPr>
        <w:rPr>
          <w:rFonts w:ascii="Arial" w:cs="Arial" w:eastAsia="Arial" w:hAnsi="Arial"/>
          <w:sz w:val="21"/>
          <w:szCs w:val="21"/>
          <w:color w:val="auto"/>
          <w:vertAlign w:val="superscript"/>
        </w:rPr>
      </w:pPr>
      <w:r>
        <w:rPr>
          <w:rFonts w:ascii="Arial" w:cs="Arial" w:eastAsia="Arial" w:hAnsi="Arial"/>
          <w:sz w:val="14"/>
          <w:szCs w:val="14"/>
          <w:color w:val="auto"/>
        </w:rPr>
        <w:t>ASP excludes off-invoice dealer incentives.</w:t>
      </w:r>
    </w:p>
    <w:p>
      <w:pPr>
        <w:spacing w:after="0" w:line="230"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Net revenues increased in the second quarter of Fiscal 2022 compared to the second quarter of Fiscal 2021 primarily due to the acquisition of Barletta at the beginning of the first quarter of Fiscal 2022.</w:t>
      </w:r>
    </w:p>
    <w:p>
      <w:pPr>
        <w:spacing w:after="0" w:line="222"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Adjusted EBITDA increased in the second quarter of Fiscal 2022 compared to the second quarter of Fiscal 2021 primarily due to the acquisition of Barletta at the beginning of the first quarter of Fiscal 2022.</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 - Six Months Ended February 26, 2022 Compared to the Six Months Ended February 27, 2021</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Consolidated Performance Summary</w:t>
      </w:r>
    </w:p>
    <w:p>
      <w:pPr>
        <w:spacing w:after="0" w:line="133" w:lineRule="exact"/>
        <w:rPr>
          <w:sz w:val="20"/>
          <w:szCs w:val="20"/>
          <w:color w:val="auto"/>
        </w:rPr>
      </w:pPr>
    </w:p>
    <w:p>
      <w:pPr>
        <w:ind w:right="640"/>
        <w:spacing w:after="0" w:line="259" w:lineRule="auto"/>
        <w:rPr>
          <w:sz w:val="20"/>
          <w:szCs w:val="20"/>
          <w:color w:val="auto"/>
        </w:rPr>
      </w:pPr>
      <w:r>
        <w:rPr>
          <w:rFonts w:ascii="Arial" w:cs="Arial" w:eastAsia="Arial" w:hAnsi="Arial"/>
          <w:sz w:val="16"/>
          <w:szCs w:val="16"/>
          <w:color w:val="auto"/>
        </w:rPr>
        <w:t>The following is an analysis of changes in key items included in the Consolidated Statements of Income for the six months ended February 26, 2022 compared to the six months ended February 27,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ind w:left="440"/>
              <w:spacing w:after="0"/>
              <w:rPr>
                <w:sz w:val="20"/>
                <w:szCs w:val="20"/>
                <w:color w:val="auto"/>
              </w:rPr>
            </w:pPr>
            <w:r>
              <w:rPr>
                <w:rFonts w:ascii="Arial" w:cs="Arial" w:eastAsia="Arial" w:hAnsi="Arial"/>
                <w:sz w:val="16"/>
                <w:szCs w:val="16"/>
                <w:b w:val="1"/>
                <w:bCs w:val="1"/>
                <w:color w:val="auto"/>
              </w:rPr>
              <w:t>Six Months Ended</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rPr>
              <w:t>February 26,</w:t>
            </w:r>
          </w:p>
        </w:tc>
        <w:tc>
          <w:tcPr>
            <w:tcW w:w="14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40" w:type="dxa"/>
            <w:vAlign w:val="bottom"/>
          </w:tcPr>
          <w:p>
            <w:pPr>
              <w:spacing w:after="0"/>
              <w:rPr>
                <w:sz w:val="13"/>
                <w:szCs w:val="13"/>
                <w:color w:val="auto"/>
              </w:rPr>
            </w:pPr>
          </w:p>
        </w:tc>
        <w:tc>
          <w:tcPr>
            <w:tcW w:w="132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rPr>
              <w:t>February 27,</w:t>
            </w:r>
          </w:p>
        </w:tc>
        <w:tc>
          <w:tcPr>
            <w:tcW w:w="14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20"/>
              <w:spacing w:after="0"/>
              <w:rPr>
                <w:sz w:val="20"/>
                <w:szCs w:val="20"/>
                <w:color w:val="auto"/>
              </w:rPr>
            </w:pPr>
            <w:r>
              <w:rPr>
                <w:rFonts w:ascii="Arial" w:cs="Arial" w:eastAsia="Arial" w:hAnsi="Arial"/>
                <w:sz w:val="14"/>
                <w:szCs w:val="14"/>
                <w:color w:val="auto"/>
              </w:rPr>
              <w:t>($ in thousands, except per share data)</w:t>
            </w:r>
          </w:p>
        </w:tc>
        <w:tc>
          <w:tcPr>
            <w:tcW w:w="160" w:type="dxa"/>
            <w:vAlign w:val="bottom"/>
          </w:tcPr>
          <w:p>
            <w:pPr>
              <w:spacing w:after="0"/>
              <w:rPr>
                <w:sz w:val="18"/>
                <w:szCs w:val="18"/>
                <w:color w:val="auto"/>
              </w:rPr>
            </w:pPr>
          </w:p>
        </w:tc>
        <w:tc>
          <w:tcPr>
            <w:tcW w:w="1200" w:type="dxa"/>
            <w:vAlign w:val="bottom"/>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2"/>
          </w:tcPr>
          <w:p>
            <w:pPr>
              <w:ind w:left="20"/>
              <w:spacing w:after="0"/>
              <w:rPr>
                <w:sz w:val="20"/>
                <w:szCs w:val="20"/>
                <w:color w:val="auto"/>
              </w:rPr>
            </w:pPr>
            <w:r>
              <w:rPr>
                <w:rFonts w:ascii="Arial" w:cs="Arial" w:eastAsia="Arial" w:hAnsi="Arial"/>
                <w:sz w:val="16"/>
                <w:szCs w:val="16"/>
                <w:b w:val="1"/>
                <w:bCs w:val="1"/>
                <w:color w:val="auto"/>
              </w:rPr>
              <w:t>Change</w:t>
            </w:r>
          </w:p>
        </w:tc>
        <w:tc>
          <w:tcPr>
            <w:tcW w:w="1260" w:type="dxa"/>
            <w:vAlign w:val="bottom"/>
          </w:tcPr>
          <w:p>
            <w:pPr>
              <w:jc w:val="right"/>
              <w:ind w:right="15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9"/>
        </w:trPr>
        <w:tc>
          <w:tcPr>
            <w:tcW w:w="2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2,320,471</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1,633,017</w:t>
            </w: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687,454</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42.1 %</w:t>
            </w:r>
          </w:p>
        </w:tc>
        <w:tc>
          <w:tcPr>
            <w:tcW w:w="0" w:type="dxa"/>
            <w:vAlign w:val="bottom"/>
          </w:tcPr>
          <w:p>
            <w:pPr>
              <w:spacing w:after="0"/>
              <w:rPr>
                <w:sz w:val="1"/>
                <w:szCs w:val="1"/>
                <w:color w:val="auto"/>
              </w:rPr>
            </w:pPr>
          </w:p>
        </w:tc>
      </w:tr>
      <w:tr>
        <w:trPr>
          <w:trHeight w:val="213"/>
        </w:trPr>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1,874,482</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80.8 %</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1,339,431</w:t>
            </w: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82.0 %</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535,051</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39.9 %</w:t>
            </w:r>
          </w:p>
        </w:tc>
        <w:tc>
          <w:tcPr>
            <w:tcW w:w="0" w:type="dxa"/>
            <w:vAlign w:val="bottom"/>
          </w:tcPr>
          <w:p>
            <w:pPr>
              <w:spacing w:after="0"/>
              <w:rPr>
                <w:sz w:val="1"/>
                <w:szCs w:val="1"/>
                <w:color w:val="auto"/>
              </w:rPr>
            </w:pPr>
          </w:p>
        </w:tc>
      </w:tr>
      <w:tr>
        <w:trPr>
          <w:trHeight w:val="212"/>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445,989</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19.2 %</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293,586</w:t>
            </w:r>
          </w:p>
        </w:tc>
        <w:tc>
          <w:tcPr>
            <w:tcW w:w="12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18.0 %</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152,403</w:t>
            </w:r>
          </w:p>
        </w:tc>
        <w:tc>
          <w:tcPr>
            <w:tcW w:w="12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51.9 %</w:t>
            </w:r>
          </w:p>
        </w:tc>
        <w:tc>
          <w:tcPr>
            <w:tcW w:w="0" w:type="dxa"/>
            <w:vAlign w:val="bottom"/>
          </w:tcPr>
          <w:p>
            <w:pPr>
              <w:spacing w:after="0"/>
              <w:rPr>
                <w:sz w:val="1"/>
                <w:szCs w:val="1"/>
                <w:color w:val="auto"/>
              </w:rPr>
            </w:pPr>
          </w:p>
        </w:tc>
      </w:tr>
      <w:tr>
        <w:trPr>
          <w:trHeight w:val="157"/>
        </w:trPr>
        <w:tc>
          <w:tcPr>
            <w:tcW w:w="2880" w:type="dxa"/>
            <w:vAlign w:val="bottom"/>
          </w:tcPr>
          <w:p>
            <w:pPr>
              <w:ind w:left="20"/>
              <w:spacing w:after="0" w:line="158" w:lineRule="exact"/>
              <w:rPr>
                <w:sz w:val="20"/>
                <w:szCs w:val="20"/>
                <w:color w:val="auto"/>
              </w:rPr>
            </w:pPr>
            <w:r>
              <w:rPr>
                <w:rFonts w:ascii="Arial" w:cs="Arial" w:eastAsia="Arial" w:hAnsi="Arial"/>
                <w:sz w:val="16"/>
                <w:szCs w:val="16"/>
                <w:color w:val="auto"/>
              </w:rPr>
              <w:t>Selling, general, and administrative</w:t>
            </w: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880" w:type="dxa"/>
            <w:vAlign w:val="bottom"/>
          </w:tcPr>
          <w:p>
            <w:pPr>
              <w:ind w:left="20"/>
              <w:spacing w:after="0"/>
              <w:rPr>
                <w:sz w:val="20"/>
                <w:szCs w:val="20"/>
                <w:color w:val="auto"/>
              </w:rPr>
            </w:pPr>
            <w:r>
              <w:rPr>
                <w:rFonts w:ascii="Arial" w:cs="Arial" w:eastAsia="Arial" w:hAnsi="Arial"/>
                <w:sz w:val="16"/>
                <w:szCs w:val="16"/>
                <w:color w:val="auto"/>
              </w:rPr>
              <w:t>expenses</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146,665</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6.3 %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101,415</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6.2 %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45,250</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44.6 %</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16,187</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7,181</w:t>
            </w:r>
          </w:p>
        </w:tc>
        <w:tc>
          <w:tcPr>
            <w:tcW w:w="12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9,006</w:t>
            </w:r>
          </w:p>
        </w:tc>
        <w:tc>
          <w:tcPr>
            <w:tcW w:w="12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125.4 %</w:t>
            </w:r>
          </w:p>
        </w:tc>
        <w:tc>
          <w:tcPr>
            <w:tcW w:w="0" w:type="dxa"/>
            <w:vAlign w:val="bottom"/>
          </w:tcPr>
          <w:p>
            <w:pPr>
              <w:spacing w:after="0"/>
              <w:rPr>
                <w:sz w:val="1"/>
                <w:szCs w:val="1"/>
                <w:color w:val="auto"/>
              </w:rPr>
            </w:pPr>
          </w:p>
        </w:tc>
      </w:tr>
      <w:tr>
        <w:trPr>
          <w:trHeight w:val="209"/>
        </w:trPr>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162,852</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7.0 %</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108,596</w:t>
            </w: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6.7 %</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54,256</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50.0 %</w:t>
            </w:r>
          </w:p>
        </w:tc>
        <w:tc>
          <w:tcPr>
            <w:tcW w:w="0" w:type="dxa"/>
            <w:vAlign w:val="bottom"/>
          </w:tcPr>
          <w:p>
            <w:pPr>
              <w:spacing w:after="0"/>
              <w:rPr>
                <w:sz w:val="1"/>
                <w:szCs w:val="1"/>
                <w:color w:val="auto"/>
              </w:rPr>
            </w:pPr>
          </w:p>
        </w:tc>
      </w:tr>
      <w:tr>
        <w:trPr>
          <w:trHeight w:val="213"/>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283,137</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184,990</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98,147</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53.1 %</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20,567</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0.9 %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19,993</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574</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loss (income)</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12,864</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(13,081)</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(6,028.1)%</w:t>
            </w:r>
          </w:p>
        </w:tc>
        <w:tc>
          <w:tcPr>
            <w:tcW w:w="0" w:type="dxa"/>
            <w:vAlign w:val="bottom"/>
          </w:tcPr>
          <w:p>
            <w:pPr>
              <w:spacing w:after="0"/>
              <w:rPr>
                <w:sz w:val="1"/>
                <w:szCs w:val="1"/>
                <w:color w:val="auto"/>
              </w:rPr>
            </w:pPr>
          </w:p>
        </w:tc>
      </w:tr>
      <w:tr>
        <w:trPr>
          <w:trHeight w:val="209"/>
        </w:trPr>
        <w:tc>
          <w:tcPr>
            <w:tcW w:w="288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249,706</w:t>
            </w:r>
          </w:p>
        </w:tc>
        <w:tc>
          <w:tcPr>
            <w:tcW w:w="10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10.8 %</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165,214</w:t>
            </w:r>
          </w:p>
        </w:tc>
        <w:tc>
          <w:tcPr>
            <w:tcW w:w="12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10.1 %</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84,492</w:t>
            </w:r>
          </w:p>
        </w:tc>
        <w:tc>
          <w:tcPr>
            <w:tcW w:w="12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51.1 %</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58,901</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38,723</w:t>
            </w:r>
          </w:p>
        </w:tc>
        <w:tc>
          <w:tcPr>
            <w:tcW w:w="12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20,178</w:t>
            </w:r>
          </w:p>
        </w:tc>
        <w:tc>
          <w:tcPr>
            <w:tcW w:w="12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52.1 %</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190,805</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8.2 %</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126,491</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7.7 %</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64,314</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50.8 %</w:t>
            </w:r>
          </w:p>
        </w:tc>
        <w:tc>
          <w:tcPr>
            <w:tcW w:w="0" w:type="dxa"/>
            <w:vAlign w:val="bottom"/>
          </w:tcPr>
          <w:p>
            <w:pPr>
              <w:spacing w:after="0"/>
              <w:rPr>
                <w:sz w:val="1"/>
                <w:szCs w:val="1"/>
                <w:color w:val="auto"/>
              </w:rPr>
            </w:pPr>
          </w:p>
        </w:tc>
      </w:tr>
      <w:tr>
        <w:trPr>
          <w:trHeight w:val="20"/>
        </w:trPr>
        <w:tc>
          <w:tcPr>
            <w:tcW w:w="28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5.58</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3.74</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1.84</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49.2 %</w:t>
            </w: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average shares outstanding</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34,168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33,821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00" w:hanging="292"/>
        <w:spacing w:after="0"/>
        <w:tabs>
          <w:tab w:leader="none" w:pos="300" w:val="left"/>
        </w:tabs>
        <w:numPr>
          <w:ilvl w:val="0"/>
          <w:numId w:val="9"/>
        </w:numPr>
        <w:rPr>
          <w:rFonts w:ascii="Arial" w:cs="Arial" w:eastAsia="Arial" w:hAnsi="Arial"/>
          <w:sz w:val="21"/>
          <w:szCs w:val="21"/>
          <w:color w:val="auto"/>
          <w:vertAlign w:val="superscript"/>
        </w:rPr>
      </w:pPr>
      <w:r>
        <w:rPr>
          <w:rFonts w:ascii="Arial" w:cs="Arial" w:eastAsia="Arial" w:hAnsi="Arial"/>
          <w:sz w:val="14"/>
          <w:szCs w:val="14"/>
          <w:color w:val="auto"/>
        </w:rPr>
        <w:t>Percentages may not add due to rounding differences.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Net revenues increased in the first six months of Fiscal 2022 compared to the first six months of Fiscal 2021 primarily due to price increases related to current and anticipated higher material and component costs, and unit growth, including incremental volume from the acquisition of Barletta.</w:t>
      </w:r>
    </w:p>
    <w:p>
      <w:pPr>
        <w:spacing w:after="0" w:line="222"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Gross profit as a percentage of revenue increased in the first six months of Fiscal 2022 compared to the first six months of Fiscal 2021 primarily due to improved operating leverage on higher revenues and price increases, partially offset by higher material and component costs.</w:t>
      </w:r>
    </w:p>
    <w:p>
      <w:pPr>
        <w:spacing w:after="0" w:line="222"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Operating expenses increased in the first six months of Fiscal 2022 compared to the first six months of Fiscal 2021 primarily due to higher operating expenses to support increasing sales and improved operating performance, acquisition-related costs, and incremental operating expenses and amortization associated with the acquisition of Barletta.</w:t>
      </w:r>
    </w:p>
    <w:p>
      <w:pPr>
        <w:spacing w:after="0" w:line="228" w:lineRule="exact"/>
        <w:rPr>
          <w:sz w:val="20"/>
          <w:szCs w:val="20"/>
          <w:color w:val="auto"/>
        </w:rPr>
      </w:pPr>
    </w:p>
    <w:p>
      <w:pPr>
        <w:jc w:val="both"/>
        <w:ind w:right="280"/>
        <w:spacing w:after="0" w:line="260" w:lineRule="auto"/>
        <w:rPr>
          <w:sz w:val="20"/>
          <w:szCs w:val="20"/>
          <w:color w:val="auto"/>
        </w:rPr>
      </w:pPr>
      <w:r>
        <w:rPr>
          <w:rFonts w:ascii="Arial" w:cs="Arial" w:eastAsia="Arial" w:hAnsi="Arial"/>
          <w:sz w:val="16"/>
          <w:szCs w:val="16"/>
          <w:color w:val="auto"/>
        </w:rPr>
        <w:t>Non-operating loss increased in the first six months of Fiscal 2022 compared to the first six months of Fiscal 2021 due to the contingent consideration fair value adjustment related to the acquisition of Barletta.</w:t>
      </w:r>
    </w:p>
    <w:p>
      <w:pPr>
        <w:spacing w:after="0" w:line="209" w:lineRule="exact"/>
        <w:rPr>
          <w:sz w:val="20"/>
          <w:szCs w:val="20"/>
          <w:color w:val="auto"/>
        </w:rPr>
      </w:pPr>
    </w:p>
    <w:p>
      <w:pPr>
        <w:jc w:val="both"/>
        <w:ind w:right="260"/>
        <w:spacing w:after="0" w:line="237" w:lineRule="auto"/>
        <w:rPr>
          <w:sz w:val="20"/>
          <w:szCs w:val="20"/>
          <w:color w:val="auto"/>
        </w:rPr>
      </w:pPr>
      <w:r>
        <w:rPr>
          <w:rFonts w:ascii="Arial" w:cs="Arial" w:eastAsia="Arial" w:hAnsi="Arial"/>
          <w:sz w:val="16"/>
          <w:szCs w:val="16"/>
          <w:color w:val="auto"/>
        </w:rPr>
        <w:t>Our effective tax rate was relatively flat in the first six months of Fiscal 2022 compared to the first six months of Fiscal 2021 primarily due to the impact of consistent tax credits compared to prior year over increased income in the current year and a net unfavorable expense in the current year related to stock compensation.</w:t>
      </w:r>
    </w:p>
    <w:p>
      <w:pPr>
        <w:spacing w:after="0" w:line="238" w:lineRule="exact"/>
        <w:rPr>
          <w:sz w:val="20"/>
          <w:szCs w:val="20"/>
          <w:color w:val="auto"/>
        </w:rPr>
      </w:pPr>
    </w:p>
    <w:p>
      <w:pPr>
        <w:jc w:val="both"/>
        <w:ind w:right="260"/>
        <w:spacing w:after="0" w:line="260" w:lineRule="auto"/>
        <w:rPr>
          <w:sz w:val="20"/>
          <w:szCs w:val="20"/>
          <w:color w:val="auto"/>
        </w:rPr>
      </w:pPr>
      <w:r>
        <w:rPr>
          <w:rFonts w:ascii="Arial" w:cs="Arial" w:eastAsia="Arial" w:hAnsi="Arial"/>
          <w:sz w:val="16"/>
          <w:szCs w:val="16"/>
          <w:color w:val="auto"/>
        </w:rPr>
        <w:t>Net income and diluted earnings per share increased in the first six months of Fiscal 2022 compared to the first six months of Fiscal 2021 primarily due to leverage gained on higher revenues, partially offset by increased operating expenses and higher income tax expense.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Reconciliation</w:t>
      </w:r>
    </w:p>
    <w:p>
      <w:pPr>
        <w:spacing w:after="0" w:line="133" w:lineRule="exact"/>
        <w:rPr>
          <w:sz w:val="20"/>
          <w:szCs w:val="20"/>
          <w:color w:val="auto"/>
        </w:rPr>
      </w:pPr>
    </w:p>
    <w:p>
      <w:pPr>
        <w:ind w:right="420"/>
        <w:spacing w:after="0" w:line="259" w:lineRule="auto"/>
        <w:rPr>
          <w:sz w:val="20"/>
          <w:szCs w:val="20"/>
          <w:color w:val="auto"/>
        </w:rPr>
      </w:pPr>
      <w:r>
        <w:rPr>
          <w:rFonts w:ascii="Arial" w:cs="Arial" w:eastAsia="Arial" w:hAnsi="Arial"/>
          <w:sz w:val="16"/>
          <w:szCs w:val="16"/>
          <w:color w:val="auto"/>
        </w:rPr>
        <w:t>The following table reconciles net income to consolidated EBITDA and Adjusted EBITDA for the six months ended February 26, 2022 and February 27,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4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4"/>
          </w:tcPr>
          <w:p>
            <w:pPr>
              <w:jc w:val="right"/>
              <w:ind w:right="1099"/>
              <w:spacing w:after="0"/>
              <w:rPr>
                <w:sz w:val="20"/>
                <w:szCs w:val="20"/>
                <w:color w:val="auto"/>
              </w:rPr>
            </w:pPr>
            <w:r>
              <w:rPr>
                <w:rFonts w:ascii="Arial" w:cs="Arial" w:eastAsia="Arial" w:hAnsi="Arial"/>
                <w:sz w:val="16"/>
                <w:szCs w:val="16"/>
                <w:b w:val="1"/>
                <w:bCs w:val="1"/>
                <w:color w:val="auto"/>
              </w:rPr>
              <w:t>Six Months Ended</w:t>
            </w:r>
          </w:p>
        </w:tc>
      </w:tr>
      <w:tr>
        <w:trPr>
          <w:trHeight w:val="212"/>
        </w:trPr>
        <w:tc>
          <w:tcPr>
            <w:tcW w:w="74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8"/>
                <w:szCs w:val="18"/>
                <w:color w:val="auto"/>
              </w:rPr>
            </w:pPr>
          </w:p>
        </w:tc>
        <w:tc>
          <w:tcPr>
            <w:tcW w:w="176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26, 2022</w:t>
            </w:r>
          </w:p>
        </w:tc>
        <w:tc>
          <w:tcPr>
            <w:tcW w:w="180" w:type="dxa"/>
            <w:vAlign w:val="bottom"/>
          </w:tcPr>
          <w:p>
            <w:pPr>
              <w:spacing w:after="0"/>
              <w:rPr>
                <w:sz w:val="18"/>
                <w:szCs w:val="18"/>
                <w:color w:val="auto"/>
              </w:rPr>
            </w:pPr>
          </w:p>
        </w:tc>
        <w:tc>
          <w:tcPr>
            <w:tcW w:w="1660" w:type="dxa"/>
            <w:vAlign w:val="bottom"/>
          </w:tcPr>
          <w:p>
            <w:pPr>
              <w:jc w:val="right"/>
              <w:ind w:right="159"/>
              <w:spacing w:after="0"/>
              <w:rPr>
                <w:sz w:val="20"/>
                <w:szCs w:val="20"/>
                <w:color w:val="auto"/>
              </w:rPr>
            </w:pPr>
            <w:r>
              <w:rPr>
                <w:rFonts w:ascii="Arial" w:cs="Arial" w:eastAsia="Arial" w:hAnsi="Arial"/>
                <w:sz w:val="16"/>
                <w:szCs w:val="16"/>
                <w:b w:val="1"/>
                <w:bCs w:val="1"/>
                <w:color w:val="auto"/>
              </w:rPr>
              <w:t>February 27, 2021</w:t>
            </w:r>
          </w:p>
        </w:tc>
      </w:tr>
      <w:tr>
        <w:trPr>
          <w:trHeight w:val="210"/>
        </w:trPr>
        <w:tc>
          <w:tcPr>
            <w:tcW w:w="7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190,805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126,491</w:t>
            </w:r>
          </w:p>
        </w:tc>
      </w:tr>
      <w:tr>
        <w:trPr>
          <w:trHeight w:val="213"/>
        </w:trPr>
        <w:tc>
          <w:tcPr>
            <w:tcW w:w="746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20,567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19,993</w:t>
            </w:r>
          </w:p>
        </w:tc>
      </w:tr>
      <w:tr>
        <w:trPr>
          <w:trHeight w:val="219"/>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38,723</w:t>
            </w:r>
          </w:p>
        </w:tc>
      </w:tr>
      <w:tr>
        <w:trPr>
          <w:trHeight w:val="213"/>
        </w:trPr>
        <w:tc>
          <w:tcPr>
            <w:tcW w:w="746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10,767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8,559</w:t>
            </w: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16,187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7,181</w:t>
            </w:r>
          </w:p>
        </w:tc>
      </w:tr>
      <w:tr>
        <w:trPr>
          <w:trHeight w:val="209"/>
        </w:trPr>
        <w:tc>
          <w:tcPr>
            <w:tcW w:w="7460" w:type="dxa"/>
            <w:vAlign w:val="bottom"/>
          </w:tcPr>
          <w:p>
            <w:pPr>
              <w:ind w:left="140"/>
              <w:spacing w:after="0"/>
              <w:rPr>
                <w:sz w:val="20"/>
                <w:szCs w:val="20"/>
                <w:color w:val="auto"/>
              </w:rPr>
            </w:pPr>
            <w:r>
              <w:rPr>
                <w:rFonts w:ascii="Arial" w:cs="Arial" w:eastAsia="Arial" w:hAnsi="Arial"/>
                <w:sz w:val="16"/>
                <w:szCs w:val="16"/>
                <w:color w:val="auto"/>
              </w:rPr>
              <w:t>EBITDA</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297,227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200,947</w:t>
            </w:r>
          </w:p>
        </w:tc>
      </w:tr>
      <w:tr>
        <w:trPr>
          <w:trHeight w:val="219"/>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costs</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460" w:type="dxa"/>
            <w:vAlign w:val="bottom"/>
          </w:tcPr>
          <w:p>
            <w:pPr>
              <w:ind w:left="20"/>
              <w:spacing w:after="0"/>
              <w:rPr>
                <w:sz w:val="20"/>
                <w:szCs w:val="20"/>
                <w:color w:val="auto"/>
              </w:rPr>
            </w:pPr>
            <w:r>
              <w:rPr>
                <w:rFonts w:ascii="Arial" w:cs="Arial" w:eastAsia="Arial" w:hAnsi="Arial"/>
                <w:sz w:val="16"/>
                <w:szCs w:val="16"/>
                <w:color w:val="auto"/>
              </w:rPr>
              <w:t>Litigation reserves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w:t>
            </w:r>
          </w:p>
        </w:tc>
        <w:tc>
          <w:tcPr>
            <w:tcW w:w="18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13"/>
        </w:trPr>
        <w:tc>
          <w:tcPr>
            <w:tcW w:w="7460" w:type="dxa"/>
            <w:vAlign w:val="bottom"/>
          </w:tcPr>
          <w:p>
            <w:pPr>
              <w:ind w:left="20"/>
              <w:spacing w:after="0"/>
              <w:rPr>
                <w:sz w:val="20"/>
                <w:szCs w:val="20"/>
                <w:color w:val="auto"/>
              </w:rPr>
            </w:pPr>
            <w:r>
              <w:rPr>
                <w:rFonts w:ascii="Arial" w:cs="Arial" w:eastAsia="Arial" w:hAnsi="Arial"/>
                <w:sz w:val="16"/>
                <w:szCs w:val="16"/>
                <w:color w:val="auto"/>
              </w:rPr>
              <w:t>Gain on sale of property, plant and equipment</w:t>
            </w:r>
          </w:p>
        </w:tc>
        <w:tc>
          <w:tcPr>
            <w:tcW w:w="18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(3,565)</w:t>
            </w:r>
          </w:p>
        </w:tc>
      </w:tr>
      <w:tr>
        <w:trPr>
          <w:trHeight w:val="219"/>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 fair value adjustment</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Non-operating income</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r>
      <w:tr>
        <w:trPr>
          <w:trHeight w:val="238"/>
        </w:trPr>
        <w:tc>
          <w:tcPr>
            <w:tcW w:w="7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Adjusted 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317,961</w:t>
            </w: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197,258</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Reportable Segment Performance Summary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Towable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Towable segment for the six months ended February 26, 2022 compared to the six months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ind w:left="180"/>
              <w:spacing w:after="0"/>
              <w:rPr>
                <w:sz w:val="20"/>
                <w:szCs w:val="20"/>
                <w:color w:val="auto"/>
              </w:rPr>
            </w:pPr>
            <w:r>
              <w:rPr>
                <w:rFonts w:ascii="Arial" w:cs="Arial" w:eastAsia="Arial" w:hAnsi="Arial"/>
                <w:sz w:val="16"/>
                <w:szCs w:val="16"/>
                <w:b w:val="1"/>
                <w:bCs w:val="1"/>
                <w:color w:val="auto"/>
              </w:rPr>
              <w:t>Six Months Ended</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3"/>
        </w:trPr>
        <w:tc>
          <w:tcPr>
            <w:tcW w:w="3240" w:type="dxa"/>
            <w:vAlign w:val="bottom"/>
          </w:tcPr>
          <w:p>
            <w:pPr>
              <w:ind w:left="20"/>
              <w:spacing w:after="0"/>
              <w:rPr>
                <w:sz w:val="20"/>
                <w:szCs w:val="20"/>
                <w:color w:val="auto"/>
              </w:rPr>
            </w:pPr>
            <w:r>
              <w:rPr>
                <w:rFonts w:ascii="Arial" w:cs="Arial" w:eastAsia="Arial" w:hAnsi="Arial"/>
                <w:sz w:val="14"/>
                <w:szCs w:val="14"/>
                <w:color w:val="auto"/>
              </w:rPr>
              <w:t>(in thousands, except ASP and units)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February 26, 2022</w:t>
            </w:r>
          </w:p>
        </w:tc>
        <w:tc>
          <w:tcPr>
            <w:tcW w:w="80" w:type="dxa"/>
            <w:vAlign w:val="bottom"/>
          </w:tcPr>
          <w:p>
            <w:pPr>
              <w:spacing w:after="0"/>
              <w:rPr>
                <w:sz w:val="18"/>
                <w:szCs w:val="18"/>
                <w:color w:val="auto"/>
              </w:rPr>
            </w:pPr>
          </w:p>
        </w:tc>
        <w:tc>
          <w:tcPr>
            <w:tcW w:w="1280" w:type="dxa"/>
            <w:vAlign w:val="bottom"/>
            <w:gridSpan w:val="2"/>
          </w:tcPr>
          <w:p>
            <w:pPr>
              <w:ind w:left="20"/>
              <w:spacing w:after="0"/>
              <w:rPr>
                <w:sz w:val="20"/>
                <w:szCs w:val="20"/>
                <w:color w:val="auto"/>
              </w:rPr>
            </w:pPr>
            <w:r>
              <w:rPr>
                <w:rFonts w:ascii="Arial" w:cs="Arial" w:eastAsia="Arial" w:hAnsi="Arial"/>
                <w:sz w:val="16"/>
                <w:szCs w:val="16"/>
                <w:b w:val="1"/>
                <w:bCs w:val="1"/>
                <w:color w:val="auto"/>
              </w:rPr>
              <w:t>% of Revenues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February 27, 2021</w:t>
            </w:r>
          </w:p>
        </w:tc>
        <w:tc>
          <w:tcPr>
            <w:tcW w:w="100" w:type="dxa"/>
            <w:vAlign w:val="bottom"/>
          </w:tcPr>
          <w:p>
            <w:pPr>
              <w:spacing w:after="0"/>
              <w:rPr>
                <w:sz w:val="18"/>
                <w:szCs w:val="18"/>
                <w:color w:val="auto"/>
              </w:rPr>
            </w:pPr>
          </w:p>
        </w:tc>
        <w:tc>
          <w:tcPr>
            <w:tcW w:w="1280" w:type="dxa"/>
            <w:vAlign w:val="bottom"/>
            <w:gridSpan w:val="2"/>
          </w:tcPr>
          <w:p>
            <w:pPr>
              <w:ind w:left="2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 Change</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3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1,297,625</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894,185</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403,440</w:t>
            </w: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45.1 %</w:t>
            </w:r>
          </w:p>
        </w:tc>
      </w:tr>
      <w:tr>
        <w:trPr>
          <w:trHeight w:val="213"/>
        </w:trPr>
        <w:tc>
          <w:tcPr>
            <w:tcW w:w="324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212,650</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16.4 %</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125,509</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14.0 %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87,141</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69.4 %</w:t>
            </w:r>
          </w:p>
        </w:tc>
      </w:tr>
      <w:tr>
        <w:trPr>
          <w:trHeight w:val="273"/>
        </w:trPr>
        <w:tc>
          <w:tcPr>
            <w:tcW w:w="32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81"/>
        </w:trPr>
        <w:tc>
          <w:tcPr>
            <w:tcW w:w="3240" w:type="dxa"/>
            <w:vAlign w:val="bottom"/>
          </w:tcPr>
          <w:p>
            <w:pPr>
              <w:ind w:left="20"/>
              <w:spacing w:after="0"/>
              <w:rPr>
                <w:sz w:val="20"/>
                <w:szCs w:val="20"/>
                <w:color w:val="auto"/>
              </w:rPr>
            </w:pPr>
            <w:r>
              <w:rPr>
                <w:rFonts w:ascii="Arial" w:cs="Arial" w:eastAsia="Arial" w:hAnsi="Arial"/>
                <w:sz w:val="16"/>
                <w:szCs w:val="16"/>
                <w:color w:val="auto"/>
              </w:rPr>
              <w:t>ASP</w:t>
            </w:r>
            <w:r>
              <w:rPr>
                <w:rFonts w:ascii="Arial" w:cs="Arial" w:eastAsia="Arial" w:hAnsi="Arial"/>
                <w:sz w:val="21"/>
                <w:szCs w:val="21"/>
                <w:color w:val="auto"/>
                <w:vertAlign w:val="superscript"/>
              </w:rPr>
              <w:t>(1)</w:t>
            </w:r>
          </w:p>
        </w:tc>
        <w:tc>
          <w:tcPr>
            <w:tcW w:w="3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40,529</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32,229</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8,300</w:t>
            </w:r>
          </w:p>
        </w:tc>
        <w:tc>
          <w:tcPr>
            <w:tcW w:w="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25.8 %</w:t>
            </w:r>
          </w:p>
        </w:tc>
      </w:tr>
      <w:tr>
        <w:trPr>
          <w:trHeight w:val="307"/>
        </w:trPr>
        <w:tc>
          <w:tcPr>
            <w:tcW w:w="32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ind w:left="180"/>
              <w:spacing w:after="0"/>
              <w:rPr>
                <w:sz w:val="20"/>
                <w:szCs w:val="20"/>
                <w:color w:val="auto"/>
              </w:rPr>
            </w:pPr>
            <w:r>
              <w:rPr>
                <w:rFonts w:ascii="Arial" w:cs="Arial" w:eastAsia="Arial" w:hAnsi="Arial"/>
                <w:sz w:val="16"/>
                <w:szCs w:val="16"/>
                <w:b w:val="1"/>
                <w:bCs w:val="1"/>
                <w:color w:val="auto"/>
              </w:rPr>
              <w:t>Six Months Ended</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15"/>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Unit deliveries</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February 26, 2022</w:t>
            </w: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p>
        </w:tc>
        <w:tc>
          <w:tcPr>
            <w:tcW w:w="8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February 27, 2021</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Unit Change</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21,907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69.1 %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18,036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65.1 %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3,871</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21.5 %</w:t>
            </w:r>
          </w:p>
        </w:tc>
      </w:tr>
      <w:tr>
        <w:trPr>
          <w:trHeight w:val="213"/>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Fifth wheel</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9,818</w:t>
            </w: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30.9 %</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9,686</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1.4 %</w:t>
            </w:r>
          </w:p>
        </w:tc>
      </w:tr>
      <w:tr>
        <w:trPr>
          <w:trHeight w:val="232"/>
        </w:trPr>
        <w:tc>
          <w:tcPr>
            <w:tcW w:w="3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towables</w:t>
            </w:r>
          </w:p>
        </w:tc>
        <w:tc>
          <w:tcPr>
            <w:tcW w:w="3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31,725</w:t>
            </w: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27,722</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4,003</w:t>
            </w:r>
          </w:p>
        </w:tc>
        <w:tc>
          <w:tcPr>
            <w:tcW w:w="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14.4 %</w:t>
            </w:r>
          </w:p>
        </w:tc>
      </w:tr>
      <w:tr>
        <w:trPr>
          <w:trHeight w:val="20"/>
        </w:trPr>
        <w:tc>
          <w:tcPr>
            <w:tcW w:w="324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322"/>
        </w:trPr>
        <w:tc>
          <w:tcPr>
            <w:tcW w:w="324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February 26, 2022</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February 27, 2021</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Change</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2"/>
        </w:trPr>
        <w:tc>
          <w:tcPr>
            <w:tcW w:w="3240" w:type="dxa"/>
            <w:vAlign w:val="bottom"/>
            <w:tcBorders>
              <w:top w:val="single" w:sz="8" w:color="auto"/>
            </w:tcBorders>
            <w:shd w:val="clear" w:color="auto" w:fill="CCEEFF"/>
          </w:tcPr>
          <w:p>
            <w:pPr>
              <w:ind w:left="20"/>
              <w:spacing w:after="0" w:line="213"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(3)</w:t>
            </w:r>
          </w:p>
        </w:tc>
        <w:tc>
          <w:tcPr>
            <w:tcW w:w="3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13"/>
        </w:trPr>
        <w:tc>
          <w:tcPr>
            <w:tcW w:w="3240" w:type="dxa"/>
            <w:vAlign w:val="bottom"/>
          </w:tcPr>
          <w:p>
            <w:pPr>
              <w:ind w:left="140"/>
              <w:spacing w:after="0"/>
              <w:rPr>
                <w:sz w:val="20"/>
                <w:szCs w:val="20"/>
                <w:color w:val="auto"/>
              </w:rPr>
            </w:pPr>
            <w:r>
              <w:rPr>
                <w:rFonts w:ascii="Arial" w:cs="Arial" w:eastAsia="Arial" w:hAnsi="Arial"/>
                <w:sz w:val="16"/>
                <w:szCs w:val="16"/>
                <w:color w:val="auto"/>
              </w:rPr>
              <w:t>Units</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47,438</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39,855</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7,583</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19.0 %</w:t>
            </w:r>
          </w:p>
        </w:tc>
      </w:tr>
      <w:tr>
        <w:trPr>
          <w:trHeight w:val="219"/>
        </w:trPr>
        <w:tc>
          <w:tcPr>
            <w:tcW w:w="3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Dollars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1,873,159</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1,206,695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666,464</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55.2 %</w:t>
            </w:r>
          </w:p>
        </w:tc>
      </w:tr>
      <w:tr>
        <w:trPr>
          <w:trHeight w:val="215"/>
        </w:trPr>
        <w:tc>
          <w:tcPr>
            <w:tcW w:w="324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7"/>
        </w:trPr>
        <w:tc>
          <w:tcPr>
            <w:tcW w:w="3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21,738</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15,952</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5,786</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36.3 %</w:t>
            </w:r>
          </w:p>
        </w:tc>
      </w:tr>
    </w:tbl>
    <w:p>
      <w:pPr>
        <w:spacing w:after="0" w:line="74" w:lineRule="exact"/>
        <w:rPr>
          <w:sz w:val="20"/>
          <w:szCs w:val="20"/>
          <w:color w:val="auto"/>
        </w:rPr>
      </w:pPr>
    </w:p>
    <w:p>
      <w:pPr>
        <w:ind w:left="280" w:hanging="272"/>
        <w:spacing w:after="0"/>
        <w:tabs>
          <w:tab w:leader="none" w:pos="280" w:val="left"/>
        </w:tabs>
        <w:numPr>
          <w:ilvl w:val="0"/>
          <w:numId w:val="10"/>
        </w:numPr>
        <w:rPr>
          <w:rFonts w:ascii="Arial" w:cs="Arial" w:eastAsia="Arial" w:hAnsi="Arial"/>
          <w:sz w:val="21"/>
          <w:szCs w:val="21"/>
          <w:color w:val="auto"/>
          <w:vertAlign w:val="superscript"/>
        </w:rPr>
      </w:pPr>
      <w:r>
        <w:rPr>
          <w:rFonts w:ascii="Arial" w:cs="Arial" w:eastAsia="Arial" w:hAnsi="Arial"/>
          <w:sz w:val="14"/>
          <w:szCs w:val="14"/>
          <w:color w:val="auto"/>
        </w:rPr>
        <w:t>Average selling price excludes off-invoice dealer incentives.</w:t>
      </w:r>
    </w:p>
    <w:p>
      <w:pPr>
        <w:ind w:left="300" w:hanging="292"/>
        <w:spacing w:after="0" w:line="187" w:lineRule="auto"/>
        <w:tabs>
          <w:tab w:leader="none" w:pos="300" w:val="left"/>
        </w:tabs>
        <w:numPr>
          <w:ilvl w:val="0"/>
          <w:numId w:val="10"/>
        </w:numPr>
        <w:rPr>
          <w:rFonts w:ascii="Arial" w:cs="Arial" w:eastAsia="Arial" w:hAnsi="Arial"/>
          <w:sz w:val="18"/>
          <w:szCs w:val="18"/>
          <w:color w:val="auto"/>
          <w:vertAlign w:val="superscript"/>
        </w:rPr>
      </w:pPr>
      <w:r>
        <w:rPr>
          <w:rFonts w:ascii="Arial" w:cs="Arial" w:eastAsia="Arial" w:hAnsi="Arial"/>
          <w:sz w:val="12"/>
          <w:szCs w:val="12"/>
          <w:color w:val="auto"/>
        </w:rPr>
        <w:t>Percentages may not add due to rounding differences.</w:t>
      </w:r>
    </w:p>
    <w:p>
      <w:pPr>
        <w:ind w:left="260" w:right="180" w:hanging="252"/>
        <w:spacing w:after="0" w:line="199" w:lineRule="auto"/>
        <w:tabs>
          <w:tab w:leader="none" w:pos="305" w:val="left"/>
        </w:tabs>
        <w:numPr>
          <w:ilvl w:val="0"/>
          <w:numId w:val="10"/>
        </w:numPr>
        <w:rPr>
          <w:rFonts w:ascii="Arial" w:cs="Arial" w:eastAsia="Arial" w:hAnsi="Arial"/>
          <w:sz w:val="21"/>
          <w:szCs w:val="21"/>
          <w:color w:val="auto"/>
          <w:vertAlign w:val="superscript"/>
        </w:rPr>
      </w:pPr>
      <w:r>
        <w:rPr>
          <w:rFonts w:ascii="Arial" w:cs="Arial" w:eastAsia="Arial" w:hAnsi="Arial"/>
          <w:sz w:val="14"/>
          <w:szCs w:val="14"/>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spacing w:after="0" w:line="230"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Net revenues increased in the first six months of Fiscal 2022 compared to the first six months of Fiscal 2021 primarily due to price increases related to current and anticipated higher material and component costs, and unit growth.</w:t>
      </w:r>
    </w:p>
    <w:p>
      <w:pPr>
        <w:spacing w:after="0" w:line="222"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Adjusted EBITDA increased in the first six months of Fiscal 2022 compared to the first six months of Fiscal 2021 primarily due to an increase in unit sales and price increases ahead of current and anticipated material and component cost inflation, partially offset by higher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Motorhome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Motorhome segment for the six months ended February 26, 2022 compared to the six months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ind w:left="180"/>
              <w:spacing w:after="0"/>
              <w:rPr>
                <w:sz w:val="20"/>
                <w:szCs w:val="20"/>
                <w:color w:val="auto"/>
              </w:rPr>
            </w:pPr>
            <w:r>
              <w:rPr>
                <w:rFonts w:ascii="Arial" w:cs="Arial" w:eastAsia="Arial" w:hAnsi="Arial"/>
                <w:sz w:val="16"/>
                <w:szCs w:val="16"/>
                <w:b w:val="1"/>
                <w:bCs w:val="1"/>
                <w:color w:val="auto"/>
              </w:rPr>
              <w:t>Six Months Ended</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2"/>
        </w:trPr>
        <w:tc>
          <w:tcPr>
            <w:tcW w:w="3240" w:type="dxa"/>
            <w:vAlign w:val="bottom"/>
          </w:tcPr>
          <w:p>
            <w:pPr>
              <w:ind w:left="20"/>
              <w:spacing w:after="0"/>
              <w:rPr>
                <w:sz w:val="20"/>
                <w:szCs w:val="20"/>
                <w:color w:val="auto"/>
              </w:rPr>
            </w:pPr>
            <w:r>
              <w:rPr>
                <w:rFonts w:ascii="Arial" w:cs="Arial" w:eastAsia="Arial" w:hAnsi="Arial"/>
                <w:sz w:val="14"/>
                <w:szCs w:val="14"/>
                <w:color w:val="auto"/>
              </w:rPr>
              <w:t>(in thousands, except ASP and units)</w:t>
            </w: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26, 2022</w:t>
            </w:r>
          </w:p>
        </w:tc>
        <w:tc>
          <w:tcPr>
            <w:tcW w:w="80" w:type="dxa"/>
            <w:vAlign w:val="bottom"/>
          </w:tcPr>
          <w:p>
            <w:pPr>
              <w:spacing w:after="0"/>
              <w:rPr>
                <w:sz w:val="18"/>
                <w:szCs w:val="18"/>
                <w:color w:val="auto"/>
              </w:rPr>
            </w:pPr>
          </w:p>
        </w:tc>
        <w:tc>
          <w:tcPr>
            <w:tcW w:w="1280" w:type="dxa"/>
            <w:vAlign w:val="bottom"/>
            <w:gridSpan w:val="2"/>
          </w:tcPr>
          <w:p>
            <w:pPr>
              <w:ind w:left="20"/>
              <w:spacing w:after="0"/>
              <w:rPr>
                <w:sz w:val="20"/>
                <w:szCs w:val="20"/>
                <w:color w:val="auto"/>
              </w:rPr>
            </w:pPr>
            <w:r>
              <w:rPr>
                <w:rFonts w:ascii="Arial" w:cs="Arial" w:eastAsia="Arial" w:hAnsi="Arial"/>
                <w:sz w:val="16"/>
                <w:szCs w:val="16"/>
                <w:b w:val="1"/>
                <w:bCs w:val="1"/>
                <w:color w:val="auto"/>
              </w:rPr>
              <w:t>% of Revenues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February 27, 2021</w:t>
            </w:r>
          </w:p>
        </w:tc>
        <w:tc>
          <w:tcPr>
            <w:tcW w:w="100" w:type="dxa"/>
            <w:vAlign w:val="bottom"/>
          </w:tcPr>
          <w:p>
            <w:pPr>
              <w:spacing w:after="0"/>
              <w:rPr>
                <w:sz w:val="18"/>
                <w:szCs w:val="18"/>
                <w:color w:val="auto"/>
              </w:rPr>
            </w:pPr>
          </w:p>
        </w:tc>
        <w:tc>
          <w:tcPr>
            <w:tcW w:w="1280" w:type="dxa"/>
            <w:vAlign w:val="bottom"/>
            <w:gridSpan w:val="2"/>
          </w:tcPr>
          <w:p>
            <w:pPr>
              <w:ind w:left="2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 Change</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3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839,044</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704,964</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134,080</w:t>
            </w: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19.0 %</w:t>
            </w:r>
          </w:p>
        </w:tc>
      </w:tr>
      <w:tr>
        <w:trPr>
          <w:trHeight w:val="213"/>
        </w:trPr>
        <w:tc>
          <w:tcPr>
            <w:tcW w:w="324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96,248</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11.5 %</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81,312</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11.5 %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14,936</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18.4 %</w:t>
            </w:r>
          </w:p>
        </w:tc>
      </w:tr>
      <w:tr>
        <w:trPr>
          <w:trHeight w:val="273"/>
        </w:trPr>
        <w:tc>
          <w:tcPr>
            <w:tcW w:w="32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373"/>
        </w:trPr>
        <w:tc>
          <w:tcPr>
            <w:tcW w:w="3240" w:type="dxa"/>
            <w:vAlign w:val="bottom"/>
          </w:tcPr>
          <w:p>
            <w:pPr>
              <w:ind w:left="20"/>
              <w:spacing w:after="0"/>
              <w:rPr>
                <w:sz w:val="20"/>
                <w:szCs w:val="20"/>
                <w:color w:val="auto"/>
              </w:rPr>
            </w:pPr>
            <w:r>
              <w:rPr>
                <w:rFonts w:ascii="Arial" w:cs="Arial" w:eastAsia="Arial" w:hAnsi="Arial"/>
                <w:sz w:val="32"/>
                <w:szCs w:val="32"/>
                <w:color w:val="auto"/>
                <w:vertAlign w:val="subscript"/>
              </w:rPr>
              <w:t>ASP</w:t>
            </w:r>
            <w:r>
              <w:rPr>
                <w:rFonts w:ascii="Arial" w:cs="Arial" w:eastAsia="Arial" w:hAnsi="Arial"/>
                <w:sz w:val="11"/>
                <w:szCs w:val="11"/>
                <w:color w:val="auto"/>
              </w:rPr>
              <w:t>(1)</w:t>
            </w:r>
          </w:p>
        </w:tc>
        <w:tc>
          <w:tcPr>
            <w:tcW w:w="3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149,366</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133,550</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15,816</w:t>
            </w:r>
          </w:p>
        </w:tc>
        <w:tc>
          <w:tcPr>
            <w:tcW w:w="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11.8 %</w:t>
            </w:r>
          </w:p>
        </w:tc>
      </w:tr>
      <w:tr>
        <w:trPr>
          <w:trHeight w:val="215"/>
        </w:trPr>
        <w:tc>
          <w:tcPr>
            <w:tcW w:w="3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ind w:left="180"/>
              <w:spacing w:after="0"/>
              <w:rPr>
                <w:sz w:val="20"/>
                <w:szCs w:val="20"/>
                <w:color w:val="auto"/>
              </w:rPr>
            </w:pPr>
            <w:r>
              <w:rPr>
                <w:rFonts w:ascii="Arial" w:cs="Arial" w:eastAsia="Arial" w:hAnsi="Arial"/>
                <w:sz w:val="16"/>
                <w:szCs w:val="16"/>
                <w:b w:val="1"/>
                <w:bCs w:val="1"/>
                <w:color w:val="auto"/>
              </w:rPr>
              <w:t>Six Months Ended</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5"/>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Unit deliveries</w:t>
            </w:r>
          </w:p>
        </w:tc>
        <w:tc>
          <w:tcPr>
            <w:tcW w:w="14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February 26, 2022</w:t>
            </w: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p>
        </w:tc>
        <w:tc>
          <w:tcPr>
            <w:tcW w:w="8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February 27, 2021</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Unit Change</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23.9 %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25.0 %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w:t>
            </w:r>
          </w:p>
        </w:tc>
      </w:tr>
      <w:tr>
        <w:trPr>
          <w:trHeight w:val="213"/>
        </w:trPr>
        <w:tc>
          <w:tcPr>
            <w:tcW w:w="3240" w:type="dxa"/>
            <w:vAlign w:val="bottom"/>
          </w:tcPr>
          <w:p>
            <w:pPr>
              <w:ind w:left="20"/>
              <w:spacing w:after="0"/>
              <w:rPr>
                <w:sz w:val="20"/>
                <w:szCs w:val="20"/>
                <w:color w:val="auto"/>
              </w:rPr>
            </w:pPr>
            <w:r>
              <w:rPr>
                <w:rFonts w:ascii="Arial" w:cs="Arial" w:eastAsia="Arial" w:hAnsi="Arial"/>
                <w:sz w:val="16"/>
                <w:szCs w:val="16"/>
                <w:color w:val="auto"/>
              </w:rPr>
              <w:t>Class B</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3,088</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55.5 %</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2,517</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48.3 %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571</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22.7 %</w:t>
            </w: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1,146</w:t>
            </w:r>
          </w:p>
        </w:tc>
        <w:tc>
          <w:tcPr>
            <w:tcW w:w="8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20.6 %</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1,396</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8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w:t>
            </w:r>
          </w:p>
        </w:tc>
      </w:tr>
      <w:tr>
        <w:trPr>
          <w:trHeight w:val="213"/>
        </w:trPr>
        <w:tc>
          <w:tcPr>
            <w:tcW w:w="3240" w:type="dxa"/>
            <w:vAlign w:val="bottom"/>
          </w:tcPr>
          <w:p>
            <w:pPr>
              <w:ind w:left="140"/>
              <w:spacing w:after="0"/>
              <w:rPr>
                <w:sz w:val="20"/>
                <w:szCs w:val="20"/>
                <w:color w:val="auto"/>
              </w:rPr>
            </w:pPr>
            <w:r>
              <w:rPr>
                <w:rFonts w:ascii="Arial" w:cs="Arial" w:eastAsia="Arial" w:hAnsi="Arial"/>
                <w:sz w:val="16"/>
                <w:szCs w:val="16"/>
                <w:color w:val="auto"/>
              </w:rPr>
              <w:t>Total motorhomes</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5,566</w:t>
            </w:r>
          </w:p>
        </w:tc>
        <w:tc>
          <w:tcPr>
            <w:tcW w:w="8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5,215</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w:t>
            </w:r>
          </w:p>
        </w:tc>
        <w:tc>
          <w:tcPr>
            <w:tcW w:w="8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6.7 %</w:t>
            </w:r>
          </w:p>
        </w:tc>
      </w:tr>
      <w:tr>
        <w:trPr>
          <w:trHeight w:val="20"/>
        </w:trPr>
        <w:tc>
          <w:tcPr>
            <w:tcW w:w="324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342"/>
        </w:trPr>
        <w:tc>
          <w:tcPr>
            <w:tcW w:w="3240" w:type="dxa"/>
            <w:vAlign w:val="bottom"/>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26, 2022</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February 27, 2021</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Change</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2"/>
        </w:trPr>
        <w:tc>
          <w:tcPr>
            <w:tcW w:w="3240" w:type="dxa"/>
            <w:vAlign w:val="bottom"/>
            <w:tcBorders>
              <w:top w:val="single" w:sz="8" w:color="auto"/>
            </w:tcBorders>
            <w:shd w:val="clear" w:color="auto" w:fill="CCEEFF"/>
          </w:tcPr>
          <w:p>
            <w:pPr>
              <w:ind w:left="20"/>
              <w:spacing w:after="0" w:line="213"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(3)</w:t>
            </w:r>
          </w:p>
        </w:tc>
        <w:tc>
          <w:tcPr>
            <w:tcW w:w="3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13"/>
        </w:trPr>
        <w:tc>
          <w:tcPr>
            <w:tcW w:w="3240" w:type="dxa"/>
            <w:vAlign w:val="bottom"/>
          </w:tcPr>
          <w:p>
            <w:pPr>
              <w:ind w:left="140"/>
              <w:spacing w:after="0"/>
              <w:rPr>
                <w:sz w:val="20"/>
                <w:szCs w:val="20"/>
                <w:color w:val="auto"/>
              </w:rPr>
            </w:pPr>
            <w:r>
              <w:rPr>
                <w:rFonts w:ascii="Arial" w:cs="Arial" w:eastAsia="Arial" w:hAnsi="Arial"/>
                <w:sz w:val="16"/>
                <w:szCs w:val="16"/>
                <w:color w:val="auto"/>
              </w:rPr>
              <w:t>Units</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17,255</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14,974</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2,281</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15.2 %</w:t>
            </w:r>
          </w:p>
        </w:tc>
      </w:tr>
      <w:tr>
        <w:trPr>
          <w:trHeight w:val="219"/>
        </w:trPr>
        <w:tc>
          <w:tcPr>
            <w:tcW w:w="3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Dollars</w:t>
            </w: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2,214,470</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1,816,503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397,967</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21.9 %</w:t>
            </w:r>
          </w:p>
        </w:tc>
      </w:tr>
      <w:tr>
        <w:trPr>
          <w:trHeight w:val="215"/>
        </w:trPr>
        <w:tc>
          <w:tcPr>
            <w:tcW w:w="324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7"/>
        </w:trPr>
        <w:tc>
          <w:tcPr>
            <w:tcW w:w="3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3,099</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2,739</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13.1 %</w:t>
            </w:r>
          </w:p>
        </w:tc>
      </w:tr>
    </w:tbl>
    <w:p>
      <w:pPr>
        <w:spacing w:after="0" w:line="74"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21"/>
          <w:szCs w:val="21"/>
          <w:color w:val="auto"/>
          <w:vertAlign w:val="superscript"/>
        </w:rPr>
      </w:pPr>
      <w:r>
        <w:rPr>
          <w:rFonts w:ascii="Arial" w:cs="Arial" w:eastAsia="Arial" w:hAnsi="Arial"/>
          <w:sz w:val="14"/>
          <w:szCs w:val="14"/>
          <w:color w:val="auto"/>
        </w:rPr>
        <w:t>Average selling price excludes off-invoice dealer incentives.</w:t>
      </w:r>
    </w:p>
    <w:p>
      <w:pPr>
        <w:ind w:left="300" w:hanging="292"/>
        <w:spacing w:after="0" w:line="187" w:lineRule="auto"/>
        <w:tabs>
          <w:tab w:leader="none" w:pos="300" w:val="left"/>
        </w:tabs>
        <w:numPr>
          <w:ilvl w:val="0"/>
          <w:numId w:val="11"/>
        </w:numPr>
        <w:rPr>
          <w:rFonts w:ascii="Arial" w:cs="Arial" w:eastAsia="Arial" w:hAnsi="Arial"/>
          <w:sz w:val="18"/>
          <w:szCs w:val="18"/>
          <w:color w:val="auto"/>
          <w:vertAlign w:val="superscript"/>
        </w:rPr>
      </w:pPr>
      <w:r>
        <w:rPr>
          <w:rFonts w:ascii="Arial" w:cs="Arial" w:eastAsia="Arial" w:hAnsi="Arial"/>
          <w:sz w:val="12"/>
          <w:szCs w:val="12"/>
          <w:color w:val="auto"/>
        </w:rPr>
        <w:t>Percentages may not add due to rounding differences.</w:t>
      </w:r>
    </w:p>
    <w:p>
      <w:pPr>
        <w:ind w:left="260" w:right="180" w:hanging="252"/>
        <w:spacing w:after="0" w:line="199" w:lineRule="auto"/>
        <w:tabs>
          <w:tab w:leader="none" w:pos="305" w:val="left"/>
        </w:tabs>
        <w:numPr>
          <w:ilvl w:val="0"/>
          <w:numId w:val="11"/>
        </w:numPr>
        <w:rPr>
          <w:rFonts w:ascii="Arial" w:cs="Arial" w:eastAsia="Arial" w:hAnsi="Arial"/>
          <w:sz w:val="21"/>
          <w:szCs w:val="21"/>
          <w:color w:val="auto"/>
          <w:vertAlign w:val="superscript"/>
        </w:rPr>
      </w:pPr>
      <w:r>
        <w:rPr>
          <w:rFonts w:ascii="Arial" w:cs="Arial" w:eastAsia="Arial" w:hAnsi="Arial"/>
          <w:sz w:val="14"/>
          <w:szCs w:val="14"/>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Net revenues increased in the first six months of Fiscal 2022 compared to the first six months of Fiscal 2021 primarily due to price increases and unit growth.</w:t>
      </w:r>
    </w:p>
    <w:p>
      <w:pPr>
        <w:spacing w:after="0" w:line="248"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Adjusted EBITDA increased in the first six months of Fiscal 2022 compared to the first six months of Fiscal 2021 primarily due to an increase in unit sales and pricing, partially offset by higher input costs and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Marine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Marine segment for the six months ended February 26, 2022 compared to the six months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2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ind w:left="180"/>
              <w:spacing w:after="0"/>
              <w:rPr>
                <w:sz w:val="20"/>
                <w:szCs w:val="20"/>
                <w:color w:val="auto"/>
              </w:rPr>
            </w:pPr>
            <w:r>
              <w:rPr>
                <w:rFonts w:ascii="Arial" w:cs="Arial" w:eastAsia="Arial" w:hAnsi="Arial"/>
                <w:sz w:val="16"/>
                <w:szCs w:val="16"/>
                <w:b w:val="1"/>
                <w:bCs w:val="1"/>
                <w:color w:val="auto"/>
              </w:rPr>
              <w:t>Six Months Ended</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3"/>
        </w:trPr>
        <w:tc>
          <w:tcPr>
            <w:tcW w:w="3240" w:type="dxa"/>
            <w:vAlign w:val="bottom"/>
          </w:tcPr>
          <w:p>
            <w:pPr>
              <w:ind w:left="20"/>
              <w:spacing w:after="0"/>
              <w:rPr>
                <w:sz w:val="20"/>
                <w:szCs w:val="20"/>
                <w:color w:val="auto"/>
              </w:rPr>
            </w:pPr>
            <w:r>
              <w:rPr>
                <w:rFonts w:ascii="Arial" w:cs="Arial" w:eastAsia="Arial" w:hAnsi="Arial"/>
                <w:sz w:val="14"/>
                <w:szCs w:val="14"/>
                <w:color w:val="auto"/>
              </w:rPr>
              <w:t>(in thousands, except ASP and units)</w:t>
            </w: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26, 2022</w:t>
            </w:r>
          </w:p>
        </w:tc>
        <w:tc>
          <w:tcPr>
            <w:tcW w:w="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 of Revenues</w:t>
            </w: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27, 2021</w:t>
            </w: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 Change</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3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176,627</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26,357</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150,270</w:t>
            </w: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570.1 %</w:t>
            </w:r>
          </w:p>
        </w:tc>
      </w:tr>
      <w:tr>
        <w:trPr>
          <w:trHeight w:val="213"/>
        </w:trPr>
        <w:tc>
          <w:tcPr>
            <w:tcW w:w="324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23,523</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13.3 %</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1,878</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7.1 %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21,645</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1,152.6 %</w:t>
            </w:r>
          </w:p>
        </w:tc>
      </w:tr>
      <w:tr>
        <w:trPr>
          <w:trHeight w:val="273"/>
        </w:trPr>
        <w:tc>
          <w:tcPr>
            <w:tcW w:w="32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81"/>
        </w:trPr>
        <w:tc>
          <w:tcPr>
            <w:tcW w:w="3240" w:type="dxa"/>
            <w:vAlign w:val="bottom"/>
          </w:tcPr>
          <w:p>
            <w:pPr>
              <w:ind w:left="20"/>
              <w:spacing w:after="0"/>
              <w:rPr>
                <w:sz w:val="20"/>
                <w:szCs w:val="20"/>
                <w:color w:val="auto"/>
              </w:rPr>
            </w:pPr>
            <w:r>
              <w:rPr>
                <w:rFonts w:ascii="Arial" w:cs="Arial" w:eastAsia="Arial" w:hAnsi="Arial"/>
                <w:sz w:val="16"/>
                <w:szCs w:val="16"/>
                <w:color w:val="auto"/>
              </w:rPr>
              <w:t>ASP</w:t>
            </w:r>
            <w:r>
              <w:rPr>
                <w:rFonts w:ascii="Arial" w:cs="Arial" w:eastAsia="Arial" w:hAnsi="Arial"/>
                <w:sz w:val="21"/>
                <w:szCs w:val="21"/>
                <w:color w:val="auto"/>
                <w:vertAlign w:val="superscript"/>
              </w:rPr>
              <w:t>(1)</w:t>
            </w:r>
          </w:p>
        </w:tc>
        <w:tc>
          <w:tcPr>
            <w:tcW w:w="4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71,849</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202,973</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(131,124)</w:t>
            </w:r>
          </w:p>
        </w:tc>
        <w:tc>
          <w:tcPr>
            <w:tcW w:w="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(64.6)%</w:t>
            </w:r>
          </w:p>
        </w:tc>
      </w:tr>
      <w:tr>
        <w:trPr>
          <w:trHeight w:val="307"/>
        </w:trPr>
        <w:tc>
          <w:tcPr>
            <w:tcW w:w="32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ind w:left="180"/>
              <w:spacing w:after="0"/>
              <w:rPr>
                <w:sz w:val="20"/>
                <w:szCs w:val="20"/>
                <w:color w:val="auto"/>
              </w:rPr>
            </w:pPr>
            <w:r>
              <w:rPr>
                <w:rFonts w:ascii="Arial" w:cs="Arial" w:eastAsia="Arial" w:hAnsi="Arial"/>
                <w:sz w:val="16"/>
                <w:szCs w:val="16"/>
                <w:b w:val="1"/>
                <w:bCs w:val="1"/>
                <w:color w:val="auto"/>
              </w:rPr>
              <w:t>Six Months Ended</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15"/>
        </w:trPr>
        <w:tc>
          <w:tcPr>
            <w:tcW w:w="324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26, 2022</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27, 2021</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Unit Change</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35"/>
        </w:trPr>
        <w:tc>
          <w:tcPr>
            <w:tcW w:w="32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Boats</w:t>
            </w:r>
          </w:p>
        </w:tc>
        <w:tc>
          <w:tcPr>
            <w:tcW w:w="46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1,790.0 %</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322"/>
        </w:trPr>
        <w:tc>
          <w:tcPr>
            <w:tcW w:w="3240" w:type="dxa"/>
            <w:vAlign w:val="bottom"/>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26, 2022</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27, 2021</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Change</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2"/>
        </w:trPr>
        <w:tc>
          <w:tcPr>
            <w:tcW w:w="3240" w:type="dxa"/>
            <w:vAlign w:val="bottom"/>
            <w:tcBorders>
              <w:top w:val="single" w:sz="8" w:color="auto"/>
            </w:tcBorders>
            <w:shd w:val="clear" w:color="auto" w:fill="CCEEFF"/>
          </w:tcPr>
          <w:p>
            <w:pPr>
              <w:ind w:left="20"/>
              <w:spacing w:after="0" w:line="213"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(2)</w:t>
            </w:r>
          </w:p>
        </w:tc>
        <w:tc>
          <w:tcPr>
            <w:tcW w:w="4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13"/>
        </w:trPr>
        <w:tc>
          <w:tcPr>
            <w:tcW w:w="3240" w:type="dxa"/>
            <w:vAlign w:val="bottom"/>
          </w:tcPr>
          <w:p>
            <w:pPr>
              <w:ind w:left="140"/>
              <w:spacing w:after="0"/>
              <w:rPr>
                <w:sz w:val="20"/>
                <w:szCs w:val="20"/>
                <w:color w:val="auto"/>
              </w:rPr>
            </w:pPr>
            <w:r>
              <w:rPr>
                <w:rFonts w:ascii="Arial" w:cs="Arial" w:eastAsia="Arial" w:hAnsi="Arial"/>
                <w:sz w:val="16"/>
                <w:szCs w:val="16"/>
                <w:color w:val="auto"/>
              </w:rPr>
              <w:t>Units</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3,059</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339</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2,720</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802.4 %</w:t>
            </w:r>
          </w:p>
        </w:tc>
      </w:tr>
      <w:tr>
        <w:trPr>
          <w:trHeight w:val="219"/>
        </w:trPr>
        <w:tc>
          <w:tcPr>
            <w:tcW w:w="3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Dollars</w:t>
            </w: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277,860</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72,595</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205,265</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282.8 %</w:t>
            </w:r>
          </w:p>
        </w:tc>
      </w:tr>
      <w:tr>
        <w:trPr>
          <w:trHeight w:val="215"/>
        </w:trPr>
        <w:tc>
          <w:tcPr>
            <w:tcW w:w="324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7"/>
        </w:trPr>
        <w:tc>
          <w:tcPr>
            <w:tcW w:w="3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2,062</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1,882</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1,045.6 %</w:t>
            </w:r>
          </w:p>
        </w:tc>
      </w:tr>
    </w:tbl>
    <w:p>
      <w:pPr>
        <w:spacing w:after="0" w:line="74" w:lineRule="exact"/>
        <w:rPr>
          <w:sz w:val="20"/>
          <w:szCs w:val="20"/>
          <w:color w:val="auto"/>
        </w:rPr>
      </w:pPr>
    </w:p>
    <w:p>
      <w:pPr>
        <w:ind w:left="280" w:hanging="272"/>
        <w:spacing w:after="0"/>
        <w:tabs>
          <w:tab w:leader="none" w:pos="280" w:val="left"/>
        </w:tabs>
        <w:numPr>
          <w:ilvl w:val="0"/>
          <w:numId w:val="12"/>
        </w:numPr>
        <w:rPr>
          <w:rFonts w:ascii="Arial" w:cs="Arial" w:eastAsia="Arial" w:hAnsi="Arial"/>
          <w:sz w:val="21"/>
          <w:szCs w:val="21"/>
          <w:color w:val="auto"/>
          <w:vertAlign w:val="superscript"/>
        </w:rPr>
      </w:pPr>
      <w:r>
        <w:rPr>
          <w:rFonts w:ascii="Arial" w:cs="Arial" w:eastAsia="Arial" w:hAnsi="Arial"/>
          <w:sz w:val="14"/>
          <w:szCs w:val="14"/>
          <w:color w:val="auto"/>
        </w:rPr>
        <w:t>ASP excludes off-invoice dealer incentives.</w:t>
      </w:r>
    </w:p>
    <w:p>
      <w:pPr>
        <w:ind w:left="260" w:right="180" w:hanging="252"/>
        <w:spacing w:after="0" w:line="199" w:lineRule="auto"/>
        <w:tabs>
          <w:tab w:leader="none" w:pos="305" w:val="left"/>
        </w:tabs>
        <w:numPr>
          <w:ilvl w:val="0"/>
          <w:numId w:val="12"/>
        </w:numPr>
        <w:rPr>
          <w:rFonts w:ascii="Arial" w:cs="Arial" w:eastAsia="Arial" w:hAnsi="Arial"/>
          <w:sz w:val="21"/>
          <w:szCs w:val="21"/>
          <w:color w:val="auto"/>
          <w:vertAlign w:val="superscript"/>
        </w:rPr>
      </w:pPr>
      <w:r>
        <w:rPr>
          <w:rFonts w:ascii="Arial" w:cs="Arial" w:eastAsia="Arial" w:hAnsi="Arial"/>
          <w:sz w:val="14"/>
          <w:szCs w:val="14"/>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spacing w:after="0" w:line="230"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Net revenues increased in the first six months of Fiscal 2022 compared to the first six months of Fiscal 2021 primarily due to the acquisition of Barletta at the beginning of the first quarter of Fiscal 2022.</w:t>
      </w:r>
    </w:p>
    <w:p>
      <w:pPr>
        <w:spacing w:after="0" w:line="222"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Adjusted EBITDA increased in the first six months of Fiscal 2022 compared to the first six months of Fiscal 2021 primarily due to the acquisition of Barletta at the beginning of the first quarter of Fiscal 2022.</w:t>
      </w:r>
    </w:p>
    <w:p>
      <w:pPr>
        <w:sectPr>
          <w:pgSz w:w="11900" w:h="16838" w:orient="portrait"/>
          <w:cols w:equalWidth="0" w:num="1">
            <w:col w:w="11240"/>
          </w:cols>
          <w:pgMar w:left="320" w:top="141" w:right="339" w:bottom="1440" w:gutter="0" w:footer="0" w:header="0"/>
        </w:sect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Analysis of Financial Condition, Liquidity, and Resources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Flows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cash flows from operations:</w:t>
      </w: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cash provided by (used in):</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Investing activities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Net increase (decrease) in cash and cash equivalents</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00"/>
        <w:spacing w:after="0"/>
        <w:rPr>
          <w:sz w:val="20"/>
          <w:szCs w:val="20"/>
          <w:color w:val="auto"/>
        </w:rPr>
      </w:pPr>
      <w:r>
        <w:rPr>
          <w:rFonts w:ascii="Arial" w:cs="Arial" w:eastAsia="Arial" w:hAnsi="Arial"/>
          <w:sz w:val="16"/>
          <w:szCs w:val="16"/>
          <w:b w:val="1"/>
          <w:bCs w:val="1"/>
          <w:color w:val="auto"/>
        </w:rPr>
        <w:t>Six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2"/>
          </w:tcPr>
          <w:p>
            <w:pPr>
              <w:ind w:left="120"/>
              <w:spacing w:after="0" w:line="161" w:lineRule="exact"/>
              <w:rPr>
                <w:sz w:val="20"/>
                <w:szCs w:val="20"/>
                <w:color w:val="auto"/>
              </w:rPr>
            </w:pPr>
            <w:r>
              <w:rPr>
                <w:rFonts w:ascii="Arial" w:cs="Arial" w:eastAsia="Arial" w:hAnsi="Arial"/>
                <w:sz w:val="16"/>
                <w:szCs w:val="16"/>
                <w:b w:val="1"/>
                <w:bCs w:val="1"/>
                <w:color w:val="auto"/>
              </w:rPr>
              <w:t>February 26,</w:t>
            </w:r>
          </w:p>
        </w:tc>
        <w:tc>
          <w:tcPr>
            <w:tcW w:w="2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259"/>
              <w:spacing w:after="0" w:line="161" w:lineRule="exact"/>
              <w:rPr>
                <w:sz w:val="20"/>
                <w:szCs w:val="20"/>
                <w:color w:val="auto"/>
              </w:rPr>
            </w:pPr>
            <w:r>
              <w:rPr>
                <w:rFonts w:ascii="Arial" w:cs="Arial" w:eastAsia="Arial" w:hAnsi="Arial"/>
                <w:sz w:val="16"/>
                <w:szCs w:val="16"/>
                <w:b w:val="1"/>
                <w:bCs w:val="1"/>
                <w:color w:val="auto"/>
              </w:rPr>
              <w:t>February 27,</w:t>
            </w:r>
          </w:p>
        </w:tc>
      </w:tr>
      <w:tr>
        <w:trPr>
          <w:trHeight w:val="215"/>
        </w:trPr>
        <w:tc>
          <w:tcPr>
            <w:tcW w:w="220" w:type="dxa"/>
            <w:vAlign w:val="bottom"/>
          </w:tcPr>
          <w:p>
            <w:pPr>
              <w:spacing w:after="0"/>
              <w:rPr>
                <w:sz w:val="18"/>
                <w:szCs w:val="18"/>
                <w:color w:val="auto"/>
              </w:rPr>
            </w:pPr>
          </w:p>
        </w:tc>
        <w:tc>
          <w:tcPr>
            <w:tcW w:w="1420" w:type="dxa"/>
            <w:vAlign w:val="bottom"/>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r>
      <w:tr>
        <w:trPr>
          <w:trHeight w:val="42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46,141</w:t>
            </w:r>
          </w:p>
        </w:tc>
        <w:tc>
          <w:tcPr>
            <w:tcW w:w="1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66,922</w:t>
            </w:r>
          </w:p>
        </w:tc>
      </w:tr>
      <w:tr>
        <w:trPr>
          <w:trHeight w:val="216"/>
        </w:trPr>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(271,781)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(7,365)</w:t>
            </w:r>
          </w:p>
        </w:tc>
      </w:tr>
      <w:tr>
        <w:trPr>
          <w:trHeight w:val="219"/>
        </w:trPr>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(74,091)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(19,117)</w:t>
            </w:r>
          </w:p>
        </w:tc>
      </w:tr>
      <w:tr>
        <w:trPr>
          <w:trHeight w:val="210"/>
        </w:trPr>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(299,731)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40,440</w:t>
            </w:r>
          </w:p>
        </w:tc>
      </w:tr>
      <w:tr>
        <w:trPr>
          <w:trHeight w:val="23"/>
        </w:trPr>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595" w:lineRule="exact"/>
        <w:rPr>
          <w:sz w:val="20"/>
          <w:szCs w:val="20"/>
          <w:color w:val="auto"/>
        </w:rPr>
      </w:pPr>
    </w:p>
    <w:p>
      <w:pPr>
        <w:sectPr>
          <w:pgSz w:w="11900" w:h="16838" w:orient="portrait"/>
          <w:cols w:equalWidth="0" w:num="2">
            <w:col w:w="7140" w:space="720"/>
            <w:col w:w="3380"/>
          </w:cols>
          <w:pgMar w:left="320" w:top="141" w:right="339" w:bottom="1440" w:gutter="0" w:footer="0" w:header="0"/>
          <w:type w:val="continuous"/>
        </w:sectPr>
      </w:pPr>
    </w:p>
    <w:p>
      <w:pPr>
        <w:ind w:right="120"/>
        <w:spacing w:after="0" w:line="251" w:lineRule="auto"/>
        <w:rPr>
          <w:sz w:val="20"/>
          <w:szCs w:val="20"/>
          <w:color w:val="auto"/>
        </w:rPr>
      </w:pPr>
      <w:r>
        <w:rPr>
          <w:rFonts w:ascii="Arial" w:cs="Arial" w:eastAsia="Arial" w:hAnsi="Arial"/>
          <w:sz w:val="16"/>
          <w:szCs w:val="16"/>
          <w:color w:val="auto"/>
        </w:rPr>
        <w:t>Cash provided by operating activities decreased for the six months ended February 26, 2022 compared to the six months ended February 27, 2021 due to investments in working capital to support current year revenue growth, partially offset by higher profitability. The investments in working capital included a $123.6 million increase in accounts receivable due to timing of invoicing/collections, a $109.3 million increase in inventory to support customer demand and to support operational activities during a period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31" w:name="page32"/>
    <w:bookmarkEnd w:id="3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impacted by supply chain disruption, partially offset by a $26.7 million increase in accounts payable due to inventory growth and timing of payments.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129"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Cash used in investing activities increased in the six months ended February 26, 2022 compared to the six months ended February 27, 2021 primarily due to our acquisition of Barletta during the first quarter of Fiscal 2022.</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12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Cash used in financing activities increased in the six months ended February 26, 2022 compared to the six months ended February 27, 2021 primarily due to an increase in stock repurchases in the first six months of Fiscal 2022.</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Debt and Capital</w:t>
      </w:r>
    </w:p>
    <w:p>
      <w:pPr>
        <w:spacing w:after="0" w:line="133"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We maintain a $192.5 million asset-based revolving credit facility ("ABL Credit Facility") with a maturity date of October 22, 2024 subject to certain factors which may accelerate the maturity date. As of February 26, 2022, we had no borrowings against the ABL Credit Facility.</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As of February 26, 2022, we had $134.8 million in cash and cash equivalents and $192.5 million in unused ABL Credit Facility. Our cash and cash equivalent balances consist of high quality, short-term money market instruments.</w:t>
      </w:r>
    </w:p>
    <w:p>
      <w:pPr>
        <w:spacing w:after="0" w:line="222"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We believe cash flow from operations, existing lines of credit, and access to debt and capital markets will be sufficient to meet our current liquidity needs, and we have committed liquidity and cash reserves in excess of our anticipated funding requirements. We evaluate the financial stability of the counterparties for the Convertible Notes, the Senior Secured Notes, and the ABL Credit Facility, and will continue to monitor counterparty risk on an on-going basis.</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Financial Measures</w:t>
      </w:r>
    </w:p>
    <w:p>
      <w:pPr>
        <w:spacing w:after="0" w:line="133" w:lineRule="exact"/>
        <w:rPr>
          <w:sz w:val="20"/>
          <w:szCs w:val="20"/>
          <w:color w:val="auto"/>
        </w:rPr>
      </w:pPr>
    </w:p>
    <w:p>
      <w:pPr>
        <w:ind w:right="340"/>
        <w:spacing w:after="0" w:line="253" w:lineRule="auto"/>
        <w:rPr>
          <w:sz w:val="20"/>
          <w:szCs w:val="20"/>
          <w:color w:val="auto"/>
        </w:rPr>
      </w:pPr>
      <w:r>
        <w:rPr>
          <w:rFonts w:ascii="Arial" w:cs="Arial" w:eastAsia="Arial" w:hAnsi="Arial"/>
          <w:sz w:val="16"/>
          <w:szCs w:val="16"/>
          <w:color w:val="auto"/>
        </w:rPr>
        <w:t>Working capital at February 26, 2022 and August 28, 2021 was $545.4 million and $651.6 million, respectively. We currently expect cash on hand, funds generated from operations, and the borrowing available under our ABL Credit Facility to be sufficient to cover both short-term and long-term operating requirements.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Repurchases and Dividends</w:t>
      </w:r>
    </w:p>
    <w:p>
      <w:pPr>
        <w:spacing w:after="0" w:line="133"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We repurchase our common stock and pay dividends pursuant to programs approved by our Board of Directors. Our long-term capital allocation strategy is to first fund operations and investments in growth, maintain a debt leverage ratio within our targeted zone, maintain reasonable liquidity, and then return excess cash over time to shareholders through dividends and share repurchases.</w:t>
      </w:r>
    </w:p>
    <w:p>
      <w:pPr>
        <w:spacing w:after="0" w:line="228"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On October 13, 2021, our Board of Directors authorized a new share repurchase program in the amount of $200.0 million with no time restriction on the authorization, which took effect immediately and replaced the prior program. In the six months ended February 26, 2022, we repurchased 875,000 shares of our own common stock at a cost of $59.6 million under this authorization and the previous authorization, and 62,000 shares at a cost of $4.6 million to satisfy tax obligations on employee equity awards vested. We continually evaluate if share repurchases reflect a prudent use of our capital and, subject to compliance with our ABL Credit Facility and Senior Secured Notes, we may purchase shares in the future. At February 26, 2022, we have $150.0 million remaining on our Board approved repurchase authorization.</w:t>
      </w:r>
    </w:p>
    <w:p>
      <w:pPr>
        <w:spacing w:after="0" w:line="232"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On March 16, 2022, our Board of Directors approved a quarterly cash dividend of $0.18 per share payable on April 27, 2022, to common stockholders of record at the close of business on April 13, 2022.</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Commercial Commitments</w:t>
      </w:r>
    </w:p>
    <w:p>
      <w:pPr>
        <w:spacing w:after="0" w:line="133"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There has been no material change in our contractual obligations since the end of Fiscal 2021. See our Annual Report on Form 10-K for the fiscal year ended August 28, 2021 for additional information regarding our contractual obligations and commercial commitments.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w:t>
      </w:r>
    </w:p>
    <w:p>
      <w:pPr>
        <w:spacing w:after="0" w:line="133"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We describe our significant accounting policies in Note 1 to the Consolidated Financial Statements included in Item 8 of Part II of our Annual Report on Form 10-K for the fiscal year ended August 28, 2021. We discuss our critical accounting estimates in Item 7 of Part II of our Annual Report on Form 10-K for the fiscal year ended August 28, 2021. There have been no material changes to our critical accounting policies or critical accounting estimates since the end of Fiscal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2" w:name="page33"/>
    <w:bookmarkEnd w:id="3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For a summary of recently issued applicable accounting pronouncements, see Note 1 to the Consolidated Financial Statements included in Item 1 of Part I of this Quarterly Report on Form 10-Q.</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Safe Harbor Statement Under the Private Securities Litigation Reform Act</w:t>
      </w:r>
    </w:p>
    <w:p>
      <w:pPr>
        <w:spacing w:after="0" w:line="133"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Section 27A of the Securities Act of 1933, as amended (“Securities Act”), and Section 21E of the Securities Exchange Act of 1934, as amended (“Exchange Act”), provide a “safe harbor” for forward-looking statements to encourage companies to provide prospective information about their companies. With the exception of historical information, the matters discussed in this Quarterly Report on Form 10-Q are forward-looking statements and may be identified by the use of words such as "anticipate," "assume," "believe," "estimate," "expect," "guidance," "intend," "outlook," "plan," "project," and other words and terms of similar meaning. Such statements reflect our current views and estimates with respect to future market conditions, company performance and financial results, operational investments, business prospects, new strategies, the competitive environment, and other events. These statements are subject to certain risks and uncertainties that could cause actual results to differ materially from the potential results discussed in such forward-looking statements. Readers should review Item 1A of Part I of our Annual Report on Form 10-K for the fiscal year ended August 28, 2021, and Item 1A of Part II of this Quarterly Report on Form 10-Q, for a description of important factors that could cause our actual results to differ materially from those contemplated by the forward-looking statements made in this Quarterly Report on Form 10-Q. Among the factors that could cause actual results and outcomes to differ materially from those contained in such forward-looking statements are the following:</w:t>
      </w:r>
    </w:p>
    <w:p>
      <w:pPr>
        <w:spacing w:after="0" w:line="5"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Uncertainty surrounding the COVID-19 pandemic.</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General economic uncertainty in key markets and a worsening of domestic economic conditions or low levels of economic growth.</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Availability of financing for RV and marine dealers.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Ability to innovate and commercialize new products.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Ability to manage our inventory to meet demand.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Competition and new product introductions by competitors.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Risk related to cyclicality and seasonality of our business.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Significant increase in repurchase obligations.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Business or production disruptions.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Inadequate inventory and distribution channel management.</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Ability to retain relationships with our suppliers.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Increased material and component costs, including availability and price of fuel and other raw materials.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Ability to integrate mergers and acquisitions.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Ability to attract and retain qualified personnel and changes in market compensation rates.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Exposure to warranty claims.</w:t>
      </w:r>
    </w:p>
    <w:p>
      <w:pPr>
        <w:spacing w:after="0" w:line="5" w:lineRule="exact"/>
        <w:rPr>
          <w:rFonts w:ascii="Arial" w:cs="Arial" w:eastAsia="Arial" w:hAnsi="Arial"/>
          <w:sz w:val="16"/>
          <w:szCs w:val="16"/>
          <w:color w:val="auto"/>
        </w:rPr>
      </w:pPr>
    </w:p>
    <w:p>
      <w:pPr>
        <w:ind w:left="660" w:right="280" w:hanging="328"/>
        <w:spacing w:after="0" w:line="246"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Ability to protect our information technology systems from data security, cyberattacks, and network disruption risks and the ability to successfully upgrade and evolve our information technology systems.</w:t>
      </w: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Ability to retain brand reputation and related exposure to product liability claims.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Governmental regulation, including for climate change.</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Impairment of goodwill.</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Risks related to our Convertible and Senior Secured Notes, including our ability to satisfy our obligations under these notes.</w:t>
      </w:r>
    </w:p>
    <w:p>
      <w:pPr>
        <w:spacing w:after="0" w:line="5"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We caution that the foregoing list of important factors is not complete. Any forward-looking statements speak only as of the date they are made, and we assume no obligation to update any forward-looking statement that we may make.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33" w:lineRule="exact"/>
        <w:rPr>
          <w:sz w:val="20"/>
          <w:szCs w:val="20"/>
          <w:color w:val="auto"/>
        </w:rPr>
      </w:pPr>
    </w:p>
    <w:p>
      <w:pPr>
        <w:ind w:right="540"/>
        <w:spacing w:after="0" w:line="260" w:lineRule="auto"/>
        <w:rPr>
          <w:sz w:val="20"/>
          <w:szCs w:val="20"/>
          <w:color w:val="auto"/>
        </w:rPr>
      </w:pPr>
      <w:r>
        <w:rPr>
          <w:rFonts w:ascii="Arial" w:cs="Arial" w:eastAsia="Arial" w:hAnsi="Arial"/>
          <w:sz w:val="16"/>
          <w:szCs w:val="16"/>
          <w:color w:val="auto"/>
        </w:rPr>
        <w:t>The assets we maintain to fund deferred compensation have market risk, but we maintain a corresponding liability for these assets. The market risk is therefore borne by the participants in the deferred compensation program.</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133"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As of February 26, 2022, we have no interest rate swaps outstanding and the Term Loan, that had been subject to variable interest rates, was repaid in the fourth quarter of Fiscal 2020 using the proceeds from the Senior Secured Notes. The ABL Credit Facility is our only floating rate debt instrument which remains undrawn as of February 26, 2022.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129" w:lineRule="exact"/>
        <w:rPr>
          <w:sz w:val="20"/>
          <w:szCs w:val="20"/>
          <w:color w:val="auto"/>
        </w:rPr>
      </w:pPr>
    </w:p>
    <w:p>
      <w:pPr>
        <w:jc w:val="both"/>
        <w:ind w:right="180"/>
        <w:spacing w:after="0" w:line="251" w:lineRule="auto"/>
        <w:rPr>
          <w:sz w:val="20"/>
          <w:szCs w:val="20"/>
          <w:color w:val="auto"/>
        </w:rPr>
      </w:pPr>
      <w:r>
        <w:rPr>
          <w:rFonts w:ascii="Arial" w:cs="Arial" w:eastAsia="Arial" w:hAnsi="Arial"/>
          <w:sz w:val="16"/>
          <w:szCs w:val="16"/>
          <w:color w:val="auto"/>
        </w:rPr>
        <w:t>Our management, under the supervision and with the participation of our Chief Executive Officer and Chief Financial Officer, evaluated the effectiveness of the design and operation of our disclosure controls and procedures (as defined in Rule 13a-15(e) under the Securities Exchange Act of 1934, as amended (the "Exchange Act")), as of the end of the period covered by this report (the "Evaluation Date"). Based on this evaluation, the Chief Executive Officer and Chief Financial Officer concluded that our disclosure controls and procedures were effective as of the Evaluation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3" w:name="page34"/>
    <w:bookmarkEnd w:id="3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Internal Control Over Financial Reporting</w:t>
      </w:r>
    </w:p>
    <w:p>
      <w:pPr>
        <w:spacing w:after="0" w:line="26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There were no changes in our internal control over financial reporting that occurred during the second quarter of Fiscal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 w:right="399" w:bottom="1440" w:gutter="0" w:footer="0" w:header="0"/>
        </w:sectPr>
      </w:pPr>
    </w:p>
    <w:bookmarkStart w:id="34" w:name="page35"/>
    <w:bookmarkEnd w:id="3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33"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For a description of our legal proceedings, see Note 11 to the Consolidated Financial Statements included in Item 1 of Part I of this Quarterly Report on Form 10-Q.</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33"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There have been no material changes from the risk factors previously disclosed in Item 1A of Part I of our Annual Report on Form 10-K for the fiscal year ended August 28, 2021.</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(c) Stock Repurchases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Purchases of our common stock during each fiscal month of the second quarter of Fiscal 2022 are as follows: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rPr>
              <w:t>Total Number of</w:t>
            </w:r>
          </w:p>
        </w:tc>
        <w:tc>
          <w:tcPr>
            <w:tcW w:w="1400" w:type="dxa"/>
            <w:vAlign w:val="bottom"/>
            <w:gridSpan w:val="2"/>
            <w:vMerge w:val="restart"/>
          </w:tcPr>
          <w:p>
            <w:pPr>
              <w:jc w:val="right"/>
              <w:ind w:right="79"/>
              <w:spacing w:after="0"/>
              <w:rPr>
                <w:sz w:val="20"/>
                <w:szCs w:val="20"/>
                <w:color w:val="auto"/>
              </w:rPr>
            </w:pPr>
            <w:r>
              <w:rPr>
                <w:rFonts w:ascii="Arial" w:cs="Arial" w:eastAsia="Arial" w:hAnsi="Arial"/>
                <w:sz w:val="16"/>
                <w:szCs w:val="16"/>
                <w:b w:val="1"/>
                <w:bCs w:val="1"/>
                <w:color w:val="auto"/>
              </w:rPr>
              <w:t>Average Price</w:t>
            </w:r>
          </w:p>
        </w:tc>
        <w:tc>
          <w:tcPr>
            <w:tcW w:w="2760" w:type="dxa"/>
            <w:vAlign w:val="bottom"/>
          </w:tcPr>
          <w:p>
            <w:pPr>
              <w:jc w:val="center"/>
              <w:spacing w:after="0"/>
              <w:rPr>
                <w:sz w:val="20"/>
                <w:szCs w:val="20"/>
                <w:color w:val="auto"/>
              </w:rPr>
            </w:pPr>
            <w:r>
              <w:rPr>
                <w:rFonts w:ascii="Arial" w:cs="Arial" w:eastAsia="Arial" w:hAnsi="Arial"/>
                <w:sz w:val="16"/>
                <w:szCs w:val="16"/>
                <w:b w:val="1"/>
                <w:bCs w:val="1"/>
                <w:color w:val="auto"/>
              </w:rPr>
              <w:t>Number of Shares Purchased as</w:t>
            </w:r>
          </w:p>
        </w:tc>
        <w:tc>
          <w:tcPr>
            <w:tcW w:w="260" w:type="dxa"/>
            <w:vAlign w:val="bottom"/>
          </w:tcPr>
          <w:p>
            <w:pPr>
              <w:spacing w:after="0"/>
              <w:rPr>
                <w:sz w:val="16"/>
                <w:szCs w:val="16"/>
                <w:color w:val="auto"/>
              </w:rPr>
            </w:pPr>
          </w:p>
        </w:tc>
        <w:tc>
          <w:tcPr>
            <w:tcW w:w="2620" w:type="dxa"/>
            <w:vAlign w:val="bottom"/>
          </w:tcPr>
          <w:p>
            <w:pPr>
              <w:jc w:val="right"/>
              <w:ind w:right="219"/>
              <w:spacing w:after="0"/>
              <w:rPr>
                <w:sz w:val="20"/>
                <w:szCs w:val="20"/>
                <w:color w:val="auto"/>
              </w:rPr>
            </w:pPr>
            <w:r>
              <w:rPr>
                <w:rFonts w:ascii="Arial" w:cs="Arial" w:eastAsia="Arial" w:hAnsi="Arial"/>
                <w:sz w:val="16"/>
                <w:szCs w:val="16"/>
                <w:b w:val="1"/>
                <w:bCs w:val="1"/>
                <w:color w:val="auto"/>
              </w:rPr>
              <w:t>Approximate Dollar Value of</w:t>
            </w:r>
          </w:p>
        </w:tc>
        <w:tc>
          <w:tcPr>
            <w:tcW w:w="0" w:type="dxa"/>
            <w:vAlign w:val="bottom"/>
          </w:tcPr>
          <w:p>
            <w:pPr>
              <w:spacing w:after="0"/>
              <w:rPr>
                <w:sz w:val="1"/>
                <w:szCs w:val="1"/>
                <w:color w:val="auto"/>
              </w:rPr>
            </w:pPr>
          </w:p>
        </w:tc>
      </w:tr>
      <w:tr>
        <w:trPr>
          <w:trHeight w:val="162"/>
        </w:trPr>
        <w:tc>
          <w:tcPr>
            <w:tcW w:w="26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5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w:t>
            </w:r>
          </w:p>
        </w:tc>
        <w:tc>
          <w:tcPr>
            <w:tcW w:w="1400" w:type="dxa"/>
            <w:vAlign w:val="bottom"/>
            <w:gridSpan w:val="2"/>
            <w:vMerge w:val="continue"/>
          </w:tcPr>
          <w:p>
            <w:pPr>
              <w:spacing w:after="0"/>
              <w:rPr>
                <w:sz w:val="14"/>
                <w:szCs w:val="14"/>
                <w:color w:val="auto"/>
              </w:rPr>
            </w:pPr>
          </w:p>
        </w:tc>
        <w:tc>
          <w:tcPr>
            <w:tcW w:w="27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Part of Publicly Announced Plans</w:t>
            </w:r>
          </w:p>
        </w:tc>
        <w:tc>
          <w:tcPr>
            <w:tcW w:w="2880" w:type="dxa"/>
            <w:vAlign w:val="bottom"/>
            <w:gridSpan w:val="2"/>
          </w:tcPr>
          <w:p>
            <w:pPr>
              <w:ind w:left="140"/>
              <w:spacing w:after="0" w:line="162" w:lineRule="exact"/>
              <w:rPr>
                <w:sz w:val="20"/>
                <w:szCs w:val="20"/>
                <w:color w:val="auto"/>
              </w:rPr>
            </w:pPr>
            <w:r>
              <w:rPr>
                <w:rFonts w:ascii="Arial" w:cs="Arial" w:eastAsia="Arial" w:hAnsi="Arial"/>
                <w:sz w:val="16"/>
                <w:szCs w:val="16"/>
                <w:b w:val="1"/>
                <w:bCs w:val="1"/>
                <w:color w:val="auto"/>
              </w:rPr>
              <w:t>Shares That May Yet Be Purchased</w:t>
            </w:r>
          </w:p>
        </w:tc>
        <w:tc>
          <w:tcPr>
            <w:tcW w:w="0" w:type="dxa"/>
            <w:vAlign w:val="bottom"/>
          </w:tcPr>
          <w:p>
            <w:pPr>
              <w:spacing w:after="0"/>
              <w:rPr>
                <w:sz w:val="1"/>
                <w:szCs w:val="1"/>
                <w:color w:val="auto"/>
              </w:rPr>
            </w:pPr>
          </w:p>
        </w:tc>
      </w:tr>
      <w:tr>
        <w:trPr>
          <w:trHeight w:val="216"/>
        </w:trPr>
        <w:tc>
          <w:tcPr>
            <w:tcW w:w="2600" w:type="dxa"/>
            <w:vAlign w:val="bottom"/>
            <w:tcBorders>
              <w:bottom w:val="single" w:sz="8" w:color="auto"/>
            </w:tcBorders>
            <w:vMerge w:val="continue"/>
          </w:tcPr>
          <w:p>
            <w:pPr>
              <w:spacing w:after="0"/>
              <w:rPr>
                <w:sz w:val="18"/>
                <w:szCs w:val="18"/>
                <w:color w:val="auto"/>
              </w:rPr>
            </w:pPr>
          </w:p>
        </w:tc>
        <w:tc>
          <w:tcPr>
            <w:tcW w:w="156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3"/>
              </w:rPr>
              <w:t>Purchased</w:t>
            </w:r>
            <w:r>
              <w:rPr>
                <w:rFonts w:ascii="Arial" w:cs="Arial" w:eastAsia="Arial" w:hAnsi="Arial"/>
                <w:sz w:val="21"/>
                <w:szCs w:val="21"/>
                <w:b w:val="1"/>
                <w:bCs w:val="1"/>
                <w:color w:val="auto"/>
                <w:w w:val="93"/>
                <w:vertAlign w:val="superscript"/>
              </w:rPr>
              <w:t>(1,2)</w:t>
            </w:r>
          </w:p>
        </w:tc>
        <w:tc>
          <w:tcPr>
            <w:tcW w:w="14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Paid per Share</w:t>
            </w:r>
          </w:p>
        </w:tc>
        <w:tc>
          <w:tcPr>
            <w:tcW w:w="276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5"/>
              </w:rPr>
              <w:t>or Programs</w:t>
            </w:r>
            <w:r>
              <w:rPr>
                <w:rFonts w:ascii="Arial" w:cs="Arial" w:eastAsia="Arial" w:hAnsi="Arial"/>
                <w:sz w:val="21"/>
                <w:szCs w:val="21"/>
                <w:b w:val="1"/>
                <w:bCs w:val="1"/>
                <w:color w:val="auto"/>
                <w:w w:val="95"/>
                <w:vertAlign w:val="superscript"/>
              </w:rPr>
              <w:t>(1,2)</w:t>
            </w:r>
          </w:p>
        </w:tc>
        <w:tc>
          <w:tcPr>
            <w:tcW w:w="2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jc w:val="right"/>
              <w:ind w:right="119"/>
              <w:spacing w:after="0" w:line="216" w:lineRule="exact"/>
              <w:rPr>
                <w:sz w:val="20"/>
                <w:szCs w:val="20"/>
                <w:color w:val="auto"/>
              </w:rPr>
            </w:pPr>
            <w:r>
              <w:rPr>
                <w:rFonts w:ascii="Arial" w:cs="Arial" w:eastAsia="Arial" w:hAnsi="Arial"/>
                <w:sz w:val="16"/>
                <w:szCs w:val="16"/>
                <w:b w:val="1"/>
                <w:bCs w:val="1"/>
                <w:color w:val="auto"/>
              </w:rPr>
              <w:t>Under the Plans or Programs</w:t>
            </w:r>
            <w:r>
              <w:rPr>
                <w:rFonts w:ascii="Arial" w:cs="Arial" w:eastAsia="Arial" w:hAnsi="Arial"/>
                <w:sz w:val="21"/>
                <w:szCs w:val="21"/>
                <w:b w:val="1"/>
                <w:bCs w:val="1"/>
                <w:color w:val="auto"/>
                <w:vertAlign w:val="superscript"/>
              </w:rPr>
              <w:t>(3)</w:t>
            </w:r>
          </w:p>
        </w:tc>
        <w:tc>
          <w:tcPr>
            <w:tcW w:w="0" w:type="dxa"/>
            <w:vAlign w:val="bottom"/>
          </w:tcPr>
          <w:p>
            <w:pPr>
              <w:spacing w:after="0"/>
              <w:rPr>
                <w:sz w:val="1"/>
                <w:szCs w:val="1"/>
                <w:color w:val="auto"/>
              </w:rPr>
            </w:pPr>
          </w:p>
        </w:tc>
      </w:tr>
      <w:tr>
        <w:trPr>
          <w:trHeight w:val="210"/>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11/28/21 - 01/01/22</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148,560</w:t>
            </w:r>
          </w:p>
        </w:tc>
        <w:tc>
          <w:tcPr>
            <w:tcW w:w="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70.57</w:t>
            </w:r>
          </w:p>
        </w:tc>
        <w:tc>
          <w:tcPr>
            <w:tcW w:w="2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141,497</w:t>
            </w:r>
          </w:p>
        </w:tc>
        <w:tc>
          <w:tcPr>
            <w:tcW w:w="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2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180,000</w:t>
            </w:r>
          </w:p>
        </w:tc>
        <w:tc>
          <w:tcPr>
            <w:tcW w:w="0" w:type="dxa"/>
            <w:vAlign w:val="bottom"/>
          </w:tcPr>
          <w:p>
            <w:pPr>
              <w:spacing w:after="0"/>
              <w:rPr>
                <w:sz w:val="1"/>
                <w:szCs w:val="1"/>
                <w:color w:val="auto"/>
              </w:rPr>
            </w:pPr>
          </w:p>
        </w:tc>
      </w:tr>
      <w:tr>
        <w:trPr>
          <w:trHeight w:val="213"/>
        </w:trPr>
        <w:tc>
          <w:tcPr>
            <w:tcW w:w="2600" w:type="dxa"/>
            <w:vAlign w:val="bottom"/>
          </w:tcPr>
          <w:p>
            <w:pPr>
              <w:ind w:left="20"/>
              <w:spacing w:after="0"/>
              <w:rPr>
                <w:sz w:val="20"/>
                <w:szCs w:val="20"/>
                <w:color w:val="auto"/>
              </w:rPr>
            </w:pPr>
            <w:r>
              <w:rPr>
                <w:rFonts w:ascii="Arial" w:cs="Arial" w:eastAsia="Arial" w:hAnsi="Arial"/>
                <w:sz w:val="16"/>
                <w:szCs w:val="16"/>
                <w:color w:val="auto"/>
              </w:rPr>
              <w:t>01/02/22 - 01/29/22</w:t>
            </w:r>
          </w:p>
        </w:tc>
        <w:tc>
          <w:tcPr>
            <w:tcW w:w="1560" w:type="dxa"/>
            <w:vAlign w:val="bottom"/>
          </w:tcPr>
          <w:p>
            <w:pPr>
              <w:jc w:val="right"/>
              <w:spacing w:after="0"/>
              <w:rPr>
                <w:sz w:val="20"/>
                <w:szCs w:val="20"/>
                <w:color w:val="auto"/>
              </w:rPr>
            </w:pPr>
            <w:r>
              <w:rPr>
                <w:rFonts w:ascii="Arial" w:cs="Arial" w:eastAsia="Arial" w:hAnsi="Arial"/>
                <w:sz w:val="16"/>
                <w:szCs w:val="16"/>
                <w:color w:val="auto"/>
              </w:rPr>
              <w:t>158,373</w:t>
            </w:r>
          </w:p>
        </w:tc>
        <w:tc>
          <w:tcPr>
            <w:tcW w:w="52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63.14</w:t>
            </w:r>
          </w:p>
        </w:tc>
        <w:tc>
          <w:tcPr>
            <w:tcW w:w="2760" w:type="dxa"/>
            <w:vAlign w:val="bottom"/>
          </w:tcPr>
          <w:p>
            <w:pPr>
              <w:jc w:val="right"/>
              <w:spacing w:after="0"/>
              <w:rPr>
                <w:sz w:val="20"/>
                <w:szCs w:val="20"/>
                <w:color w:val="auto"/>
              </w:rPr>
            </w:pPr>
            <w:r>
              <w:rPr>
                <w:rFonts w:ascii="Arial" w:cs="Arial" w:eastAsia="Arial" w:hAnsi="Arial"/>
                <w:sz w:val="16"/>
                <w:szCs w:val="16"/>
                <w:color w:val="auto"/>
              </w:rPr>
              <w:t>158,373</w:t>
            </w:r>
          </w:p>
        </w:tc>
        <w:tc>
          <w:tcPr>
            <w:tcW w:w="260" w:type="dxa"/>
            <w:vAlign w:val="bottom"/>
          </w:tcPr>
          <w:p>
            <w:pPr>
              <w:spacing w:after="0"/>
              <w:rPr>
                <w:sz w:val="18"/>
                <w:szCs w:val="18"/>
                <w:color w:val="auto"/>
              </w:rPr>
            </w:pPr>
          </w:p>
        </w:tc>
        <w:tc>
          <w:tcPr>
            <w:tcW w:w="2620" w:type="dxa"/>
            <w:vAlign w:val="bottom"/>
          </w:tcPr>
          <w:p>
            <w:pPr>
              <w:jc w:val="right"/>
              <w:spacing w:after="0"/>
              <w:rPr>
                <w:sz w:val="20"/>
                <w:szCs w:val="20"/>
                <w:color w:val="auto"/>
              </w:rPr>
            </w:pPr>
            <w:r>
              <w:rPr>
                <w:rFonts w:ascii="Arial" w:cs="Arial" w:eastAsia="Arial" w:hAnsi="Arial"/>
                <w:sz w:val="16"/>
                <w:szCs w:val="16"/>
                <w:color w:val="auto"/>
              </w:rPr>
              <w:t>170,000</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01/30/22 - 02/26/22</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294,357</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67.94</w:t>
            </w:r>
          </w:p>
        </w:tc>
        <w:tc>
          <w:tcPr>
            <w:tcW w:w="2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294,357</w:t>
            </w:r>
          </w:p>
        </w:tc>
        <w:tc>
          <w:tcPr>
            <w:tcW w:w="260" w:type="dxa"/>
            <w:vAlign w:val="bottom"/>
            <w:shd w:val="clear" w:color="auto" w:fill="CCEEFF"/>
          </w:tcPr>
          <w:p>
            <w:pPr>
              <w:spacing w:after="0"/>
              <w:rPr>
                <w:sz w:val="18"/>
                <w:szCs w:val="18"/>
                <w:color w:val="auto"/>
              </w:rPr>
            </w:pPr>
          </w:p>
        </w:tc>
        <w:tc>
          <w:tcPr>
            <w:tcW w:w="2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0" w:type="dxa"/>
            <w:vAlign w:val="bottom"/>
          </w:tcPr>
          <w:p>
            <w:pPr>
              <w:spacing w:after="0"/>
              <w:rPr>
                <w:sz w:val="1"/>
                <w:szCs w:val="1"/>
                <w:color w:val="auto"/>
              </w:rPr>
            </w:pPr>
          </w:p>
        </w:tc>
      </w:tr>
      <w:tr>
        <w:trPr>
          <w:trHeight w:val="212"/>
        </w:trPr>
        <w:tc>
          <w:tcPr>
            <w:tcW w:w="2600" w:type="dxa"/>
            <w:vAlign w:val="bottom"/>
          </w:tcPr>
          <w:p>
            <w:pPr>
              <w:ind w:left="140"/>
              <w:spacing w:after="0"/>
              <w:rPr>
                <w:sz w:val="20"/>
                <w:szCs w:val="20"/>
                <w:color w:val="auto"/>
              </w:rPr>
            </w:pPr>
            <w:r>
              <w:rPr>
                <w:rFonts w:ascii="Arial" w:cs="Arial" w:eastAsia="Arial" w:hAnsi="Arial"/>
                <w:sz w:val="16"/>
                <w:szCs w:val="16"/>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601,290</w:t>
            </w:r>
          </w:p>
        </w:tc>
        <w:tc>
          <w:tcPr>
            <w:tcW w:w="520" w:type="dxa"/>
            <w:vAlign w:val="bottom"/>
          </w:tcPr>
          <w:p>
            <w:pPr>
              <w:ind w:left="1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67.33</w:t>
            </w: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594,227</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2620" w:type="dxa"/>
            <w:vAlign w:val="bottom"/>
          </w:tcPr>
          <w:p>
            <w:pPr>
              <w:jc w:val="right"/>
              <w:spacing w:after="0"/>
              <w:rPr>
                <w:sz w:val="20"/>
                <w:szCs w:val="20"/>
                <w:color w:val="auto"/>
              </w:rPr>
            </w:pPr>
            <w:r>
              <w:rPr>
                <w:rFonts w:ascii="Arial" w:cs="Arial" w:eastAsia="Arial" w:hAnsi="Arial"/>
                <w:sz w:val="16"/>
                <w:szCs w:val="16"/>
                <w:color w:val="auto"/>
              </w:rPr>
              <w:t>150,000</w:t>
            </w:r>
          </w:p>
        </w:tc>
        <w:tc>
          <w:tcPr>
            <w:tcW w:w="0" w:type="dxa"/>
            <w:vAlign w:val="bottom"/>
          </w:tcPr>
          <w:p>
            <w:pPr>
              <w:spacing w:after="0"/>
              <w:rPr>
                <w:sz w:val="1"/>
                <w:szCs w:val="1"/>
                <w:color w:val="auto"/>
              </w:rPr>
            </w:pPr>
          </w:p>
        </w:tc>
      </w:tr>
      <w:tr>
        <w:trPr>
          <w:trHeight w:val="21"/>
        </w:trPr>
        <w:tc>
          <w:tcPr>
            <w:tcW w:w="26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21"/>
          <w:szCs w:val="21"/>
          <w:color w:val="auto"/>
          <w:vertAlign w:val="superscript"/>
        </w:rPr>
      </w:pPr>
      <w:r>
        <w:rPr>
          <w:rFonts w:ascii="Arial" w:cs="Arial" w:eastAsia="Arial" w:hAnsi="Arial"/>
          <w:sz w:val="14"/>
          <w:szCs w:val="14"/>
          <w:color w:val="auto"/>
        </w:rPr>
        <w:t>Number of shares in the table are shown in whole numbers.</w:t>
      </w:r>
    </w:p>
    <w:p>
      <w:pPr>
        <w:ind w:left="260" w:right="180" w:hanging="252"/>
        <w:spacing w:after="0" w:line="193" w:lineRule="auto"/>
        <w:tabs>
          <w:tab w:leader="none" w:pos="263" w:val="left"/>
        </w:tabs>
        <w:numPr>
          <w:ilvl w:val="0"/>
          <w:numId w:val="14"/>
        </w:numPr>
        <w:rPr>
          <w:rFonts w:ascii="Arial" w:cs="Arial" w:eastAsia="Arial" w:hAnsi="Arial"/>
          <w:sz w:val="21"/>
          <w:szCs w:val="21"/>
          <w:color w:val="auto"/>
          <w:vertAlign w:val="superscript"/>
        </w:rPr>
      </w:pPr>
      <w:r>
        <w:rPr>
          <w:rFonts w:ascii="Arial" w:cs="Arial" w:eastAsia="Arial" w:hAnsi="Arial"/>
          <w:sz w:val="14"/>
          <w:szCs w:val="14"/>
          <w:color w:val="auto"/>
        </w:rPr>
        <w:t>Shares not purchased as part of a publicly announced program were repurchased from employees who vested in Company shares and elected to pay their payroll tax via the value of shares delivered as opposed to cash.</w:t>
      </w:r>
    </w:p>
    <w:p>
      <w:pPr>
        <w:ind w:left="260" w:hanging="252"/>
        <w:spacing w:after="0" w:line="189" w:lineRule="auto"/>
        <w:tabs>
          <w:tab w:leader="none" w:pos="260" w:val="left"/>
        </w:tabs>
        <w:numPr>
          <w:ilvl w:val="0"/>
          <w:numId w:val="14"/>
        </w:numPr>
        <w:rPr>
          <w:rFonts w:ascii="Arial" w:cs="Arial" w:eastAsia="Arial" w:hAnsi="Arial"/>
          <w:sz w:val="19"/>
          <w:szCs w:val="19"/>
          <w:color w:val="auto"/>
          <w:vertAlign w:val="superscript"/>
        </w:rPr>
      </w:pPr>
      <w:r>
        <w:rPr>
          <w:rFonts w:ascii="Arial" w:cs="Arial" w:eastAsia="Arial" w:hAnsi="Arial"/>
          <w:sz w:val="13"/>
          <w:szCs w:val="13"/>
          <w:color w:val="auto"/>
        </w:rPr>
        <w:t>Pursuant to a $200.0 million share repurchase program authorized by our Board of Directors on October 13, 2021. There is no time restriction on the authorization.</w:t>
      </w:r>
    </w:p>
    <w:p>
      <w:pPr>
        <w:spacing w:after="0" w:line="230"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Our Senior Secured Notes, as defined in Note 9 to the Consolidated Financial Statements included in Item 1 of Part I of this Quarterly Report on Form 10-Q, contains occurrence based restrictions that may limit our ability to make distributions or payments with respect to purchases of our common stock without consent of the lenders, except for limited purchases of our common stock from employees, in the event of a significant reduction in our EBITDA or in the event of a significant borrowing on our ABL Credit Facility.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35" w:name="page36"/>
    <w:bookmarkEnd w:id="35"/>
    <w:p>
      <w:pPr>
        <w:ind w:left="100"/>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6"/>
          <w:szCs w:val="16"/>
          <w:b w:val="1"/>
          <w:bCs w:val="1"/>
          <w:color w:val="auto"/>
        </w:rPr>
        <w:t>Item 6.</w:t>
        <w:tab/>
        <w:t>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 w:type="dxa"/>
            <w:vAlign w:val="bottom"/>
          </w:tcPr>
          <w:p>
            <w:pPr>
              <w:spacing w:after="0"/>
              <w:rPr>
                <w:rFonts w:ascii="Arial" w:cs="Arial" w:eastAsia="Arial" w:hAnsi="Arial"/>
                <w:sz w:val="13"/>
                <w:szCs w:val="13"/>
                <w:color w:val="0000FF"/>
                <w:w w:val="73"/>
              </w:rPr>
            </w:pPr>
            <w:hyperlink r:id="rId50">
              <w:r>
                <w:rPr>
                  <w:rFonts w:ascii="Arial" w:cs="Arial" w:eastAsia="Arial" w:hAnsi="Arial"/>
                  <w:sz w:val="13"/>
                  <w:szCs w:val="13"/>
                  <w:color w:val="0000FF"/>
                  <w:w w:val="73"/>
                </w:rPr>
                <w:t>3.</w:t>
              </w:r>
            </w:hyperlink>
          </w:p>
        </w:tc>
        <w:tc>
          <w:tcPr>
            <w:tcW w:w="80" w:type="dxa"/>
            <w:vAlign w:val="bottom"/>
            <w:shd w:val="clear" w:color="auto" w:fill="CCEEFF"/>
          </w:tcPr>
          <w:p>
            <w:pPr>
              <w:spacing w:after="0"/>
              <w:rPr>
                <w:rFonts w:ascii="Arial" w:cs="Arial" w:eastAsia="Arial" w:hAnsi="Arial"/>
                <w:sz w:val="10"/>
                <w:szCs w:val="10"/>
                <w:u w:val="single" w:color="auto"/>
                <w:color w:val="0000FF"/>
                <w:w w:val="70"/>
              </w:rPr>
            </w:pPr>
            <w:hyperlink r:id="rId50">
              <w:r>
                <w:rPr>
                  <w:rFonts w:ascii="Arial" w:cs="Arial" w:eastAsia="Arial" w:hAnsi="Arial"/>
                  <w:sz w:val="10"/>
                  <w:szCs w:val="10"/>
                  <w:u w:val="single" w:color="auto"/>
                  <w:color w:val="0000FF"/>
                  <w:w w:val="70"/>
                </w:rPr>
                <w:t>1</w:t>
              </w:r>
            </w:hyperlink>
          </w:p>
        </w:tc>
        <w:tc>
          <w:tcPr>
            <w:tcW w:w="360" w:type="dxa"/>
            <w:vAlign w:val="bottom"/>
            <w:tcBorders>
              <w:left w:val="single" w:sz="8" w:color="CCEEFF"/>
              <w:right w:val="single" w:sz="8" w:color="CCEEFF"/>
            </w:tcBorders>
            <w:shd w:val="clear" w:color="auto" w:fill="CCEEFF"/>
          </w:tcPr>
          <w:p>
            <w:pPr>
              <w:spacing w:after="0"/>
              <w:rPr>
                <w:sz w:val="16"/>
                <w:szCs w:val="16"/>
                <w:color w:val="auto"/>
              </w:rPr>
            </w:pPr>
          </w:p>
        </w:tc>
        <w:tc>
          <w:tcPr>
            <w:tcW w:w="9860" w:type="dxa"/>
            <w:vAlign w:val="bottom"/>
            <w:gridSpan w:val="17"/>
            <w:shd w:val="clear" w:color="auto" w:fill="CCEEFF"/>
          </w:tcPr>
          <w:p>
            <w:pPr>
              <w:spacing w:after="0"/>
              <w:rPr>
                <w:rFonts w:ascii="Arial" w:cs="Arial" w:eastAsia="Arial" w:hAnsi="Arial"/>
                <w:sz w:val="16"/>
                <w:szCs w:val="16"/>
                <w:color w:val="0000FF"/>
              </w:rPr>
            </w:pPr>
            <w:hyperlink r:id="rId50">
              <w:r>
                <w:rPr>
                  <w:rFonts w:ascii="Arial" w:cs="Arial" w:eastAsia="Arial" w:hAnsi="Arial"/>
                  <w:sz w:val="16"/>
                  <w:szCs w:val="16"/>
                  <w:color w:val="0000FF"/>
                </w:rPr>
                <w:t>Articles of Incorporation of Winnebago Industries, Inc., effective January 1, 2022 (incorporated by reference from Exhibit 3.1 to the</w:t>
              </w:r>
            </w:hyperlink>
          </w:p>
        </w:tc>
      </w:tr>
      <w:tr>
        <w:trPr>
          <w:trHeight w:val="142"/>
        </w:trPr>
        <w:tc>
          <w:tcPr>
            <w:tcW w:w="1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360" w:type="dxa"/>
            <w:vAlign w:val="bottom"/>
            <w:tcBorders>
              <w:top w:val="single" w:sz="8" w:color="CCEEFF"/>
              <w:left w:val="single" w:sz="8" w:color="CCEEFF"/>
              <w:right w:val="single" w:sz="8" w:color="CCEEFF"/>
            </w:tcBorders>
            <w:shd w:val="clear" w:color="auto" w:fill="CCEEFF"/>
          </w:tcPr>
          <w:p>
            <w:pPr>
              <w:spacing w:after="0"/>
              <w:rPr>
                <w:sz w:val="12"/>
                <w:szCs w:val="12"/>
                <w:color w:val="auto"/>
              </w:rPr>
            </w:pPr>
          </w:p>
        </w:tc>
        <w:tc>
          <w:tcPr>
            <w:tcW w:w="500" w:type="dxa"/>
            <w:vAlign w:val="bottom"/>
            <w:tcBorders>
              <w:top w:val="single" w:sz="8" w:color="0000FF"/>
            </w:tcBorders>
            <w:shd w:val="clear" w:color="auto" w:fill="CCEEFF"/>
          </w:tcPr>
          <w:p>
            <w:pPr>
              <w:spacing w:after="0"/>
              <w:rPr>
                <w:sz w:val="12"/>
                <w:szCs w:val="12"/>
                <w:color w:val="auto"/>
              </w:rPr>
            </w:pPr>
          </w:p>
        </w:tc>
        <w:tc>
          <w:tcPr>
            <w:tcW w:w="8820" w:type="dxa"/>
            <w:vAlign w:val="bottom"/>
            <w:tcBorders>
              <w:top w:val="single" w:sz="8" w:color="0000FF"/>
            </w:tcBorders>
            <w:gridSpan w:val="11"/>
            <w:shd w:val="clear" w:color="auto" w:fill="CCEEFF"/>
          </w:tcPr>
          <w:p>
            <w:pPr>
              <w:spacing w:after="0" w:line="142" w:lineRule="exact"/>
              <w:rPr>
                <w:rFonts w:ascii="Arial" w:cs="Arial" w:eastAsia="Arial" w:hAnsi="Arial"/>
                <w:sz w:val="16"/>
                <w:szCs w:val="16"/>
                <w:color w:val="0000FF"/>
              </w:rPr>
            </w:pPr>
            <w:hyperlink r:id="rId50">
              <w:r>
                <w:rPr>
                  <w:rFonts w:ascii="Arial" w:cs="Arial" w:eastAsia="Arial" w:hAnsi="Arial"/>
                  <w:sz w:val="16"/>
                  <w:szCs w:val="16"/>
                  <w:color w:val="0000FF"/>
                </w:rPr>
                <w:t>Registrant’s Current Report on Form 8-K dated January 1, 2022).</w:t>
              </w:r>
            </w:hyperlink>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right w:val="single" w:sz="8" w:color="CCEEFF"/>
            </w:tcBorders>
            <w:shd w:val="clear" w:color="auto" w:fill="CCEEFF"/>
          </w:tcPr>
          <w:p>
            <w:pPr>
              <w:spacing w:after="0"/>
              <w:rPr>
                <w:sz w:val="12"/>
                <w:szCs w:val="12"/>
                <w:color w:val="auto"/>
              </w:rPr>
            </w:pPr>
          </w:p>
        </w:tc>
        <w:tc>
          <w:tcPr>
            <w:tcW w:w="40" w:type="dxa"/>
            <w:vAlign w:val="bottom"/>
            <w:tcBorders>
              <w:top w:val="single" w:sz="8" w:color="CCEEFF"/>
              <w:right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r>
      <w:tr>
        <w:trPr>
          <w:trHeight w:val="21"/>
        </w:trPr>
        <w:tc>
          <w:tcPr>
            <w:tcW w:w="100" w:type="dxa"/>
            <w:vAlign w:val="bottom"/>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8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80" w:type="dxa"/>
            <w:vAlign w:val="bottom"/>
            <w:gridSpan w:val="2"/>
          </w:tcPr>
          <w:p>
            <w:pPr>
              <w:spacing w:after="0"/>
              <w:rPr>
                <w:rFonts w:ascii="Arial" w:cs="Arial" w:eastAsia="Arial" w:hAnsi="Arial"/>
                <w:sz w:val="14"/>
                <w:szCs w:val="14"/>
                <w:color w:val="0000FF"/>
                <w:w w:val="71"/>
              </w:rPr>
            </w:pPr>
            <w:hyperlink r:id="rId51">
              <w:r>
                <w:rPr>
                  <w:rFonts w:ascii="Arial" w:cs="Arial" w:eastAsia="Arial" w:hAnsi="Arial"/>
                  <w:sz w:val="14"/>
                  <w:szCs w:val="14"/>
                  <w:color w:val="0000FF"/>
                  <w:w w:val="71"/>
                </w:rPr>
                <w:t>3.</w:t>
              </w:r>
              <w:r>
                <w:rPr>
                  <w:rFonts w:ascii="Arial" w:cs="Arial" w:eastAsia="Arial" w:hAnsi="Arial"/>
                  <w:sz w:val="14"/>
                  <w:szCs w:val="14"/>
                  <w:u w:val="single" w:color="auto"/>
                  <w:color w:val="0000FF"/>
                  <w:w w:val="71"/>
                </w:rPr>
                <w:t>2</w:t>
              </w:r>
            </w:hyperlink>
          </w:p>
        </w:tc>
        <w:tc>
          <w:tcPr>
            <w:tcW w:w="360" w:type="dxa"/>
            <w:vAlign w:val="bottom"/>
          </w:tcPr>
          <w:p>
            <w:pPr>
              <w:spacing w:after="0"/>
              <w:rPr>
                <w:sz w:val="15"/>
                <w:szCs w:val="15"/>
                <w:color w:val="auto"/>
              </w:rPr>
            </w:pPr>
          </w:p>
        </w:tc>
        <w:tc>
          <w:tcPr>
            <w:tcW w:w="9860" w:type="dxa"/>
            <w:vAlign w:val="bottom"/>
            <w:gridSpan w:val="17"/>
          </w:tcPr>
          <w:p>
            <w:pPr>
              <w:spacing w:after="0" w:line="175" w:lineRule="exact"/>
              <w:rPr>
                <w:rFonts w:ascii="Arial" w:cs="Arial" w:eastAsia="Arial" w:hAnsi="Arial"/>
                <w:sz w:val="16"/>
                <w:szCs w:val="16"/>
                <w:color w:val="0000FF"/>
              </w:rPr>
            </w:pPr>
            <w:hyperlink r:id="rId51">
              <w:r>
                <w:rPr>
                  <w:rFonts w:ascii="Arial" w:cs="Arial" w:eastAsia="Arial" w:hAnsi="Arial"/>
                  <w:sz w:val="16"/>
                  <w:szCs w:val="16"/>
                  <w:color w:val="0000FF"/>
                </w:rPr>
                <w:t>By-Laws of the Registrant effective January 1, 2022 (incorporated by reference from Exhibit 3.2 to the Registrant’s Current Report on</w:t>
              </w:r>
            </w:hyperlink>
          </w:p>
        </w:tc>
      </w:tr>
      <w:tr>
        <w:trPr>
          <w:trHeight w:val="142"/>
        </w:trPr>
        <w:tc>
          <w:tcPr>
            <w:tcW w:w="1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902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51">
              <w:r>
                <w:rPr>
                  <w:rFonts w:ascii="Arial" w:cs="Arial" w:eastAsia="Arial" w:hAnsi="Arial"/>
                  <w:sz w:val="16"/>
                  <w:szCs w:val="16"/>
                  <w:color w:val="0000FF"/>
                </w:rPr>
                <w:t>Form 8-K dated January 1, 2022).</w:t>
              </w:r>
            </w:hyperlink>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76"/>
        </w:trPr>
        <w:tc>
          <w:tcPr>
            <w:tcW w:w="100" w:type="dxa"/>
            <w:vAlign w:val="bottom"/>
          </w:tcPr>
          <w:p>
            <w:pPr>
              <w:spacing w:after="0"/>
              <w:rPr>
                <w:rFonts w:ascii="Arial" w:cs="Arial" w:eastAsia="Arial" w:hAnsi="Arial"/>
                <w:sz w:val="13"/>
                <w:szCs w:val="13"/>
                <w:color w:val="0000FF"/>
                <w:w w:val="73"/>
              </w:rPr>
            </w:pPr>
            <w:hyperlink r:id="rId52">
              <w:r>
                <w:rPr>
                  <w:rFonts w:ascii="Arial" w:cs="Arial" w:eastAsia="Arial" w:hAnsi="Arial"/>
                  <w:sz w:val="13"/>
                  <w:szCs w:val="13"/>
                  <w:color w:val="0000FF"/>
                  <w:w w:val="73"/>
                </w:rPr>
                <w:t>4.</w:t>
              </w:r>
            </w:hyperlink>
          </w:p>
        </w:tc>
        <w:tc>
          <w:tcPr>
            <w:tcW w:w="80" w:type="dxa"/>
            <w:vAlign w:val="bottom"/>
            <w:shd w:val="clear" w:color="auto" w:fill="CCEEFF"/>
          </w:tcPr>
          <w:p>
            <w:pPr>
              <w:spacing w:after="0"/>
              <w:rPr>
                <w:rFonts w:ascii="Arial" w:cs="Arial" w:eastAsia="Arial" w:hAnsi="Arial"/>
                <w:sz w:val="10"/>
                <w:szCs w:val="10"/>
                <w:u w:val="single" w:color="auto"/>
                <w:color w:val="0000FF"/>
                <w:w w:val="70"/>
              </w:rPr>
            </w:pPr>
            <w:hyperlink r:id="rId52">
              <w:r>
                <w:rPr>
                  <w:rFonts w:ascii="Arial" w:cs="Arial" w:eastAsia="Arial" w:hAnsi="Arial"/>
                  <w:sz w:val="10"/>
                  <w:szCs w:val="10"/>
                  <w:u w:val="single" w:color="auto"/>
                  <w:color w:val="0000FF"/>
                  <w:w w:val="70"/>
                </w:rPr>
                <w:t>1</w:t>
              </w:r>
            </w:hyperlink>
          </w:p>
        </w:tc>
        <w:tc>
          <w:tcPr>
            <w:tcW w:w="360" w:type="dxa"/>
            <w:vAlign w:val="bottom"/>
            <w:tcBorders>
              <w:left w:val="single" w:sz="8" w:color="CCEEFF"/>
              <w:right w:val="single" w:sz="8" w:color="CCEEFF"/>
            </w:tcBorders>
            <w:shd w:val="clear" w:color="auto" w:fill="CCEEFF"/>
          </w:tcPr>
          <w:p>
            <w:pPr>
              <w:spacing w:after="0"/>
              <w:rPr>
                <w:sz w:val="15"/>
                <w:szCs w:val="15"/>
                <w:color w:val="auto"/>
              </w:rPr>
            </w:pPr>
          </w:p>
        </w:tc>
        <w:tc>
          <w:tcPr>
            <w:tcW w:w="9860" w:type="dxa"/>
            <w:vAlign w:val="bottom"/>
            <w:gridSpan w:val="17"/>
            <w:shd w:val="clear" w:color="auto" w:fill="CCEEFF"/>
          </w:tcPr>
          <w:p>
            <w:pPr>
              <w:spacing w:after="0" w:line="175" w:lineRule="exact"/>
              <w:rPr>
                <w:rFonts w:ascii="Arial" w:cs="Arial" w:eastAsia="Arial" w:hAnsi="Arial"/>
                <w:sz w:val="16"/>
                <w:szCs w:val="16"/>
                <w:color w:val="0000FF"/>
              </w:rPr>
            </w:pPr>
            <w:hyperlink r:id="rId52">
              <w:r>
                <w:rPr>
                  <w:rFonts w:ascii="Arial" w:cs="Arial" w:eastAsia="Arial" w:hAnsi="Arial"/>
                  <w:sz w:val="16"/>
                  <w:szCs w:val="16"/>
                  <w:color w:val="0000FF"/>
                </w:rPr>
                <w:t>Indenture, dated November 1, 2019, by and between Winnebago Industries, Inc. and U.S. Bank National Association (incorporated by</w:t>
              </w:r>
            </w:hyperlink>
          </w:p>
        </w:tc>
      </w:tr>
      <w:tr>
        <w:trPr>
          <w:trHeight w:val="142"/>
        </w:trPr>
        <w:tc>
          <w:tcPr>
            <w:tcW w:w="1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360" w:type="dxa"/>
            <w:vAlign w:val="bottom"/>
            <w:tcBorders>
              <w:top w:val="single" w:sz="8" w:color="CCEEFF"/>
              <w:left w:val="single" w:sz="8" w:color="CCEEFF"/>
              <w:right w:val="single" w:sz="8" w:color="CCEEFF"/>
            </w:tcBorders>
            <w:shd w:val="clear" w:color="auto" w:fill="CCEEFF"/>
          </w:tcPr>
          <w:p>
            <w:pPr>
              <w:spacing w:after="0"/>
              <w:rPr>
                <w:sz w:val="12"/>
                <w:szCs w:val="12"/>
                <w:color w:val="auto"/>
              </w:rPr>
            </w:pPr>
          </w:p>
        </w:tc>
        <w:tc>
          <w:tcPr>
            <w:tcW w:w="500" w:type="dxa"/>
            <w:vAlign w:val="bottom"/>
            <w:tcBorders>
              <w:top w:val="single" w:sz="8" w:color="0000FF"/>
            </w:tcBorders>
            <w:shd w:val="clear" w:color="auto" w:fill="CCEEFF"/>
          </w:tcPr>
          <w:p>
            <w:pPr>
              <w:spacing w:after="0"/>
              <w:rPr>
                <w:sz w:val="12"/>
                <w:szCs w:val="12"/>
                <w:color w:val="auto"/>
              </w:rPr>
            </w:pPr>
          </w:p>
        </w:tc>
        <w:tc>
          <w:tcPr>
            <w:tcW w:w="9100" w:type="dxa"/>
            <w:vAlign w:val="bottom"/>
            <w:tcBorders>
              <w:top w:val="single" w:sz="8" w:color="0000FF"/>
              <w:right w:val="single" w:sz="8" w:color="CCEEFF"/>
            </w:tcBorders>
            <w:gridSpan w:val="15"/>
            <w:shd w:val="clear" w:color="auto" w:fill="CCEEFF"/>
          </w:tcPr>
          <w:p>
            <w:pPr>
              <w:spacing w:after="0" w:line="142" w:lineRule="exact"/>
              <w:rPr>
                <w:rFonts w:ascii="Arial" w:cs="Arial" w:eastAsia="Arial" w:hAnsi="Arial"/>
                <w:sz w:val="16"/>
                <w:szCs w:val="16"/>
                <w:color w:val="0000FF"/>
              </w:rPr>
            </w:pPr>
            <w:hyperlink r:id="rId52">
              <w:r>
                <w:rPr>
                  <w:rFonts w:ascii="Arial" w:cs="Arial" w:eastAsia="Arial" w:hAnsi="Arial"/>
                  <w:sz w:val="16"/>
                  <w:szCs w:val="16"/>
                  <w:color w:val="0000FF"/>
                </w:rPr>
                <w:t>reference from Exhibit 4.1 to the Registrant’s Current Report on Form 8-K dated October 29, 2019).</w:t>
              </w:r>
            </w:hyperlink>
          </w:p>
        </w:tc>
        <w:tc>
          <w:tcPr>
            <w:tcW w:w="260" w:type="dxa"/>
            <w:vAlign w:val="bottom"/>
            <w:tcBorders>
              <w:top w:val="single" w:sz="8" w:color="CCEEFF"/>
            </w:tcBorders>
            <w:shd w:val="clear" w:color="auto" w:fill="CCEEFF"/>
          </w:tcPr>
          <w:p>
            <w:pPr>
              <w:spacing w:after="0"/>
              <w:rPr>
                <w:sz w:val="12"/>
                <w:szCs w:val="12"/>
                <w:color w:val="auto"/>
              </w:rPr>
            </w:pPr>
          </w:p>
        </w:tc>
      </w:tr>
      <w:tr>
        <w:trPr>
          <w:trHeight w:val="21"/>
        </w:trPr>
        <w:tc>
          <w:tcPr>
            <w:tcW w:w="100" w:type="dxa"/>
            <w:vAlign w:val="bottom"/>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8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18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80" w:type="dxa"/>
            <w:vAlign w:val="bottom"/>
            <w:gridSpan w:val="2"/>
          </w:tcPr>
          <w:p>
            <w:pPr>
              <w:spacing w:after="0"/>
              <w:rPr>
                <w:rFonts w:ascii="Arial" w:cs="Arial" w:eastAsia="Arial" w:hAnsi="Arial"/>
                <w:sz w:val="14"/>
                <w:szCs w:val="14"/>
                <w:color w:val="0000FF"/>
                <w:w w:val="71"/>
              </w:rPr>
            </w:pPr>
            <w:hyperlink r:id="rId52">
              <w:r>
                <w:rPr>
                  <w:rFonts w:ascii="Arial" w:cs="Arial" w:eastAsia="Arial" w:hAnsi="Arial"/>
                  <w:sz w:val="14"/>
                  <w:szCs w:val="14"/>
                  <w:color w:val="0000FF"/>
                  <w:w w:val="71"/>
                </w:rPr>
                <w:t>4.</w:t>
              </w:r>
              <w:r>
                <w:rPr>
                  <w:rFonts w:ascii="Arial" w:cs="Arial" w:eastAsia="Arial" w:hAnsi="Arial"/>
                  <w:sz w:val="14"/>
                  <w:szCs w:val="14"/>
                  <w:u w:val="single" w:color="auto"/>
                  <w:color w:val="0000FF"/>
                  <w:w w:val="71"/>
                </w:rPr>
                <w:t>2</w:t>
              </w:r>
            </w:hyperlink>
          </w:p>
        </w:tc>
        <w:tc>
          <w:tcPr>
            <w:tcW w:w="360" w:type="dxa"/>
            <w:vAlign w:val="bottom"/>
          </w:tcPr>
          <w:p>
            <w:pPr>
              <w:spacing w:after="0"/>
              <w:rPr>
                <w:sz w:val="15"/>
                <w:szCs w:val="15"/>
                <w:color w:val="auto"/>
              </w:rPr>
            </w:pPr>
          </w:p>
        </w:tc>
        <w:tc>
          <w:tcPr>
            <w:tcW w:w="9860" w:type="dxa"/>
            <w:vAlign w:val="bottom"/>
            <w:gridSpan w:val="17"/>
          </w:tcPr>
          <w:p>
            <w:pPr>
              <w:spacing w:after="0" w:line="175" w:lineRule="exact"/>
              <w:rPr>
                <w:rFonts w:ascii="Arial" w:cs="Arial" w:eastAsia="Arial" w:hAnsi="Arial"/>
                <w:sz w:val="16"/>
                <w:szCs w:val="16"/>
                <w:color w:val="0000FF"/>
              </w:rPr>
            </w:pPr>
            <w:hyperlink r:id="rId52">
              <w:r>
                <w:rPr>
                  <w:rFonts w:ascii="Arial" w:cs="Arial" w:eastAsia="Arial" w:hAnsi="Arial"/>
                  <w:sz w:val="16"/>
                  <w:szCs w:val="16"/>
                  <w:color w:val="0000FF"/>
                </w:rPr>
                <w:t>Form of 1.50% Convertible Senior Note due 2025 (included in Exhibit 4.1).</w:t>
              </w:r>
            </w:hyperlink>
          </w:p>
        </w:tc>
      </w:tr>
      <w:tr>
        <w:trPr>
          <w:trHeight w:val="183"/>
        </w:trPr>
        <w:tc>
          <w:tcPr>
            <w:tcW w:w="1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202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186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5"/>
        </w:trPr>
        <w:tc>
          <w:tcPr>
            <w:tcW w:w="100" w:type="dxa"/>
            <w:vAlign w:val="bottom"/>
          </w:tcPr>
          <w:p>
            <w:pPr>
              <w:spacing w:after="0"/>
              <w:rPr>
                <w:rFonts w:ascii="Arial" w:cs="Arial" w:eastAsia="Arial" w:hAnsi="Arial"/>
                <w:sz w:val="13"/>
                <w:szCs w:val="13"/>
                <w:color w:val="0000FF"/>
                <w:w w:val="73"/>
              </w:rPr>
            </w:pPr>
            <w:hyperlink r:id="rId53">
              <w:r>
                <w:rPr>
                  <w:rFonts w:ascii="Arial" w:cs="Arial" w:eastAsia="Arial" w:hAnsi="Arial"/>
                  <w:sz w:val="13"/>
                  <w:szCs w:val="13"/>
                  <w:color w:val="0000FF"/>
                  <w:w w:val="73"/>
                </w:rPr>
                <w:t>4.</w:t>
              </w:r>
            </w:hyperlink>
          </w:p>
        </w:tc>
        <w:tc>
          <w:tcPr>
            <w:tcW w:w="80" w:type="dxa"/>
            <w:vAlign w:val="bottom"/>
            <w:shd w:val="clear" w:color="auto" w:fill="CCEEFF"/>
          </w:tcPr>
          <w:p>
            <w:pPr>
              <w:spacing w:after="0"/>
              <w:rPr>
                <w:rFonts w:ascii="Arial" w:cs="Arial" w:eastAsia="Arial" w:hAnsi="Arial"/>
                <w:sz w:val="10"/>
                <w:szCs w:val="10"/>
                <w:u w:val="single" w:color="auto"/>
                <w:color w:val="0000FF"/>
                <w:w w:val="70"/>
              </w:rPr>
            </w:pPr>
            <w:hyperlink r:id="rId53">
              <w:r>
                <w:rPr>
                  <w:rFonts w:ascii="Arial" w:cs="Arial" w:eastAsia="Arial" w:hAnsi="Arial"/>
                  <w:sz w:val="10"/>
                  <w:szCs w:val="10"/>
                  <w:u w:val="single" w:color="auto"/>
                  <w:color w:val="0000FF"/>
                  <w:w w:val="70"/>
                </w:rPr>
                <w:t>3</w:t>
              </w:r>
            </w:hyperlink>
          </w:p>
        </w:tc>
        <w:tc>
          <w:tcPr>
            <w:tcW w:w="360" w:type="dxa"/>
            <w:vAlign w:val="bottom"/>
            <w:tcBorders>
              <w:left w:val="single" w:sz="8" w:color="CCEEFF"/>
              <w:right w:val="single" w:sz="8" w:color="CCEEFF"/>
            </w:tcBorders>
            <w:shd w:val="clear" w:color="auto" w:fill="CCEEFF"/>
          </w:tcPr>
          <w:p>
            <w:pPr>
              <w:spacing w:after="0"/>
              <w:rPr>
                <w:sz w:val="15"/>
                <w:szCs w:val="15"/>
                <w:color w:val="auto"/>
              </w:rPr>
            </w:pPr>
          </w:p>
        </w:tc>
        <w:tc>
          <w:tcPr>
            <w:tcW w:w="9860" w:type="dxa"/>
            <w:vAlign w:val="bottom"/>
            <w:gridSpan w:val="17"/>
            <w:shd w:val="clear" w:color="auto" w:fill="CCEEFF"/>
          </w:tcPr>
          <w:p>
            <w:pPr>
              <w:spacing w:after="0" w:line="175" w:lineRule="exact"/>
              <w:rPr>
                <w:rFonts w:ascii="Arial" w:cs="Arial" w:eastAsia="Arial" w:hAnsi="Arial"/>
                <w:sz w:val="16"/>
                <w:szCs w:val="16"/>
                <w:color w:val="0000FF"/>
              </w:rPr>
            </w:pPr>
            <w:hyperlink r:id="rId53">
              <w:r>
                <w:rPr>
                  <w:rFonts w:ascii="Arial" w:cs="Arial" w:eastAsia="Arial" w:hAnsi="Arial"/>
                  <w:sz w:val="16"/>
                  <w:szCs w:val="16"/>
                  <w:color w:val="0000FF"/>
                </w:rPr>
                <w:t>Indenture, dated as of July 8, 2020, by and among Winnebago Industries, Inc., the guarantors named therein and U.S. Bank National</w:t>
              </w:r>
            </w:hyperlink>
          </w:p>
        </w:tc>
      </w:tr>
      <w:tr>
        <w:trPr>
          <w:trHeight w:val="20"/>
        </w:trPr>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r>
      <w:tr>
        <w:trPr>
          <w:trHeight w:val="156"/>
        </w:trPr>
        <w:tc>
          <w:tcPr>
            <w:tcW w:w="10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tcBorders>
              <w:left w:val="single" w:sz="8" w:color="CCEEFF"/>
              <w:right w:val="single" w:sz="8" w:color="CCEEFF"/>
            </w:tcBorders>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360" w:type="dxa"/>
            <w:vAlign w:val="bottom"/>
            <w:gridSpan w:val="16"/>
            <w:shd w:val="clear" w:color="auto" w:fill="CCEEFF"/>
          </w:tcPr>
          <w:p>
            <w:pPr>
              <w:spacing w:after="0" w:line="155" w:lineRule="exact"/>
              <w:rPr>
                <w:rFonts w:ascii="Arial" w:cs="Arial" w:eastAsia="Arial" w:hAnsi="Arial"/>
                <w:sz w:val="16"/>
                <w:szCs w:val="16"/>
                <w:color w:val="0000FF"/>
              </w:rPr>
            </w:pPr>
            <w:hyperlink r:id="rId53">
              <w:r>
                <w:rPr>
                  <w:rFonts w:ascii="Arial" w:cs="Arial" w:eastAsia="Arial" w:hAnsi="Arial"/>
                  <w:sz w:val="16"/>
                  <w:szCs w:val="16"/>
                  <w:color w:val="0000FF"/>
                </w:rPr>
                <w:t>Association, as trustee (incorporated by reference from Exhibit 4.1 to the Registrant’s Current Report on Form 8-K dated July 8,</w:t>
              </w:r>
            </w:hyperlink>
          </w:p>
        </w:tc>
      </w:tr>
      <w:tr>
        <w:trPr>
          <w:trHeight w:val="20"/>
        </w:trPr>
        <w:tc>
          <w:tcPr>
            <w:tcW w:w="100" w:type="dxa"/>
            <w:vAlign w:val="bottom"/>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r>
      <w:tr>
        <w:trPr>
          <w:trHeight w:val="156"/>
        </w:trPr>
        <w:tc>
          <w:tcPr>
            <w:tcW w:w="10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tcBorders>
              <w:left w:val="single" w:sz="8" w:color="CCEEFF"/>
              <w:right w:val="single" w:sz="8" w:color="CCEEFF"/>
            </w:tcBorders>
            <w:shd w:val="clear" w:color="auto" w:fill="CCEEFF"/>
          </w:tcPr>
          <w:p>
            <w:pPr>
              <w:spacing w:after="0"/>
              <w:rPr>
                <w:sz w:val="13"/>
                <w:szCs w:val="13"/>
                <w:color w:val="auto"/>
              </w:rPr>
            </w:pPr>
          </w:p>
        </w:tc>
        <w:tc>
          <w:tcPr>
            <w:tcW w:w="900" w:type="dxa"/>
            <w:vAlign w:val="bottom"/>
            <w:gridSpan w:val="2"/>
            <w:shd w:val="clear" w:color="auto" w:fill="CCEEFF"/>
          </w:tcPr>
          <w:p>
            <w:pPr>
              <w:ind w:left="500"/>
              <w:spacing w:after="0" w:line="155" w:lineRule="exact"/>
              <w:rPr>
                <w:rFonts w:ascii="Arial" w:cs="Arial" w:eastAsia="Arial" w:hAnsi="Arial"/>
                <w:sz w:val="16"/>
                <w:szCs w:val="16"/>
                <w:color w:val="0000FF"/>
                <w:w w:val="92"/>
              </w:rPr>
            </w:pPr>
            <w:hyperlink r:id="rId53">
              <w:r>
                <w:rPr>
                  <w:rFonts w:ascii="Arial" w:cs="Arial" w:eastAsia="Arial" w:hAnsi="Arial"/>
                  <w:sz w:val="16"/>
                  <w:szCs w:val="16"/>
                  <w:color w:val="0000FF"/>
                  <w:w w:val="92"/>
                </w:rPr>
                <w:t>2020)</w:t>
              </w:r>
            </w:hyperlink>
          </w:p>
        </w:tc>
        <w:tc>
          <w:tcPr>
            <w:tcW w:w="20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r>
      <w:tr>
        <w:trPr>
          <w:trHeight w:val="34"/>
        </w:trPr>
        <w:tc>
          <w:tcPr>
            <w:tcW w:w="100" w:type="dxa"/>
            <w:vAlign w:val="bottom"/>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left w:val="single" w:sz="8" w:color="CCEEFF"/>
              <w:right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20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1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r>
      <w:tr>
        <w:trPr>
          <w:trHeight w:val="175"/>
        </w:trPr>
        <w:tc>
          <w:tcPr>
            <w:tcW w:w="180" w:type="dxa"/>
            <w:vAlign w:val="bottom"/>
            <w:gridSpan w:val="2"/>
          </w:tcPr>
          <w:p>
            <w:pPr>
              <w:spacing w:after="0"/>
              <w:rPr>
                <w:rFonts w:ascii="Arial" w:cs="Arial" w:eastAsia="Arial" w:hAnsi="Arial"/>
                <w:sz w:val="14"/>
                <w:szCs w:val="14"/>
                <w:color w:val="0000FF"/>
                <w:w w:val="71"/>
              </w:rPr>
            </w:pPr>
            <w:hyperlink r:id="rId54">
              <w:r>
                <w:rPr>
                  <w:rFonts w:ascii="Arial" w:cs="Arial" w:eastAsia="Arial" w:hAnsi="Arial"/>
                  <w:sz w:val="14"/>
                  <w:szCs w:val="14"/>
                  <w:color w:val="0000FF"/>
                  <w:w w:val="71"/>
                </w:rPr>
                <w:t>4.</w:t>
              </w:r>
              <w:r>
                <w:rPr>
                  <w:rFonts w:ascii="Arial" w:cs="Arial" w:eastAsia="Arial" w:hAnsi="Arial"/>
                  <w:sz w:val="14"/>
                  <w:szCs w:val="14"/>
                  <w:u w:val="single" w:color="auto"/>
                  <w:color w:val="0000FF"/>
                  <w:w w:val="71"/>
                </w:rPr>
                <w:t>4</w:t>
              </w:r>
            </w:hyperlink>
          </w:p>
        </w:tc>
        <w:tc>
          <w:tcPr>
            <w:tcW w:w="360" w:type="dxa"/>
            <w:vAlign w:val="bottom"/>
          </w:tcPr>
          <w:p>
            <w:pPr>
              <w:spacing w:after="0"/>
              <w:rPr>
                <w:sz w:val="15"/>
                <w:szCs w:val="15"/>
                <w:color w:val="auto"/>
              </w:rPr>
            </w:pPr>
          </w:p>
        </w:tc>
        <w:tc>
          <w:tcPr>
            <w:tcW w:w="9860" w:type="dxa"/>
            <w:vAlign w:val="bottom"/>
            <w:gridSpan w:val="17"/>
          </w:tcPr>
          <w:p>
            <w:pPr>
              <w:spacing w:after="0" w:line="175" w:lineRule="exact"/>
              <w:rPr>
                <w:rFonts w:ascii="Arial" w:cs="Arial" w:eastAsia="Arial" w:hAnsi="Arial"/>
                <w:sz w:val="16"/>
                <w:szCs w:val="16"/>
                <w:color w:val="0000FF"/>
              </w:rPr>
            </w:pPr>
            <w:hyperlink r:id="rId54">
              <w:r>
                <w:rPr>
                  <w:rFonts w:ascii="Arial" w:cs="Arial" w:eastAsia="Arial" w:hAnsi="Arial"/>
                  <w:sz w:val="16"/>
                  <w:szCs w:val="16"/>
                  <w:color w:val="0000FF"/>
                </w:rPr>
                <w:t>Form of 6.250% Senior Secured Note due 2028 (included in Exhibit 4.3)</w:t>
              </w:r>
            </w:hyperlink>
          </w:p>
        </w:tc>
      </w:tr>
      <w:tr>
        <w:trPr>
          <w:trHeight w:val="20"/>
        </w:trPr>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58"/>
        </w:trPr>
        <w:tc>
          <w:tcPr>
            <w:tcW w:w="180" w:type="dxa"/>
            <w:vAlign w:val="bottom"/>
            <w:tcBorders>
              <w:bottom w:val="single" w:sz="8" w:color="0000FF"/>
            </w:tcBorders>
            <w:gridSpan w:val="2"/>
          </w:tcPr>
          <w:p>
            <w:pPr>
              <w:spacing w:after="0"/>
              <w:rPr>
                <w:rFonts w:ascii="Arial" w:cs="Arial" w:eastAsia="Arial" w:hAnsi="Arial"/>
                <w:sz w:val="14"/>
                <w:szCs w:val="14"/>
                <w:color w:val="0000FF"/>
                <w:w w:val="71"/>
              </w:rPr>
            </w:pPr>
            <w:hyperlink r:id="rId55">
              <w:r>
                <w:rPr>
                  <w:rFonts w:ascii="Arial" w:cs="Arial" w:eastAsia="Arial" w:hAnsi="Arial"/>
                  <w:sz w:val="14"/>
                  <w:szCs w:val="14"/>
                  <w:color w:val="0000FF"/>
                  <w:w w:val="71"/>
                </w:rPr>
                <w:t>0.</w:t>
              </w:r>
              <w:r>
                <w:rPr>
                  <w:rFonts w:ascii="Arial" w:cs="Arial" w:eastAsia="Arial" w:hAnsi="Arial"/>
                  <w:sz w:val="14"/>
                  <w:szCs w:val="14"/>
                  <w:u w:val="single" w:color="auto"/>
                  <w:color w:val="0000FF"/>
                  <w:w w:val="71"/>
                </w:rPr>
                <w:t>1</w:t>
              </w:r>
            </w:hyperlink>
          </w:p>
        </w:tc>
        <w:tc>
          <w:tcPr>
            <w:tcW w:w="360" w:type="dxa"/>
            <w:vAlign w:val="bottom"/>
          </w:tcPr>
          <w:p>
            <w:pPr>
              <w:spacing w:after="0"/>
              <w:rPr>
                <w:sz w:val="24"/>
                <w:szCs w:val="24"/>
                <w:color w:val="auto"/>
              </w:rPr>
            </w:pPr>
          </w:p>
        </w:tc>
        <w:tc>
          <w:tcPr>
            <w:tcW w:w="9520" w:type="dxa"/>
            <w:vAlign w:val="bottom"/>
            <w:tcBorders>
              <w:bottom w:val="single" w:sz="8" w:color="0000FF"/>
            </w:tcBorders>
            <w:gridSpan w:val="14"/>
          </w:tcPr>
          <w:p>
            <w:pPr>
              <w:spacing w:after="0"/>
              <w:rPr>
                <w:rFonts w:ascii="Arial" w:cs="Arial" w:eastAsia="Arial" w:hAnsi="Arial"/>
                <w:sz w:val="16"/>
                <w:szCs w:val="16"/>
                <w:color w:val="0000FF"/>
              </w:rPr>
            </w:pPr>
            <w:hyperlink r:id="rId55">
              <w:r>
                <w:rPr>
                  <w:rFonts w:ascii="Arial" w:cs="Arial" w:eastAsia="Arial" w:hAnsi="Arial"/>
                  <w:sz w:val="16"/>
                  <w:szCs w:val="16"/>
                  <w:color w:val="0000FF"/>
                </w:rPr>
                <w:t>Amended and Restated Employment Agreement between Winnebago Industries, Inc. and Michael Happe, dated December 15, 2021</w:t>
              </w:r>
            </w:hyperlink>
          </w:p>
        </w:tc>
        <w:tc>
          <w:tcPr>
            <w:tcW w:w="340" w:type="dxa"/>
            <w:vAlign w:val="bottom"/>
            <w:gridSpan w:val="3"/>
          </w:tcPr>
          <w:p>
            <w:pPr>
              <w:spacing w:after="0"/>
              <w:rPr>
                <w:sz w:val="24"/>
                <w:szCs w:val="24"/>
                <w:color w:val="auto"/>
              </w:rPr>
            </w:pPr>
          </w:p>
        </w:tc>
      </w:tr>
      <w:tr>
        <w:trPr>
          <w:trHeight w:val="155"/>
        </w:trPr>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580" w:type="dxa"/>
            <w:vAlign w:val="bottom"/>
            <w:tcBorders>
              <w:bottom w:val="single" w:sz="8" w:color="0000FF"/>
            </w:tcBorders>
            <w:gridSpan w:val="9"/>
          </w:tcPr>
          <w:p>
            <w:pPr>
              <w:spacing w:after="0" w:line="155" w:lineRule="exact"/>
              <w:rPr>
                <w:rFonts w:ascii="Arial" w:cs="Arial" w:eastAsia="Arial" w:hAnsi="Arial"/>
                <w:sz w:val="16"/>
                <w:szCs w:val="16"/>
                <w:color w:val="0000FF"/>
              </w:rPr>
            </w:pPr>
            <w:hyperlink r:id="rId55">
              <w:r>
                <w:rPr>
                  <w:rFonts w:ascii="Arial" w:cs="Arial" w:eastAsia="Arial" w:hAnsi="Arial"/>
                  <w:sz w:val="16"/>
                  <w:szCs w:val="16"/>
                  <w:color w:val="0000FF"/>
                </w:rPr>
                <w:t>(incorporated by reference from Exhibit 10.1 to the Registrant’s Current Report on Form 8-K dated December 14, 2021).</w:t>
              </w:r>
            </w:hyperlink>
          </w:p>
        </w:tc>
        <w:tc>
          <w:tcPr>
            <w:tcW w:w="780" w:type="dxa"/>
            <w:vAlign w:val="bottom"/>
            <w:gridSpan w:val="7"/>
          </w:tcPr>
          <w:p>
            <w:pPr>
              <w:spacing w:after="0"/>
              <w:rPr>
                <w:sz w:val="13"/>
                <w:szCs w:val="13"/>
                <w:color w:val="auto"/>
              </w:rPr>
            </w:pPr>
          </w:p>
        </w:tc>
      </w:tr>
      <w:tr>
        <w:trPr>
          <w:trHeight w:val="210"/>
        </w:trPr>
        <w:tc>
          <w:tcPr>
            <w:tcW w:w="180" w:type="dxa"/>
            <w:vAlign w:val="bottom"/>
            <w:tcBorders>
              <w:bottom w:val="single" w:sz="8" w:color="0000FF"/>
            </w:tcBorders>
            <w:gridSpan w:val="2"/>
          </w:tcPr>
          <w:p>
            <w:pPr>
              <w:spacing w:after="0"/>
              <w:rPr>
                <w:rFonts w:ascii="Arial" w:cs="Arial" w:eastAsia="Arial" w:hAnsi="Arial"/>
                <w:sz w:val="14"/>
                <w:szCs w:val="14"/>
                <w:color w:val="0000FF"/>
                <w:w w:val="71"/>
              </w:rPr>
            </w:pPr>
            <w:hyperlink r:id="rId56">
              <w:r>
                <w:rPr>
                  <w:rFonts w:ascii="Arial" w:cs="Arial" w:eastAsia="Arial" w:hAnsi="Arial"/>
                  <w:sz w:val="14"/>
                  <w:szCs w:val="14"/>
                  <w:color w:val="0000FF"/>
                  <w:w w:val="71"/>
                </w:rPr>
                <w:t>0.</w:t>
              </w:r>
              <w:r>
                <w:rPr>
                  <w:rFonts w:ascii="Arial" w:cs="Arial" w:eastAsia="Arial" w:hAnsi="Arial"/>
                  <w:sz w:val="14"/>
                  <w:szCs w:val="14"/>
                  <w:u w:val="single" w:color="auto"/>
                  <w:color w:val="0000FF"/>
                  <w:w w:val="71"/>
                </w:rPr>
                <w:t>2</w:t>
              </w:r>
            </w:hyperlink>
          </w:p>
        </w:tc>
        <w:tc>
          <w:tcPr>
            <w:tcW w:w="360" w:type="dxa"/>
            <w:vAlign w:val="bottom"/>
          </w:tcPr>
          <w:p>
            <w:pPr>
              <w:spacing w:after="0"/>
              <w:rPr>
                <w:sz w:val="18"/>
                <w:szCs w:val="18"/>
                <w:color w:val="auto"/>
              </w:rPr>
            </w:pPr>
          </w:p>
        </w:tc>
        <w:tc>
          <w:tcPr>
            <w:tcW w:w="9220" w:type="dxa"/>
            <w:vAlign w:val="bottom"/>
            <w:tcBorders>
              <w:bottom w:val="single" w:sz="8" w:color="0000FF"/>
            </w:tcBorders>
            <w:gridSpan w:val="11"/>
          </w:tcPr>
          <w:p>
            <w:pPr>
              <w:spacing w:after="0"/>
              <w:rPr>
                <w:rFonts w:ascii="Arial" w:cs="Arial" w:eastAsia="Arial" w:hAnsi="Arial"/>
                <w:sz w:val="16"/>
                <w:szCs w:val="16"/>
                <w:color w:val="0000FF"/>
              </w:rPr>
            </w:pPr>
            <w:hyperlink r:id="rId56">
              <w:r>
                <w:rPr>
                  <w:rFonts w:ascii="Arial" w:cs="Arial" w:eastAsia="Arial" w:hAnsi="Arial"/>
                  <w:sz w:val="16"/>
                  <w:szCs w:val="16"/>
                  <w:color w:val="0000FF"/>
                </w:rPr>
                <w:t>Winnebago Executive Officer Severance Plan and Summary Plan Description (incorporated by reference from Exhibit 10.2 to the</w:t>
              </w:r>
            </w:hyperlink>
          </w:p>
        </w:tc>
        <w:tc>
          <w:tcPr>
            <w:tcW w:w="640" w:type="dxa"/>
            <w:vAlign w:val="bottom"/>
            <w:gridSpan w:val="6"/>
          </w:tcPr>
          <w:p>
            <w:pPr>
              <w:spacing w:after="0"/>
              <w:rPr>
                <w:sz w:val="18"/>
                <w:szCs w:val="18"/>
                <w:color w:val="auto"/>
              </w:rPr>
            </w:pPr>
          </w:p>
        </w:tc>
      </w:tr>
      <w:tr>
        <w:trPr>
          <w:trHeight w:val="155"/>
        </w:trPr>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360" w:type="dxa"/>
            <w:vAlign w:val="bottom"/>
            <w:gridSpan w:val="16"/>
          </w:tcPr>
          <w:p>
            <w:pPr>
              <w:spacing w:after="0" w:line="155" w:lineRule="exact"/>
              <w:rPr>
                <w:rFonts w:ascii="Arial" w:cs="Arial" w:eastAsia="Arial" w:hAnsi="Arial"/>
                <w:sz w:val="16"/>
                <w:szCs w:val="16"/>
                <w:color w:val="0000FF"/>
              </w:rPr>
            </w:pPr>
            <w:hyperlink r:id="rId56">
              <w:r>
                <w:rPr>
                  <w:rFonts w:ascii="Arial" w:cs="Arial" w:eastAsia="Arial" w:hAnsi="Arial"/>
                  <w:sz w:val="16"/>
                  <w:szCs w:val="16"/>
                  <w:color w:val="0000FF"/>
                </w:rPr>
                <w:t>Registrant’s Current Report on Form 8-K dated December 14, 2021).</w:t>
              </w:r>
            </w:hyperlink>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180" w:type="dxa"/>
            <w:vAlign w:val="bottom"/>
            <w:gridSpan w:val="2"/>
          </w:tcPr>
          <w:p>
            <w:pPr>
              <w:spacing w:after="0"/>
              <w:rPr>
                <w:rFonts w:ascii="Arial" w:cs="Arial" w:eastAsia="Arial" w:hAnsi="Arial"/>
                <w:sz w:val="14"/>
                <w:szCs w:val="14"/>
                <w:color w:val="0000FF"/>
                <w:w w:val="71"/>
              </w:rPr>
            </w:pPr>
            <w:hyperlink w:anchor="page38">
              <w:r>
                <w:rPr>
                  <w:rFonts w:ascii="Arial" w:cs="Arial" w:eastAsia="Arial" w:hAnsi="Arial"/>
                  <w:sz w:val="14"/>
                  <w:szCs w:val="14"/>
                  <w:color w:val="0000FF"/>
                  <w:w w:val="71"/>
                </w:rPr>
                <w:t>1.</w:t>
              </w:r>
              <w:r>
                <w:rPr>
                  <w:rFonts w:ascii="Arial" w:cs="Arial" w:eastAsia="Arial" w:hAnsi="Arial"/>
                  <w:sz w:val="14"/>
                  <w:szCs w:val="14"/>
                  <w:u w:val="single" w:color="auto"/>
                  <w:color w:val="0000FF"/>
                  <w:w w:val="71"/>
                </w:rPr>
                <w:t>1</w:t>
              </w:r>
            </w:hyperlink>
          </w:p>
        </w:tc>
        <w:tc>
          <w:tcPr>
            <w:tcW w:w="360" w:type="dxa"/>
            <w:vAlign w:val="bottom"/>
          </w:tcPr>
          <w:p>
            <w:pPr>
              <w:spacing w:after="0"/>
              <w:rPr>
                <w:sz w:val="18"/>
                <w:szCs w:val="18"/>
                <w:color w:val="auto"/>
              </w:rPr>
            </w:pPr>
          </w:p>
        </w:tc>
        <w:tc>
          <w:tcPr>
            <w:tcW w:w="9860" w:type="dxa"/>
            <w:vAlign w:val="bottom"/>
            <w:gridSpan w:val="17"/>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Certification by the Chief Executive Officer pursuant to Section 302 of the Sarbanes-Oxley Act of 2002 (filed herewith)</w:t>
              </w:r>
            </w:hyperlink>
            <w:r>
              <w:rPr>
                <w:rFonts w:ascii="Arial" w:cs="Arial" w:eastAsia="Arial" w:hAnsi="Arial"/>
                <w:sz w:val="16"/>
                <w:szCs w:val="16"/>
                <w:color w:val="000000"/>
              </w:rPr>
              <w:t>.</w:t>
            </w:r>
          </w:p>
        </w:tc>
      </w:tr>
      <w:tr>
        <w:trPr>
          <w:trHeight w:val="358"/>
        </w:trPr>
        <w:tc>
          <w:tcPr>
            <w:tcW w:w="180" w:type="dxa"/>
            <w:vAlign w:val="bottom"/>
            <w:tcBorders>
              <w:top w:val="single" w:sz="8" w:color="0000FF"/>
              <w:bottom w:val="single" w:sz="8" w:color="0000FF"/>
            </w:tcBorders>
            <w:gridSpan w:val="2"/>
          </w:tcPr>
          <w:p>
            <w:pPr>
              <w:spacing w:after="0"/>
              <w:rPr>
                <w:rFonts w:ascii="Arial" w:cs="Arial" w:eastAsia="Arial" w:hAnsi="Arial"/>
                <w:sz w:val="14"/>
                <w:szCs w:val="14"/>
                <w:color w:val="0000FF"/>
                <w:w w:val="71"/>
              </w:rPr>
            </w:pPr>
            <w:hyperlink w:anchor="page39">
              <w:r>
                <w:rPr>
                  <w:rFonts w:ascii="Arial" w:cs="Arial" w:eastAsia="Arial" w:hAnsi="Arial"/>
                  <w:sz w:val="14"/>
                  <w:szCs w:val="14"/>
                  <w:color w:val="0000FF"/>
                  <w:w w:val="71"/>
                </w:rPr>
                <w:t>1.</w:t>
              </w:r>
              <w:r>
                <w:rPr>
                  <w:rFonts w:ascii="Arial" w:cs="Arial" w:eastAsia="Arial" w:hAnsi="Arial"/>
                  <w:sz w:val="14"/>
                  <w:szCs w:val="14"/>
                  <w:u w:val="single" w:color="auto"/>
                  <w:color w:val="0000FF"/>
                  <w:w w:val="71"/>
                </w:rPr>
                <w:t>2</w:t>
              </w:r>
            </w:hyperlink>
          </w:p>
        </w:tc>
        <w:tc>
          <w:tcPr>
            <w:tcW w:w="360" w:type="dxa"/>
            <w:vAlign w:val="bottom"/>
          </w:tcPr>
          <w:p>
            <w:pPr>
              <w:spacing w:after="0"/>
              <w:rPr>
                <w:sz w:val="24"/>
                <w:szCs w:val="24"/>
                <w:color w:val="auto"/>
              </w:rPr>
            </w:pPr>
          </w:p>
        </w:tc>
        <w:tc>
          <w:tcPr>
            <w:tcW w:w="8420" w:type="dxa"/>
            <w:vAlign w:val="bottom"/>
            <w:tcBorders>
              <w:top w:val="single" w:sz="8" w:color="0000FF"/>
              <w:bottom w:val="single" w:sz="8" w:color="0000FF"/>
            </w:tcBorders>
            <w:gridSpan w:val="9"/>
          </w:tcPr>
          <w:p>
            <w:pPr>
              <w:spacing w:after="0"/>
              <w:rPr>
                <w:rFonts w:ascii="Arial" w:cs="Arial" w:eastAsia="Arial" w:hAnsi="Arial"/>
                <w:sz w:val="16"/>
                <w:szCs w:val="16"/>
                <w:color w:val="0000FF"/>
              </w:rPr>
            </w:pPr>
            <w:hyperlink w:anchor="page39">
              <w:r>
                <w:rPr>
                  <w:rFonts w:ascii="Arial" w:cs="Arial" w:eastAsia="Arial" w:hAnsi="Arial"/>
                  <w:sz w:val="16"/>
                  <w:szCs w:val="16"/>
                  <w:color w:val="0000FF"/>
                </w:rPr>
                <w:t>Certification by the Chief Financial Officer pursuant to Section 302 of the Sarbanes-Oxley Act of 2002 (filed herewith).</w:t>
              </w:r>
            </w:hyperlink>
          </w:p>
        </w:tc>
        <w:tc>
          <w:tcPr>
            <w:tcW w:w="1440" w:type="dxa"/>
            <w:vAlign w:val="bottom"/>
            <w:gridSpan w:val="8"/>
          </w:tcPr>
          <w:p>
            <w:pPr>
              <w:spacing w:after="0"/>
              <w:rPr>
                <w:sz w:val="24"/>
                <w:szCs w:val="24"/>
                <w:color w:val="auto"/>
              </w:rPr>
            </w:pPr>
          </w:p>
        </w:tc>
      </w:tr>
      <w:tr>
        <w:trPr>
          <w:trHeight w:val="358"/>
        </w:trPr>
        <w:tc>
          <w:tcPr>
            <w:tcW w:w="540" w:type="dxa"/>
            <w:vAlign w:val="bottom"/>
            <w:gridSpan w:val="3"/>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2.</w:t>
              </w:r>
              <w:r>
                <w:rPr>
                  <w:rFonts w:ascii="Arial" w:cs="Arial" w:eastAsia="Arial" w:hAnsi="Arial"/>
                  <w:sz w:val="16"/>
                  <w:szCs w:val="16"/>
                  <w:u w:val="single" w:color="auto"/>
                  <w:color w:val="0000FF"/>
                </w:rPr>
                <w:t>1</w:t>
              </w:r>
            </w:hyperlink>
          </w:p>
        </w:tc>
        <w:tc>
          <w:tcPr>
            <w:tcW w:w="9860" w:type="dxa"/>
            <w:vAlign w:val="bottom"/>
            <w:gridSpan w:val="17"/>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Certification by the Chief Executive Officer pursuant to 18 U.S.C. Section 1350, as adopted pursuant to Section 906 of the Sarbanes-</w:t>
              </w:r>
            </w:hyperlink>
          </w:p>
        </w:tc>
      </w:tr>
      <w:tr>
        <w:trPr>
          <w:trHeight w:val="142"/>
        </w:trPr>
        <w:tc>
          <w:tcPr>
            <w:tcW w:w="1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280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rPr>
            </w:pPr>
            <w:hyperlink w:anchor="page40">
              <w:r>
                <w:rPr>
                  <w:rFonts w:ascii="Arial" w:cs="Arial" w:eastAsia="Arial" w:hAnsi="Arial"/>
                  <w:sz w:val="16"/>
                  <w:szCs w:val="16"/>
                  <w:color w:val="0000FF"/>
                </w:rPr>
                <w:t>Oxley Act of 2002 (furnished herewith).</w:t>
              </w:r>
            </w:hyperlink>
          </w:p>
        </w:tc>
        <w:tc>
          <w:tcPr>
            <w:tcW w:w="6260" w:type="dxa"/>
            <w:vAlign w:val="bottom"/>
            <w:tcBorders>
              <w:top w:val="single" w:sz="8" w:color="0000FF"/>
            </w:tcBorders>
            <w:gridSpan w:val="11"/>
          </w:tcPr>
          <w:p>
            <w:pPr>
              <w:spacing w:after="0"/>
              <w:rPr>
                <w:sz w:val="12"/>
                <w:szCs w:val="12"/>
                <w:color w:val="auto"/>
              </w:rPr>
            </w:pPr>
          </w:p>
        </w:tc>
        <w:tc>
          <w:tcPr>
            <w:tcW w:w="300" w:type="dxa"/>
            <w:vAlign w:val="bottom"/>
            <w:gridSpan w:val="2"/>
          </w:tcPr>
          <w:p>
            <w:pPr>
              <w:spacing w:after="0"/>
              <w:rPr>
                <w:sz w:val="12"/>
                <w:szCs w:val="12"/>
                <w:color w:val="auto"/>
              </w:rPr>
            </w:pPr>
          </w:p>
        </w:tc>
      </w:tr>
      <w:tr>
        <w:trPr>
          <w:trHeight w:val="196"/>
        </w:trPr>
        <w:tc>
          <w:tcPr>
            <w:tcW w:w="540" w:type="dxa"/>
            <w:vAlign w:val="bottom"/>
            <w:gridSpan w:val="3"/>
          </w:tcPr>
          <w:p>
            <w:pPr>
              <w:spacing w:after="0"/>
              <w:rPr>
                <w:rFonts w:ascii="Arial" w:cs="Arial" w:eastAsia="Arial" w:hAnsi="Arial"/>
                <w:sz w:val="16"/>
                <w:szCs w:val="16"/>
                <w:color w:val="0000FF"/>
              </w:rPr>
            </w:pPr>
            <w:hyperlink w:anchor="page41">
              <w:r>
                <w:rPr>
                  <w:rFonts w:ascii="Arial" w:cs="Arial" w:eastAsia="Arial" w:hAnsi="Arial"/>
                  <w:sz w:val="16"/>
                  <w:szCs w:val="16"/>
                  <w:color w:val="0000FF"/>
                </w:rPr>
                <w:t>2.</w:t>
              </w:r>
              <w:r>
                <w:rPr>
                  <w:rFonts w:ascii="Arial" w:cs="Arial" w:eastAsia="Arial" w:hAnsi="Arial"/>
                  <w:sz w:val="16"/>
                  <w:szCs w:val="16"/>
                  <w:u w:val="single" w:color="auto"/>
                  <w:color w:val="0000FF"/>
                </w:rPr>
                <w:t>2</w:t>
              </w:r>
            </w:hyperlink>
          </w:p>
        </w:tc>
        <w:tc>
          <w:tcPr>
            <w:tcW w:w="9860" w:type="dxa"/>
            <w:vAlign w:val="bottom"/>
            <w:gridSpan w:val="17"/>
          </w:tcPr>
          <w:p>
            <w:pPr>
              <w:spacing w:after="0"/>
              <w:rPr>
                <w:rFonts w:ascii="Arial" w:cs="Arial" w:eastAsia="Arial" w:hAnsi="Arial"/>
                <w:sz w:val="16"/>
                <w:szCs w:val="16"/>
                <w:color w:val="0000FF"/>
              </w:rPr>
            </w:pPr>
            <w:hyperlink w:anchor="page41">
              <w:r>
                <w:rPr>
                  <w:rFonts w:ascii="Arial" w:cs="Arial" w:eastAsia="Arial" w:hAnsi="Arial"/>
                  <w:sz w:val="16"/>
                  <w:szCs w:val="16"/>
                  <w:color w:val="0000FF"/>
                </w:rPr>
                <w:t>Certification by the Chief Financial Officer pursuant to 18 U.S.C. Section 1350, as adopted pursuant to Section 906 of the Sarbanes-</w:t>
              </w:r>
            </w:hyperlink>
          </w:p>
        </w:tc>
      </w:tr>
      <w:tr>
        <w:trPr>
          <w:trHeight w:val="142"/>
        </w:trPr>
        <w:tc>
          <w:tcPr>
            <w:tcW w:w="1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896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w:anchor="page41">
              <w:r>
                <w:rPr>
                  <w:rFonts w:ascii="Arial" w:cs="Arial" w:eastAsia="Arial" w:hAnsi="Arial"/>
                  <w:sz w:val="16"/>
                  <w:szCs w:val="16"/>
                  <w:color w:val="0000FF"/>
                </w:rPr>
                <w:t>Oxley Act of 2002 (furnished herewith).</w:t>
              </w:r>
            </w:hyperlink>
          </w:p>
        </w:tc>
        <w:tc>
          <w:tcPr>
            <w:tcW w:w="400" w:type="dxa"/>
            <w:vAlign w:val="bottom"/>
            <w:gridSpan w:val="4"/>
          </w:tcPr>
          <w:p>
            <w:pPr>
              <w:spacing w:after="0"/>
              <w:rPr>
                <w:sz w:val="12"/>
                <w:szCs w:val="12"/>
                <w:color w:val="auto"/>
              </w:rPr>
            </w:pPr>
          </w:p>
        </w:tc>
      </w:tr>
      <w:tr>
        <w:trPr>
          <w:trHeight w:val="21"/>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77"/>
        </w:trPr>
        <w:tc>
          <w:tcPr>
            <w:tcW w:w="100" w:type="dxa"/>
            <w:vAlign w:val="bottom"/>
          </w:tcPr>
          <w:p>
            <w:pPr>
              <w:spacing w:after="0"/>
              <w:rPr>
                <w:sz w:val="20"/>
                <w:szCs w:val="20"/>
                <w:color w:val="auto"/>
              </w:rPr>
            </w:pPr>
            <w:r>
              <w:rPr>
                <w:rFonts w:ascii="Arial" w:cs="Arial" w:eastAsia="Arial" w:hAnsi="Arial"/>
                <w:sz w:val="13"/>
                <w:szCs w:val="13"/>
                <w:color w:val="auto"/>
                <w:w w:val="73"/>
              </w:rPr>
              <w:t>1.</w:t>
            </w:r>
          </w:p>
        </w:tc>
        <w:tc>
          <w:tcPr>
            <w:tcW w:w="440" w:type="dxa"/>
            <w:vAlign w:val="bottom"/>
            <w:tcBorders>
              <w:right w:val="single" w:sz="8" w:color="CCEEFF"/>
            </w:tcBorders>
            <w:gridSpan w:val="2"/>
            <w:shd w:val="clear" w:color="auto" w:fill="CCEEFF"/>
          </w:tcPr>
          <w:p>
            <w:pPr>
              <w:spacing w:after="0" w:line="178" w:lineRule="exact"/>
              <w:rPr>
                <w:sz w:val="20"/>
                <w:szCs w:val="20"/>
                <w:color w:val="auto"/>
              </w:rPr>
            </w:pPr>
            <w:r>
              <w:rPr>
                <w:rFonts w:ascii="Arial" w:cs="Arial" w:eastAsia="Arial" w:hAnsi="Arial"/>
                <w:sz w:val="16"/>
                <w:szCs w:val="16"/>
                <w:color w:val="auto"/>
              </w:rPr>
              <w:t>INS</w:t>
            </w:r>
          </w:p>
        </w:tc>
        <w:tc>
          <w:tcPr>
            <w:tcW w:w="9860" w:type="dxa"/>
            <w:vAlign w:val="bottom"/>
            <w:gridSpan w:val="17"/>
            <w:shd w:val="clear" w:color="auto" w:fill="CCEEFF"/>
          </w:tcPr>
          <w:p>
            <w:pPr>
              <w:spacing w:after="0" w:line="178" w:lineRule="exact"/>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w:t>
            </w:r>
          </w:p>
        </w:tc>
      </w:tr>
      <w:tr>
        <w:trPr>
          <w:trHeight w:val="201"/>
        </w:trPr>
        <w:tc>
          <w:tcPr>
            <w:tcW w:w="100" w:type="dxa"/>
            <w:vAlign w:val="bottom"/>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tcBorders>
              <w:left w:val="single" w:sz="8" w:color="CCEEFF"/>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360" w:type="dxa"/>
            <w:vAlign w:val="bottom"/>
            <w:gridSpan w:val="16"/>
            <w:shd w:val="clear" w:color="auto" w:fill="CCEEFF"/>
          </w:tcPr>
          <w:p>
            <w:pPr>
              <w:spacing w:after="0"/>
              <w:rPr>
                <w:sz w:val="20"/>
                <w:szCs w:val="20"/>
                <w:color w:val="auto"/>
              </w:rPr>
            </w:pPr>
            <w:r>
              <w:rPr>
                <w:rFonts w:ascii="Arial" w:cs="Arial" w:eastAsia="Arial" w:hAnsi="Arial"/>
                <w:sz w:val="16"/>
                <w:szCs w:val="16"/>
                <w:color w:val="auto"/>
              </w:rPr>
              <w:t>within the Inline XBRL document (furnished herewith).</w:t>
            </w:r>
          </w:p>
        </w:tc>
      </w:tr>
      <w:tr>
        <w:trPr>
          <w:trHeight w:val="213"/>
        </w:trPr>
        <w:tc>
          <w:tcPr>
            <w:tcW w:w="540" w:type="dxa"/>
            <w:vAlign w:val="bottom"/>
            <w:gridSpan w:val="3"/>
          </w:tcPr>
          <w:p>
            <w:pPr>
              <w:ind w:left="20"/>
              <w:spacing w:after="0"/>
              <w:rPr>
                <w:sz w:val="20"/>
                <w:szCs w:val="20"/>
                <w:color w:val="auto"/>
              </w:rPr>
            </w:pPr>
            <w:r>
              <w:rPr>
                <w:rFonts w:ascii="Arial" w:cs="Arial" w:eastAsia="Arial" w:hAnsi="Arial"/>
                <w:sz w:val="16"/>
                <w:szCs w:val="16"/>
                <w:color w:val="auto"/>
              </w:rPr>
              <w:t>.SCH</w:t>
            </w:r>
          </w:p>
        </w:tc>
        <w:tc>
          <w:tcPr>
            <w:tcW w:w="9860" w:type="dxa"/>
            <w:vAlign w:val="bottom"/>
            <w:gridSpan w:val="17"/>
          </w:tcPr>
          <w:p>
            <w:pPr>
              <w:spacing w:after="0"/>
              <w:rPr>
                <w:sz w:val="20"/>
                <w:szCs w:val="20"/>
                <w:color w:val="auto"/>
              </w:rPr>
            </w:pPr>
            <w:r>
              <w:rPr>
                <w:rFonts w:ascii="Arial" w:cs="Arial" w:eastAsia="Arial" w:hAnsi="Arial"/>
                <w:sz w:val="16"/>
                <w:szCs w:val="16"/>
                <w:color w:val="auto"/>
              </w:rPr>
              <w:t>Inline XBRL Taxonomy Extension Schema Document (furnished herewith).</w:t>
            </w:r>
          </w:p>
        </w:tc>
      </w:tr>
      <w:tr>
        <w:trPr>
          <w:trHeight w:val="219"/>
        </w:trPr>
        <w:tc>
          <w:tcPr>
            <w:tcW w:w="100" w:type="dxa"/>
            <w:vAlign w:val="bottom"/>
          </w:tcPr>
          <w:p>
            <w:pPr>
              <w:spacing w:after="0"/>
              <w:rPr>
                <w:sz w:val="19"/>
                <w:szCs w:val="19"/>
                <w:color w:val="auto"/>
              </w:rPr>
            </w:pPr>
          </w:p>
        </w:tc>
        <w:tc>
          <w:tcPr>
            <w:tcW w:w="4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.CAL</w:t>
            </w:r>
          </w:p>
        </w:tc>
        <w:tc>
          <w:tcPr>
            <w:tcW w:w="9860" w:type="dxa"/>
            <w:vAlign w:val="bottom"/>
            <w:gridSpan w:val="17"/>
            <w:shd w:val="clear" w:color="auto" w:fill="CCEEFF"/>
          </w:tcPr>
          <w:p>
            <w:pPr>
              <w:spacing w:after="0"/>
              <w:rPr>
                <w:sz w:val="20"/>
                <w:szCs w:val="20"/>
                <w:color w:val="auto"/>
              </w:rPr>
            </w:pPr>
            <w:r>
              <w:rPr>
                <w:rFonts w:ascii="Arial" w:cs="Arial" w:eastAsia="Arial" w:hAnsi="Arial"/>
                <w:sz w:val="16"/>
                <w:szCs w:val="16"/>
                <w:color w:val="auto"/>
              </w:rPr>
              <w:t>Inline XBRL Taxonomy Calculation Linkbase Document (furnished herewith).</w:t>
            </w:r>
          </w:p>
        </w:tc>
      </w:tr>
      <w:tr>
        <w:trPr>
          <w:trHeight w:val="213"/>
        </w:trPr>
        <w:tc>
          <w:tcPr>
            <w:tcW w:w="540" w:type="dxa"/>
            <w:vAlign w:val="bottom"/>
            <w:gridSpan w:val="3"/>
          </w:tcPr>
          <w:p>
            <w:pPr>
              <w:ind w:left="20"/>
              <w:spacing w:after="0"/>
              <w:rPr>
                <w:sz w:val="20"/>
                <w:szCs w:val="20"/>
                <w:color w:val="auto"/>
              </w:rPr>
            </w:pPr>
            <w:r>
              <w:rPr>
                <w:rFonts w:ascii="Arial" w:cs="Arial" w:eastAsia="Arial" w:hAnsi="Arial"/>
                <w:sz w:val="16"/>
                <w:szCs w:val="16"/>
                <w:color w:val="auto"/>
              </w:rPr>
              <w:t>.DEF</w:t>
            </w:r>
          </w:p>
        </w:tc>
        <w:tc>
          <w:tcPr>
            <w:tcW w:w="9860" w:type="dxa"/>
            <w:vAlign w:val="bottom"/>
            <w:gridSpan w:val="17"/>
          </w:tcPr>
          <w:p>
            <w:pPr>
              <w:spacing w:after="0"/>
              <w:rPr>
                <w:sz w:val="20"/>
                <w:szCs w:val="20"/>
                <w:color w:val="auto"/>
              </w:rPr>
            </w:pPr>
            <w:r>
              <w:rPr>
                <w:rFonts w:ascii="Arial" w:cs="Arial" w:eastAsia="Arial" w:hAnsi="Arial"/>
                <w:sz w:val="16"/>
                <w:szCs w:val="16"/>
                <w:color w:val="auto"/>
              </w:rPr>
              <w:t>Inline XBRL Taxonomy Extension Definition Linkbase Document (furnished herewith).</w:t>
            </w:r>
          </w:p>
        </w:tc>
      </w:tr>
      <w:tr>
        <w:trPr>
          <w:trHeight w:val="219"/>
        </w:trPr>
        <w:tc>
          <w:tcPr>
            <w:tcW w:w="100" w:type="dxa"/>
            <w:vAlign w:val="bottom"/>
          </w:tcPr>
          <w:p>
            <w:pPr>
              <w:spacing w:after="0"/>
              <w:rPr>
                <w:sz w:val="19"/>
                <w:szCs w:val="19"/>
                <w:color w:val="auto"/>
              </w:rPr>
            </w:pPr>
          </w:p>
        </w:tc>
        <w:tc>
          <w:tcPr>
            <w:tcW w:w="4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.LAB</w:t>
            </w:r>
          </w:p>
        </w:tc>
        <w:tc>
          <w:tcPr>
            <w:tcW w:w="9860" w:type="dxa"/>
            <w:vAlign w:val="bottom"/>
            <w:gridSpan w:val="17"/>
            <w:shd w:val="clear" w:color="auto" w:fill="CCEEFF"/>
          </w:tcPr>
          <w:p>
            <w:pPr>
              <w:spacing w:after="0"/>
              <w:rPr>
                <w:sz w:val="20"/>
                <w:szCs w:val="20"/>
                <w:color w:val="auto"/>
              </w:rPr>
            </w:pPr>
            <w:r>
              <w:rPr>
                <w:rFonts w:ascii="Arial" w:cs="Arial" w:eastAsia="Arial" w:hAnsi="Arial"/>
                <w:sz w:val="16"/>
                <w:szCs w:val="16"/>
                <w:color w:val="auto"/>
              </w:rPr>
              <w:t>Inline XBRL Taxonomy Label Linkbase Document (furnished herewith).</w:t>
            </w:r>
          </w:p>
        </w:tc>
      </w:tr>
      <w:tr>
        <w:trPr>
          <w:trHeight w:val="210"/>
        </w:trPr>
        <w:tc>
          <w:tcPr>
            <w:tcW w:w="540" w:type="dxa"/>
            <w:vAlign w:val="bottom"/>
            <w:gridSpan w:val="3"/>
          </w:tcPr>
          <w:p>
            <w:pPr>
              <w:ind w:left="20"/>
              <w:spacing w:after="0"/>
              <w:rPr>
                <w:sz w:val="20"/>
                <w:szCs w:val="20"/>
                <w:color w:val="auto"/>
              </w:rPr>
            </w:pPr>
            <w:r>
              <w:rPr>
                <w:rFonts w:ascii="Arial" w:cs="Arial" w:eastAsia="Arial" w:hAnsi="Arial"/>
                <w:sz w:val="16"/>
                <w:szCs w:val="16"/>
                <w:color w:val="auto"/>
              </w:rPr>
              <w:t>.PRE</w:t>
            </w:r>
          </w:p>
        </w:tc>
        <w:tc>
          <w:tcPr>
            <w:tcW w:w="9860" w:type="dxa"/>
            <w:vAlign w:val="bottom"/>
            <w:gridSpan w:val="17"/>
          </w:tcPr>
          <w:p>
            <w:pPr>
              <w:spacing w:after="0"/>
              <w:rPr>
                <w:sz w:val="20"/>
                <w:szCs w:val="20"/>
                <w:color w:val="auto"/>
              </w:rPr>
            </w:pPr>
            <w:r>
              <w:rPr>
                <w:rFonts w:ascii="Arial" w:cs="Arial" w:eastAsia="Arial" w:hAnsi="Arial"/>
                <w:sz w:val="16"/>
                <w:szCs w:val="16"/>
                <w:color w:val="auto"/>
              </w:rPr>
              <w:t>Inline XBRL Taxonomy Presentation Linkbase Document (furnished herewith).</w:t>
            </w:r>
          </w:p>
        </w:tc>
      </w:tr>
      <w:tr>
        <w:trPr>
          <w:trHeight w:val="216"/>
        </w:trPr>
        <w:tc>
          <w:tcPr>
            <w:tcW w:w="180" w:type="dxa"/>
            <w:vAlign w:val="bottom"/>
            <w:gridSpan w:val="2"/>
          </w:tcPr>
          <w:p>
            <w:pPr>
              <w:ind w:left="20"/>
              <w:spacing w:after="0"/>
              <w:rPr>
                <w:sz w:val="20"/>
                <w:szCs w:val="20"/>
                <w:color w:val="auto"/>
              </w:rPr>
            </w:pPr>
            <w:r>
              <w:rPr>
                <w:rFonts w:ascii="Arial" w:cs="Arial" w:eastAsia="Arial" w:hAnsi="Arial"/>
                <w:sz w:val="15"/>
                <w:szCs w:val="15"/>
                <w:color w:val="auto"/>
                <w:w w:val="71"/>
              </w:rPr>
              <w:t>04</w:t>
            </w:r>
          </w:p>
        </w:tc>
        <w:tc>
          <w:tcPr>
            <w:tcW w:w="360" w:type="dxa"/>
            <w:vAlign w:val="bottom"/>
          </w:tcPr>
          <w:p>
            <w:pPr>
              <w:spacing w:after="0"/>
              <w:rPr>
                <w:sz w:val="18"/>
                <w:szCs w:val="18"/>
                <w:color w:val="auto"/>
              </w:rPr>
            </w:pPr>
          </w:p>
        </w:tc>
        <w:tc>
          <w:tcPr>
            <w:tcW w:w="9860" w:type="dxa"/>
            <w:vAlign w:val="bottom"/>
            <w:gridSpan w:val="17"/>
          </w:tcPr>
          <w:p>
            <w:pPr>
              <w:spacing w:after="0"/>
              <w:rPr>
                <w:sz w:val="20"/>
                <w:szCs w:val="20"/>
                <w:color w:val="auto"/>
              </w:rPr>
            </w:pPr>
            <w:r>
              <w:rPr>
                <w:rFonts w:ascii="Arial" w:cs="Arial" w:eastAsia="Arial" w:hAnsi="Arial"/>
                <w:sz w:val="16"/>
                <w:szCs w:val="16"/>
                <w:color w:val="auto"/>
              </w:rPr>
              <w:t>Cover Page Interactive Data File (formatted in Inline XBRL and contained in Exhibit 101) (furnished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-2533015</wp:posOffset>
            </wp:positionV>
            <wp:extent cx="6532245" cy="2571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6532245" cy="25717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-2018665</wp:posOffset>
            </wp:positionV>
            <wp:extent cx="6532245" cy="2400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6532245" cy="24003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-1538605</wp:posOffset>
            </wp:positionV>
            <wp:extent cx="6532245" cy="2400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6532245" cy="24003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-132715</wp:posOffset>
            </wp:positionV>
            <wp:extent cx="6532245" cy="2400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653224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57785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220" w:top="141" w:right="1279" w:bottom="1440" w:gutter="0" w:footer="0" w:header="0"/>
        </w:sectPr>
      </w:pPr>
    </w:p>
    <w:bookmarkStart w:id="36" w:name="page37"/>
    <w:bookmarkEnd w:id="3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99"/>
        <w:spacing w:after="0"/>
        <w:rPr>
          <w:sz w:val="20"/>
          <w:szCs w:val="20"/>
          <w:color w:val="auto"/>
        </w:rPr>
      </w:pPr>
      <w:r>
        <w:rPr>
          <w:rFonts w:ascii="Arial" w:cs="Arial" w:eastAsia="Arial" w:hAnsi="Arial"/>
          <w:sz w:val="16"/>
          <w:szCs w:val="16"/>
          <w:b w:val="1"/>
          <w:bCs w:val="1"/>
          <w:color w:val="auto"/>
        </w:rPr>
        <w:t>SIGNATURES</w:t>
      </w:r>
    </w:p>
    <w:p>
      <w:pPr>
        <w:spacing w:after="0" w:line="187" w:lineRule="exact"/>
        <w:rPr>
          <w:sz w:val="20"/>
          <w:szCs w:val="20"/>
          <w:color w:val="auto"/>
        </w:rPr>
      </w:pPr>
    </w:p>
    <w:p>
      <w:pPr>
        <w:ind w:right="66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7400" w:type="dxa"/>
            <w:vAlign w:val="bottom"/>
            <w:gridSpan w:val="2"/>
          </w:tcPr>
          <w:p>
            <w:pPr>
              <w:ind w:left="1720"/>
              <w:spacing w:after="0"/>
              <w:rPr>
                <w:sz w:val="20"/>
                <w:szCs w:val="20"/>
                <w:color w:val="auto"/>
              </w:rPr>
            </w:pPr>
            <w:r>
              <w:rPr>
                <w:rFonts w:ascii="Arial" w:cs="Arial" w:eastAsia="Arial" w:hAnsi="Arial"/>
                <w:sz w:val="16"/>
                <w:szCs w:val="16"/>
                <w:color w:val="auto"/>
              </w:rPr>
              <w:t>WINNEBAGO INDUSTRIES, INC.</w:t>
            </w:r>
          </w:p>
        </w:tc>
      </w:tr>
      <w:tr>
        <w:trPr>
          <w:trHeight w:val="435"/>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2980" w:type="dxa"/>
            <w:vAlign w:val="bottom"/>
          </w:tcPr>
          <w:p>
            <w:pPr>
              <w:ind w:left="160"/>
              <w:spacing w:after="0"/>
              <w:rPr>
                <w:sz w:val="20"/>
                <w:szCs w:val="20"/>
                <w:color w:val="auto"/>
              </w:rPr>
            </w:pPr>
            <w:r>
              <w:rPr>
                <w:rFonts w:ascii="Arial" w:cs="Arial" w:eastAsia="Arial" w:hAnsi="Arial"/>
                <w:sz w:val="16"/>
                <w:szCs w:val="16"/>
                <w:color w:val="auto"/>
              </w:rPr>
              <w:t>March 23, 2022</w:t>
            </w:r>
          </w:p>
        </w:tc>
        <w:tc>
          <w:tcPr>
            <w:tcW w:w="7400" w:type="dxa"/>
            <w:vAlign w:val="bottom"/>
            <w:gridSpan w:val="2"/>
          </w:tcPr>
          <w:p>
            <w:pPr>
              <w:ind w:left="172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Michael J. Happe</w:t>
            </w:r>
          </w:p>
        </w:tc>
      </w:tr>
      <w:tr>
        <w:trPr>
          <w:trHeight w:val="260"/>
        </w:trPr>
        <w:tc>
          <w:tcPr>
            <w:tcW w:w="54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52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Michael J. Happe</w:t>
            </w:r>
          </w:p>
        </w:tc>
      </w:tr>
      <w:tr>
        <w:trPr>
          <w:trHeight w:val="270"/>
        </w:trPr>
        <w:tc>
          <w:tcPr>
            <w:tcW w:w="54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Chief Executive Officer, President</w:t>
            </w:r>
          </w:p>
        </w:tc>
      </w:tr>
      <w:tr>
        <w:trPr>
          <w:trHeight w:val="216"/>
        </w:trPr>
        <w:tc>
          <w:tcPr>
            <w:tcW w:w="5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(Principal Executive Officer)</w:t>
            </w:r>
          </w:p>
        </w:tc>
      </w:tr>
      <w:tr>
        <w:trPr>
          <w:trHeight w:val="435"/>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2980" w:type="dxa"/>
            <w:vAlign w:val="bottom"/>
          </w:tcPr>
          <w:p>
            <w:pPr>
              <w:ind w:left="160"/>
              <w:spacing w:after="0"/>
              <w:rPr>
                <w:sz w:val="20"/>
                <w:szCs w:val="20"/>
                <w:color w:val="auto"/>
              </w:rPr>
            </w:pPr>
            <w:r>
              <w:rPr>
                <w:rFonts w:ascii="Arial" w:cs="Arial" w:eastAsia="Arial" w:hAnsi="Arial"/>
                <w:sz w:val="16"/>
                <w:szCs w:val="16"/>
                <w:color w:val="auto"/>
              </w:rPr>
              <w:t>March 23, 2022</w:t>
            </w:r>
          </w:p>
        </w:tc>
        <w:tc>
          <w:tcPr>
            <w:tcW w:w="7400" w:type="dxa"/>
            <w:vAlign w:val="bottom"/>
            <w:gridSpan w:val="2"/>
          </w:tcPr>
          <w:p>
            <w:pPr>
              <w:ind w:left="172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Bryan L. Hughes</w:t>
            </w:r>
          </w:p>
        </w:tc>
      </w:tr>
      <w:tr>
        <w:trPr>
          <w:trHeight w:val="207"/>
        </w:trPr>
        <w:tc>
          <w:tcPr>
            <w:tcW w:w="54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2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Bryan L. Hughes</w:t>
            </w:r>
          </w:p>
        </w:tc>
      </w:tr>
      <w:tr>
        <w:trPr>
          <w:trHeight w:val="216"/>
        </w:trPr>
        <w:tc>
          <w:tcPr>
            <w:tcW w:w="5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Chief Financial Officer and Senior Vice President</w:t>
            </w:r>
          </w:p>
        </w:tc>
      </w:tr>
      <w:tr>
        <w:trPr>
          <w:trHeight w:val="216"/>
        </w:trPr>
        <w:tc>
          <w:tcPr>
            <w:tcW w:w="5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0940"/>
          </w:cols>
          <w:pgMar w:left="320" w:top="141" w:right="639" w:bottom="1440" w:gutter="0" w:footer="0" w:header="0"/>
        </w:sectPr>
      </w:pPr>
    </w:p>
    <w:bookmarkStart w:id="37" w:name="page38"/>
    <w:bookmarkEnd w:id="37"/>
    <w:p>
      <w:pPr>
        <w:jc w:val="right"/>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CERTIFICATION BY CHIEF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302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 Michael J. Happe, Chief Executive Officer of Winnebago Industries, Inc., certify that:</w:t>
      </w:r>
    </w:p>
    <w:p>
      <w:pPr>
        <w:spacing w:after="0" w:line="248"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248" w:lineRule="exact"/>
        <w:rPr>
          <w:rFonts w:ascii="Arial" w:cs="Arial" w:eastAsia="Arial" w:hAnsi="Arial"/>
          <w:sz w:val="16"/>
          <w:szCs w:val="16"/>
          <w:color w:val="auto"/>
        </w:rPr>
      </w:pPr>
    </w:p>
    <w:p>
      <w:pPr>
        <w:jc w:val="both"/>
        <w:ind w:left="340" w:right="440" w:hanging="332"/>
        <w:spacing w:after="0" w:line="253"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6"/>
          <w:szCs w:val="16"/>
          <w:color w:val="auto"/>
        </w:rPr>
      </w:pPr>
    </w:p>
    <w:p>
      <w:pPr>
        <w:ind w:left="340" w:right="20" w:hanging="332"/>
        <w:spacing w:after="0" w:line="260"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2" w:lineRule="exact"/>
        <w:rPr>
          <w:rFonts w:ascii="Arial" w:cs="Arial" w:eastAsia="Arial" w:hAnsi="Arial"/>
          <w:sz w:val="16"/>
          <w:szCs w:val="16"/>
          <w:color w:val="auto"/>
        </w:rPr>
      </w:pPr>
    </w:p>
    <w:p>
      <w:pPr>
        <w:ind w:left="340" w:right="180" w:hanging="332"/>
        <w:spacing w:after="0" w:line="253"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6"/>
          <w:szCs w:val="16"/>
          <w:color w:val="auto"/>
        </w:rPr>
      </w:pPr>
    </w:p>
    <w:p>
      <w:pPr>
        <w:ind w:left="660" w:right="300" w:hanging="328"/>
        <w:spacing w:after="0" w:line="253" w:lineRule="auto"/>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6"/>
          <w:szCs w:val="16"/>
          <w:color w:val="auto"/>
        </w:rPr>
      </w:pPr>
    </w:p>
    <w:p>
      <w:pPr>
        <w:ind w:left="660" w:right="20" w:hanging="328"/>
        <w:spacing w:after="0" w:line="253" w:lineRule="auto"/>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6"/>
          <w:szCs w:val="16"/>
          <w:color w:val="auto"/>
        </w:rPr>
      </w:pPr>
    </w:p>
    <w:p>
      <w:pPr>
        <w:jc w:val="both"/>
        <w:ind w:left="660" w:right="820" w:hanging="328"/>
        <w:spacing w:after="0" w:line="260" w:lineRule="auto"/>
        <w:tabs>
          <w:tab w:leader="none" w:pos="651"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2"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6"/>
          <w:szCs w:val="16"/>
          <w:color w:val="auto"/>
        </w:rPr>
      </w:pPr>
    </w:p>
    <w:p>
      <w:pPr>
        <w:ind w:left="340" w:right="440" w:hanging="332"/>
        <w:spacing w:after="0" w:line="260"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2"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2" w:lineRule="exact"/>
        <w:rPr>
          <w:rFonts w:ascii="Arial" w:cs="Arial" w:eastAsia="Arial" w:hAnsi="Arial"/>
          <w:sz w:val="16"/>
          <w:szCs w:val="16"/>
          <w:color w:val="auto"/>
        </w:rPr>
      </w:pPr>
    </w:p>
    <w:p>
      <w:pPr>
        <w:ind w:left="660" w:right="360" w:hanging="328"/>
        <w:spacing w:after="0" w:line="260" w:lineRule="auto"/>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47" w:lineRule="exact"/>
        <w:rPr>
          <w:sz w:val="20"/>
          <w:szCs w:val="20"/>
          <w:color w:val="auto"/>
        </w:rPr>
      </w:pPr>
    </w:p>
    <w:p>
      <w:pPr>
        <w:ind w:left="680"/>
        <w:spacing w:after="0"/>
        <w:tabs>
          <w:tab w:leader="none" w:pos="1560" w:val="left"/>
          <w:tab w:leader="none" w:pos="64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23, 2022</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20955</wp:posOffset>
            </wp:positionV>
            <wp:extent cx="25457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96"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Michael J. Happe</w:t>
      </w:r>
    </w:p>
    <w:p>
      <w:pPr>
        <w:spacing w:after="0" w:line="86"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Chief Executive Officer, President</w:t>
      </w:r>
    </w:p>
    <w:p>
      <w:pPr>
        <w:sectPr>
          <w:pgSz w:w="11900" w:h="16838" w:orient="portrait"/>
          <w:cols w:equalWidth="0" w:num="1">
            <w:col w:w="11240"/>
          </w:cols>
          <w:pgMar w:left="320" w:top="89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6"/>
          <w:szCs w:val="16"/>
          <w:b w:val="1"/>
          <w:bCs w:val="1"/>
          <w:color w:val="auto"/>
        </w:rPr>
        <w:t>Exhibit 31.2</w:t>
      </w:r>
    </w:p>
    <w:p>
      <w:pPr>
        <w:spacing w:after="0" w:line="25"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CERTIFICATION BY CHIEF FINANCIAL OFFICER</w:t>
      </w:r>
    </w:p>
    <w:p>
      <w:pPr>
        <w:spacing w:after="0" w:line="5" w:lineRule="exact"/>
        <w:rPr>
          <w:sz w:val="20"/>
          <w:szCs w:val="20"/>
          <w:color w:val="auto"/>
        </w:rPr>
      </w:pPr>
    </w:p>
    <w:p>
      <w:pPr>
        <w:ind w:left="3940"/>
        <w:spacing w:after="0"/>
        <w:rPr>
          <w:sz w:val="20"/>
          <w:szCs w:val="20"/>
          <w:color w:val="auto"/>
        </w:rPr>
      </w:pPr>
      <w:r>
        <w:rPr>
          <w:rFonts w:ascii="Arial" w:cs="Arial" w:eastAsia="Arial" w:hAnsi="Arial"/>
          <w:sz w:val="16"/>
          <w:szCs w:val="16"/>
          <w:b w:val="1"/>
          <w:bCs w:val="1"/>
          <w:color w:val="auto"/>
        </w:rPr>
        <w:t>AS ADOPTED PURSUANT TO SECTION 302</w:t>
      </w:r>
    </w:p>
    <w:p>
      <w:pPr>
        <w:spacing w:after="0" w:line="5" w:lineRule="exact"/>
        <w:rPr>
          <w:sz w:val="20"/>
          <w:szCs w:val="20"/>
          <w:color w:val="auto"/>
        </w:rPr>
      </w:pPr>
    </w:p>
    <w:p>
      <w:pPr>
        <w:ind w:left="4020"/>
        <w:spacing w:after="0"/>
        <w:rPr>
          <w:sz w:val="20"/>
          <w:szCs w:val="20"/>
          <w:color w:val="auto"/>
        </w:rPr>
      </w:pPr>
      <w:r>
        <w:rPr>
          <w:rFonts w:ascii="Arial" w:cs="Arial" w:eastAsia="Arial" w:hAnsi="Arial"/>
          <w:sz w:val="16"/>
          <w:szCs w:val="16"/>
          <w:b w:val="1"/>
          <w:bCs w:val="1"/>
          <w:color w:val="auto"/>
        </w:rPr>
        <w:t>OF THE SARBANES-OXLEY ACT OF 2002</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 Bryan L. Hughes, Chief Financial Officer of Winnebago Industries, Inc., certify that:</w:t>
      </w:r>
    </w:p>
    <w:p>
      <w:pPr>
        <w:spacing w:after="0" w:line="248"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248" w:lineRule="exact"/>
        <w:rPr>
          <w:rFonts w:ascii="Arial" w:cs="Arial" w:eastAsia="Arial" w:hAnsi="Arial"/>
          <w:sz w:val="16"/>
          <w:szCs w:val="16"/>
          <w:color w:val="auto"/>
        </w:rPr>
      </w:pPr>
    </w:p>
    <w:p>
      <w:pPr>
        <w:jc w:val="both"/>
        <w:ind w:left="340" w:right="440" w:hanging="332"/>
        <w:spacing w:after="0" w:line="253"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6"/>
          <w:szCs w:val="16"/>
          <w:color w:val="auto"/>
        </w:rPr>
      </w:pPr>
    </w:p>
    <w:p>
      <w:pPr>
        <w:ind w:left="340" w:right="20" w:hanging="332"/>
        <w:spacing w:after="0" w:line="260"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2" w:lineRule="exact"/>
        <w:rPr>
          <w:rFonts w:ascii="Arial" w:cs="Arial" w:eastAsia="Arial" w:hAnsi="Arial"/>
          <w:sz w:val="16"/>
          <w:szCs w:val="16"/>
          <w:color w:val="auto"/>
        </w:rPr>
      </w:pPr>
    </w:p>
    <w:p>
      <w:pPr>
        <w:ind w:left="340" w:right="180" w:hanging="332"/>
        <w:spacing w:after="0" w:line="253"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6"/>
          <w:szCs w:val="16"/>
          <w:color w:val="auto"/>
        </w:rPr>
      </w:pPr>
    </w:p>
    <w:p>
      <w:pPr>
        <w:ind w:left="660" w:right="300" w:hanging="328"/>
        <w:spacing w:after="0" w:line="253" w:lineRule="auto"/>
        <w:tabs>
          <w:tab w:leader="none" w:pos="6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6"/>
          <w:szCs w:val="16"/>
          <w:color w:val="auto"/>
        </w:rPr>
      </w:pPr>
    </w:p>
    <w:p>
      <w:pPr>
        <w:ind w:left="660" w:right="20" w:hanging="328"/>
        <w:spacing w:after="0" w:line="253" w:lineRule="auto"/>
        <w:tabs>
          <w:tab w:leader="none" w:pos="6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6"/>
          <w:szCs w:val="16"/>
          <w:color w:val="auto"/>
        </w:rPr>
      </w:pPr>
    </w:p>
    <w:p>
      <w:pPr>
        <w:jc w:val="both"/>
        <w:ind w:left="660" w:right="820" w:hanging="328"/>
        <w:spacing w:after="0" w:line="260" w:lineRule="auto"/>
        <w:tabs>
          <w:tab w:leader="none" w:pos="651"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2"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6"/>
          <w:szCs w:val="16"/>
          <w:color w:val="auto"/>
        </w:rPr>
      </w:pPr>
    </w:p>
    <w:p>
      <w:pPr>
        <w:ind w:left="340" w:right="440" w:hanging="332"/>
        <w:spacing w:after="0" w:line="260"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2"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2" w:lineRule="exact"/>
        <w:rPr>
          <w:rFonts w:ascii="Arial" w:cs="Arial" w:eastAsia="Arial" w:hAnsi="Arial"/>
          <w:sz w:val="16"/>
          <w:szCs w:val="16"/>
          <w:color w:val="auto"/>
        </w:rPr>
      </w:pPr>
    </w:p>
    <w:p>
      <w:pPr>
        <w:ind w:left="660" w:right="360" w:hanging="328"/>
        <w:spacing w:after="0" w:line="260" w:lineRule="auto"/>
        <w:tabs>
          <w:tab w:leader="none" w:pos="6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47" w:lineRule="exact"/>
        <w:rPr>
          <w:sz w:val="20"/>
          <w:szCs w:val="20"/>
          <w:color w:val="auto"/>
        </w:rPr>
      </w:pPr>
    </w:p>
    <w:p>
      <w:pPr>
        <w:ind w:left="1140"/>
        <w:spacing w:after="0"/>
        <w:tabs>
          <w:tab w:leader="none" w:pos="1760" w:val="left"/>
          <w:tab w:leader="none" w:pos="6480" w:val="left"/>
        </w:tabs>
        <w:rPr>
          <w:sz w:val="20"/>
          <w:szCs w:val="20"/>
          <w:color w:val="auto"/>
        </w:rPr>
      </w:pPr>
      <w:r>
        <w:rPr>
          <w:rFonts w:ascii="Arial" w:cs="Arial" w:eastAsia="Arial" w:hAnsi="Arial"/>
          <w:sz w:val="16"/>
          <w:szCs w:val="16"/>
          <w:color w:val="auto"/>
        </w:rPr>
        <w:t>Date:</w:t>
        <w:tab/>
        <w:t>March 23, 2022</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20955</wp:posOffset>
            </wp:positionV>
            <wp:extent cx="24599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42"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Bryan L. Hughes</w:t>
      </w:r>
    </w:p>
    <w:p>
      <w:pPr>
        <w:spacing w:after="0" w:line="32"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Senior Vice President, Chief Financial Officer</w:t>
      </w:r>
    </w:p>
    <w:p>
      <w:pPr>
        <w:sectPr>
          <w:pgSz w:w="11900" w:h="16838" w:orient="portrait"/>
          <w:cols w:equalWidth="0" w:num="1">
            <w:col w:w="11240"/>
          </w:cols>
          <w:pgMar w:left="320" w:top="89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CERTIFICATION BY CHIEF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Pursuant to 18 U.S.C. Section 1350, as adopted pursuant to Section 906 of the Sarbanes-Oxley Act of 2002, I, Michael J. Happe, Chief Executive Officer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 (the "Company"), hereby certify that to my knowledge:</w:t>
      </w:r>
    </w:p>
    <w:p>
      <w:pPr>
        <w:spacing w:after="0" w:line="248" w:lineRule="exact"/>
        <w:rPr>
          <w:sz w:val="20"/>
          <w:szCs w:val="20"/>
          <w:color w:val="auto"/>
        </w:rPr>
      </w:pPr>
    </w:p>
    <w:p>
      <w:pPr>
        <w:ind w:left="660" w:right="800" w:hanging="328"/>
        <w:spacing w:after="0" w:line="260"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February 26, 2022 (the "Report") of the Company, fully complies with the requirements of Section 13(a) or 15(d) of the Securities Exchange Act of 1934, and</w:t>
      </w:r>
    </w:p>
    <w:p>
      <w:pPr>
        <w:spacing w:after="0" w:line="222"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this Report fairly presents, in all material respects, the financial condition and results of operations of the Company.</w:t>
      </w:r>
    </w:p>
    <w:p>
      <w:pPr>
        <w:spacing w:after="0" w:line="273" w:lineRule="exact"/>
        <w:rPr>
          <w:sz w:val="20"/>
          <w:szCs w:val="20"/>
          <w:color w:val="auto"/>
        </w:rPr>
      </w:pPr>
    </w:p>
    <w:p>
      <w:pPr>
        <w:ind w:left="720"/>
        <w:spacing w:after="0"/>
        <w:tabs>
          <w:tab w:leader="none" w:pos="1540" w:val="left"/>
          <w:tab w:leader="none" w:pos="67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23, 2022</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20955</wp:posOffset>
            </wp:positionV>
            <wp:extent cx="27006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2700655" cy="8890"/>
                    </a:xfrm>
                    <a:prstGeom prst="rect">
                      <a:avLst/>
                    </a:prstGeom>
                    <a:noFill/>
                  </pic:spPr>
                </pic:pic>
              </a:graphicData>
            </a:graphic>
          </wp:anchor>
        </w:drawing>
      </w:r>
    </w:p>
    <w:p>
      <w:pPr>
        <w:spacing w:after="0" w:line="96"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Michael J. Happe</w:t>
      </w:r>
    </w:p>
    <w:p>
      <w:pPr>
        <w:spacing w:after="0" w:line="86"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Chief Executive Officer, President</w:t>
      </w:r>
    </w:p>
    <w:p>
      <w:pPr>
        <w:sectPr>
          <w:pgSz w:w="11900" w:h="16838" w:orient="portrait"/>
          <w:cols w:equalWidth="0" w:num="1">
            <w:col w:w="11240"/>
          </w:cols>
          <w:pgMar w:left="320" w:top="89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CERTIFICATION BY CHIEF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Pursuant to 18 U.S.C. Section 1350, as adopted pursuant to Section 906 of the Sarbanes-Oxley Act of 2002, I, Bryan L. Hughes, Chief Financial Officer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 (the "Company"), hereby certify that to my knowledge:</w:t>
      </w:r>
    </w:p>
    <w:p>
      <w:pPr>
        <w:spacing w:after="0" w:line="248" w:lineRule="exact"/>
        <w:rPr>
          <w:sz w:val="20"/>
          <w:szCs w:val="20"/>
          <w:color w:val="auto"/>
        </w:rPr>
      </w:pPr>
    </w:p>
    <w:p>
      <w:pPr>
        <w:ind w:left="660" w:right="800" w:hanging="328"/>
        <w:spacing w:after="0" w:line="260"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February 26, 2022 (the "Report") of the Company, fully complies with the requirements of Section 13(a) or 15(d) of the Securities Exchange Act of 1934, and</w:t>
      </w:r>
    </w:p>
    <w:p>
      <w:pPr>
        <w:spacing w:after="0" w:line="222"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this Report fairly presents, in all material respects, the financial condition and results of operations of the Company.</w:t>
      </w:r>
    </w:p>
    <w:p>
      <w:pPr>
        <w:spacing w:after="0" w:line="273" w:lineRule="exact"/>
        <w:rPr>
          <w:sz w:val="20"/>
          <w:szCs w:val="20"/>
          <w:color w:val="auto"/>
        </w:rPr>
      </w:pPr>
    </w:p>
    <w:p>
      <w:pPr>
        <w:ind w:left="700"/>
        <w:spacing w:after="0"/>
        <w:tabs>
          <w:tab w:leader="none" w:pos="1400" w:val="left"/>
          <w:tab w:leader="none" w:pos="656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23, 2022</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20955</wp:posOffset>
            </wp:positionV>
            <wp:extent cx="26917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2691765" cy="8890"/>
                    </a:xfrm>
                    <a:prstGeom prst="rect">
                      <a:avLst/>
                    </a:prstGeom>
                    <a:noFill/>
                  </pic:spPr>
                </pic:pic>
              </a:graphicData>
            </a:graphic>
          </wp:anchor>
        </w:drawing>
      </w:r>
    </w:p>
    <w:p>
      <w:pPr>
        <w:spacing w:after="0" w:line="42" w:lineRule="exact"/>
        <w:rPr>
          <w:sz w:val="20"/>
          <w:szCs w:val="20"/>
          <w:color w:val="auto"/>
        </w:rPr>
      </w:pPr>
    </w:p>
    <w:p>
      <w:pPr>
        <w:ind w:left="6580"/>
        <w:spacing w:after="0"/>
        <w:rPr>
          <w:sz w:val="20"/>
          <w:szCs w:val="20"/>
          <w:color w:val="auto"/>
        </w:rPr>
      </w:pPr>
      <w:r>
        <w:rPr>
          <w:rFonts w:ascii="Arial" w:cs="Arial" w:eastAsia="Arial" w:hAnsi="Arial"/>
          <w:sz w:val="16"/>
          <w:szCs w:val="16"/>
          <w:color w:val="auto"/>
        </w:rPr>
        <w:t>Bryan L. Hughes</w:t>
      </w:r>
    </w:p>
    <w:p>
      <w:pPr>
        <w:spacing w:after="0" w:line="32" w:lineRule="exact"/>
        <w:rPr>
          <w:sz w:val="20"/>
          <w:szCs w:val="20"/>
          <w:color w:val="auto"/>
        </w:rPr>
      </w:pPr>
    </w:p>
    <w:p>
      <w:pPr>
        <w:ind w:left="6580"/>
        <w:spacing w:after="0"/>
        <w:rPr>
          <w:sz w:val="20"/>
          <w:szCs w:val="20"/>
          <w:color w:val="auto"/>
        </w:rPr>
      </w:pPr>
      <w:r>
        <w:rPr>
          <w:rFonts w:ascii="Arial" w:cs="Arial" w:eastAsia="Arial" w:hAnsi="Arial"/>
          <w:sz w:val="16"/>
          <w:szCs w:val="16"/>
          <w:color w:val="auto"/>
        </w:rPr>
        <w:t>Senior Vice President, 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50" Type="http://schemas.openxmlformats.org/officeDocument/2006/relationships/hyperlink" Target="https://www.sec.gov/Archives/edgar/data/107687/000010768722000004/wgo-mnarticlesreincorporat.htm" TargetMode="External"/><Relationship Id="rId51" Type="http://schemas.openxmlformats.org/officeDocument/2006/relationships/hyperlink" Target="https://www.sec.gov/Archives/edgar/data/107687/000010768722000004/wgo-mnbylawsreincorporatio.htm" TargetMode="External"/><Relationship Id="rId52" Type="http://schemas.openxmlformats.org/officeDocument/2006/relationships/hyperlink" Target="http://www.sec.gov/Archives/edgar/data/107687/000110465919059604/a19-21005_2ex4d1.htm" TargetMode="External"/><Relationship Id="rId53" Type="http://schemas.openxmlformats.org/officeDocument/2006/relationships/hyperlink" Target="https://www.sec.gov/Archives/edgar/data/0000107687/000110465920082433/tm2024371d1_ex4-1.htm" TargetMode="External"/><Relationship Id="rId54" Type="http://schemas.openxmlformats.org/officeDocument/2006/relationships/hyperlink" Target="https://www.sec.gov/Archives/edgar/data/107687/000110465920082433/tm2024371d1_ex4-1.htm" TargetMode="External"/><Relationship Id="rId55" Type="http://schemas.openxmlformats.org/officeDocument/2006/relationships/hyperlink" Target="https://www.sec.gov/Archives/edgar/data/107687/000010768721000048/winnebago-happeamendedandr.htm" TargetMode="External"/><Relationship Id="rId56" Type="http://schemas.openxmlformats.org/officeDocument/2006/relationships/hyperlink" Target="https://www.sec.gov/Archives/edgar/data/107687/000010768721000048/winnebago-executiveoffice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2022-03-23T15:17:59Z</dcterms:created>
  <dcterms:modified xsi:type="dcterms:W3CDTF">2022-03-23T15:17:59Z</dcterms:modified>
</cp:coreProperties>
</file>