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0E2A35"/>
        </w:rPr>
        <w:t xml:space="preserve">Filed by the Registrant </w:t>
      </w:r>
      <w:r>
        <w:rPr>
          <w:rFonts w:ascii="MS PGothic" w:cs="MS PGothic" w:eastAsia="MS PGothic" w:hAnsi="MS PGothic"/>
          <w:sz w:val="18"/>
          <w:szCs w:val="18"/>
          <w:color w:val="0E2A35"/>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0E2A35"/>
        </w:rPr>
        <w:t xml:space="preserve">Filed by party other than the Registrant </w:t>
      </w:r>
      <w:r>
        <w:rPr>
          <w:rFonts w:ascii="MS PGothic" w:cs="MS PGothic" w:eastAsia="MS PGothic" w:hAnsi="MS PGothic"/>
          <w:sz w:val="18"/>
          <w:szCs w:val="18"/>
          <w:color w:val="0E2A35"/>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2A35"/>
        </w:rPr>
        <w:t>Check the appropriate box:</w:t>
      </w:r>
    </w:p>
    <w:p>
      <w:pPr>
        <w:spacing w:after="0" w:line="117" w:lineRule="exact"/>
        <w:rPr>
          <w:sz w:val="24"/>
          <w:szCs w:val="24"/>
          <w:color w:val="auto"/>
        </w:rPr>
      </w:pPr>
    </w:p>
    <w:p>
      <w:pPr>
        <w:ind w:left="500" w:hanging="488"/>
        <w:spacing w:after="0"/>
        <w:tabs>
          <w:tab w:leader="none" w:pos="500" w:val="left"/>
        </w:tabs>
        <w:numPr>
          <w:ilvl w:val="0"/>
          <w:numId w:val="1"/>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Preliminary Proxy Statement</w:t>
      </w:r>
    </w:p>
    <w:p>
      <w:pPr>
        <w:spacing w:after="0" w:line="113" w:lineRule="exact"/>
        <w:rPr>
          <w:rFonts w:ascii="MS PGothic" w:cs="MS PGothic" w:eastAsia="MS PGothic" w:hAnsi="MS PGothic"/>
          <w:sz w:val="18"/>
          <w:szCs w:val="18"/>
          <w:color w:val="0E2A35"/>
        </w:rPr>
      </w:pPr>
    </w:p>
    <w:p>
      <w:pPr>
        <w:ind w:left="500" w:hanging="488"/>
        <w:spacing w:after="0"/>
        <w:tabs>
          <w:tab w:leader="none" w:pos="500" w:val="left"/>
        </w:tabs>
        <w:numPr>
          <w:ilvl w:val="0"/>
          <w:numId w:val="1"/>
        </w:numPr>
        <w:rPr>
          <w:rFonts w:ascii="MS PGothic" w:cs="MS PGothic" w:eastAsia="MS PGothic" w:hAnsi="MS PGothic"/>
          <w:sz w:val="18"/>
          <w:szCs w:val="18"/>
          <w:color w:val="0E2A35"/>
        </w:rPr>
      </w:pPr>
      <w:r>
        <w:rPr>
          <w:rFonts w:ascii="Times New Roman" w:cs="Times New Roman" w:eastAsia="Times New Roman" w:hAnsi="Times New Roman"/>
          <w:sz w:val="18"/>
          <w:szCs w:val="18"/>
          <w:b w:val="1"/>
          <w:bCs w:val="1"/>
          <w:color w:val="0E2A35"/>
        </w:rPr>
        <w:t>Confidential, For Use of the Commission Only (as permitted by Rule 14a-6(e)(2))</w:t>
      </w:r>
    </w:p>
    <w:p>
      <w:pPr>
        <w:spacing w:after="0" w:line="121" w:lineRule="exact"/>
        <w:rPr>
          <w:rFonts w:ascii="MS PGothic" w:cs="MS PGothic" w:eastAsia="MS PGothic" w:hAnsi="MS PGothic"/>
          <w:sz w:val="18"/>
          <w:szCs w:val="18"/>
          <w:color w:val="0E2A35"/>
        </w:rPr>
      </w:pPr>
    </w:p>
    <w:p>
      <w:pPr>
        <w:ind w:left="500" w:hanging="492"/>
        <w:spacing w:after="0"/>
        <w:tabs>
          <w:tab w:leader="none" w:pos="500" w:val="left"/>
        </w:tabs>
        <w:numPr>
          <w:ilvl w:val="0"/>
          <w:numId w:val="1"/>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Definitive Proxy Statement</w:t>
      </w:r>
    </w:p>
    <w:p>
      <w:pPr>
        <w:spacing w:after="0" w:line="117" w:lineRule="exact"/>
        <w:rPr>
          <w:sz w:val="24"/>
          <w:szCs w:val="24"/>
          <w:color w:val="auto"/>
        </w:rPr>
      </w:pPr>
    </w:p>
    <w:p>
      <w:pPr>
        <w:ind w:left="500" w:hanging="488"/>
        <w:spacing w:after="0"/>
        <w:tabs>
          <w:tab w:leader="none" w:pos="500" w:val="left"/>
        </w:tabs>
        <w:numPr>
          <w:ilvl w:val="0"/>
          <w:numId w:val="2"/>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Definitive Additional Materials</w:t>
      </w:r>
    </w:p>
    <w:p>
      <w:pPr>
        <w:spacing w:after="0" w:line="117" w:lineRule="exact"/>
        <w:rPr>
          <w:sz w:val="24"/>
          <w:szCs w:val="24"/>
          <w:color w:val="auto"/>
        </w:rPr>
      </w:pPr>
    </w:p>
    <w:p>
      <w:pPr>
        <w:ind w:left="500" w:hanging="488"/>
        <w:spacing w:after="0"/>
        <w:tabs>
          <w:tab w:leader="none" w:pos="500" w:val="left"/>
        </w:tabs>
        <w:numPr>
          <w:ilvl w:val="0"/>
          <w:numId w:val="3"/>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163195</wp:posOffset>
            </wp:positionV>
            <wp:extent cx="2202815"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0E2A35"/>
        </w:rPr>
        <w:t> </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2A35"/>
        </w:rPr>
        <w:t> </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0E2A35"/>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0E2A35"/>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0E2A35"/>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E2A35"/>
        </w:rPr>
        <w:t>Payment of Filing Fee (Check the appropriate box):</w:t>
      </w:r>
    </w:p>
    <w:p>
      <w:pPr>
        <w:spacing w:after="0" w:line="117" w:lineRule="exact"/>
        <w:rPr>
          <w:sz w:val="24"/>
          <w:szCs w:val="24"/>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No fee required.</w:t>
      </w:r>
    </w:p>
    <w:p>
      <w:pPr>
        <w:spacing w:after="0" w:line="117" w:lineRule="exact"/>
        <w:rPr>
          <w:rFonts w:ascii="MS PGothic" w:cs="MS PGothic" w:eastAsia="MS PGothic" w:hAnsi="MS PGothic"/>
          <w:sz w:val="18"/>
          <w:szCs w:val="18"/>
          <w:color w:val="0E2A35"/>
        </w:rPr>
      </w:pPr>
    </w:p>
    <w:p>
      <w:pPr>
        <w:ind w:left="500" w:hanging="488"/>
        <w:spacing w:after="0"/>
        <w:tabs>
          <w:tab w:leader="none" w:pos="500" w:val="left"/>
        </w:tabs>
        <w:numPr>
          <w:ilvl w:val="1"/>
          <w:numId w:val="4"/>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Fee computed on table below per Exchange Act Rules 14a-6(i)(1) and 0-11.</w:t>
      </w:r>
    </w:p>
    <w:p>
      <w:pPr>
        <w:spacing w:after="0" w:line="117" w:lineRule="exact"/>
        <w:rPr>
          <w:rFonts w:ascii="MS PGothic" w:cs="MS PGothic" w:eastAsia="MS PGothic" w:hAnsi="MS PGothic"/>
          <w:sz w:val="18"/>
          <w:szCs w:val="18"/>
          <w:color w:val="0E2A35"/>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Title of each class of securities to which transaction applies:</w:t>
      </w:r>
    </w:p>
    <w:p>
      <w:pPr>
        <w:spacing w:after="0" w:line="200" w:lineRule="exact"/>
        <w:rPr>
          <w:rFonts w:ascii="Times New Roman" w:cs="Times New Roman" w:eastAsia="Times New Roman" w:hAnsi="Times New Roman"/>
          <w:sz w:val="18"/>
          <w:szCs w:val="18"/>
          <w:color w:val="0E2A35"/>
        </w:rPr>
      </w:pPr>
    </w:p>
    <w:p>
      <w:pPr>
        <w:spacing w:after="0" w:line="254" w:lineRule="exact"/>
        <w:rPr>
          <w:rFonts w:ascii="Times New Roman" w:cs="Times New Roman" w:eastAsia="Times New Roman" w:hAnsi="Times New Roman"/>
          <w:sz w:val="18"/>
          <w:szCs w:val="18"/>
          <w:color w:val="0E2A35"/>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Aggregate number of securities to which transaction applies:</w:t>
      </w:r>
    </w:p>
    <w:p>
      <w:pPr>
        <w:spacing w:after="0" w:line="200" w:lineRule="exact"/>
        <w:rPr>
          <w:rFonts w:ascii="Times New Roman" w:cs="Times New Roman" w:eastAsia="Times New Roman" w:hAnsi="Times New Roman"/>
          <w:sz w:val="18"/>
          <w:szCs w:val="18"/>
          <w:color w:val="0E2A35"/>
        </w:rPr>
      </w:pPr>
    </w:p>
    <w:p>
      <w:pPr>
        <w:spacing w:after="0" w:line="254" w:lineRule="exact"/>
        <w:rPr>
          <w:rFonts w:ascii="Times New Roman" w:cs="Times New Roman" w:eastAsia="Times New Roman" w:hAnsi="Times New Roman"/>
          <w:sz w:val="18"/>
          <w:szCs w:val="18"/>
          <w:color w:val="0E2A35"/>
        </w:rPr>
      </w:pPr>
    </w:p>
    <w:p>
      <w:pPr>
        <w:ind w:left="980" w:hanging="486"/>
        <w:spacing w:after="0" w:line="282" w:lineRule="auto"/>
        <w:tabs>
          <w:tab w:leader="none" w:pos="980" w:val="left"/>
        </w:tabs>
        <w:numPr>
          <w:ilvl w:val="2"/>
          <w:numId w:val="4"/>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Per unit price or other underlying value of transaction computed pursuant to Exchange Act Rule 0-11 (set forth the amount on which the filing fee is calculated and state how it was determined):</w:t>
      </w:r>
    </w:p>
    <w:p>
      <w:pPr>
        <w:spacing w:after="0" w:line="391" w:lineRule="exact"/>
        <w:rPr>
          <w:rFonts w:ascii="Times New Roman" w:cs="Times New Roman" w:eastAsia="Times New Roman" w:hAnsi="Times New Roman"/>
          <w:sz w:val="18"/>
          <w:szCs w:val="18"/>
          <w:color w:val="0E2A35"/>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Proposed maximum aggregate value of transaction:</w:t>
      </w:r>
    </w:p>
    <w:p>
      <w:pPr>
        <w:spacing w:after="0" w:line="200" w:lineRule="exact"/>
        <w:rPr>
          <w:rFonts w:ascii="Times New Roman" w:cs="Times New Roman" w:eastAsia="Times New Roman" w:hAnsi="Times New Roman"/>
          <w:sz w:val="18"/>
          <w:szCs w:val="18"/>
          <w:color w:val="0E2A35"/>
        </w:rPr>
      </w:pPr>
    </w:p>
    <w:p>
      <w:pPr>
        <w:spacing w:after="0" w:line="254" w:lineRule="exact"/>
        <w:rPr>
          <w:rFonts w:ascii="Times New Roman" w:cs="Times New Roman" w:eastAsia="Times New Roman" w:hAnsi="Times New Roman"/>
          <w:sz w:val="18"/>
          <w:szCs w:val="18"/>
          <w:color w:val="0E2A35"/>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Total fee paid:</w:t>
      </w:r>
    </w:p>
    <w:p>
      <w:pPr>
        <w:spacing w:after="0" w:line="200" w:lineRule="exact"/>
        <w:rPr>
          <w:rFonts w:ascii="Times New Roman" w:cs="Times New Roman" w:eastAsia="Times New Roman" w:hAnsi="Times New Roman"/>
          <w:sz w:val="18"/>
          <w:szCs w:val="18"/>
          <w:color w:val="0E2A35"/>
        </w:rPr>
      </w:pPr>
    </w:p>
    <w:p>
      <w:pPr>
        <w:spacing w:after="0" w:line="241" w:lineRule="exact"/>
        <w:rPr>
          <w:rFonts w:ascii="Times New Roman" w:cs="Times New Roman" w:eastAsia="Times New Roman" w:hAnsi="Times New Roman"/>
          <w:sz w:val="18"/>
          <w:szCs w:val="18"/>
          <w:color w:val="0E2A35"/>
        </w:rPr>
      </w:pPr>
    </w:p>
    <w:p>
      <w:pPr>
        <w:ind w:left="500" w:hanging="488"/>
        <w:spacing w:after="0"/>
        <w:tabs>
          <w:tab w:leader="none" w:pos="500" w:val="left"/>
        </w:tabs>
        <w:numPr>
          <w:ilvl w:val="1"/>
          <w:numId w:val="4"/>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Fee paid previously with preliminary materials.</w:t>
      </w:r>
    </w:p>
    <w:p>
      <w:pPr>
        <w:spacing w:after="0" w:line="117" w:lineRule="exact"/>
        <w:rPr>
          <w:rFonts w:ascii="MS PGothic" w:cs="MS PGothic" w:eastAsia="MS PGothic" w:hAnsi="MS PGothic"/>
          <w:sz w:val="18"/>
          <w:szCs w:val="18"/>
          <w:color w:val="0E2A35"/>
        </w:rPr>
      </w:pPr>
    </w:p>
    <w:p>
      <w:pPr>
        <w:ind w:left="500" w:right="220" w:hanging="488"/>
        <w:spacing w:after="0" w:line="282" w:lineRule="auto"/>
        <w:tabs>
          <w:tab w:leader="none" w:pos="500" w:val="left"/>
        </w:tabs>
        <w:numPr>
          <w:ilvl w:val="1"/>
          <w:numId w:val="4"/>
        </w:numPr>
        <w:rPr>
          <w:rFonts w:ascii="MS PGothic" w:cs="MS PGothic" w:eastAsia="MS PGothic" w:hAnsi="MS PGothic"/>
          <w:sz w:val="18"/>
          <w:szCs w:val="18"/>
          <w:color w:val="0E2A35"/>
        </w:rPr>
      </w:pPr>
      <w:r>
        <w:rPr>
          <w:rFonts w:ascii="Times New Roman" w:cs="Times New Roman" w:eastAsia="Times New Roman" w:hAnsi="Times New Roman"/>
          <w:sz w:val="18"/>
          <w:szCs w:val="18"/>
          <w:color w:val="0E2A35"/>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MS PGothic" w:cs="MS PGothic" w:eastAsia="MS PGothic" w:hAnsi="MS PGothic"/>
          <w:sz w:val="18"/>
          <w:szCs w:val="18"/>
          <w:color w:val="0E2A35"/>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Amount previously paid:</w:t>
      </w:r>
    </w:p>
    <w:p>
      <w:pPr>
        <w:spacing w:after="0" w:line="200" w:lineRule="exact"/>
        <w:rPr>
          <w:rFonts w:ascii="Times New Roman" w:cs="Times New Roman" w:eastAsia="Times New Roman" w:hAnsi="Times New Roman"/>
          <w:sz w:val="18"/>
          <w:szCs w:val="18"/>
          <w:color w:val="0E2A35"/>
        </w:rPr>
      </w:pPr>
    </w:p>
    <w:p>
      <w:pPr>
        <w:spacing w:after="0" w:line="254" w:lineRule="exact"/>
        <w:rPr>
          <w:rFonts w:ascii="Times New Roman" w:cs="Times New Roman" w:eastAsia="Times New Roman" w:hAnsi="Times New Roman"/>
          <w:sz w:val="18"/>
          <w:szCs w:val="18"/>
          <w:color w:val="0E2A35"/>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Form, Schedule or Registration Statement No.:</w:t>
      </w:r>
    </w:p>
    <w:p>
      <w:pPr>
        <w:spacing w:after="0" w:line="200" w:lineRule="exact"/>
        <w:rPr>
          <w:rFonts w:ascii="Times New Roman" w:cs="Times New Roman" w:eastAsia="Times New Roman" w:hAnsi="Times New Roman"/>
          <w:sz w:val="18"/>
          <w:szCs w:val="18"/>
          <w:color w:val="0E2A35"/>
        </w:rPr>
      </w:pPr>
    </w:p>
    <w:p>
      <w:pPr>
        <w:spacing w:after="0" w:line="254" w:lineRule="exact"/>
        <w:rPr>
          <w:rFonts w:ascii="Times New Roman" w:cs="Times New Roman" w:eastAsia="Times New Roman" w:hAnsi="Times New Roman"/>
          <w:sz w:val="18"/>
          <w:szCs w:val="18"/>
          <w:color w:val="0E2A35"/>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Filing party:</w:t>
      </w:r>
    </w:p>
    <w:p>
      <w:pPr>
        <w:spacing w:after="0" w:line="200" w:lineRule="exact"/>
        <w:rPr>
          <w:rFonts w:ascii="Times New Roman" w:cs="Times New Roman" w:eastAsia="Times New Roman" w:hAnsi="Times New Roman"/>
          <w:sz w:val="18"/>
          <w:szCs w:val="18"/>
          <w:color w:val="0E2A35"/>
        </w:rPr>
      </w:pPr>
    </w:p>
    <w:p>
      <w:pPr>
        <w:spacing w:after="0" w:line="254" w:lineRule="exact"/>
        <w:rPr>
          <w:rFonts w:ascii="Times New Roman" w:cs="Times New Roman" w:eastAsia="Times New Roman" w:hAnsi="Times New Roman"/>
          <w:sz w:val="18"/>
          <w:szCs w:val="18"/>
          <w:color w:val="0E2A35"/>
        </w:rPr>
      </w:pPr>
    </w:p>
    <w:p>
      <w:pPr>
        <w:ind w:left="980" w:hanging="486"/>
        <w:spacing w:after="0"/>
        <w:tabs>
          <w:tab w:leader="none" w:pos="980" w:val="left"/>
        </w:tabs>
        <w:numPr>
          <w:ilvl w:val="2"/>
          <w:numId w:val="4"/>
        </w:numPr>
        <w:rPr>
          <w:rFonts w:ascii="Times New Roman" w:cs="Times New Roman" w:eastAsia="Times New Roman" w:hAnsi="Times New Roman"/>
          <w:sz w:val="18"/>
          <w:szCs w:val="18"/>
          <w:color w:val="0E2A35"/>
        </w:rPr>
      </w:pPr>
      <w:r>
        <w:rPr>
          <w:rFonts w:ascii="Times New Roman" w:cs="Times New Roman" w:eastAsia="Times New Roman" w:hAnsi="Times New Roman"/>
          <w:sz w:val="18"/>
          <w:szCs w:val="18"/>
          <w:color w:val="0E2A35"/>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257175</wp:posOffset>
            </wp:positionV>
            <wp:extent cx="6515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-161925</wp:posOffset>
            </wp:positionV>
            <wp:extent cx="6515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-582295</wp:posOffset>
            </wp:positionV>
            <wp:extent cx="6515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-1002030</wp:posOffset>
            </wp:positionV>
            <wp:extent cx="6515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-1962150</wp:posOffset>
            </wp:positionV>
            <wp:extent cx="6515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-2382520</wp:posOffset>
            </wp:positionV>
            <wp:extent cx="65151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-2802255</wp:posOffset>
            </wp:positionV>
            <wp:extent cx="65151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-3359785</wp:posOffset>
            </wp:positionV>
            <wp:extent cx="6515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-3779520</wp:posOffset>
            </wp:positionV>
            <wp:extent cx="6515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48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7886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7886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844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78441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2022-10-31T07:35:41Z</dcterms:created>
  <dcterms:modified xsi:type="dcterms:W3CDTF">2022-10-31T07:35:41Z</dcterms:modified>
</cp:coreProperties>
</file>