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SCOTT RICHARD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60"/>
        <w:spacing w:after="0" w:line="331" w:lineRule="auto"/>
        <w:rPr>
          <w:sz w:val="20"/>
          <w:szCs w:val="20"/>
          <w:color w:val="auto"/>
        </w:rPr>
      </w:pPr>
      <w:r>
        <w:rPr>
          <w:rFonts w:ascii="Arial" w:cs="Arial" w:eastAsia="Arial" w:hAnsi="Arial"/>
          <w:sz w:val="18"/>
          <w:szCs w:val="18"/>
          <w:color w:val="0000FF"/>
        </w:rPr>
        <w:t>WINNEBAGO INDUSTRIES, INC., P.O. BOX 152</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01/15/2004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01/14/2004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5"/>
              </w:rPr>
              <w:t>9,640</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1"/>
                <w:szCs w:val="11"/>
                <w:color w:val="008000"/>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9,640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01/15/2004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130"/>
              <w:spacing w:after="0"/>
              <w:rPr>
                <w:sz w:val="20"/>
                <w:szCs w:val="20"/>
                <w:color w:val="auto"/>
              </w:rPr>
            </w:pPr>
            <w:r>
              <w:rPr>
                <w:rFonts w:ascii="Arial" w:cs="Arial" w:eastAsia="Arial" w:hAnsi="Arial"/>
                <w:sz w:val="18"/>
                <w:szCs w:val="18"/>
                <w:color w:val="0000FF"/>
                <w:w w:val="84"/>
              </w:rPr>
              <w:t>7,240</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70</w:t>
            </w:r>
          </w:p>
        </w:tc>
        <w:tc>
          <w:tcPr>
            <w:tcW w:w="360" w:type="dxa"/>
            <w:vAlign w:val="bottom"/>
          </w:tcPr>
          <w:p>
            <w:pPr>
              <w:spacing w:after="0"/>
              <w:rPr>
                <w:sz w:val="23"/>
                <w:szCs w:val="23"/>
                <w:color w:val="auto"/>
              </w:rPr>
            </w:pPr>
          </w:p>
        </w:tc>
        <w:tc>
          <w:tcPr>
            <w:tcW w:w="880" w:type="dxa"/>
            <w:vAlign w:val="bottom"/>
          </w:tcPr>
          <w:p>
            <w:pPr>
              <w:jc w:val="center"/>
              <w:ind w:right="334"/>
              <w:spacing w:after="0"/>
              <w:rPr>
                <w:sz w:val="20"/>
                <w:szCs w:val="20"/>
                <w:color w:val="auto"/>
              </w:rPr>
            </w:pPr>
            <w:r>
              <w:rPr>
                <w:rFonts w:ascii="Arial" w:cs="Arial" w:eastAsia="Arial" w:hAnsi="Arial"/>
                <w:sz w:val="18"/>
                <w:szCs w:val="18"/>
                <w:color w:val="0000FF"/>
                <w:w w:val="88"/>
              </w:rPr>
              <w:t>2,400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01/16/2004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130"/>
              <w:spacing w:after="0"/>
              <w:rPr>
                <w:sz w:val="20"/>
                <w:szCs w:val="20"/>
                <w:color w:val="auto"/>
              </w:rPr>
            </w:pPr>
            <w:r>
              <w:rPr>
                <w:rFonts w:ascii="Arial" w:cs="Arial" w:eastAsia="Arial" w:hAnsi="Arial"/>
                <w:sz w:val="18"/>
                <w:szCs w:val="18"/>
                <w:color w:val="0000FF"/>
                <w:w w:val="84"/>
              </w:rPr>
              <w:t>2,400</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70.35</w:t>
            </w:r>
          </w:p>
        </w:tc>
        <w:tc>
          <w:tcPr>
            <w:tcW w:w="360" w:type="dxa"/>
            <w:vAlign w:val="bottom"/>
          </w:tcPr>
          <w:p>
            <w:pPr>
              <w:spacing w:after="0"/>
              <w:rPr>
                <w:sz w:val="23"/>
                <w:szCs w:val="23"/>
                <w:color w:val="auto"/>
              </w:rPr>
            </w:pPr>
          </w:p>
        </w:tc>
        <w:tc>
          <w:tcPr>
            <w:tcW w:w="880" w:type="dxa"/>
            <w:vAlign w:val="bottom"/>
          </w:tcPr>
          <w:p>
            <w:pPr>
              <w:jc w:val="center"/>
              <w:ind w:right="334"/>
              <w:spacing w:after="0"/>
              <w:rPr>
                <w:sz w:val="20"/>
                <w:szCs w:val="20"/>
                <w:color w:val="auto"/>
              </w:rPr>
            </w:pPr>
            <w:r>
              <w:rPr>
                <w:rFonts w:ascii="Arial" w:cs="Arial" w:eastAsia="Arial" w:hAnsi="Arial"/>
                <w:sz w:val="18"/>
                <w:szCs w:val="18"/>
                <w:color w:val="0000FF"/>
                <w:w w:val="79"/>
              </w:rPr>
              <w:t>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Winnebago Stock Units were acquired under the Winnebago Industries, Inc. Directors Deferred Compensation Plan and were settled 100% in Winnebago Industries, Inc. common stock upon reporting person's retirement from the Board of Directors of Winnebago Industries, Inc. which occurred on January 13, 2004 at the Annual Meeting of Shareholders of Winnebago Industries, Inc.</w:t>
      </w:r>
    </w:p>
    <w:p>
      <w:pPr>
        <w:sectPr>
          <w:pgSz w:w="11900" w:h="16838" w:orient="portrait"/>
          <w:cols w:equalWidth="0" w:num="1">
            <w:col w:w="11420"/>
          </w:cols>
          <w:pgMar w:left="240" w:top="226" w:right="239" w:bottom="1440" w:gutter="0" w:footer="0" w:header="0"/>
          <w:type w:val="continuous"/>
        </w:sectPr>
      </w:pP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rPr>
          <w:sz w:val="20"/>
          <w:szCs w:val="20"/>
          <w:color w:val="auto"/>
        </w:rPr>
      </w:pPr>
      <w:r>
        <w:rPr>
          <w:rFonts w:ascii="Arial" w:cs="Arial" w:eastAsia="Arial" w:hAnsi="Arial"/>
          <w:sz w:val="15"/>
          <w:szCs w:val="15"/>
          <w:color w:val="0000FF"/>
        </w:rPr>
        <w:t>01/16/2004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7"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2019-12-16T07:52:02Z</dcterms:created>
  <dcterms:modified xsi:type="dcterms:W3CDTF">2019-12-16T07:52:02Z</dcterms:modified>
</cp:coreProperties>
</file>