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160655</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73" w:lineRule="exact"/>
        <w:rPr>
          <w:sz w:val="24"/>
          <w:szCs w:val="24"/>
          <w:color w:val="auto"/>
        </w:rPr>
      </w:pPr>
    </w:p>
    <w:p>
      <w:pPr>
        <w:ind w:left="9280"/>
        <w:spacing w:after="0"/>
        <w:rPr>
          <w:sz w:val="20"/>
          <w:szCs w:val="20"/>
          <w:color w:val="auto"/>
        </w:rPr>
      </w:pPr>
      <w:r>
        <w:rPr>
          <w:rFonts w:ascii="Arial" w:cs="Arial" w:eastAsia="Arial" w:hAnsi="Arial"/>
          <w:sz w:val="17"/>
          <w:szCs w:val="17"/>
          <w:color w:val="auto"/>
        </w:rPr>
        <w:t>&amp;nbs p;</w:t>
      </w:r>
    </w:p>
    <w:p>
      <w:pPr>
        <w:spacing w:after="0" w:line="11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237490</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ectPr>
          <w:pgSz w:w="11900" w:h="16838" w:orient="portrait"/>
          <w:cols w:equalWidth="0" w:num="1">
            <w:col w:w="11260"/>
          </w:cols>
          <w:pgMar w:left="240" w:top="792" w:right="399" w:bottom="1440" w:gutter="0" w:footer="0" w:header="0"/>
        </w:sectPr>
      </w:pPr>
    </w:p>
    <w:p>
      <w:pPr>
        <w:spacing w:after="0" w:line="198" w:lineRule="exact"/>
        <w:rPr>
          <w:sz w:val="24"/>
          <w:szCs w:val="24"/>
          <w:color w:val="auto"/>
        </w:rPr>
      </w:pPr>
    </w:p>
    <w:p>
      <w:pPr>
        <w:ind w:left="4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5" w:lineRule="exact"/>
        <w:rPr>
          <w:sz w:val="24"/>
          <w:szCs w:val="24"/>
          <w:color w:val="auto"/>
        </w:rPr>
      </w:pPr>
    </w:p>
    <w:p>
      <w:pPr>
        <w:sectPr>
          <w:pgSz w:w="11900" w:h="16838" w:orient="portrait"/>
          <w:cols w:equalWidth="0" w:num="2">
            <w:col w:w="1840" w:space="520"/>
            <w:col w:w="8900"/>
          </w:cols>
          <w:pgMar w:left="240" w:top="792" w:right="39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Filed by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3140" w:space="460"/>
            <w:col w:w="7660"/>
          </w:cols>
          <w:pgMar w:left="240" w:top="792" w:right="399" w:bottom="1440" w:gutter="0" w:footer="0" w:header="0"/>
          <w:type w:val="continuous"/>
        </w:sectPr>
      </w:pP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49"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49"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7"/>
          <w:szCs w:val="17"/>
          <w:color w:val="auto"/>
        </w:rPr>
        <w:t>Definitive Proxy Statement</w:t>
      </w:r>
    </w:p>
    <w:p>
      <w:pPr>
        <w:spacing w:after="0" w:line="49"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49"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section 240.14a-12</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9"/>
          <w:szCs w:val="29"/>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60"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50" w:lineRule="exact"/>
        <w:rPr>
          <w:sz w:val="24"/>
          <w:szCs w:val="24"/>
          <w:color w:val="auto"/>
        </w:rPr>
      </w:pPr>
    </w:p>
    <w:p>
      <w:pPr>
        <w:ind w:left="620" w:hanging="58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49" w:lineRule="exact"/>
        <w:rPr>
          <w:rFonts w:ascii="Arial" w:cs="Arial" w:eastAsia="Arial" w:hAnsi="Arial"/>
          <w:sz w:val="18"/>
          <w:szCs w:val="18"/>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1180" w:right="120" w:hanging="564"/>
        <w:spacing w:after="0" w:line="246" w:lineRule="auto"/>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620" w:hanging="58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-147320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-490220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-833755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-1304925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-1648460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30" w:lineRule="exact"/>
        <w:rPr>
          <w:sz w:val="24"/>
          <w:szCs w:val="24"/>
          <w:color w:val="auto"/>
        </w:rPr>
      </w:pPr>
    </w:p>
    <w:p>
      <w:pPr>
        <w:ind w:left="620" w:hanging="612"/>
        <w:spacing w:after="0" w:line="27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Arial" w:cs="Arial" w:eastAsia="Arial" w:hAnsi="Arial"/>
          <w:sz w:val="17"/>
          <w:szCs w:val="17"/>
          <w:color w:val="auto"/>
        </w:rPr>
      </w:pPr>
    </w:p>
    <w:p>
      <w:pPr>
        <w:ind w:left="1180" w:hanging="564"/>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1180" w:hanging="564"/>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1180" w:hanging="564"/>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180" w:hanging="564"/>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186690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-156210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-499110</wp:posOffset>
            </wp:positionV>
            <wp:extent cx="6517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-842010</wp:posOffset>
            </wp:positionV>
            <wp:extent cx="65176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792"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2627630</wp:posOffset>
            </wp:positionH>
            <wp:positionV relativeFrom="page">
              <wp:posOffset>389255</wp:posOffset>
            </wp:positionV>
            <wp:extent cx="2306955" cy="840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30695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Shareholders</w:t>
      </w:r>
    </w:p>
    <w:p>
      <w:pPr>
        <w:jc w:val="center"/>
        <w:ind w:right="-19"/>
        <w:spacing w:after="0"/>
        <w:rPr>
          <w:sz w:val="20"/>
          <w:szCs w:val="20"/>
          <w:color w:val="auto"/>
        </w:rPr>
      </w:pPr>
      <w:r>
        <w:rPr>
          <w:rFonts w:ascii="Arial" w:cs="Arial" w:eastAsia="Arial" w:hAnsi="Arial"/>
          <w:sz w:val="18"/>
          <w:szCs w:val="18"/>
          <w:b w:val="1"/>
          <w:bCs w:val="1"/>
          <w:color w:val="auto"/>
        </w:rPr>
        <w:t>to be held December 14,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Winnebago Industries, Inc.</w:t>
      </w:r>
    </w:p>
    <w:p>
      <w:pPr>
        <w:spacing w:after="0" w:line="374"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Annual Meeting of Shareholders of Winnebago Industries, Inc. will be held on Tuesday, December 14, 2010, at 4:00 p.m., Central Standard Time, in Winnebago Industries' South Office Complex Theater, 605 West Crystal Lake Road, Forest City, Iowa, for the following purposes:</w:t>
      </w:r>
    </w:p>
    <w:p>
      <w:pPr>
        <w:spacing w:after="0" w:line="9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Class II directors to hold office for three-year terms;</w:t>
      </w:r>
    </w:p>
    <w:p>
      <w:pPr>
        <w:spacing w:after="0" w:line="117" w:lineRule="exact"/>
        <w:rPr>
          <w:rFonts w:ascii="Arial" w:cs="Arial" w:eastAsia="Arial" w:hAnsi="Arial"/>
          <w:sz w:val="18"/>
          <w:szCs w:val="18"/>
          <w:color w:val="auto"/>
        </w:rPr>
      </w:pPr>
    </w:p>
    <w:p>
      <w:pPr>
        <w:ind w:left="360" w:hanging="352"/>
        <w:spacing w:after="0" w:line="262"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accountants for the fiscal year ending August 27, 2011; and</w:t>
      </w:r>
    </w:p>
    <w:p>
      <w:pPr>
        <w:spacing w:after="0" w:line="88"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17"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Board of Directors of the Company has fixed the close of business on October 5, 2010, as the record date for the determination of shareholders entitled to notice of and to vote at this meeting and at any and all adjournments thereof.</w:t>
      </w:r>
    </w:p>
    <w:p>
      <w:pPr>
        <w:spacing w:after="0" w:line="15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 Order of the Board of Directors</w:t>
      </w:r>
    </w:p>
    <w:p>
      <w:pPr>
        <w:spacing w:after="0" w:line="36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Raymond M. Beebe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Raymond M. Beebe</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Secretary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Forest City, Iowa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26, 2010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Whether or not you expect to attend the meeting in person, please vote via the Internet or telephone or request a paper proxy card to complete, sign and return by mail so that your shares may be voted. A prompt response is helpful and your cooperation is appreciated.</w:t>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5"/>
          </w:tcPr>
          <w:p>
            <w:pPr>
              <w:jc w:val="right"/>
              <w:ind w:right="580"/>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426"/>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FORWARD-LOOKING INFORMATION</w:t>
            </w:r>
          </w:p>
        </w:tc>
        <w:tc>
          <w:tcPr>
            <w:tcW w:w="420" w:type="dxa"/>
            <w:vAlign w:val="bottom"/>
            <w:tcBorders>
              <w:top w:val="single" w:sz="8" w:color="auto"/>
            </w:tcBorders>
          </w:tcPr>
          <w:p>
            <w:pPr>
              <w:spacing w:after="0"/>
              <w:rPr>
                <w:sz w:val="24"/>
                <w:szCs w:val="24"/>
                <w:color w:val="auto"/>
              </w:rPr>
            </w:pPr>
          </w:p>
        </w:tc>
        <w:tc>
          <w:tcPr>
            <w:tcW w:w="580" w:type="dxa"/>
            <w:vAlign w:val="bottom"/>
            <w:gridSpan w:val="4"/>
          </w:tcPr>
          <w:p>
            <w:pPr>
              <w:jc w:val="right"/>
              <w:ind w:right="20"/>
              <w:spacing w:after="0"/>
              <w:rPr>
                <w:rFonts w:ascii="Arial" w:cs="Arial" w:eastAsia="Arial" w:hAnsi="Arial"/>
                <w:sz w:val="22"/>
                <w:szCs w:val="22"/>
                <w:color w:val="0000FF"/>
              </w:rPr>
            </w:pPr>
            <w:hyperlink w:anchor="page3">
              <w:r>
                <w:rPr>
                  <w:rFonts w:ascii="Arial" w:cs="Arial" w:eastAsia="Arial" w:hAnsi="Arial"/>
                  <w:sz w:val="22"/>
                  <w:szCs w:val="22"/>
                  <w:color w:val="0000FF"/>
                </w:rPr>
                <w:t>1</w:t>
              </w:r>
            </w:hyperlink>
          </w:p>
        </w:tc>
        <w:tc>
          <w:tcPr>
            <w:tcW w:w="0" w:type="dxa"/>
            <w:vAlign w:val="bottom"/>
          </w:tcPr>
          <w:p>
            <w:pPr>
              <w:spacing w:after="0"/>
              <w:rPr>
                <w:sz w:val="1"/>
                <w:szCs w:val="1"/>
                <w:color w:val="auto"/>
              </w:rPr>
            </w:pPr>
          </w:p>
        </w:tc>
      </w:tr>
      <w:tr>
        <w:trPr>
          <w:trHeight w:val="20"/>
        </w:trPr>
        <w:tc>
          <w:tcPr>
            <w:tcW w:w="18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PROXY STATEMENT</w:t>
            </w:r>
          </w:p>
        </w:tc>
        <w:tc>
          <w:tcPr>
            <w:tcW w:w="1000" w:type="dxa"/>
            <w:vAlign w:val="bottom"/>
            <w:gridSpan w:val="5"/>
          </w:tcPr>
          <w:p>
            <w:pPr>
              <w:jc w:val="right"/>
              <w:ind w:right="20"/>
              <w:spacing w:after="0"/>
              <w:rPr>
                <w:rFonts w:ascii="Arial" w:cs="Arial" w:eastAsia="Arial" w:hAnsi="Arial"/>
                <w:sz w:val="22"/>
                <w:szCs w:val="22"/>
                <w:color w:val="0000FF"/>
              </w:rPr>
            </w:pPr>
            <w:hyperlink w:anchor="page4">
              <w:r>
                <w:rPr>
                  <w:rFonts w:ascii="Arial" w:cs="Arial" w:eastAsia="Arial" w:hAnsi="Arial"/>
                  <w:sz w:val="22"/>
                  <w:szCs w:val="22"/>
                  <w:color w:val="0000FF"/>
                </w:rPr>
                <w:t>1</w:t>
              </w:r>
            </w:hyperlink>
          </w:p>
        </w:tc>
        <w:tc>
          <w:tcPr>
            <w:tcW w:w="0" w:type="dxa"/>
            <w:vAlign w:val="bottom"/>
          </w:tcPr>
          <w:p>
            <w:pPr>
              <w:spacing w:after="0"/>
              <w:rPr>
                <w:sz w:val="1"/>
                <w:szCs w:val="1"/>
                <w:color w:val="auto"/>
              </w:rPr>
            </w:pPr>
          </w:p>
        </w:tc>
      </w:tr>
      <w:tr>
        <w:trPr>
          <w:trHeight w:val="20"/>
        </w:trPr>
        <w:tc>
          <w:tcPr>
            <w:tcW w:w="18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VOTING SECURITIES AND PRINCIPAL HOLDERS THEREOF</w:t>
            </w:r>
          </w:p>
        </w:tc>
        <w:tc>
          <w:tcPr>
            <w:tcW w:w="1000" w:type="dxa"/>
            <w:vAlign w:val="bottom"/>
            <w:gridSpan w:val="5"/>
          </w:tcPr>
          <w:p>
            <w:pPr>
              <w:jc w:val="right"/>
              <w:ind w:right="20"/>
              <w:spacing w:after="0"/>
              <w:rPr>
                <w:rFonts w:ascii="Arial" w:cs="Arial" w:eastAsia="Arial" w:hAnsi="Arial"/>
                <w:sz w:val="22"/>
                <w:szCs w:val="22"/>
                <w:color w:val="0000FF"/>
              </w:rPr>
            </w:pPr>
            <w:hyperlink w:anchor="page5">
              <w:r>
                <w:rPr>
                  <w:rFonts w:ascii="Arial" w:cs="Arial" w:eastAsia="Arial" w:hAnsi="Arial"/>
                  <w:sz w:val="22"/>
                  <w:szCs w:val="22"/>
                  <w:color w:val="0000FF"/>
                </w:rPr>
                <w:t>3</w:t>
              </w:r>
            </w:hyperlink>
          </w:p>
        </w:tc>
        <w:tc>
          <w:tcPr>
            <w:tcW w:w="0" w:type="dxa"/>
            <w:vAlign w:val="bottom"/>
          </w:tcPr>
          <w:p>
            <w:pPr>
              <w:spacing w:after="0"/>
              <w:rPr>
                <w:sz w:val="1"/>
                <w:szCs w:val="1"/>
                <w:color w:val="auto"/>
              </w:rPr>
            </w:pPr>
          </w:p>
        </w:tc>
      </w:tr>
      <w:tr>
        <w:trPr>
          <w:trHeight w:val="27"/>
        </w:trPr>
        <w:tc>
          <w:tcPr>
            <w:tcW w:w="1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900" w:type="dxa"/>
            <w:vAlign w:val="bottom"/>
            <w:gridSpan w:val="2"/>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40" w:type="dxa"/>
            <w:vAlign w:val="bottom"/>
            <w:gridSpan w:val="2"/>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Borders>
              <w:right w:val="single" w:sz="8" w:color="0000FF"/>
            </w:tcBorders>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SECTION 16(a) BENEFICIAL OWNERSHIP REPORTING COMPLIANCE</w:t>
            </w:r>
          </w:p>
        </w:tc>
        <w:tc>
          <w:tcPr>
            <w:tcW w:w="1000" w:type="dxa"/>
            <w:vAlign w:val="bottom"/>
            <w:gridSpan w:val="5"/>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8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90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680" w:type="dxa"/>
            <w:vAlign w:val="bottom"/>
            <w:tcBorders>
              <w:bottom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900" w:type="dxa"/>
            <w:vAlign w:val="bottom"/>
            <w:gridSpan w:val="19"/>
          </w:tcPr>
          <w:p>
            <w:pPr>
              <w:spacing w:after="0"/>
              <w:rPr>
                <w:rFonts w:ascii="Arial" w:cs="Arial" w:eastAsia="Arial" w:hAnsi="Arial"/>
                <w:sz w:val="18"/>
                <w:szCs w:val="18"/>
                <w:b w:val="1"/>
                <w:bCs w:val="1"/>
                <w:color w:val="0000FF"/>
                <w:w w:val="99"/>
              </w:rPr>
            </w:pPr>
            <w:hyperlink w:anchor="page8">
              <w:r>
                <w:rPr>
                  <w:rFonts w:ascii="Arial" w:cs="Arial" w:eastAsia="Arial" w:hAnsi="Arial"/>
                  <w:sz w:val="18"/>
                  <w:szCs w:val="18"/>
                  <w:b w:val="1"/>
                  <w:bCs w:val="1"/>
                  <w:color w:val="0000FF"/>
                  <w:w w:val="99"/>
                </w:rPr>
                <w:t>BOARD OF DIRECTORS, COMMITTTEES OF THE BOARD AND CORPORATE GOVERNANCE</w:t>
              </w:r>
            </w:hyperlink>
          </w:p>
        </w:tc>
        <w:tc>
          <w:tcPr>
            <w:tcW w:w="2480" w:type="dxa"/>
            <w:vAlign w:val="bottom"/>
            <w:gridSpan w:val="2"/>
          </w:tcPr>
          <w:p>
            <w:pPr>
              <w:spacing w:after="0"/>
              <w:rPr>
                <w:sz w:val="24"/>
                <w:szCs w:val="24"/>
                <w:color w:val="auto"/>
              </w:rPr>
            </w:pPr>
          </w:p>
        </w:tc>
        <w:tc>
          <w:tcPr>
            <w:tcW w:w="1000" w:type="dxa"/>
            <w:vAlign w:val="bottom"/>
            <w:gridSpan w:val="5"/>
          </w:tcPr>
          <w:p>
            <w:pPr>
              <w:jc w:val="right"/>
              <w:ind w:right="20"/>
              <w:spacing w:after="0"/>
              <w:rPr>
                <w:rFonts w:ascii="Arial" w:cs="Arial" w:eastAsia="Arial" w:hAnsi="Arial"/>
                <w:sz w:val="22"/>
                <w:szCs w:val="22"/>
                <w:color w:val="0000FF"/>
              </w:rPr>
            </w:pPr>
            <w:hyperlink w:anchor="page8">
              <w:r>
                <w:rPr>
                  <w:rFonts w:ascii="Arial" w:cs="Arial" w:eastAsia="Arial" w:hAnsi="Arial"/>
                  <w:sz w:val="22"/>
                  <w:szCs w:val="22"/>
                  <w:color w:val="0000FF"/>
                </w:rPr>
                <w:t>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00" w:type="dxa"/>
            <w:vAlign w:val="bottom"/>
            <w:gridSpan w:val="19"/>
          </w:tcPr>
          <w:p>
            <w:pPr>
              <w:spacing w:after="0"/>
              <w:rPr>
                <w:sz w:val="20"/>
                <w:szCs w:val="20"/>
                <w:color w:val="auto"/>
              </w:rPr>
            </w:pPr>
            <w:r>
              <w:rPr>
                <w:rFonts w:ascii="Arial" w:cs="Arial" w:eastAsia="Arial" w:hAnsi="Arial"/>
                <w:sz w:val="18"/>
                <w:szCs w:val="18"/>
                <w:b w:val="1"/>
                <w:bCs w:val="1"/>
                <w:color w:val="0000FF"/>
              </w:rPr>
              <w:t>DIRECTOR COMPENSATION</w:t>
            </w:r>
          </w:p>
        </w:tc>
        <w:tc>
          <w:tcPr>
            <w:tcW w:w="2480" w:type="dxa"/>
            <w:vAlign w:val="bottom"/>
            <w:gridSpan w:val="2"/>
          </w:tcPr>
          <w:p>
            <w:pPr>
              <w:spacing w:after="0"/>
              <w:rPr>
                <w:sz w:val="24"/>
                <w:szCs w:val="24"/>
                <w:color w:val="auto"/>
              </w:rPr>
            </w:pPr>
          </w:p>
        </w:tc>
        <w:tc>
          <w:tcPr>
            <w:tcW w:w="980" w:type="dxa"/>
            <w:vAlign w:val="bottom"/>
            <w:gridSpan w:val="4"/>
          </w:tcPr>
          <w:p>
            <w:pPr>
              <w:jc w:val="right"/>
              <w:spacing w:after="0"/>
              <w:rPr>
                <w:rFonts w:ascii="Arial" w:cs="Arial" w:eastAsia="Arial" w:hAnsi="Arial"/>
                <w:sz w:val="22"/>
                <w:szCs w:val="22"/>
                <w:color w:val="0000FF"/>
              </w:rPr>
            </w:pPr>
            <w:hyperlink w:anchor="page13">
              <w:r>
                <w:rPr>
                  <w:rFonts w:ascii="Arial" w:cs="Arial" w:eastAsia="Arial" w:hAnsi="Arial"/>
                  <w:sz w:val="22"/>
                  <w:szCs w:val="22"/>
                  <w:color w:val="0000FF"/>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900" w:type="dxa"/>
            <w:vAlign w:val="bottom"/>
            <w:tcBorders>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ITEM 1 ELECTION OF DIRECTORS</w:t>
            </w:r>
          </w:p>
        </w:tc>
        <w:tc>
          <w:tcPr>
            <w:tcW w:w="980" w:type="dxa"/>
            <w:vAlign w:val="bottom"/>
            <w:gridSpan w:val="4"/>
          </w:tcPr>
          <w:p>
            <w:pPr>
              <w:jc w:val="right"/>
              <w:spacing w:after="0"/>
              <w:rPr>
                <w:rFonts w:ascii="Arial" w:cs="Arial" w:eastAsia="Arial" w:hAnsi="Arial"/>
                <w:sz w:val="22"/>
                <w:szCs w:val="22"/>
                <w:color w:val="0000FF"/>
              </w:rPr>
            </w:pPr>
            <w:hyperlink w:anchor="page15">
              <w:r>
                <w:rPr>
                  <w:rFonts w:ascii="Arial" w:cs="Arial" w:eastAsia="Arial" w:hAnsi="Arial"/>
                  <w:sz w:val="22"/>
                  <w:szCs w:val="22"/>
                  <w:color w:val="0000FF"/>
                </w:rPr>
                <w:t>13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EXECUTIVE COMPENSATION</w:t>
            </w:r>
          </w:p>
        </w:tc>
        <w:tc>
          <w:tcPr>
            <w:tcW w:w="980" w:type="dxa"/>
            <w:vAlign w:val="bottom"/>
            <w:gridSpan w:val="4"/>
          </w:tcPr>
          <w:p>
            <w:pPr>
              <w:jc w:val="right"/>
              <w:spacing w:after="0"/>
              <w:rPr>
                <w:rFonts w:ascii="Arial" w:cs="Arial" w:eastAsia="Arial" w:hAnsi="Arial"/>
                <w:sz w:val="22"/>
                <w:szCs w:val="22"/>
                <w:color w:val="0000FF"/>
              </w:rPr>
            </w:pPr>
            <w:hyperlink w:anchor="page17">
              <w:r>
                <w:rPr>
                  <w:rFonts w:ascii="Arial" w:cs="Arial" w:eastAsia="Arial" w:hAnsi="Arial"/>
                  <w:sz w:val="22"/>
                  <w:szCs w:val="22"/>
                  <w:color w:val="0000FF"/>
                </w:rPr>
                <w:t>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0000FF"/>
            </w:tcBorders>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980" w:type="dxa"/>
            <w:vAlign w:val="bottom"/>
            <w:tcBorders>
              <w:bottom w:val="single" w:sz="8" w:color="0000FF"/>
            </w:tcBorders>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80" w:type="dxa"/>
            <w:vAlign w:val="bottom"/>
          </w:tcPr>
          <w:p>
            <w:pPr>
              <w:spacing w:after="0"/>
              <w:rPr>
                <w:sz w:val="24"/>
                <w:szCs w:val="24"/>
                <w:color w:val="auto"/>
              </w:rPr>
            </w:pPr>
          </w:p>
        </w:tc>
        <w:tc>
          <w:tcPr>
            <w:tcW w:w="10200" w:type="dxa"/>
            <w:vAlign w:val="bottom"/>
            <w:gridSpan w:val="20"/>
          </w:tcPr>
          <w:p>
            <w:pPr>
              <w:spacing w:after="0"/>
              <w:rPr>
                <w:sz w:val="20"/>
                <w:szCs w:val="20"/>
                <w:color w:val="auto"/>
              </w:rPr>
            </w:pPr>
            <w:r>
              <w:rPr>
                <w:rFonts w:ascii="Arial" w:cs="Arial" w:eastAsia="Arial" w:hAnsi="Arial"/>
                <w:sz w:val="18"/>
                <w:szCs w:val="18"/>
                <w:b w:val="1"/>
                <w:bCs w:val="1"/>
                <w:color w:val="0000FF"/>
              </w:rPr>
              <w:t>Compensation Discussion and Analysis</w:t>
            </w:r>
          </w:p>
        </w:tc>
        <w:tc>
          <w:tcPr>
            <w:tcW w:w="980" w:type="dxa"/>
            <w:vAlign w:val="bottom"/>
            <w:gridSpan w:val="4"/>
          </w:tcPr>
          <w:p>
            <w:pPr>
              <w:jc w:val="right"/>
              <w:spacing w:after="0"/>
              <w:rPr>
                <w:rFonts w:ascii="Arial" w:cs="Arial" w:eastAsia="Arial" w:hAnsi="Arial"/>
                <w:sz w:val="22"/>
                <w:szCs w:val="22"/>
                <w:color w:val="0000FF"/>
              </w:rPr>
            </w:pPr>
            <w:hyperlink w:anchor="page18">
              <w:r>
                <w:rPr>
                  <w:rFonts w:ascii="Arial" w:cs="Arial" w:eastAsia="Arial" w:hAnsi="Arial"/>
                  <w:sz w:val="22"/>
                  <w:szCs w:val="22"/>
                  <w:color w:val="0000FF"/>
                </w:rPr>
                <w:t>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1640" w:type="dxa"/>
            <w:vAlign w:val="bottom"/>
            <w:tcBorders>
              <w:bottom w:val="single" w:sz="8" w:color="0000FF"/>
            </w:tcBorders>
            <w:gridSpan w:val="6"/>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80" w:type="dxa"/>
            <w:vAlign w:val="bottom"/>
          </w:tcPr>
          <w:p>
            <w:pPr>
              <w:spacing w:after="0"/>
              <w:rPr>
                <w:sz w:val="24"/>
                <w:szCs w:val="24"/>
                <w:color w:val="auto"/>
              </w:rPr>
            </w:pPr>
          </w:p>
        </w:tc>
        <w:tc>
          <w:tcPr>
            <w:tcW w:w="10200" w:type="dxa"/>
            <w:vAlign w:val="bottom"/>
            <w:gridSpan w:val="20"/>
          </w:tcPr>
          <w:p>
            <w:pPr>
              <w:spacing w:after="0"/>
              <w:rPr>
                <w:sz w:val="20"/>
                <w:szCs w:val="20"/>
                <w:color w:val="auto"/>
              </w:rPr>
            </w:pPr>
            <w:r>
              <w:rPr>
                <w:rFonts w:ascii="Arial" w:cs="Arial" w:eastAsia="Arial" w:hAnsi="Arial"/>
                <w:sz w:val="18"/>
                <w:szCs w:val="18"/>
                <w:b w:val="1"/>
                <w:bCs w:val="1"/>
                <w:color w:val="0000FF"/>
              </w:rPr>
              <w:t>Human Resources Committee Report</w:t>
            </w:r>
          </w:p>
        </w:tc>
        <w:tc>
          <w:tcPr>
            <w:tcW w:w="980" w:type="dxa"/>
            <w:vAlign w:val="bottom"/>
            <w:gridSpan w:val="4"/>
          </w:tcPr>
          <w:p>
            <w:pPr>
              <w:jc w:val="right"/>
              <w:spacing w:after="0"/>
              <w:rPr>
                <w:rFonts w:ascii="Arial" w:cs="Arial" w:eastAsia="Arial" w:hAnsi="Arial"/>
                <w:sz w:val="22"/>
                <w:szCs w:val="22"/>
                <w:color w:val="0000FF"/>
              </w:rPr>
            </w:pPr>
            <w:hyperlink w:anchor="page31">
              <w:r>
                <w:rPr>
                  <w:rFonts w:ascii="Arial" w:cs="Arial" w:eastAsia="Arial" w:hAnsi="Arial"/>
                  <w:sz w:val="22"/>
                  <w:szCs w:val="22"/>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1640" w:type="dxa"/>
            <w:vAlign w:val="bottom"/>
            <w:tcBorders>
              <w:bottom w:val="single" w:sz="8" w:color="0000FF"/>
            </w:tcBorders>
            <w:gridSpan w:val="6"/>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right w:val="single" w:sz="8" w:color="0000FF"/>
            </w:tcBorders>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80" w:type="dxa"/>
            <w:vAlign w:val="bottom"/>
          </w:tcPr>
          <w:p>
            <w:pPr>
              <w:spacing w:after="0"/>
              <w:rPr>
                <w:sz w:val="24"/>
                <w:szCs w:val="24"/>
                <w:color w:val="auto"/>
              </w:rPr>
            </w:pPr>
          </w:p>
        </w:tc>
        <w:tc>
          <w:tcPr>
            <w:tcW w:w="4040" w:type="dxa"/>
            <w:vAlign w:val="bottom"/>
            <w:gridSpan w:val="13"/>
          </w:tcPr>
          <w:p>
            <w:pPr>
              <w:spacing w:after="0"/>
              <w:rPr>
                <w:sz w:val="20"/>
                <w:szCs w:val="20"/>
                <w:color w:val="auto"/>
              </w:rPr>
            </w:pPr>
            <w:r>
              <w:rPr>
                <w:rFonts w:ascii="Arial" w:cs="Arial" w:eastAsia="Arial" w:hAnsi="Arial"/>
                <w:sz w:val="18"/>
                <w:szCs w:val="18"/>
                <w:b w:val="1"/>
                <w:bCs w:val="1"/>
                <w:color w:val="0000FF"/>
                <w:w w:val="99"/>
              </w:rPr>
              <w:t>Compensation Tables and Narrative Disclosure</w:t>
            </w:r>
          </w:p>
        </w:tc>
        <w:tc>
          <w:tcPr>
            <w:tcW w:w="6160" w:type="dxa"/>
            <w:vAlign w:val="bottom"/>
            <w:gridSpan w:val="7"/>
          </w:tcPr>
          <w:p>
            <w:pPr>
              <w:spacing w:after="0"/>
              <w:rPr>
                <w:sz w:val="24"/>
                <w:szCs w:val="24"/>
                <w:color w:val="auto"/>
              </w:rPr>
            </w:pPr>
          </w:p>
        </w:tc>
        <w:tc>
          <w:tcPr>
            <w:tcW w:w="980" w:type="dxa"/>
            <w:vAlign w:val="bottom"/>
            <w:gridSpan w:val="4"/>
          </w:tcPr>
          <w:p>
            <w:pPr>
              <w:jc w:val="right"/>
              <w:spacing w:after="0"/>
              <w:rPr>
                <w:rFonts w:ascii="Arial" w:cs="Arial" w:eastAsia="Arial" w:hAnsi="Arial"/>
                <w:sz w:val="22"/>
                <w:szCs w:val="22"/>
                <w:color w:val="0000FF"/>
              </w:rPr>
            </w:pPr>
            <w:hyperlink w:anchor="page32">
              <w:r>
                <w:rPr>
                  <w:rFonts w:ascii="Arial" w:cs="Arial" w:eastAsia="Arial" w:hAnsi="Arial"/>
                  <w:sz w:val="22"/>
                  <w:szCs w:val="22"/>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40" w:type="dxa"/>
            <w:vAlign w:val="bottom"/>
            <w:gridSpan w:val="6"/>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34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Borders>
              <w:right w:val="single" w:sz="8" w:color="0000FF"/>
            </w:tcBorders>
            <w:gridSpan w:val="2"/>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13"/>
        </w:trPr>
        <w:tc>
          <w:tcPr>
            <w:tcW w:w="9840" w:type="dxa"/>
            <w:vAlign w:val="bottom"/>
            <w:tcBorders>
              <w:bottom w:val="single" w:sz="8" w:color="0000FF"/>
            </w:tcBorders>
            <w:gridSpan w:val="20"/>
          </w:tcPr>
          <w:p>
            <w:pPr>
              <w:spacing w:after="0"/>
              <w:rPr>
                <w:rFonts w:ascii="Arial" w:cs="Arial" w:eastAsia="Arial" w:hAnsi="Arial"/>
                <w:sz w:val="18"/>
                <w:szCs w:val="18"/>
                <w:b w:val="1"/>
                <w:bCs w:val="1"/>
                <w:color w:val="0000FF"/>
                <w:w w:val="99"/>
              </w:rPr>
            </w:pPr>
            <w:hyperlink w:anchor="page41">
              <w:r>
                <w:rPr>
                  <w:rFonts w:ascii="Arial" w:cs="Arial" w:eastAsia="Arial" w:hAnsi="Arial"/>
                  <w:sz w:val="18"/>
                  <w:szCs w:val="18"/>
                  <w:b w:val="1"/>
                  <w:bCs w:val="1"/>
                  <w:color w:val="0000FF"/>
                  <w:w w:val="99"/>
                </w:rPr>
                <w:t>ITEM 2 RATIFICATION OF THE APPOINTMENT OF INDEPEN DENT REGISTERED PUBLIC ACCOUNTANTS FOR THE</w:t>
              </w:r>
            </w:hyperlink>
          </w:p>
        </w:tc>
        <w:tc>
          <w:tcPr>
            <w:tcW w:w="540" w:type="dxa"/>
            <w:vAlign w:val="bottom"/>
          </w:tcPr>
          <w:p>
            <w:pPr>
              <w:spacing w:after="0"/>
              <w:rPr>
                <w:sz w:val="24"/>
                <w:szCs w:val="24"/>
                <w:color w:val="auto"/>
              </w:rPr>
            </w:pPr>
          </w:p>
        </w:tc>
        <w:tc>
          <w:tcPr>
            <w:tcW w:w="980" w:type="dxa"/>
            <w:vAlign w:val="bottom"/>
            <w:gridSpan w:val="4"/>
          </w:tcPr>
          <w:p>
            <w:pPr>
              <w:jc w:val="right"/>
              <w:spacing w:after="0"/>
              <w:rPr>
                <w:rFonts w:ascii="Arial" w:cs="Arial" w:eastAsia="Arial" w:hAnsi="Arial"/>
                <w:sz w:val="22"/>
                <w:szCs w:val="22"/>
                <w:color w:val="0000FF"/>
              </w:rPr>
            </w:pPr>
            <w:hyperlink w:anchor="page41">
              <w:r>
                <w:rPr>
                  <w:rFonts w:ascii="Arial" w:cs="Arial" w:eastAsia="Arial" w:hAnsi="Arial"/>
                  <w:sz w:val="22"/>
                  <w:szCs w:val="22"/>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380" w:type="dxa"/>
            <w:vAlign w:val="bottom"/>
            <w:gridSpan w:val="21"/>
            <w:vMerge w:val="restart"/>
          </w:tcPr>
          <w:p>
            <w:pPr>
              <w:spacing w:after="0" w:line="182" w:lineRule="exact"/>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FISCAL YEAR ENDING AUGUST 27, 2011</w:t>
              </w:r>
            </w:hyperlink>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380" w:type="dxa"/>
            <w:vAlign w:val="bottom"/>
            <w:gridSpan w:val="21"/>
            <w:vMerge w:val="continue"/>
          </w:tcPr>
          <w:p>
            <w:pPr>
              <w:spacing w:after="0"/>
              <w:rPr>
                <w:sz w:val="12"/>
                <w:szCs w:val="12"/>
                <w:color w:val="auto"/>
              </w:rPr>
            </w:pPr>
          </w:p>
        </w:tc>
        <w:tc>
          <w:tcPr>
            <w:tcW w:w="1000" w:type="dxa"/>
            <w:vAlign w:val="bottom"/>
            <w:gridSpan w:val="5"/>
            <w:vMerge w:val="restart"/>
          </w:tcPr>
          <w:p>
            <w:pPr>
              <w:jc w:val="right"/>
              <w:spacing w:after="0"/>
              <w:rPr>
                <w:rFonts w:ascii="Arial" w:cs="Arial" w:eastAsia="Arial" w:hAnsi="Arial"/>
                <w:sz w:val="22"/>
                <w:szCs w:val="22"/>
                <w:color w:val="0000FF"/>
              </w:rPr>
            </w:pPr>
            <w:hyperlink w:anchor="page42">
              <w:r>
                <w:rPr>
                  <w:rFonts w:ascii="Arial" w:cs="Arial" w:eastAsia="Arial" w:hAnsi="Arial"/>
                  <w:sz w:val="22"/>
                  <w:szCs w:val="22"/>
                  <w:color w:val="0000FF"/>
                </w:rPr>
                <w:t>38</w:t>
              </w:r>
            </w:hyperlink>
          </w:p>
        </w:tc>
        <w:tc>
          <w:tcPr>
            <w:tcW w:w="0" w:type="dxa"/>
            <w:vAlign w:val="bottom"/>
          </w:tcPr>
          <w:p>
            <w:pPr>
              <w:spacing w:after="0"/>
              <w:rPr>
                <w:sz w:val="1"/>
                <w:szCs w:val="1"/>
                <w:color w:val="auto"/>
              </w:rPr>
            </w:pPr>
          </w:p>
        </w:tc>
      </w:tr>
      <w:tr>
        <w:trPr>
          <w:trHeight w:val="372"/>
        </w:trPr>
        <w:tc>
          <w:tcPr>
            <w:tcW w:w="1540" w:type="dxa"/>
            <w:vAlign w:val="bottom"/>
            <w:tcBorders>
              <w:top w:val="single" w:sz="8" w:color="0000FF"/>
            </w:tcBorders>
            <w:gridSpan w:val="3"/>
          </w:tcPr>
          <w:p>
            <w:pPr>
              <w:spacing w:after="0"/>
              <w:rPr>
                <w:rFonts w:ascii="Arial" w:cs="Arial" w:eastAsia="Arial" w:hAnsi="Arial"/>
                <w:sz w:val="18"/>
                <w:szCs w:val="18"/>
                <w:b w:val="1"/>
                <w:bCs w:val="1"/>
                <w:color w:val="0000FF"/>
                <w:w w:val="98"/>
              </w:rPr>
            </w:pPr>
            <w:hyperlink w:anchor="page42">
              <w:r>
                <w:rPr>
                  <w:rFonts w:ascii="Arial" w:cs="Arial" w:eastAsia="Arial" w:hAnsi="Arial"/>
                  <w:sz w:val="18"/>
                  <w:szCs w:val="18"/>
                  <w:b w:val="1"/>
                  <w:bCs w:val="1"/>
                  <w:color w:val="0000FF"/>
                  <w:w w:val="98"/>
                </w:rPr>
                <w:t>OTHER MATTERS</w:t>
              </w:r>
            </w:hyperlink>
          </w:p>
        </w:tc>
        <w:tc>
          <w:tcPr>
            <w:tcW w:w="1960" w:type="dxa"/>
            <w:vAlign w:val="bottom"/>
            <w:tcBorders>
              <w:top w:val="single" w:sz="8" w:color="0000FF"/>
            </w:tcBorders>
            <w:gridSpan w:val="8"/>
          </w:tcPr>
          <w:p>
            <w:pPr>
              <w:spacing w:after="0"/>
              <w:rPr>
                <w:sz w:val="24"/>
                <w:szCs w:val="24"/>
                <w:color w:val="auto"/>
              </w:rPr>
            </w:pPr>
          </w:p>
        </w:tc>
        <w:tc>
          <w:tcPr>
            <w:tcW w:w="6880" w:type="dxa"/>
            <w:vAlign w:val="bottom"/>
            <w:gridSpan w:val="10"/>
          </w:tcPr>
          <w:p>
            <w:pPr>
              <w:spacing w:after="0"/>
              <w:rPr>
                <w:sz w:val="24"/>
                <w:szCs w:val="24"/>
                <w:color w:val="auto"/>
              </w:rPr>
            </w:pPr>
          </w:p>
        </w:tc>
        <w:tc>
          <w:tcPr>
            <w:tcW w:w="100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780" w:type="dxa"/>
            <w:vAlign w:val="bottom"/>
            <w:tcBorders>
              <w:right w:val="single" w:sz="8" w:color="0000FF"/>
            </w:tcBorders>
            <w:gridSpan w:val="2"/>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REPORT OF THE AUDIT COMMITTEE</w:t>
            </w:r>
          </w:p>
        </w:tc>
        <w:tc>
          <w:tcPr>
            <w:tcW w:w="1000" w:type="dxa"/>
            <w:vAlign w:val="bottom"/>
            <w:gridSpan w:val="5"/>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7"/>
        </w:trPr>
        <w:tc>
          <w:tcPr>
            <w:tcW w:w="880" w:type="dxa"/>
            <w:vAlign w:val="bottom"/>
            <w:gridSpan w:val="2"/>
            <w:shd w:val="clear" w:color="auto" w:fill="0000FF"/>
          </w:tcPr>
          <w:p>
            <w:pPr>
              <w:spacing w:after="0"/>
              <w:rPr>
                <w:sz w:val="2"/>
                <w:szCs w:val="2"/>
                <w:color w:val="auto"/>
              </w:rPr>
            </w:pPr>
          </w:p>
        </w:tc>
        <w:tc>
          <w:tcPr>
            <w:tcW w:w="2300" w:type="dxa"/>
            <w:vAlign w:val="bottom"/>
            <w:gridSpan w:val="7"/>
            <w:shd w:val="clear" w:color="auto" w:fill="0000FF"/>
          </w:tcPr>
          <w:p>
            <w:pPr>
              <w:spacing w:after="0"/>
              <w:rPr>
                <w:sz w:val="2"/>
                <w:szCs w:val="2"/>
                <w:color w:val="auto"/>
              </w:rPr>
            </w:pPr>
          </w:p>
        </w:tc>
        <w:tc>
          <w:tcPr>
            <w:tcW w:w="74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2180" w:type="dxa"/>
            <w:vAlign w:val="bottom"/>
            <w:gridSpan w:val="3"/>
          </w:tcPr>
          <w:p>
            <w:pPr>
              <w:spacing w:after="0"/>
              <w:rPr>
                <w:sz w:val="2"/>
                <w:szCs w:val="2"/>
                <w:color w:val="auto"/>
              </w:rPr>
            </w:pPr>
          </w:p>
        </w:tc>
        <w:tc>
          <w:tcPr>
            <w:tcW w:w="3940" w:type="dxa"/>
            <w:vAlign w:val="bottom"/>
            <w:gridSpan w:val="3"/>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gridSpan w:val="3"/>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2"/>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INDEPENDENT REGISTERD PUBLIC ACCOUNTANTS FEES AND SERVICES</w:t>
            </w:r>
          </w:p>
        </w:tc>
        <w:tc>
          <w:tcPr>
            <w:tcW w:w="1000" w:type="dxa"/>
            <w:vAlign w:val="bottom"/>
            <w:gridSpan w:val="5"/>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365"/>
        </w:trPr>
        <w:tc>
          <w:tcPr>
            <w:tcW w:w="6440" w:type="dxa"/>
            <w:vAlign w:val="bottom"/>
            <w:tcBorders>
              <w:top w:val="single" w:sz="8" w:color="0000FF"/>
            </w:tcBorders>
            <w:gridSpan w:val="18"/>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FISCAL YEAR 2011 SHAREHOLDER PROPOSALS</w:t>
              </w:r>
            </w:hyperlink>
          </w:p>
        </w:tc>
        <w:tc>
          <w:tcPr>
            <w:tcW w:w="3940" w:type="dxa"/>
            <w:vAlign w:val="bottom"/>
            <w:gridSpan w:val="3"/>
          </w:tcPr>
          <w:p>
            <w:pPr>
              <w:spacing w:after="0"/>
              <w:rPr>
                <w:sz w:val="24"/>
                <w:szCs w:val="24"/>
                <w:color w:val="auto"/>
              </w:rPr>
            </w:pPr>
          </w:p>
        </w:tc>
        <w:tc>
          <w:tcPr>
            <w:tcW w:w="1000" w:type="dxa"/>
            <w:vAlign w:val="bottom"/>
            <w:gridSpan w:val="5"/>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040" w:type="dxa"/>
            <w:vAlign w:val="bottom"/>
            <w:gridSpan w:val="11"/>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7"/>
              </w:rPr>
              <w:t>GENERAL</w:t>
            </w:r>
          </w:p>
        </w:tc>
        <w:tc>
          <w:tcPr>
            <w:tcW w:w="3380" w:type="dxa"/>
            <w:vAlign w:val="bottom"/>
            <w:gridSpan w:val="13"/>
          </w:tcPr>
          <w:p>
            <w:pPr>
              <w:spacing w:after="0"/>
              <w:rPr>
                <w:sz w:val="24"/>
                <w:szCs w:val="24"/>
                <w:color w:val="auto"/>
              </w:rPr>
            </w:pPr>
          </w:p>
        </w:tc>
        <w:tc>
          <w:tcPr>
            <w:tcW w:w="6120" w:type="dxa"/>
            <w:vAlign w:val="bottom"/>
            <w:gridSpan w:val="6"/>
          </w:tcPr>
          <w:p>
            <w:pPr>
              <w:spacing w:after="0"/>
              <w:rPr>
                <w:sz w:val="24"/>
                <w:szCs w:val="24"/>
                <w:color w:val="auto"/>
              </w:rPr>
            </w:pPr>
          </w:p>
        </w:tc>
        <w:tc>
          <w:tcPr>
            <w:tcW w:w="1000" w:type="dxa"/>
            <w:vAlign w:val="bottom"/>
            <w:gridSpan w:val="5"/>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365"/>
        </w:trPr>
        <w:tc>
          <w:tcPr>
            <w:tcW w:w="10380" w:type="dxa"/>
            <w:vAlign w:val="bottom"/>
            <w:gridSpan w:val="21"/>
          </w:tcPr>
          <w:p>
            <w:pPr>
              <w:spacing w:after="0"/>
              <w:rPr>
                <w:sz w:val="20"/>
                <w:szCs w:val="20"/>
                <w:color w:val="auto"/>
              </w:rPr>
            </w:pPr>
            <w:r>
              <w:rPr>
                <w:rFonts w:ascii="Arial" w:cs="Arial" w:eastAsia="Arial" w:hAnsi="Arial"/>
                <w:sz w:val="18"/>
                <w:szCs w:val="18"/>
                <w:b w:val="1"/>
                <w:bCs w:val="1"/>
                <w:color w:val="0000FF"/>
              </w:rPr>
              <w:t>APPENDIX A — NOMINATION OF DIRECTORS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gridSpan w:val="3"/>
          </w:tcPr>
          <w:p>
            <w:pPr>
              <w:jc w:val="right"/>
              <w:ind w:right="20"/>
              <w:spacing w:after="0"/>
              <w:rPr>
                <w:rFonts w:ascii="Arial" w:cs="Arial" w:eastAsia="Arial" w:hAnsi="Arial"/>
                <w:sz w:val="16"/>
                <w:szCs w:val="16"/>
                <w:color w:val="0000FF"/>
                <w:w w:val="72"/>
              </w:rPr>
            </w:pPr>
            <w:r>
              <w:rPr>
                <w:rFonts w:ascii="Arial" w:cs="Arial" w:eastAsia="Arial" w:hAnsi="Arial"/>
                <w:sz w:val="16"/>
                <w:szCs w:val="16"/>
                <w:color w:val="0000FF"/>
                <w:w w:val="72"/>
              </w:rPr>
              <w:t>A-</w:t>
            </w:r>
            <w:hyperlink w:anchor="page45">
              <w:r>
                <w:rPr>
                  <w:rFonts w:ascii="Arial" w:cs="Arial" w:eastAsia="Arial" w:hAnsi="Arial"/>
                  <w:sz w:val="16"/>
                  <w:szCs w:val="16"/>
                  <w:color w:val="0000FF"/>
                  <w:w w:val="72"/>
                </w:rPr>
                <w:t>1</w:t>
              </w:r>
            </w:hyperlink>
          </w:p>
        </w:tc>
        <w:tc>
          <w:tcPr>
            <w:tcW w:w="0" w:type="dxa"/>
            <w:vAlign w:val="bottom"/>
          </w:tcPr>
          <w:p>
            <w:pPr>
              <w:spacing w:after="0"/>
              <w:rPr>
                <w:sz w:val="1"/>
                <w:szCs w:val="1"/>
                <w:color w:val="auto"/>
              </w:rPr>
            </w:pPr>
          </w:p>
        </w:tc>
      </w:tr>
      <w:tr>
        <w:trPr>
          <w:trHeight w:val="27"/>
        </w:trPr>
        <w:tc>
          <w:tcPr>
            <w:tcW w:w="1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Borders>
              <w:right w:val="single" w:sz="8" w:color="0000FF"/>
            </w:tcBorders>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35"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605 West Crystal Lake Road - Forest City, Iowa 50436</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in this Proxy Statement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statements include (without limitation) statements as to future expectations, beliefs, plans, strategies, objectives, events, conditions and financial performance. These statements are intended to constitute “forward-looking” statements in connection with the “safe harbor” provisions of the Private Securities Litigation Reform Act of 1995. Winnebago Industries, Inc., an Iowa co rporation (the “Company,” “Winnebago Industries,” “we,” “us” and “our”), is providing this cautionary statement to disclose that there are important factors that could cause actual results to differ materially from those anticipated. Reference is made to our Annual Report on Form 10-K for the fiscal year ended August 28, 2010 (the “2010 Form 10-K”) filed with the Securities and Exchange Commission (the “SEC”) for a list of such factors.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This Proxy Statement is furnished in connection with the solicitation by our Board of Directors of proxies to be used at the Annual Meeting of Shareholders to be held in our South Office Complex Theater, 605 West Crystal Lake Road, Forest City, Iowa on December 14, 2010, at 4:00 p.m., Central Standard Time, and at any and all adjournments thereof (the “Annual Meeting” or the “Meeting”).</w:t>
      </w:r>
    </w:p>
    <w:p>
      <w:pPr>
        <w:spacing w:after="0" w:line="9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accordance with rules and regulations adopted by the SEC, instead of mailing a printed copy of our proxy materials to each shareholder of record, we are now furnishing proxy materials to our shareholders on the Internet. If you received a Notice of Internet Availability of Proxy Materials by mail, you will not receive a printed copy of the proxy materials, unless specifically requested. Instead, the Notice of Internet Availability of Proxy Materia ls will instruct you as to how you may access and review all of the important information contained in the proxy materials. The Notice of Internet Availability of Proxy Materials also instructs you as to how you may submit your proxy on the Internet. If you received a Notice of Internet Availability of Proxy Materials by mail and would like to receive a printed copy of our proxy materials, you should follow the instructions for requesting such materials included in the Notice of Internet Availability of Proxy Materials.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It is anticipated that the Notice of Internet Availability of Proxy Materials will be mailed to shareholders on or about October 26, 2010.</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Only holders of Common Stock of record at the close of business on October&amp;nb sp;5, 2010 will be entitled to Notice of Internet Availability of Proxy Materials and to vote at the Annual Meeting. At such date, we had outstanding 29,116,168 shares of Common Stock, par value $.50 per share (“Common Stock”). Each share of Common Stock entitles the holder to one vote upon each matter to be voted upon at the meeting. A majority of the outstanding shares of Common Stock represented in person or by proxy will constitute a quorum for the Annual Meeting.</w:t>
      </w:r>
    </w:p>
    <w:p>
      <w:pPr>
        <w:spacing w:after="0" w:line="96"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If you have returned valid proxy instructions or attend the Meeting in person, your Common Stock will be counted for the purpose of determining whether there is a quorum.</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you hold shares in your own name, by submitting a proxy you may either vote for or withhold authority to vote for each nominee for the Board of Directors and you may vote in favor of or against the ratification of the appointment of independent registered public accountants. If you withhold authority to vote with respect to any nominee, your shares will still be counted for purposes of establishing a quorum but will have no effect on the election of that nominee. If you sign and submit your proxy card without voting instructions, your shares will be voted for each director nominee and for the ratification of the appointment of independent registered public accountants. If you hold shares through a broker, follow the voting instructions provided by your broker. If you want to vote in person, a legal proxy must be obtained from your broker and brought to the Meeting. The New York Stock Exchange (“NYSE”) permits brokers to vote their customers' shares on routine matters when the brokers have not received voting instructions from their customers. Routine matters include the ratification of the appointment of independent registered public accountants, but effective January 1, 2010, no longer include the election of directors. Therefore, to the extent you are the beneficial owner of shares held by a broker, those shares will not be voted in the election of directors unless you provide specific voting instructions to your broker. In addition, brokers may not vote their customers' shares on non-routine matters, such as shareholder proposals unless they have received voting instructions from their customers.</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Directors must be elected by a plurality of the votes cast at the Meeting. This means that the three nominees receiving the greatest number of votes will be elected as directors. Votes withheld from any nominee have no legal effect on the election of directors due to the fact that such elections are by a plurality of the votes cast. The ratification of the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80"/>
          </w:cols>
          <w:pgMar w:left="240" w:top="168" w:right="27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appointment of the independent registered public accountants requires the affirmative vote of a majority of those shares of Common Stock present in person or represented by proxy. Withheld votes and abstentions with respect to the ratification of the appointment of independent r egistered public accountants will have the same effect as a vote against the matter.</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not now aware of any matters to be presented at the Annual Meeting other than the election of the three nominees described in this Proxy Statement and the ratification of the appointment of independent registered public accountants. If any matters not described in this Proxy Statement are properly presented at the Meeting, the proxies will use their personal judgment to determine how to vote your shares. If the Meeting is adjourned, the proxies can vote your Common Stock on the new Meeting date as well, unless you have revoked your proxy instructions.</w:t>
      </w:r>
    </w:p>
    <w:p>
      <w:pPr>
        <w:spacing w:after="0" w:line="9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Before the Meeting, you can appoint a proxy to vote your shares of Common Stock by following the instructions as set forth in the Notice of Internet Availability of Proxy Materials. If, by request, you have received a printed copy of our proxy materials, you can appoint a proxy to vote your shares of Common Stock (i) by using the Internet</w:t>
      </w:r>
    </w:p>
    <w:p>
      <w:pPr>
        <w:spacing w:after="0" w:line="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(http://www.eproxy.com/wgo/), (ii) by calling the toll-free telephone number (1-800-560-1965) or (iii) you may indicate your vote by completing, signing and dating the proxy card where indicated and returning the card to us by 12:00 p.m. Central Standard Time on December 13, 2010.</w:t>
      </w:r>
    </w:p>
    <w:p>
      <w:pPr>
        <w:spacing w:after="0" w:line="6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If a proxy card is executed and returned, it may nevertheless be revoked at any time insofar as it has not been exercised. A person may revoke a proxy electronically by entering a new vote via the Internet or by telephone or a proxy may be revoked by (i) giving written notice to the Secretary of the Company (the “Secretary”), (ii) subsequently granting a later-dated proxy, (iii) attending the Meeting and voting in person or</w:t>
      </w:r>
    </w:p>
    <w:p>
      <w:pPr>
        <w:spacing w:after="0" w:line="1" w:lineRule="exact"/>
        <w:rPr>
          <w:sz w:val="20"/>
          <w:szCs w:val="20"/>
          <w:color w:val="auto"/>
        </w:rPr>
      </w:pPr>
    </w:p>
    <w:p>
      <w:pPr>
        <w:ind w:right="60" w:firstLine="8"/>
        <w:spacing w:after="0" w:line="253"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a proxy designating another person to represent you at the Meeting and voting by your representative at the Meeting. Unless revoked, the shares represented by validly executed proxies will be voted at the Meeting in accordance with the instructions indicated thereon. To revoke a proxy by telephone or the Internet, you must do so by 12:00 p.m. Central Standard Time on December 13, 2010 (following the directions on the instructions as set forth in the Notice of Internet Availability of Proxy Materials or in the printed proxy materials received by request). Attendance at the Annual Meeting will not cause your previously granted proxy to be revoked unless you specifically so request.</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If no instructions are indicated on a proxy that is signed and received by us, it will be voted: (i) for the election of the three nominees for director named below (Item 1), (ii) for the ratification of the appointment of Deloitte &amp; Touche LLP as our independent registered public accountants for our Fiscal 2011 (Item 2) and (iii) in the discretion of the named proxies upon such other matters as may properly come before the Meeting.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168" w:right="27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us who is the beneficial owner of more than five percent of the outstanding Common Stock.</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4300" w:type="dxa"/>
            <w:vAlign w:val="bottom"/>
          </w:tcPr>
          <w:p>
            <w:pPr>
              <w:jc w:val="center"/>
              <w:ind w:left="1913"/>
              <w:spacing w:after="0"/>
              <w:rPr>
                <w:sz w:val="20"/>
                <w:szCs w:val="20"/>
                <w:color w:val="auto"/>
              </w:rPr>
            </w:pPr>
            <w:r>
              <w:rPr>
                <w:rFonts w:ascii="Arial" w:cs="Arial" w:eastAsia="Arial" w:hAnsi="Arial"/>
                <w:sz w:val="16"/>
                <w:szCs w:val="16"/>
                <w:b w:val="1"/>
                <w:bCs w:val="1"/>
                <w:color w:val="auto"/>
              </w:rPr>
              <w:t>Shares of Common Stock</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4300" w:type="dxa"/>
            <w:vAlign w:val="bottom"/>
          </w:tcPr>
          <w:p>
            <w:pPr>
              <w:jc w:val="center"/>
              <w:ind w:left="1913"/>
              <w:spacing w:after="0"/>
              <w:rPr>
                <w:sz w:val="20"/>
                <w:szCs w:val="20"/>
                <w:color w:val="auto"/>
              </w:rPr>
            </w:pPr>
            <w:r>
              <w:rPr>
                <w:rFonts w:ascii="Arial" w:cs="Arial" w:eastAsia="Arial" w:hAnsi="Arial"/>
                <w:sz w:val="16"/>
                <w:szCs w:val="16"/>
                <w:b w:val="1"/>
                <w:bCs w:val="1"/>
                <w:color w:val="auto"/>
              </w:rPr>
              <w:t>Owned</w:t>
            </w:r>
          </w:p>
        </w:tc>
        <w:tc>
          <w:tcPr>
            <w:tcW w:w="1980" w:type="dxa"/>
            <w:vAlign w:val="bottom"/>
          </w:tcPr>
          <w:p>
            <w:pPr>
              <w:jc w:val="right"/>
              <w:ind w:right="532"/>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3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and Address of Beneficial Owner</w:t>
            </w:r>
          </w:p>
        </w:tc>
        <w:tc>
          <w:tcPr>
            <w:tcW w:w="4300" w:type="dxa"/>
            <w:vAlign w:val="bottom"/>
            <w:tcBorders>
              <w:bottom w:val="single" w:sz="8" w:color="auto"/>
            </w:tcBorders>
          </w:tcPr>
          <w:p>
            <w:pPr>
              <w:jc w:val="center"/>
              <w:ind w:left="1913"/>
              <w:spacing w:after="0"/>
              <w:rPr>
                <w:sz w:val="20"/>
                <w:szCs w:val="20"/>
                <w:color w:val="auto"/>
              </w:rPr>
            </w:pPr>
            <w:r>
              <w:rPr>
                <w:rFonts w:ascii="Arial" w:cs="Arial" w:eastAsia="Arial" w:hAnsi="Arial"/>
                <w:sz w:val="16"/>
                <w:szCs w:val="16"/>
                <w:b w:val="1"/>
                <w:bCs w:val="1"/>
                <w:color w:val="auto"/>
              </w:rPr>
              <w:t>Beneficially</w:t>
            </w:r>
          </w:p>
        </w:tc>
        <w:tc>
          <w:tcPr>
            <w:tcW w:w="1980" w:type="dxa"/>
            <w:vAlign w:val="bottom"/>
            <w:tcBorders>
              <w:bottom w:val="single" w:sz="8" w:color="auto"/>
            </w:tcBorders>
          </w:tcPr>
          <w:p>
            <w:pPr>
              <w:jc w:val="right"/>
              <w:ind w:right="132"/>
              <w:spacing w:after="0" w:line="234" w:lineRule="exact"/>
              <w:rPr>
                <w:sz w:val="20"/>
                <w:szCs w:val="20"/>
                <w:color w:val="auto"/>
              </w:rPr>
            </w:pPr>
            <w:r>
              <w:rPr>
                <w:rFonts w:ascii="Arial" w:cs="Arial" w:eastAsia="Arial" w:hAnsi="Arial"/>
                <w:sz w:val="16"/>
                <w:szCs w:val="16"/>
                <w:b w:val="1"/>
                <w:bCs w:val="1"/>
                <w:color w:val="auto"/>
              </w:rPr>
              <w:t>Common Stock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22"/>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FMR LLC</w:t>
            </w:r>
          </w:p>
        </w:tc>
        <w:tc>
          <w:tcPr>
            <w:tcW w:w="4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82 Devonshire Street</w:t>
            </w:r>
          </w:p>
        </w:tc>
        <w:tc>
          <w:tcPr>
            <w:tcW w:w="4300" w:type="dxa"/>
            <w:vAlign w:val="bottom"/>
            <w:vMerge w:val="restart"/>
            <w:shd w:val="clear" w:color="auto" w:fill="CCEEFF"/>
          </w:tcPr>
          <w:p>
            <w:pPr>
              <w:jc w:val="center"/>
              <w:ind w:left="1913"/>
              <w:spacing w:after="0"/>
              <w:rPr>
                <w:sz w:val="20"/>
                <w:szCs w:val="20"/>
                <w:color w:val="auto"/>
              </w:rPr>
            </w:pPr>
            <w:r>
              <w:rPr>
                <w:rFonts w:ascii="Arial" w:cs="Arial" w:eastAsia="Arial" w:hAnsi="Arial"/>
                <w:sz w:val="18"/>
                <w:szCs w:val="18"/>
                <w:color w:val="auto"/>
                <w:w w:val="96"/>
              </w:rPr>
              <w:t>4,301,033</w:t>
            </w:r>
            <w:r>
              <w:rPr>
                <w:rFonts w:ascii="Arial" w:cs="Arial" w:eastAsia="Arial" w:hAnsi="Arial"/>
                <w:sz w:val="21"/>
                <w:szCs w:val="21"/>
                <w:color w:val="auto"/>
                <w:w w:val="96"/>
                <w:vertAlign w:val="superscript"/>
              </w:rPr>
              <w:t>(2)</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Boston, Massachusetts 02109</w:t>
            </w:r>
          </w:p>
        </w:tc>
        <w:tc>
          <w:tcPr>
            <w:tcW w:w="4300" w:type="dxa"/>
            <w:vAlign w:val="bottom"/>
            <w:vMerge w:val="continue"/>
            <w:shd w:val="clear" w:color="auto" w:fill="CCEEFF"/>
          </w:tcPr>
          <w:p>
            <w:pPr>
              <w:spacing w:after="0"/>
              <w:rPr>
                <w:sz w:val="20"/>
                <w:szCs w:val="20"/>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9"/>
        </w:trPr>
        <w:tc>
          <w:tcPr>
            <w:tcW w:w="5140" w:type="dxa"/>
            <w:vAlign w:val="bottom"/>
          </w:tcPr>
          <w:p>
            <w:pPr>
              <w:ind w:left="160"/>
              <w:spacing w:after="0"/>
              <w:rPr>
                <w:sz w:val="20"/>
                <w:szCs w:val="20"/>
                <w:color w:val="auto"/>
              </w:rPr>
            </w:pPr>
            <w:r>
              <w:rPr>
                <w:rFonts w:ascii="Arial" w:cs="Arial" w:eastAsia="Arial" w:hAnsi="Arial"/>
                <w:sz w:val="18"/>
                <w:szCs w:val="18"/>
                <w:color w:val="auto"/>
              </w:rPr>
              <w:t>T. Rowe Price Associates, Inc.</w:t>
            </w:r>
          </w:p>
        </w:tc>
        <w:tc>
          <w:tcPr>
            <w:tcW w:w="4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60"/>
              <w:spacing w:after="0" w:line="202" w:lineRule="exact"/>
              <w:rPr>
                <w:sz w:val="20"/>
                <w:szCs w:val="20"/>
                <w:color w:val="auto"/>
              </w:rPr>
            </w:pPr>
            <w:r>
              <w:rPr>
                <w:rFonts w:ascii="Arial" w:cs="Arial" w:eastAsia="Arial" w:hAnsi="Arial"/>
                <w:sz w:val="18"/>
                <w:szCs w:val="18"/>
                <w:color w:val="auto"/>
              </w:rPr>
              <w:t>100 East Pratt Street</w:t>
            </w:r>
          </w:p>
        </w:tc>
        <w:tc>
          <w:tcPr>
            <w:tcW w:w="4300" w:type="dxa"/>
            <w:vAlign w:val="bottom"/>
            <w:vMerge w:val="restart"/>
          </w:tcPr>
          <w:p>
            <w:pPr>
              <w:jc w:val="right"/>
              <w:ind w:right="1193"/>
              <w:spacing w:after="0"/>
              <w:rPr>
                <w:sz w:val="20"/>
                <w:szCs w:val="20"/>
                <w:color w:val="auto"/>
              </w:rPr>
            </w:pPr>
            <w:r>
              <w:rPr>
                <w:rFonts w:ascii="Arial" w:cs="Arial" w:eastAsia="Arial" w:hAnsi="Arial"/>
                <w:sz w:val="18"/>
                <w:szCs w:val="18"/>
                <w:color w:val="auto"/>
              </w:rPr>
              <w:t>3,163,220</w:t>
            </w:r>
            <w:r>
              <w:rPr>
                <w:rFonts w:ascii="Arial" w:cs="Arial" w:eastAsia="Arial" w:hAnsi="Arial"/>
                <w:sz w:val="21"/>
                <w:szCs w:val="21"/>
                <w:color w:val="auto"/>
                <w:vertAlign w:val="superscript"/>
              </w:rPr>
              <w:t>(3)</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Baltimore, Maryland 21202</w:t>
            </w:r>
          </w:p>
        </w:tc>
        <w:tc>
          <w:tcPr>
            <w:tcW w:w="4300" w:type="dxa"/>
            <w:vAlign w:val="bottom"/>
            <w:vMerge w:val="continue"/>
          </w:tcPr>
          <w:p>
            <w:pPr>
              <w:spacing w:after="0"/>
              <w:rPr>
                <w:sz w:val="20"/>
                <w:szCs w:val="20"/>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BlackRock, Inc.</w:t>
            </w:r>
          </w:p>
        </w:tc>
        <w:tc>
          <w:tcPr>
            <w:tcW w:w="4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40 East 52nd Street</w:t>
            </w:r>
          </w:p>
        </w:tc>
        <w:tc>
          <w:tcPr>
            <w:tcW w:w="4300" w:type="dxa"/>
            <w:vAlign w:val="bottom"/>
            <w:vMerge w:val="restart"/>
            <w:shd w:val="clear" w:color="auto" w:fill="CCEEFF"/>
          </w:tcPr>
          <w:p>
            <w:pPr>
              <w:jc w:val="center"/>
              <w:ind w:left="1913"/>
              <w:spacing w:after="0"/>
              <w:rPr>
                <w:sz w:val="20"/>
                <w:szCs w:val="20"/>
                <w:color w:val="auto"/>
              </w:rPr>
            </w:pPr>
            <w:r>
              <w:rPr>
                <w:rFonts w:ascii="Arial" w:cs="Arial" w:eastAsia="Arial" w:hAnsi="Arial"/>
                <w:sz w:val="18"/>
                <w:szCs w:val="18"/>
                <w:color w:val="auto"/>
                <w:w w:val="96"/>
              </w:rPr>
              <w:t>2,881,987</w:t>
            </w:r>
            <w:r>
              <w:rPr>
                <w:rFonts w:ascii="Arial" w:cs="Arial" w:eastAsia="Arial" w:hAnsi="Arial"/>
                <w:sz w:val="21"/>
                <w:szCs w:val="21"/>
                <w:color w:val="auto"/>
                <w:w w:val="96"/>
                <w:vertAlign w:val="superscript"/>
              </w:rPr>
              <w:t>(4)</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York, New York 10022</w:t>
            </w:r>
          </w:p>
        </w:tc>
        <w:tc>
          <w:tcPr>
            <w:tcW w:w="4300" w:type="dxa"/>
            <w:vAlign w:val="bottom"/>
            <w:vMerge w:val="continue"/>
            <w:shd w:val="clear" w:color="auto" w:fill="CCEEFF"/>
          </w:tcPr>
          <w:p>
            <w:pPr>
              <w:spacing w:after="0"/>
              <w:rPr>
                <w:sz w:val="20"/>
                <w:szCs w:val="20"/>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9"/>
        </w:trPr>
        <w:tc>
          <w:tcPr>
            <w:tcW w:w="5140" w:type="dxa"/>
            <w:vAlign w:val="bottom"/>
          </w:tcPr>
          <w:p>
            <w:pPr>
              <w:ind w:left="160"/>
              <w:spacing w:after="0"/>
              <w:rPr>
                <w:sz w:val="20"/>
                <w:szCs w:val="20"/>
                <w:color w:val="auto"/>
              </w:rPr>
            </w:pPr>
            <w:r>
              <w:rPr>
                <w:rFonts w:ascii="Arial" w:cs="Arial" w:eastAsia="Arial" w:hAnsi="Arial"/>
                <w:sz w:val="18"/>
                <w:szCs w:val="18"/>
                <w:color w:val="auto"/>
              </w:rPr>
              <w:t>Royce &amp; Associates, LLC</w:t>
            </w:r>
          </w:p>
        </w:tc>
        <w:tc>
          <w:tcPr>
            <w:tcW w:w="4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60"/>
              <w:spacing w:after="0" w:line="202" w:lineRule="exact"/>
              <w:rPr>
                <w:sz w:val="20"/>
                <w:szCs w:val="20"/>
                <w:color w:val="auto"/>
              </w:rPr>
            </w:pPr>
            <w:r>
              <w:rPr>
                <w:rFonts w:ascii="Arial" w:cs="Arial" w:eastAsia="Arial" w:hAnsi="Arial"/>
                <w:sz w:val="18"/>
                <w:szCs w:val="18"/>
                <w:color w:val="auto"/>
              </w:rPr>
              <w:t>745 Fifth Avenue</w:t>
            </w:r>
          </w:p>
        </w:tc>
        <w:tc>
          <w:tcPr>
            <w:tcW w:w="4300" w:type="dxa"/>
            <w:vAlign w:val="bottom"/>
            <w:vMerge w:val="restart"/>
          </w:tcPr>
          <w:p>
            <w:pPr>
              <w:jc w:val="center"/>
              <w:ind w:left="1913"/>
              <w:spacing w:after="0"/>
              <w:rPr>
                <w:sz w:val="20"/>
                <w:szCs w:val="20"/>
                <w:color w:val="auto"/>
              </w:rPr>
            </w:pPr>
            <w:r>
              <w:rPr>
                <w:rFonts w:ascii="Arial" w:cs="Arial" w:eastAsia="Arial" w:hAnsi="Arial"/>
                <w:sz w:val="18"/>
                <w:szCs w:val="18"/>
                <w:color w:val="auto"/>
                <w:w w:val="96"/>
              </w:rPr>
              <w:t>2,717,485</w:t>
            </w:r>
            <w:r>
              <w:rPr>
                <w:rFonts w:ascii="Arial" w:cs="Arial" w:eastAsia="Arial" w:hAnsi="Arial"/>
                <w:sz w:val="21"/>
                <w:szCs w:val="21"/>
                <w:color w:val="auto"/>
                <w:w w:val="96"/>
                <w:vertAlign w:val="superscript"/>
              </w:rPr>
              <w:t>(5)</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New York, New York 10151</w:t>
            </w:r>
          </w:p>
        </w:tc>
        <w:tc>
          <w:tcPr>
            <w:tcW w:w="4300" w:type="dxa"/>
            <w:vAlign w:val="bottom"/>
            <w:vMerge w:val="continue"/>
          </w:tcPr>
          <w:p>
            <w:pPr>
              <w:spacing w:after="0"/>
              <w:rPr>
                <w:sz w:val="20"/>
                <w:szCs w:val="20"/>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Maverick Capital, Ltd.</w:t>
            </w:r>
          </w:p>
        </w:tc>
        <w:tc>
          <w:tcPr>
            <w:tcW w:w="4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300 Crescent Court, 18th Floor</w:t>
            </w:r>
          </w:p>
        </w:tc>
        <w:tc>
          <w:tcPr>
            <w:tcW w:w="4300" w:type="dxa"/>
            <w:vAlign w:val="bottom"/>
            <w:vMerge w:val="restart"/>
            <w:shd w:val="clear" w:color="auto" w:fill="CCEEFF"/>
          </w:tcPr>
          <w:p>
            <w:pPr>
              <w:jc w:val="center"/>
              <w:ind w:left="1913"/>
              <w:spacing w:after="0"/>
              <w:rPr>
                <w:sz w:val="20"/>
                <w:szCs w:val="20"/>
                <w:color w:val="auto"/>
              </w:rPr>
            </w:pPr>
            <w:r>
              <w:rPr>
                <w:rFonts w:ascii="Arial" w:cs="Arial" w:eastAsia="Arial" w:hAnsi="Arial"/>
                <w:sz w:val="18"/>
                <w:szCs w:val="18"/>
                <w:color w:val="auto"/>
                <w:w w:val="96"/>
              </w:rPr>
              <w:t>2,458,417</w:t>
            </w:r>
            <w:r>
              <w:rPr>
                <w:rFonts w:ascii="Arial" w:cs="Arial" w:eastAsia="Arial" w:hAnsi="Arial"/>
                <w:sz w:val="21"/>
                <w:szCs w:val="21"/>
                <w:color w:val="auto"/>
                <w:w w:val="96"/>
                <w:vertAlign w:val="superscript"/>
              </w:rPr>
              <w:t>(6)</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Dallas, Texas 75201</w:t>
            </w:r>
          </w:p>
        </w:tc>
        <w:tc>
          <w:tcPr>
            <w:tcW w:w="4300" w:type="dxa"/>
            <w:vAlign w:val="bottom"/>
            <w:vMerge w:val="continue"/>
            <w:shd w:val="clear" w:color="auto" w:fill="CCEEFF"/>
          </w:tcPr>
          <w:p>
            <w:pPr>
              <w:spacing w:after="0"/>
              <w:rPr>
                <w:sz w:val="20"/>
                <w:szCs w:val="20"/>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9"/>
        </w:trPr>
        <w:tc>
          <w:tcPr>
            <w:tcW w:w="5140" w:type="dxa"/>
            <w:vAlign w:val="bottom"/>
          </w:tcPr>
          <w:p>
            <w:pPr>
              <w:ind w:left="160"/>
              <w:spacing w:after="0"/>
              <w:rPr>
                <w:sz w:val="20"/>
                <w:szCs w:val="20"/>
                <w:color w:val="auto"/>
              </w:rPr>
            </w:pPr>
            <w:r>
              <w:rPr>
                <w:rFonts w:ascii="Arial" w:cs="Arial" w:eastAsia="Arial" w:hAnsi="Arial"/>
                <w:sz w:val="18"/>
                <w:szCs w:val="18"/>
                <w:color w:val="auto"/>
              </w:rPr>
              <w:t>Franklin Resources, Inc.</w:t>
            </w:r>
          </w:p>
        </w:tc>
        <w:tc>
          <w:tcPr>
            <w:tcW w:w="4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60"/>
              <w:spacing w:after="0" w:line="202" w:lineRule="exact"/>
              <w:rPr>
                <w:sz w:val="20"/>
                <w:szCs w:val="20"/>
                <w:color w:val="auto"/>
              </w:rPr>
            </w:pPr>
            <w:r>
              <w:rPr>
                <w:rFonts w:ascii="Arial" w:cs="Arial" w:eastAsia="Arial" w:hAnsi="Arial"/>
                <w:sz w:val="18"/>
                <w:szCs w:val="18"/>
                <w:color w:val="auto"/>
              </w:rPr>
              <w:t>One Franklin Parkway</w:t>
            </w:r>
          </w:p>
        </w:tc>
        <w:tc>
          <w:tcPr>
            <w:tcW w:w="4300" w:type="dxa"/>
            <w:vAlign w:val="bottom"/>
            <w:vMerge w:val="restart"/>
          </w:tcPr>
          <w:p>
            <w:pPr>
              <w:jc w:val="center"/>
              <w:ind w:left="1913"/>
              <w:spacing w:after="0"/>
              <w:rPr>
                <w:sz w:val="20"/>
                <w:szCs w:val="20"/>
                <w:color w:val="auto"/>
              </w:rPr>
            </w:pPr>
            <w:r>
              <w:rPr>
                <w:rFonts w:ascii="Arial" w:cs="Arial" w:eastAsia="Arial" w:hAnsi="Arial"/>
                <w:sz w:val="18"/>
                <w:szCs w:val="18"/>
                <w:color w:val="auto"/>
                <w:w w:val="96"/>
              </w:rPr>
              <w:t>1,619,150</w:t>
            </w:r>
            <w:r>
              <w:rPr>
                <w:rFonts w:ascii="Arial" w:cs="Arial" w:eastAsia="Arial" w:hAnsi="Arial"/>
                <w:sz w:val="21"/>
                <w:szCs w:val="21"/>
                <w:color w:val="auto"/>
                <w:w w:val="96"/>
                <w:vertAlign w:val="superscript"/>
              </w:rPr>
              <w:t>(7)</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60"/>
              <w:spacing w:after="0"/>
              <w:rPr>
                <w:sz w:val="20"/>
                <w:szCs w:val="20"/>
                <w:color w:val="auto"/>
              </w:rPr>
            </w:pPr>
            <w:r>
              <w:rPr>
                <w:rFonts w:ascii="Arial" w:cs="Arial" w:eastAsia="Arial" w:hAnsi="Arial"/>
                <w:sz w:val="18"/>
                <w:szCs w:val="18"/>
                <w:color w:val="auto"/>
              </w:rPr>
              <w:t>San Mateo, California 94403</w:t>
            </w:r>
          </w:p>
        </w:tc>
        <w:tc>
          <w:tcPr>
            <w:tcW w:w="4300" w:type="dxa"/>
            <w:vAlign w:val="bottom"/>
            <w:vMerge w:val="continue"/>
          </w:tcPr>
          <w:p>
            <w:pPr>
              <w:spacing w:after="0"/>
              <w:rPr>
                <w:sz w:val="20"/>
                <w:szCs w:val="20"/>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TAMRO Capital Partners LLC</w:t>
            </w:r>
          </w:p>
        </w:tc>
        <w:tc>
          <w:tcPr>
            <w:tcW w:w="4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1660 Duke Street, Suite 200</w:t>
            </w:r>
          </w:p>
        </w:tc>
        <w:tc>
          <w:tcPr>
            <w:tcW w:w="4300" w:type="dxa"/>
            <w:vAlign w:val="bottom"/>
            <w:vMerge w:val="restart"/>
            <w:shd w:val="clear" w:color="auto" w:fill="CCEEFF"/>
          </w:tcPr>
          <w:p>
            <w:pPr>
              <w:jc w:val="center"/>
              <w:ind w:left="1913"/>
              <w:spacing w:after="0"/>
              <w:rPr>
                <w:sz w:val="20"/>
                <w:szCs w:val="20"/>
                <w:color w:val="auto"/>
              </w:rPr>
            </w:pPr>
            <w:r>
              <w:rPr>
                <w:rFonts w:ascii="Arial" w:cs="Arial" w:eastAsia="Arial" w:hAnsi="Arial"/>
                <w:sz w:val="18"/>
                <w:szCs w:val="18"/>
                <w:color w:val="auto"/>
                <w:w w:val="96"/>
              </w:rPr>
              <w:t>1,532,463</w:t>
            </w:r>
            <w:r>
              <w:rPr>
                <w:rFonts w:ascii="Arial" w:cs="Arial" w:eastAsia="Arial" w:hAnsi="Arial"/>
                <w:sz w:val="21"/>
                <w:szCs w:val="21"/>
                <w:color w:val="auto"/>
                <w:w w:val="96"/>
                <w:vertAlign w:val="superscript"/>
              </w:rPr>
              <w:t>(8)</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Alexandria, Virginia 22314</w:t>
            </w:r>
          </w:p>
        </w:tc>
        <w:tc>
          <w:tcPr>
            <w:tcW w:w="4300" w:type="dxa"/>
            <w:vAlign w:val="bottom"/>
            <w:vMerge w:val="continue"/>
            <w:shd w:val="clear" w:color="auto" w:fill="CCEEFF"/>
          </w:tcPr>
          <w:p>
            <w:pPr>
              <w:spacing w:after="0"/>
              <w:rPr>
                <w:sz w:val="20"/>
                <w:szCs w:val="20"/>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Based on 29,116,168 outstanding shares of Common Stock on October 5, 2010.</w:t>
      </w:r>
    </w:p>
    <w:p>
      <w:pPr>
        <w:spacing w:after="0" w:line="1" w:lineRule="exact"/>
        <w:rPr>
          <w:rFonts w:ascii="Arial" w:cs="Arial" w:eastAsia="Arial" w:hAnsi="Arial"/>
          <w:sz w:val="13"/>
          <w:szCs w:val="13"/>
          <w:color w:val="auto"/>
        </w:rPr>
      </w:pPr>
    </w:p>
    <w:p>
      <w:pPr>
        <w:jc w:val="both"/>
        <w:ind w:left="340" w:right="20" w:hanging="332"/>
        <w:spacing w:after="0" w:line="24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The number of shares owned as of December 31, 2009 according to Amendment No. 4 to Schedule 13G filed with the SEC on February 16, 2010. FMR LLC, a parent holding company, is the beneficial owner of all 4,301,033 shares of Common Stock and has sole dispositive power with respect to all 4,301,033 shares. Edward C. Johnson III serves as Chairman of FMR LLC. Members of the Edward C. Johnson III family own shares of common stock representing approximately 49% of the voting power of FMR LLC.</w:t>
      </w:r>
    </w:p>
    <w:p>
      <w:pPr>
        <w:spacing w:after="0" w:line="1" w:lineRule="exact"/>
        <w:rPr>
          <w:rFonts w:ascii="Arial" w:cs="Arial" w:eastAsia="Arial" w:hAnsi="Arial"/>
          <w:sz w:val="13"/>
          <w:szCs w:val="13"/>
          <w:color w:val="auto"/>
        </w:rPr>
      </w:pPr>
    </w:p>
    <w:p>
      <w:pPr>
        <w:ind w:left="340" w:right="100"/>
        <w:spacing w:after="0" w:line="241" w:lineRule="auto"/>
        <w:rPr>
          <w:rFonts w:ascii="Arial" w:cs="Arial" w:eastAsia="Arial" w:hAnsi="Arial"/>
          <w:sz w:val="13"/>
          <w:szCs w:val="13"/>
          <w:color w:val="auto"/>
        </w:rPr>
      </w:pPr>
      <w:r>
        <w:rPr>
          <w:rFonts w:ascii="Arial" w:cs="Arial" w:eastAsia="Arial" w:hAnsi="Arial"/>
          <w:sz w:val="14"/>
          <w:szCs w:val="14"/>
          <w:color w:val="auto"/>
        </w:rPr>
        <w:t>Mr. Johnson and members of his family may be deemed to form a controlling group with respect to the common voting stock of FMR LLC. Of these 4,301,033 shares of Common Stock, 4,031,643 shares are beneficially owned by Fidelity Management &amp; Research Company, an investment adviser and a wholly-owned subsidiary of FMR LLC. Mr. Johnson and FMR LLC, through its control of Fidelity Management &amp; Research Company, each has sole dispositive power with respect to those shares. The interest of one person in the Common Stock, Fidelity Value Fund, an investment company, amounted to 2,571,751 shares at December 31, 2009. The information contained in this footnote is derived from information contained in Amendment No. 4 to Schedule 13G filed by FMR LLC with the SEC referred to herein.</w:t>
      </w:r>
    </w:p>
    <w:p>
      <w:pPr>
        <w:spacing w:after="0" w:line="1" w:lineRule="exact"/>
        <w:rPr>
          <w:rFonts w:ascii="Arial" w:cs="Arial" w:eastAsia="Arial" w:hAnsi="Arial"/>
          <w:sz w:val="13"/>
          <w:szCs w:val="13"/>
          <w:color w:val="auto"/>
        </w:rPr>
      </w:pPr>
    </w:p>
    <w:p>
      <w:pPr>
        <w:ind w:left="340" w:right="60" w:hanging="332"/>
        <w:spacing w:after="0" w:line="24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The number of shares owned as of December 31, 2009 according to Amendment No. 3 to Schedule 13G filed with the SEC on February 12, 2010. T. Rowe Price Associates, Inc. has sole voting power with respect to 1,081,500 shares and sole dispositive power with respect to all 3,163,220 shares. T. Rowe Price Associates, Inc. serves as the investment adviser of various registered investment companies and investment advisory clients, including T. Rowe Price Small-Cap Value Fund, Inc. For purposes of the reporting requirements under the Securities Exchange Act of 1934, as amended (the “Exchange Act”), T. Rowe Price Associates, Inc. reported that it is deemed to be a beneficial owner of these securities and that T. Rowe Price Small-Cap Value Fund, Inc. has sole voting power with respect to 2,010,000 shares of Common Stock reported as beneficially owned by T. Rowe Price Associates, Inc. The information contained in this footnote is derived from information contained in Amendment No. 3 to Sched ule 13G filed by T. Rowe Price Associates, Inc. with the SEC referred to herein.</w:t>
      </w:r>
    </w:p>
    <w:p>
      <w:pPr>
        <w:spacing w:after="0" w:line="2" w:lineRule="exact"/>
        <w:rPr>
          <w:rFonts w:ascii="Arial" w:cs="Arial" w:eastAsia="Arial" w:hAnsi="Arial"/>
          <w:sz w:val="13"/>
          <w:szCs w:val="13"/>
          <w:color w:val="auto"/>
        </w:rPr>
      </w:pPr>
    </w:p>
    <w:p>
      <w:pPr>
        <w:ind w:left="340" w:right="40" w:hanging="332"/>
        <w:spacing w:after="0" w:line="24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The number of shares owned as of December 31, 2009 according to Schedule 13G filed with the SEC on January 29, 2010. BlackRock, Inc., a parent holding company, is the beneficial owner of all 2,881,987 shares of Common Stock and has sole voting power and sole dispositive power with respect to all shares. The information contained is this footnote is derived from information contained in Schedule 13G filed by BlackRock, Inc. with the SEC referred to herein.</w:t>
      </w:r>
    </w:p>
    <w:p>
      <w:pPr>
        <w:spacing w:after="0" w:line="1" w:lineRule="exact"/>
        <w:rPr>
          <w:rFonts w:ascii="Arial" w:cs="Arial" w:eastAsia="Arial" w:hAnsi="Arial"/>
          <w:sz w:val="13"/>
          <w:szCs w:val="13"/>
          <w:color w:val="auto"/>
        </w:rPr>
      </w:pPr>
    </w:p>
    <w:p>
      <w:pPr>
        <w:jc w:val="both"/>
        <w:ind w:left="340" w:right="120" w:hanging="332"/>
        <w:spacing w:after="0" w:line="24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The number of shares owned as of December 31, 2009 according to Amendment No. 8 to Schedule 13G filed with the SEC on January 26, 2010. Royce &amp; Associates, LLC, an investment adviser, is the beneficial owner of all 2,717,485 shares of Common Stock and has sole voting power and sole dispositive power with respect to all shares. The information contained in this footnote is derived from information contained in Amendment No. 8 to Schedule 13G filed by Royce &amp; Associates, LLC with the SEC referred to herein.</w:t>
      </w:r>
    </w:p>
    <w:p>
      <w:pPr>
        <w:spacing w:after="0" w:line="1"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The number of shares collectively beneficially owned as of December 31, 2009 according to Schedule 13G filed with the SEC on February 16, 2010. Maverick Capital, Ltd., an investment adviser, Maverick Capital Management, LLC, its General Partner, and Lee S. Ainslie III (manager of Maverick Capital Management, LLC) each reported sole voting power and sole dispositive power with respect to all shares. The information contained in this footnote is derived from information contained in Schedule 13G filed by Mav erick Capital Ltd. with the SEC referred to herein.</w:t>
      </w:r>
    </w:p>
    <w:p>
      <w:pPr>
        <w:spacing w:after="0" w:line="1" w:lineRule="exact"/>
        <w:rPr>
          <w:rFonts w:ascii="Arial" w:cs="Arial" w:eastAsia="Arial" w:hAnsi="Arial"/>
          <w:sz w:val="13"/>
          <w:szCs w:val="13"/>
          <w:color w:val="auto"/>
        </w:rPr>
      </w:pPr>
    </w:p>
    <w:p>
      <w:pPr>
        <w:ind w:left="340" w:right="60" w:hanging="332"/>
        <w:spacing w:after="0" w:line="244"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4"/>
          <w:szCs w:val="14"/>
          <w:color w:val="auto"/>
        </w:rPr>
        <w:t>The number of shares owned as of December 31, 2009 according to Amendment No. 2 to Schedule 13G filed with the SEC on February 4, 2010. Franklin Resources, Inc., its subsidiary Franklin Advisory Services, LLC, and Charles B. Johnson and Rupert H. Johnson, Jr. (holders of more than 10% of the common stock of Franklin Resources), reported holdings of the Common Stock beneficially owned by one or more open or closed-end investment companies or other managed accounts t hat are investment management clients of subsidiaries of Franklin Resources, Inc. Franklin Resources, Inc. reported that Franklin Advisory Services, LLC has sole voting power with respect to 1,545,150 shares of Common Stock and sole disposition power with respect to all 1,619,150 shares. The information contained in this footnote is derived from information contained in Amendment No. 2 to Schedule 13G filed by Franklin Resources, Inc. with the SEC referred to herein.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68"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92" w:lineRule="exact"/>
        <w:rPr>
          <w:sz w:val="20"/>
          <w:szCs w:val="20"/>
          <w:color w:val="auto"/>
        </w:rPr>
      </w:pPr>
    </w:p>
    <w:p>
      <w:pPr>
        <w:ind w:left="340" w:right="120" w:hanging="332"/>
        <w:spacing w:after="0" w:line="250" w:lineRule="auto"/>
        <w:tabs>
          <w:tab w:leader="none" w:pos="340" w:val="left"/>
        </w:tabs>
        <w:numPr>
          <w:ilvl w:val="0"/>
          <w:numId w:val="8"/>
        </w:numPr>
        <w:rPr>
          <w:rFonts w:ascii="Arial" w:cs="Arial" w:eastAsia="Arial" w:hAnsi="Arial"/>
          <w:sz w:val="13"/>
          <w:szCs w:val="13"/>
          <w:color w:val="auto"/>
        </w:rPr>
      </w:pPr>
      <w:r>
        <w:rPr>
          <w:rFonts w:ascii="Arial" w:cs="Arial" w:eastAsia="Arial" w:hAnsi="Arial"/>
          <w:sz w:val="14"/>
          <w:szCs w:val="14"/>
          <w:color w:val="auto"/>
        </w:rPr>
        <w:t>The number of shares owned as of December 31, 2009 according to Schedule 13G filed with the SEC on February 9, 2010. TAMRO Capital Partners LLC, an investment advisor, has sole voting power with respect to 1,139,929 shares and shared dispositive power with respect to all 1,532,463 shares. The information contained is this footnote is derived from information contained in Schedule 13G filed by TAMRO Capital Partners LLC with the SEC referred to herein.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known to us with respect to beneficial ownership of our common stock at October 5, 2010 for</w:t>
      </w:r>
    </w:p>
    <w:p>
      <w:pPr>
        <w:spacing w:after="0" w:line="9" w:lineRule="exact"/>
        <w:rPr>
          <w:sz w:val="20"/>
          <w:szCs w:val="20"/>
          <w:color w:val="auto"/>
        </w:rPr>
      </w:pPr>
    </w:p>
    <w:p>
      <w:pPr>
        <w:ind w:right="20" w:firstLine="8"/>
        <w:spacing w:after="0" w:line="254"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directors and nominees for director, (ii) each person who served as our Chief Executive Officer ("CEO") or Chief Financial Officer ("CFO") during Fiscal 2010, (iii) our three most highly compensated executive officers (other than the Chairman and CEO and the CFO) who were serving as executive officers at the end of Fiscal 2010, named in the summary compensation table below and (iv) all executive officers, directors and nominees for director as a group.</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4080" w:type="dxa"/>
            <w:vAlign w:val="bottom"/>
          </w:tcPr>
          <w:p>
            <w:pPr>
              <w:spacing w:after="0"/>
              <w:rPr>
                <w:sz w:val="22"/>
                <w:szCs w:val="22"/>
                <w:color w:val="auto"/>
              </w:rPr>
            </w:pPr>
          </w:p>
        </w:tc>
        <w:tc>
          <w:tcPr>
            <w:tcW w:w="5680" w:type="dxa"/>
            <w:vAlign w:val="bottom"/>
          </w:tcPr>
          <w:p>
            <w:pPr>
              <w:jc w:val="center"/>
              <w:ind w:left="3524"/>
              <w:spacing w:after="0"/>
              <w:rPr>
                <w:sz w:val="20"/>
                <w:szCs w:val="20"/>
                <w:color w:val="auto"/>
              </w:rPr>
            </w:pPr>
            <w:r>
              <w:rPr>
                <w:rFonts w:ascii="Arial" w:cs="Arial" w:eastAsia="Arial" w:hAnsi="Arial"/>
                <w:sz w:val="16"/>
                <w:szCs w:val="16"/>
                <w:b w:val="1"/>
                <w:bCs w:val="1"/>
                <w:color w:val="auto"/>
              </w:rPr>
              <w:t>Shares of Common Stock</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Percent of Common</w:t>
            </w: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5680" w:type="dxa"/>
            <w:vAlign w:val="bottom"/>
          </w:tcPr>
          <w:p>
            <w:pPr>
              <w:jc w:val="center"/>
              <w:ind w:left="3524"/>
              <w:spacing w:after="0" w:line="117" w:lineRule="exact"/>
              <w:rPr>
                <w:sz w:val="20"/>
                <w:szCs w:val="20"/>
                <w:color w:val="auto"/>
              </w:rPr>
            </w:pPr>
            <w:r>
              <w:rPr>
                <w:rFonts w:ascii="Arial" w:cs="Arial" w:eastAsia="Arial" w:hAnsi="Arial"/>
                <w:sz w:val="13"/>
                <w:szCs w:val="13"/>
                <w:b w:val="1"/>
                <w:bCs w:val="1"/>
                <w:color w:val="auto"/>
              </w:rPr>
              <w:t>Owned Beneficially at</w:t>
            </w: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Stock (%)</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167"/>
        </w:trPr>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5680" w:type="dxa"/>
            <w:vAlign w:val="bottom"/>
            <w:vMerge w:val="restart"/>
          </w:tcPr>
          <w:p>
            <w:pPr>
              <w:jc w:val="center"/>
              <w:ind w:left="3524"/>
              <w:spacing w:after="0" w:line="234" w:lineRule="exact"/>
              <w:rPr>
                <w:sz w:val="20"/>
                <w:szCs w:val="20"/>
                <w:color w:val="auto"/>
              </w:rPr>
            </w:pPr>
            <w:r>
              <w:rPr>
                <w:rFonts w:ascii="Arial" w:cs="Arial" w:eastAsia="Arial" w:hAnsi="Arial"/>
                <w:sz w:val="16"/>
                <w:szCs w:val="16"/>
                <w:b w:val="1"/>
                <w:bCs w:val="1"/>
                <w:color w:val="auto"/>
                <w:w w:val="96"/>
              </w:rPr>
              <w:t>October 5, 2010</w:t>
            </w:r>
            <w:r>
              <w:rPr>
                <w:rFonts w:ascii="Arial" w:cs="Arial" w:eastAsia="Arial" w:hAnsi="Arial"/>
                <w:sz w:val="21"/>
                <w:szCs w:val="21"/>
                <w:b w:val="1"/>
                <w:bCs w:val="1"/>
                <w:color w:val="auto"/>
                <w:w w:val="96"/>
                <w:vertAlign w:val="superscript"/>
              </w:rPr>
              <w:t>(1)</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080" w:type="dxa"/>
            <w:vAlign w:val="bottom"/>
            <w:vMerge w:val="continue"/>
          </w:tcPr>
          <w:p>
            <w:pPr>
              <w:spacing w:after="0"/>
              <w:rPr>
                <w:sz w:val="5"/>
                <w:szCs w:val="5"/>
                <w:color w:val="auto"/>
              </w:rPr>
            </w:pPr>
          </w:p>
        </w:tc>
        <w:tc>
          <w:tcPr>
            <w:tcW w:w="568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Irvin E. Aal</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45,216</w:t>
            </w:r>
          </w:p>
        </w:tc>
        <w:tc>
          <w:tcPr>
            <w:tcW w:w="6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600" w:type="dxa"/>
            <w:vAlign w:val="bottom"/>
            <w:tcBorders>
              <w:top w:val="single" w:sz="8" w:color="auto"/>
            </w:tcBorders>
            <w:shd w:val="clear" w:color="auto" w:fill="CCEEFF"/>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54"/>
        </w:trPr>
        <w:tc>
          <w:tcPr>
            <w:tcW w:w="6100" w:type="dxa"/>
            <w:vAlign w:val="bottom"/>
            <w:vMerge w:val="restart"/>
          </w:tcPr>
          <w:p>
            <w:pPr>
              <w:ind w:left="40"/>
              <w:spacing w:after="0"/>
              <w:rPr>
                <w:sz w:val="20"/>
                <w:szCs w:val="20"/>
                <w:color w:val="auto"/>
              </w:rPr>
            </w:pPr>
            <w:r>
              <w:rPr>
                <w:rFonts w:ascii="Arial" w:cs="Arial" w:eastAsia="Arial" w:hAnsi="Arial"/>
                <w:sz w:val="18"/>
                <w:szCs w:val="18"/>
                <w:color w:val="auto"/>
              </w:rPr>
              <w:t>Raymond M. Beebe</w:t>
            </w:r>
          </w:p>
        </w:tc>
        <w:tc>
          <w:tcPr>
            <w:tcW w:w="3100" w:type="dxa"/>
            <w:vAlign w:val="bottom"/>
            <w:vMerge w:val="restart"/>
          </w:tcPr>
          <w:p>
            <w:pPr>
              <w:jc w:val="right"/>
              <w:ind w:right="870"/>
              <w:spacing w:after="0"/>
              <w:rPr>
                <w:sz w:val="20"/>
                <w:szCs w:val="20"/>
                <w:color w:val="auto"/>
              </w:rPr>
            </w:pPr>
            <w:r>
              <w:rPr>
                <w:rFonts w:ascii="Arial" w:cs="Arial" w:eastAsia="Arial" w:hAnsi="Arial"/>
                <w:sz w:val="18"/>
                <w:szCs w:val="18"/>
                <w:color w:val="auto"/>
              </w:rPr>
              <w:t>48,472</w:t>
            </w:r>
          </w:p>
        </w:tc>
        <w:tc>
          <w:tcPr>
            <w:tcW w:w="620" w:type="dxa"/>
            <w:vAlign w:val="bottom"/>
          </w:tcPr>
          <w:p>
            <w:pPr>
              <w:ind w:left="80"/>
              <w:spacing w:after="0"/>
              <w:rPr>
                <w:sz w:val="20"/>
                <w:szCs w:val="20"/>
                <w:color w:val="auto"/>
              </w:rPr>
            </w:pPr>
            <w:r>
              <w:rPr>
                <w:rFonts w:ascii="Arial" w:cs="Arial" w:eastAsia="Arial" w:hAnsi="Arial"/>
                <w:sz w:val="11"/>
                <w:szCs w:val="11"/>
                <w:color w:val="auto"/>
              </w:rPr>
              <w:t>(3)</w:t>
            </w:r>
          </w:p>
        </w:tc>
        <w:tc>
          <w:tcPr>
            <w:tcW w:w="1600" w:type="dxa"/>
            <w:vAlign w:val="bottom"/>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96"/>
        </w:trPr>
        <w:tc>
          <w:tcPr>
            <w:tcW w:w="6100" w:type="dxa"/>
            <w:vAlign w:val="bottom"/>
            <w:vMerge w:val="continue"/>
          </w:tcPr>
          <w:p>
            <w:pPr>
              <w:spacing w:after="0"/>
              <w:rPr>
                <w:sz w:val="8"/>
                <w:szCs w:val="8"/>
                <w:color w:val="auto"/>
              </w:rPr>
            </w:pPr>
          </w:p>
        </w:tc>
        <w:tc>
          <w:tcPr>
            <w:tcW w:w="31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Robert M. Chiusano</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w:t>
            </w:r>
          </w:p>
        </w:tc>
        <w:tc>
          <w:tcPr>
            <w:tcW w:w="620" w:type="dxa"/>
            <w:vAlign w:val="bottom"/>
            <w:shd w:val="clear" w:color="auto" w:fill="CCEEFF"/>
          </w:tcPr>
          <w:p>
            <w:pPr>
              <w:ind w:left="80"/>
              <w:spacing w:after="0"/>
              <w:rPr>
                <w:sz w:val="20"/>
                <w:szCs w:val="20"/>
                <w:color w:val="auto"/>
              </w:rPr>
            </w:pPr>
            <w:r>
              <w:rPr>
                <w:rFonts w:ascii="Arial" w:cs="Arial" w:eastAsia="Arial" w:hAnsi="Arial"/>
                <w:sz w:val="11"/>
                <w:szCs w:val="11"/>
                <w:color w:val="auto"/>
              </w:rPr>
              <w:t>(4)</w:t>
            </w:r>
          </w:p>
        </w:tc>
        <w:tc>
          <w:tcPr>
            <w:tcW w:w="160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Jerry N. Currie</w:t>
            </w:r>
          </w:p>
        </w:tc>
        <w:tc>
          <w:tcPr>
            <w:tcW w:w="3100" w:type="dxa"/>
            <w:vAlign w:val="bottom"/>
          </w:tcPr>
          <w:p>
            <w:pPr>
              <w:jc w:val="right"/>
              <w:spacing w:after="0"/>
              <w:rPr>
                <w:sz w:val="20"/>
                <w:szCs w:val="20"/>
                <w:color w:val="auto"/>
              </w:rPr>
            </w:pPr>
            <w:r>
              <w:rPr>
                <w:rFonts w:ascii="Arial" w:cs="Arial" w:eastAsia="Arial" w:hAnsi="Arial"/>
                <w:sz w:val="18"/>
                <w:szCs w:val="18"/>
                <w:color w:val="auto"/>
              </w:rPr>
              <w:t>29,500</w:t>
            </w:r>
          </w:p>
        </w:tc>
        <w:tc>
          <w:tcPr>
            <w:tcW w:w="620" w:type="dxa"/>
            <w:vAlign w:val="bottom"/>
          </w:tcPr>
          <w:p>
            <w:pPr>
              <w:ind w:left="80"/>
              <w:spacing w:after="0"/>
              <w:rPr>
                <w:sz w:val="20"/>
                <w:szCs w:val="20"/>
                <w:color w:val="auto"/>
              </w:rPr>
            </w:pPr>
            <w:r>
              <w:rPr>
                <w:rFonts w:ascii="Arial" w:cs="Arial" w:eastAsia="Arial" w:hAnsi="Arial"/>
                <w:sz w:val="11"/>
                <w:szCs w:val="11"/>
                <w:color w:val="auto"/>
              </w:rPr>
              <w:t>(3)</w:t>
            </w:r>
          </w:p>
        </w:tc>
        <w:tc>
          <w:tcPr>
            <w:tcW w:w="1600" w:type="dxa"/>
            <w:vAlign w:val="bottom"/>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0"/>
        </w:trPr>
        <w:tc>
          <w:tcPr>
            <w:tcW w:w="6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Joseph W. England</w:t>
            </w:r>
          </w:p>
        </w:tc>
        <w:tc>
          <w:tcPr>
            <w:tcW w:w="3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46,823</w:t>
            </w:r>
          </w:p>
        </w:tc>
        <w:tc>
          <w:tcPr>
            <w:tcW w:w="62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60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3"/>
        </w:trPr>
        <w:tc>
          <w:tcPr>
            <w:tcW w:w="6100" w:type="dxa"/>
            <w:vAlign w:val="bottom"/>
            <w:vMerge w:val="continue"/>
            <w:shd w:val="clear" w:color="auto" w:fill="CCEEFF"/>
          </w:tcPr>
          <w:p>
            <w:pPr>
              <w:spacing w:after="0"/>
              <w:rPr>
                <w:sz w:val="8"/>
                <w:szCs w:val="8"/>
                <w:color w:val="auto"/>
              </w:rPr>
            </w:pPr>
          </w:p>
        </w:tc>
        <w:tc>
          <w:tcPr>
            <w:tcW w:w="31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Lawrence A. Erickson</w:t>
            </w:r>
          </w:p>
        </w:tc>
        <w:tc>
          <w:tcPr>
            <w:tcW w:w="3100" w:type="dxa"/>
            <w:vAlign w:val="bottom"/>
          </w:tcPr>
          <w:p>
            <w:pPr>
              <w:jc w:val="right"/>
              <w:spacing w:after="0"/>
              <w:rPr>
                <w:sz w:val="20"/>
                <w:szCs w:val="20"/>
                <w:color w:val="auto"/>
              </w:rPr>
            </w:pPr>
            <w:r>
              <w:rPr>
                <w:rFonts w:ascii="Arial" w:cs="Arial" w:eastAsia="Arial" w:hAnsi="Arial"/>
                <w:sz w:val="18"/>
                <w:szCs w:val="18"/>
                <w:color w:val="auto"/>
              </w:rPr>
              <w:t>33,645</w:t>
            </w:r>
          </w:p>
        </w:tc>
        <w:tc>
          <w:tcPr>
            <w:tcW w:w="620" w:type="dxa"/>
            <w:vAlign w:val="bottom"/>
          </w:tcPr>
          <w:p>
            <w:pPr>
              <w:ind w:left="80"/>
              <w:spacing w:after="0"/>
              <w:rPr>
                <w:sz w:val="20"/>
                <w:szCs w:val="20"/>
                <w:color w:val="auto"/>
              </w:rPr>
            </w:pPr>
            <w:r>
              <w:rPr>
                <w:rFonts w:ascii="Arial" w:cs="Arial" w:eastAsia="Arial" w:hAnsi="Arial"/>
                <w:sz w:val="11"/>
                <w:szCs w:val="11"/>
                <w:color w:val="auto"/>
              </w:rPr>
              <w:t>(3)(4)</w:t>
            </w:r>
          </w:p>
        </w:tc>
        <w:tc>
          <w:tcPr>
            <w:tcW w:w="1600" w:type="dxa"/>
            <w:vAlign w:val="bottom"/>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V. Hanson</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620" w:type="dxa"/>
            <w:vAlign w:val="bottom"/>
            <w:shd w:val="clear" w:color="auto" w:fill="CCEEFF"/>
          </w:tcPr>
          <w:p>
            <w:pPr>
              <w:ind w:left="80"/>
              <w:spacing w:after="0"/>
              <w:rPr>
                <w:sz w:val="20"/>
                <w:szCs w:val="20"/>
                <w:color w:val="auto"/>
              </w:rPr>
            </w:pPr>
            <w:r>
              <w:rPr>
                <w:rFonts w:ascii="Arial" w:cs="Arial" w:eastAsia="Arial" w:hAnsi="Arial"/>
                <w:sz w:val="11"/>
                <w:szCs w:val="11"/>
                <w:color w:val="auto"/>
              </w:rPr>
              <w:t>(3)(6)</w:t>
            </w:r>
          </w:p>
        </w:tc>
        <w:tc>
          <w:tcPr>
            <w:tcW w:w="160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Gerald C. Kitch</w:t>
            </w:r>
          </w:p>
        </w:tc>
        <w:tc>
          <w:tcPr>
            <w:tcW w:w="3100" w:type="dxa"/>
            <w:vAlign w:val="bottom"/>
          </w:tcPr>
          <w:p>
            <w:pPr>
              <w:jc w:val="right"/>
              <w:spacing w:after="0"/>
              <w:rPr>
                <w:sz w:val="20"/>
                <w:szCs w:val="20"/>
                <w:color w:val="auto"/>
              </w:rPr>
            </w:pPr>
            <w:r>
              <w:rPr>
                <w:rFonts w:ascii="Arial" w:cs="Arial" w:eastAsia="Arial" w:hAnsi="Arial"/>
                <w:sz w:val="18"/>
                <w:szCs w:val="18"/>
                <w:color w:val="auto"/>
              </w:rPr>
              <w:t>65,037</w:t>
            </w:r>
          </w:p>
        </w:tc>
        <w:tc>
          <w:tcPr>
            <w:tcW w:w="620" w:type="dxa"/>
            <w:vAlign w:val="bottom"/>
          </w:tcPr>
          <w:p>
            <w:pPr>
              <w:ind w:left="80"/>
              <w:spacing w:after="0"/>
              <w:rPr>
                <w:sz w:val="20"/>
                <w:szCs w:val="20"/>
                <w:color w:val="auto"/>
              </w:rPr>
            </w:pPr>
            <w:r>
              <w:rPr>
                <w:rFonts w:ascii="Arial" w:cs="Arial" w:eastAsia="Arial" w:hAnsi="Arial"/>
                <w:sz w:val="11"/>
                <w:szCs w:val="11"/>
                <w:color w:val="auto"/>
              </w:rPr>
              <w:t>(3)(4)</w:t>
            </w:r>
          </w:p>
        </w:tc>
        <w:tc>
          <w:tcPr>
            <w:tcW w:w="1600" w:type="dxa"/>
            <w:vAlign w:val="bottom"/>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Roger W. Martin</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51,847</w:t>
            </w:r>
          </w:p>
        </w:tc>
        <w:tc>
          <w:tcPr>
            <w:tcW w:w="620" w:type="dxa"/>
            <w:vAlign w:val="bottom"/>
            <w:shd w:val="clear" w:color="auto" w:fill="CCEEFF"/>
          </w:tcPr>
          <w:p>
            <w:pPr>
              <w:ind w:left="80"/>
              <w:spacing w:after="0"/>
              <w:rPr>
                <w:sz w:val="20"/>
                <w:szCs w:val="20"/>
                <w:color w:val="auto"/>
              </w:rPr>
            </w:pPr>
            <w:r>
              <w:rPr>
                <w:rFonts w:ascii="Arial" w:cs="Arial" w:eastAsia="Arial" w:hAnsi="Arial"/>
                <w:sz w:val="11"/>
                <w:szCs w:val="11"/>
                <w:color w:val="auto"/>
              </w:rPr>
              <w:t>(3)</w:t>
            </w:r>
          </w:p>
        </w:tc>
        <w:tc>
          <w:tcPr>
            <w:tcW w:w="160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Sarah N. Nielsen</w:t>
            </w:r>
          </w:p>
        </w:tc>
        <w:tc>
          <w:tcPr>
            <w:tcW w:w="3100" w:type="dxa"/>
            <w:vAlign w:val="bottom"/>
          </w:tcPr>
          <w:p>
            <w:pPr>
              <w:jc w:val="right"/>
              <w:spacing w:after="0"/>
              <w:rPr>
                <w:sz w:val="20"/>
                <w:szCs w:val="20"/>
                <w:color w:val="auto"/>
              </w:rPr>
            </w:pPr>
            <w:r>
              <w:rPr>
                <w:rFonts w:ascii="Arial" w:cs="Arial" w:eastAsia="Arial" w:hAnsi="Arial"/>
                <w:sz w:val="18"/>
                <w:szCs w:val="18"/>
                <w:color w:val="auto"/>
              </w:rPr>
              <w:t>19,944</w:t>
            </w:r>
          </w:p>
        </w:tc>
        <w:tc>
          <w:tcPr>
            <w:tcW w:w="620" w:type="dxa"/>
            <w:vAlign w:val="bottom"/>
          </w:tcPr>
          <w:p>
            <w:pPr>
              <w:ind w:left="60"/>
              <w:spacing w:after="0"/>
              <w:rPr>
                <w:sz w:val="20"/>
                <w:szCs w:val="20"/>
                <w:color w:val="auto"/>
              </w:rPr>
            </w:pPr>
            <w:r>
              <w:rPr>
                <w:rFonts w:ascii="Arial" w:cs="Arial" w:eastAsia="Arial" w:hAnsi="Arial"/>
                <w:sz w:val="11"/>
                <w:szCs w:val="11"/>
                <w:color w:val="auto"/>
              </w:rPr>
              <w:t>(3)</w:t>
            </w:r>
          </w:p>
        </w:tc>
        <w:tc>
          <w:tcPr>
            <w:tcW w:w="1600" w:type="dxa"/>
            <w:vAlign w:val="bottom"/>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William J. O'Leary</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620" w:type="dxa"/>
            <w:vAlign w:val="bottom"/>
            <w:shd w:val="clear" w:color="auto" w:fill="CCEEFF"/>
          </w:tcPr>
          <w:p>
            <w:pPr>
              <w:ind w:left="80"/>
              <w:spacing w:after="0"/>
              <w:rPr>
                <w:sz w:val="20"/>
                <w:szCs w:val="20"/>
                <w:color w:val="auto"/>
              </w:rPr>
            </w:pPr>
            <w:r>
              <w:rPr>
                <w:rFonts w:ascii="Arial" w:cs="Arial" w:eastAsia="Arial" w:hAnsi="Arial"/>
                <w:sz w:val="11"/>
                <w:szCs w:val="11"/>
                <w:color w:val="auto"/>
              </w:rPr>
              <w:t>(3)</w:t>
            </w:r>
          </w:p>
        </w:tc>
        <w:tc>
          <w:tcPr>
            <w:tcW w:w="1600" w:type="dxa"/>
            <w:vAlign w:val="bottom"/>
            <w:shd w:val="clear" w:color="auto" w:fill="CCEEFF"/>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Robert J. Olson</w:t>
            </w:r>
          </w:p>
        </w:tc>
        <w:tc>
          <w:tcPr>
            <w:tcW w:w="3100" w:type="dxa"/>
            <w:vAlign w:val="bottom"/>
          </w:tcPr>
          <w:p>
            <w:pPr>
              <w:jc w:val="right"/>
              <w:spacing w:after="0"/>
              <w:rPr>
                <w:sz w:val="20"/>
                <w:szCs w:val="20"/>
                <w:color w:val="auto"/>
              </w:rPr>
            </w:pPr>
            <w:r>
              <w:rPr>
                <w:rFonts w:ascii="Arial" w:cs="Arial" w:eastAsia="Arial" w:hAnsi="Arial"/>
                <w:sz w:val="18"/>
                <w:szCs w:val="18"/>
                <w:color w:val="auto"/>
              </w:rPr>
              <w:t>72,788</w:t>
            </w:r>
          </w:p>
        </w:tc>
        <w:tc>
          <w:tcPr>
            <w:tcW w:w="620" w:type="dxa"/>
            <w:vAlign w:val="bottom"/>
          </w:tcPr>
          <w:p>
            <w:pPr>
              <w:ind w:left="80"/>
              <w:spacing w:after="0"/>
              <w:rPr>
                <w:sz w:val="20"/>
                <w:szCs w:val="20"/>
                <w:color w:val="auto"/>
              </w:rPr>
            </w:pPr>
            <w:r>
              <w:rPr>
                <w:rFonts w:ascii="Arial" w:cs="Arial" w:eastAsia="Arial" w:hAnsi="Arial"/>
                <w:sz w:val="11"/>
                <w:szCs w:val="11"/>
                <w:color w:val="auto"/>
              </w:rPr>
              <w:t>(3)</w:t>
            </w:r>
          </w:p>
        </w:tc>
        <w:tc>
          <w:tcPr>
            <w:tcW w:w="1600" w:type="dxa"/>
            <w:vAlign w:val="bottom"/>
          </w:tcPr>
          <w:p>
            <w:pPr>
              <w:jc w:val="right"/>
              <w:ind w:right="583"/>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63"/>
        </w:trPr>
        <w:tc>
          <w:tcPr>
            <w:tcW w:w="6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Directors and executive officers as a group (17 persons)</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597,517</w:t>
            </w:r>
          </w:p>
        </w:tc>
        <w:tc>
          <w:tcPr>
            <w:tcW w:w="620" w:type="dxa"/>
            <w:vAlign w:val="bottom"/>
            <w:shd w:val="clear" w:color="auto" w:fill="CCEEFF"/>
          </w:tcPr>
          <w:p>
            <w:pPr>
              <w:ind w:left="80"/>
              <w:spacing w:after="0"/>
              <w:rPr>
                <w:sz w:val="20"/>
                <w:szCs w:val="20"/>
                <w:color w:val="auto"/>
              </w:rPr>
            </w:pPr>
            <w:r>
              <w:rPr>
                <w:rFonts w:ascii="Arial" w:cs="Arial" w:eastAsia="Arial" w:hAnsi="Arial"/>
                <w:sz w:val="11"/>
                <w:szCs w:val="11"/>
                <w:color w:val="auto"/>
              </w:rPr>
              <w:t>(3)(4)</w:t>
            </w:r>
          </w:p>
        </w:tc>
        <w:tc>
          <w:tcPr>
            <w:tcW w:w="1600" w:type="dxa"/>
            <w:vAlign w:val="bottom"/>
          </w:tcPr>
          <w:p>
            <w:pPr>
              <w:jc w:val="right"/>
              <w:ind w:right="423"/>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4"/>
          <w:szCs w:val="14"/>
          <w:color w:val="auto"/>
        </w:rPr>
        <w:t>Includes shares held jointly with or by spouse and shares held as custodian, beneficial ownership of which is disclaimed.</w:t>
      </w:r>
    </w:p>
    <w:p>
      <w:pPr>
        <w:spacing w:after="0" w:line="1" w:lineRule="exact"/>
        <w:rPr>
          <w:rFonts w:ascii="Arial" w:cs="Arial" w:eastAsia="Arial" w:hAnsi="Arial"/>
          <w:sz w:val="13"/>
          <w:szCs w:val="13"/>
          <w:color w:val="auto"/>
        </w:rPr>
      </w:pPr>
    </w:p>
    <w:p>
      <w:pPr>
        <w:ind w:left="340" w:right="40" w:hanging="332"/>
        <w:spacing w:after="0" w:line="241"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4"/>
          <w:szCs w:val="14"/>
          <w:color w:val="auto"/>
        </w:rPr>
        <w:t>Based on 29,116,168 outstanding shares of Common Stock on October 5, 2010, together with shares representing the 103,845 Winnebago Stock Units held by directors under our Directors' Deferred Compensation Plan (as defined below) as of October 5, 2010 and 376,083 shares that directors and executive officers as a group have the right to acquire within 60 days of October 5, 2010 through the exercise of stock options.</w:t>
      </w:r>
    </w:p>
    <w:p>
      <w:pPr>
        <w:spacing w:after="0" w:line="1" w:lineRule="exact"/>
        <w:rPr>
          <w:rFonts w:ascii="Arial" w:cs="Arial" w:eastAsia="Arial" w:hAnsi="Arial"/>
          <w:sz w:val="13"/>
          <w:szCs w:val="13"/>
          <w:color w:val="auto"/>
        </w:rPr>
      </w:pPr>
    </w:p>
    <w:p>
      <w:pPr>
        <w:ind w:left="340" w:right="140" w:hanging="332"/>
        <w:spacing w:after="0" w:line="258"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4"/>
          <w:szCs w:val="14"/>
          <w:color w:val="auto"/>
        </w:rPr>
        <w:t>Includes the following shares in which the respective directors and executive officers, individually and as a group, have the right to acquire within 60 days of October 5, 2010 through the exercise of stock options:</w:t>
      </w:r>
    </w:p>
    <w:p>
      <w:pPr>
        <w:spacing w:after="0" w:line="122"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4560" w:type="dxa"/>
            <w:vAlign w:val="bottom"/>
          </w:tcPr>
          <w:p>
            <w:pPr>
              <w:jc w:val="right"/>
              <w:spacing w:after="0"/>
              <w:rPr>
                <w:sz w:val="20"/>
                <w:szCs w:val="20"/>
                <w:color w:val="auto"/>
              </w:rPr>
            </w:pPr>
            <w:r>
              <w:rPr>
                <w:rFonts w:ascii="Arial" w:cs="Arial" w:eastAsia="Arial" w:hAnsi="Arial"/>
                <w:sz w:val="14"/>
                <w:szCs w:val="14"/>
                <w:b w:val="1"/>
                <w:bCs w:val="1"/>
                <w:color w:val="auto"/>
              </w:rPr>
              <w:t>Exercisable Stock</w:t>
            </w:r>
          </w:p>
        </w:tc>
      </w:tr>
      <w:tr>
        <w:trPr>
          <w:trHeight w:val="196"/>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Director/Executive Officer</w:t>
            </w:r>
          </w:p>
        </w:tc>
        <w:tc>
          <w:tcPr>
            <w:tcW w:w="4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r>
      <w:tr>
        <w:trPr>
          <w:trHeight w:val="25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Irvin E. Aal</w:t>
            </w:r>
          </w:p>
        </w:tc>
        <w:tc>
          <w:tcPr>
            <w:tcW w:w="4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28,000</w:t>
            </w:r>
          </w:p>
        </w:tc>
      </w:tr>
      <w:tr>
        <w:trPr>
          <w:trHeight w:val="264"/>
        </w:trPr>
        <w:tc>
          <w:tcPr>
            <w:tcW w:w="6460" w:type="dxa"/>
            <w:vAlign w:val="bottom"/>
          </w:tcPr>
          <w:p>
            <w:pPr>
              <w:ind w:left="40"/>
              <w:spacing w:after="0"/>
              <w:rPr>
                <w:sz w:val="20"/>
                <w:szCs w:val="20"/>
                <w:color w:val="auto"/>
              </w:rPr>
            </w:pPr>
            <w:r>
              <w:rPr>
                <w:rFonts w:ascii="Arial" w:cs="Arial" w:eastAsia="Arial" w:hAnsi="Arial"/>
                <w:sz w:val="14"/>
                <w:szCs w:val="14"/>
                <w:color w:val="auto"/>
              </w:rPr>
              <w:t>Raymond M. Beebe</w:t>
            </w:r>
          </w:p>
        </w:tc>
        <w:tc>
          <w:tcPr>
            <w:tcW w:w="4560" w:type="dxa"/>
            <w:vAlign w:val="bottom"/>
          </w:tcPr>
          <w:p>
            <w:pPr>
              <w:jc w:val="right"/>
              <w:ind w:right="828"/>
              <w:spacing w:after="0"/>
              <w:rPr>
                <w:sz w:val="20"/>
                <w:szCs w:val="20"/>
                <w:color w:val="auto"/>
              </w:rPr>
            </w:pPr>
            <w:r>
              <w:rPr>
                <w:rFonts w:ascii="Arial" w:cs="Arial" w:eastAsia="Arial" w:hAnsi="Arial"/>
                <w:sz w:val="14"/>
                <w:szCs w:val="14"/>
                <w:color w:val="auto"/>
              </w:rPr>
              <w:t>40,000</w:t>
            </w:r>
          </w:p>
        </w:tc>
      </w:tr>
      <w:tr>
        <w:trPr>
          <w:trHeight w:val="27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Jerry N. Currie</w:t>
            </w:r>
          </w:p>
        </w:tc>
        <w:tc>
          <w:tcPr>
            <w:tcW w:w="4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24,000</w:t>
            </w:r>
          </w:p>
        </w:tc>
      </w:tr>
      <w:tr>
        <w:trPr>
          <w:trHeight w:val="264"/>
        </w:trPr>
        <w:tc>
          <w:tcPr>
            <w:tcW w:w="6460" w:type="dxa"/>
            <w:vAlign w:val="bottom"/>
          </w:tcPr>
          <w:p>
            <w:pPr>
              <w:ind w:left="40"/>
              <w:spacing w:after="0"/>
              <w:rPr>
                <w:sz w:val="20"/>
                <w:szCs w:val="20"/>
                <w:color w:val="auto"/>
              </w:rPr>
            </w:pPr>
            <w:r>
              <w:rPr>
                <w:rFonts w:ascii="Arial" w:cs="Arial" w:eastAsia="Arial" w:hAnsi="Arial"/>
                <w:sz w:val="14"/>
                <w:szCs w:val="14"/>
                <w:color w:val="auto"/>
              </w:rPr>
              <w:t>Joseph W. England</w:t>
            </w:r>
          </w:p>
        </w:tc>
        <w:tc>
          <w:tcPr>
            <w:tcW w:w="4560" w:type="dxa"/>
            <w:vAlign w:val="bottom"/>
          </w:tcPr>
          <w:p>
            <w:pPr>
              <w:jc w:val="right"/>
              <w:ind w:right="48"/>
              <w:spacing w:after="0"/>
              <w:rPr>
                <w:sz w:val="20"/>
                <w:szCs w:val="20"/>
                <w:color w:val="auto"/>
              </w:rPr>
            </w:pPr>
            <w:r>
              <w:rPr>
                <w:rFonts w:ascii="Arial" w:cs="Arial" w:eastAsia="Arial" w:hAnsi="Arial"/>
                <w:sz w:val="14"/>
                <w:szCs w:val="14"/>
                <w:color w:val="auto"/>
              </w:rPr>
              <w:t>20,000</w:t>
            </w:r>
          </w:p>
        </w:tc>
      </w:tr>
      <w:tr>
        <w:trPr>
          <w:trHeight w:val="27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Lawrence A. Erickson</w:t>
            </w:r>
          </w:p>
        </w:tc>
        <w:tc>
          <w:tcPr>
            <w:tcW w:w="4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14,000</w:t>
            </w:r>
          </w:p>
        </w:tc>
      </w:tr>
      <w:tr>
        <w:trPr>
          <w:trHeight w:val="264"/>
        </w:trPr>
        <w:tc>
          <w:tcPr>
            <w:tcW w:w="6460" w:type="dxa"/>
            <w:vAlign w:val="bottom"/>
          </w:tcPr>
          <w:p>
            <w:pPr>
              <w:ind w:left="40"/>
              <w:spacing w:after="0"/>
              <w:rPr>
                <w:sz w:val="20"/>
                <w:szCs w:val="20"/>
                <w:color w:val="auto"/>
              </w:rPr>
            </w:pPr>
            <w:r>
              <w:rPr>
                <w:rFonts w:ascii="Arial" w:cs="Arial" w:eastAsia="Arial" w:hAnsi="Arial"/>
                <w:sz w:val="14"/>
                <w:szCs w:val="14"/>
                <w:color w:val="auto"/>
              </w:rPr>
              <w:t>John V. Hanson</w:t>
            </w:r>
          </w:p>
        </w:tc>
        <w:tc>
          <w:tcPr>
            <w:tcW w:w="4560" w:type="dxa"/>
            <w:vAlign w:val="bottom"/>
          </w:tcPr>
          <w:p>
            <w:pPr>
              <w:jc w:val="right"/>
              <w:ind w:right="48"/>
              <w:spacing w:after="0"/>
              <w:rPr>
                <w:sz w:val="20"/>
                <w:szCs w:val="20"/>
                <w:color w:val="auto"/>
              </w:rPr>
            </w:pPr>
            <w:r>
              <w:rPr>
                <w:rFonts w:ascii="Arial" w:cs="Arial" w:eastAsia="Arial" w:hAnsi="Arial"/>
                <w:sz w:val="14"/>
                <w:szCs w:val="14"/>
                <w:color w:val="auto"/>
              </w:rPr>
              <w:t>24,000</w:t>
            </w:r>
          </w:p>
        </w:tc>
      </w:tr>
      <w:tr>
        <w:trPr>
          <w:trHeight w:val="27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Gerald C. Kitch</w:t>
            </w:r>
          </w:p>
        </w:tc>
        <w:tc>
          <w:tcPr>
            <w:tcW w:w="4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24,000</w:t>
            </w:r>
          </w:p>
        </w:tc>
      </w:tr>
      <w:tr>
        <w:trPr>
          <w:trHeight w:val="264"/>
        </w:trPr>
        <w:tc>
          <w:tcPr>
            <w:tcW w:w="6460" w:type="dxa"/>
            <w:vAlign w:val="bottom"/>
          </w:tcPr>
          <w:p>
            <w:pPr>
              <w:ind w:left="40"/>
              <w:spacing w:after="0"/>
              <w:rPr>
                <w:sz w:val="20"/>
                <w:szCs w:val="20"/>
                <w:color w:val="auto"/>
              </w:rPr>
            </w:pPr>
            <w:r>
              <w:rPr>
                <w:rFonts w:ascii="Arial" w:cs="Arial" w:eastAsia="Arial" w:hAnsi="Arial"/>
                <w:sz w:val="14"/>
                <w:szCs w:val="14"/>
                <w:color w:val="auto"/>
              </w:rPr>
              <w:t>Roger W. Martin</w:t>
            </w:r>
          </w:p>
        </w:tc>
        <w:tc>
          <w:tcPr>
            <w:tcW w:w="4560" w:type="dxa"/>
            <w:vAlign w:val="bottom"/>
          </w:tcPr>
          <w:p>
            <w:pPr>
              <w:jc w:val="right"/>
              <w:ind w:right="48"/>
              <w:spacing w:after="0"/>
              <w:rPr>
                <w:sz w:val="20"/>
                <w:szCs w:val="20"/>
                <w:color w:val="auto"/>
              </w:rPr>
            </w:pPr>
            <w:r>
              <w:rPr>
                <w:rFonts w:ascii="Arial" w:cs="Arial" w:eastAsia="Arial" w:hAnsi="Arial"/>
                <w:sz w:val="14"/>
                <w:szCs w:val="14"/>
                <w:color w:val="auto"/>
              </w:rPr>
              <w:t>40,000</w:t>
            </w:r>
          </w:p>
        </w:tc>
      </w:tr>
      <w:tr>
        <w:trPr>
          <w:trHeight w:val="27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Sarah N. Nielsen</w:t>
            </w:r>
          </w:p>
        </w:tc>
        <w:tc>
          <w:tcPr>
            <w:tcW w:w="4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w:t>
            </w:r>
          </w:p>
        </w:tc>
      </w:tr>
      <w:tr>
        <w:trPr>
          <w:trHeight w:val="264"/>
        </w:trPr>
        <w:tc>
          <w:tcPr>
            <w:tcW w:w="6460" w:type="dxa"/>
            <w:vAlign w:val="bottom"/>
          </w:tcPr>
          <w:p>
            <w:pPr>
              <w:ind w:left="40"/>
              <w:spacing w:after="0"/>
              <w:rPr>
                <w:sz w:val="20"/>
                <w:szCs w:val="20"/>
                <w:color w:val="auto"/>
              </w:rPr>
            </w:pPr>
            <w:r>
              <w:rPr>
                <w:rFonts w:ascii="Arial" w:cs="Arial" w:eastAsia="Arial" w:hAnsi="Arial"/>
                <w:sz w:val="14"/>
                <w:szCs w:val="14"/>
                <w:color w:val="auto"/>
              </w:rPr>
              <w:t>William J. O'Leary</w:t>
            </w:r>
          </w:p>
        </w:tc>
        <w:tc>
          <w:tcPr>
            <w:tcW w:w="4560" w:type="dxa"/>
            <w:vAlign w:val="bottom"/>
          </w:tcPr>
          <w:p>
            <w:pPr>
              <w:jc w:val="right"/>
              <w:ind w:right="48"/>
              <w:spacing w:after="0"/>
              <w:rPr>
                <w:sz w:val="20"/>
                <w:szCs w:val="20"/>
                <w:color w:val="auto"/>
              </w:rPr>
            </w:pPr>
            <w:r>
              <w:rPr>
                <w:rFonts w:ascii="Arial" w:cs="Arial" w:eastAsia="Arial" w:hAnsi="Arial"/>
                <w:sz w:val="14"/>
                <w:szCs w:val="14"/>
                <w:color w:val="auto"/>
              </w:rPr>
              <w:t>40,000</w:t>
            </w:r>
          </w:p>
        </w:tc>
      </w:tr>
      <w:tr>
        <w:trPr>
          <w:trHeight w:val="276"/>
        </w:trPr>
        <w:tc>
          <w:tcPr>
            <w:tcW w:w="6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Robert J. Olson</w:t>
            </w:r>
          </w:p>
        </w:tc>
        <w:tc>
          <w:tcPr>
            <w:tcW w:w="4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48,746</w:t>
            </w:r>
          </w:p>
        </w:tc>
      </w:tr>
      <w:tr>
        <w:trPr>
          <w:trHeight w:val="258"/>
        </w:trPr>
        <w:tc>
          <w:tcPr>
            <w:tcW w:w="6460" w:type="dxa"/>
            <w:vAlign w:val="bottom"/>
          </w:tcPr>
          <w:p>
            <w:pPr>
              <w:ind w:left="40"/>
              <w:spacing w:after="0"/>
              <w:rPr>
                <w:sz w:val="20"/>
                <w:szCs w:val="20"/>
                <w:color w:val="auto"/>
              </w:rPr>
            </w:pPr>
            <w:r>
              <w:rPr>
                <w:rFonts w:ascii="Arial" w:cs="Arial" w:eastAsia="Arial" w:hAnsi="Arial"/>
                <w:sz w:val="14"/>
                <w:szCs w:val="14"/>
                <w:color w:val="auto"/>
              </w:rPr>
              <w:t>Total Directors and Executive Officers (as a group)</w:t>
            </w:r>
          </w:p>
        </w:tc>
        <w:tc>
          <w:tcPr>
            <w:tcW w:w="4560" w:type="dxa"/>
            <w:vAlign w:val="bottom"/>
          </w:tcPr>
          <w:p>
            <w:pPr>
              <w:jc w:val="right"/>
              <w:ind w:right="48"/>
              <w:spacing w:after="0"/>
              <w:rPr>
                <w:sz w:val="20"/>
                <w:szCs w:val="20"/>
                <w:color w:val="auto"/>
              </w:rPr>
            </w:pPr>
            <w:r>
              <w:rPr>
                <w:rFonts w:ascii="Arial" w:cs="Arial" w:eastAsia="Arial" w:hAnsi="Arial"/>
                <w:sz w:val="14"/>
                <w:szCs w:val="14"/>
                <w:color w:val="auto"/>
              </w:rPr>
              <w:t>376,083</w:t>
            </w:r>
          </w:p>
        </w:tc>
      </w:tr>
    </w:tbl>
    <w:p>
      <w:pPr>
        <w:spacing w:after="0" w:line="17" w:lineRule="exact"/>
        <w:rPr>
          <w:sz w:val="20"/>
          <w:szCs w:val="20"/>
          <w:color w:val="auto"/>
        </w:rPr>
      </w:pPr>
    </w:p>
    <w:p>
      <w:pPr>
        <w:ind w:left="340" w:right="100" w:hanging="332"/>
        <w:spacing w:after="0" w:line="237"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4"/>
          <w:szCs w:val="14"/>
          <w:color w:val="auto"/>
        </w:rPr>
        <w:t>Includes 14,716, 9,124, 2 4,323, 17,145, 38,537 Winnebago Stock Units held by Messrs. Aal, Chiusano, England, Erickson and Kitch, respectively, under our Directors' Deferred Compensation Plan as of October 5, 2010. Pursuant to an election made by each such director on December 16, 2009, the Winnebago Stock Units are accrued under the Company's Directors' Deferred Compensation Plan and are to be settled 100% in Common Stock upon the earliest of the following events: director's termination of service, death and disability or a “change of control" of the Company, as defined in said plan.</w:t>
      </w: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4"/>
          <w:szCs w:val="14"/>
          <w:color w:val="auto"/>
        </w:rPr>
        <w:t>&lt; font style="font-family:Arial;font-size:8pt;"&gt;Less than 1 percent.</w:t>
      </w:r>
    </w:p>
    <w:p>
      <w:pPr>
        <w:spacing w:after="0" w:line="12" w:lineRule="exact"/>
        <w:rPr>
          <w:rFonts w:ascii="Arial" w:cs="Arial" w:eastAsia="Arial" w:hAnsi="Arial"/>
          <w:sz w:val="13"/>
          <w:szCs w:val="13"/>
          <w:color w:val="auto"/>
        </w:rPr>
      </w:pPr>
    </w:p>
    <w:p>
      <w:pPr>
        <w:ind w:left="340" w:right="60" w:hanging="332"/>
        <w:spacing w:after="0" w:line="244"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4"/>
          <w:szCs w:val="14"/>
          <w:color w:val="auto"/>
        </w:rPr>
        <w:t>Does not include the 9,774 shares of Common Stock owned on October 5, 2010 by Hanson Capital Partners, L.L.C. ("HCP"). HCP is a Delaware limited liability company whose members are: (i) the Luise V. Hanson Trust Under Agreement, dated February 4, 1999, for the benefit of John V. Hanson (a director on our Board) and Mary Joan Boman (the sister of John V. Hanson), which has a 47.49% membership interest in HCP; (ii) the John K. Hanson Trust Under Agreement, dated June 10, 1996, for the benefit of John V. Hanson, Mary Joan Boman and John J. Hanson (the son of John V. Hanson), which has a 21.18% membership interest in HCP; (iii) the Boman Family Trust Under Agreement, dated May 27, 2008, which has a 5.97% membership interest in HCP; and (iv) the Boman Marital Trust Under Agreement, dated May 26, 2010, which has a 2.77% membership interest in HCP. Additionally, John V. Hanson, Mary Joan Boman, John J. Hanson, Janet Coe (the daughter of Mary Joan Boman) and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68"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92" w:lineRule="exact"/>
        <w:rPr>
          <w:sz w:val="20"/>
          <w:szCs w:val="20"/>
          <w:color w:val="auto"/>
        </w:rPr>
      </w:pPr>
    </w:p>
    <w:p>
      <w:pPr>
        <w:ind w:left="340" w:right="360"/>
        <w:spacing w:after="0" w:line="250" w:lineRule="auto"/>
        <w:rPr>
          <w:sz w:val="20"/>
          <w:szCs w:val="20"/>
          <w:color w:val="auto"/>
        </w:rPr>
      </w:pPr>
      <w:r>
        <w:rPr>
          <w:rFonts w:ascii="Arial" w:cs="Arial" w:eastAsia="Arial" w:hAnsi="Arial"/>
          <w:sz w:val="14"/>
          <w:szCs w:val="14"/>
          <w:color w:val="auto"/>
        </w:rPr>
        <w:t>Gregory Boman (the son of Mary Joan Boman) all have individual HCP membership interests, which collectively, represent the remaining 22.59% membership interest in HCP. John V. Hanson and Mary Joan Boman are the managing members of HCP. The managing members, jointly and not individually, have sole voting power and sole dispositive power with respect to all 9,774 shares of Common Stock of which HCP is the beneficial owner.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16(a) of the Exchange Act requires our officers and directors and persons who own more than 10 percent of the our Common Stock (collectively, “Reporting Persons”) to file reports of ownership and changes in ownership with the SEC. Reporting Persons are required by the SEC regulations to furnish us with copies of all Section 16(a) forms they file. Based solely on its review of the copies of such forms received or written representations from certain Reporting Persons that no Forms 5 were required for those persons, we believe that, during Fiscal 2010, all Reporting Persons complied with all applicable filing requirements, except that due to administrative oversight, a delinquent Form 4 filing for Mr. England was made on April 19, 2010 regarding the exercise of an option on April 14, 2010 and the sale of the Common Stock from such exercise on April 15, 2010.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 OF THE BOARD AND CORPORATE GOVERNANCE</w:t>
      </w:r>
    </w:p>
    <w:p>
      <w:pPr>
        <w:spacing w:after="0" w:line="266"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color w:val="auto"/>
        </w:rPr>
        <w:t xml:space="preserve">Board Leadership Structure. </w:t>
      </w:r>
      <w:r>
        <w:rPr>
          <w:rFonts w:ascii="Arial" w:cs="Arial" w:eastAsia="Arial" w:hAnsi="Arial"/>
          <w:sz w:val="17"/>
          <w:szCs w:val="17"/>
          <w:color w:val="auto"/>
        </w:rPr>
        <w:t>Our By-Laws and Corporate Governance Policy delegate to the Board of Directors the right to exercise its</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to either separate or combine the offices of Chairman of the Board and CEO. This decision is based upon the Board's determination of what is in the best interests of Winnebago Industries and our shareholders, in light of then-current and anticipated future circumstances and taking into consideration succession planning, skills and experience of the individual(s) filling those positions, and other relevant factors.</w:t>
      </w:r>
    </w:p>
    <w:p>
      <w:pPr>
        <w:spacing w:after="0" w:line="12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Upon evaluating the current facts and circumstances relating to the leadership structure of the Board, the Board believes that the interests of Winnebago Industries and its shareholders are currently best served by a Board leadership structure that continues to combine the roles of Chairman of the Board and CEO with Mr. Robert J. Olson filling those roles for the following primary reasons:</w:t>
      </w:r>
    </w:p>
    <w:p>
      <w:pPr>
        <w:spacing w:after="0" w:line="351" w:lineRule="exact"/>
        <w:rPr>
          <w:sz w:val="20"/>
          <w:szCs w:val="20"/>
          <w:color w:val="auto"/>
        </w:rPr>
      </w:pPr>
    </w:p>
    <w:p>
      <w:pPr>
        <w:ind w:left="380" w:right="40" w:hanging="372"/>
        <w:spacing w:after="0" w:line="252"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a Board leadership structure has previously served Winnebago Industries and our shareholders well and the structure continues to serve them well based primarily on Mr. Olson's extensive executive management and leadership experience with Winnebago Industries as the Chairman, CEO and President, and as our former Senior Vice President-Operations and Vice President-Manufacturing; a total of 41 years of experience with Winnebago Industries; strong strategic planning, financial, operations, manufacturing and administrative skills and experience; contributions as a current Board member; demonstration of having the highest professional and personal ethics; commitment to enhancing shareholder value; and good working relationship with other Board members;</w:t>
      </w:r>
    </w:p>
    <w:p>
      <w:pPr>
        <w:spacing w:after="0" w:line="6"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the Chairman of the Board is the CEO or a Winnebago Industries employee, we have a designated independent Lead Director (as defined below), selected by directors who are not Winnebago Industries employees ("Non-Employee Directors"), with clearly delineated and comprehensive duties and responsibilities as set for th in our Corporate Governance Policy; this provides us with a strong counterbalancing governance and leadership structure that is designed so that independent Directors exercise oversight of our management ("Management") and key issues related to strategy and risk and thus, makes separating the Chairman of the Board and CEO positions at this time unnecessary; in addition, only independent Directors serve on the Audit Committee, the Human Resources Committee and the Nominating and Governance Committee of the Board; moreover, Non-Employee Directors regularly hold executive sessions of the Board outside the presence of the Chairman and CEO or any other Winnebago employee and meet regularly in private session with the CEO; the Board's independent Directors also hold executive sessions at least once each year; such executive sessions are led by the Lead Director; and we have established a Shareholder and Other Interested Party Communications Policy for all shareholders and other interested parties;</w:t>
      </w:r>
    </w:p>
    <w:p>
      <w:pPr>
        <w:spacing w:after="0" w:line="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&lt; /td&gt;</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combined chairman and CEO position continues to be the principal board leadership structure in corporate America;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no empirical evidence that separating the roles of chairman and CEO improves returns for shareholders.</w:t>
      </w:r>
    </w:p>
    <w:p>
      <w:pPr>
        <w:spacing w:after="0" w:line="171"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Board recognizes that, depending on the specific characteristics and circumstances of the Company, other leadership structures might also be appropriate in the future, including a Board leadership structure that separates the roles of Chairman of the Board and CEO. The Company is committed to reviewing this determination on an annual basis.</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Lead Director. </w:t>
      </w:r>
      <w:r>
        <w:rPr>
          <w:rFonts w:ascii="Arial" w:cs="Arial" w:eastAsia="Arial" w:hAnsi="Arial"/>
          <w:sz w:val="18"/>
          <w:szCs w:val="18"/>
          <w:color w:val="auto"/>
        </w:rPr>
        <w:t>According to the Company's Corporate Governance Policy, when the Chairman of the Board is also the CEO or an employee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Non-Employee Directors shall select an independent director to preside or lead at each executive session (the “Lead Director”). The Company's Corporate Governance Policy sets forth, as described below, the authority, duties and responsibilities of the Board of Directors' Lead Director: convene and chair meetings of the Non-Employee Directors in executive session at each Board meeting; convene and chair meetings of the independent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68"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 ble of Contents</w:t>
        </w:r>
      </w:hyperlink>
    </w:p>
    <w:p>
      <w:pPr>
        <w:spacing w:after="0" w:line="28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directors in executive session no less than once each year; preside at all meetings of the Board at which the Chairman is not present, including executive sessions of the non-management directors and independent directors; solicit the Non-Employee Directors for advice on agenda items for meetings of the Board; serve as a liaison between the Chairman and CEO and the Non-Employee Directors; collaborate with the Chairman and CEO in developing the agenda for meetings of the Board and approve such agendas; consult with the Chairman and CEO on information that is sent to the Board; collaborate with the Chairman and the CEO and the Chairpersons of the standing committees in developing and managing the schedule of meetings of the Board and approve such schedules; and if requested by major shareholders, ensure that he or she is available for consultation and direct co mmunication. In performing the duties described above, the Lead Director is expected to consult with the Chairs of the appropriate Board committees and solicit their participation. The Lead Director also performs such other duties as may be assigned to the Lead Director by the Company's By-Laws or the Board.</w:t>
      </w:r>
    </w:p>
    <w:p>
      <w:pPr>
        <w:spacing w:after="0" w:line="23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 xml:space="preserve">Committees of the Board. </w:t>
      </w:r>
      <w:r>
        <w:rPr>
          <w:rFonts w:ascii="Arial" w:cs="Arial" w:eastAsia="Arial" w:hAnsi="Arial"/>
          <w:sz w:val="18"/>
          <w:szCs w:val="18"/>
          <w:color w:val="auto"/>
        </w:rPr>
        <w:t>The Board has established standing Audit, Human Resources and Nominating and Governance Committees to</w:t>
      </w:r>
      <w:r>
        <w:rPr>
          <w:rFonts w:ascii="Arial" w:cs="Arial" w:eastAsia="Arial" w:hAnsi="Arial"/>
          <w:sz w:val="18"/>
          <w:szCs w:val="18"/>
          <w:b w:val="1"/>
          <w:bCs w:val="1"/>
          <w:color w:val="auto"/>
        </w:rPr>
        <w:t xml:space="preserve"> </w:t>
      </w:r>
      <w:r>
        <w:rPr>
          <w:rFonts w:ascii="Arial" w:cs="Arial" w:eastAsia="Arial" w:hAnsi="Arial"/>
          <w:sz w:val="18"/>
          <w:szCs w:val="18"/>
          <w:color w:val="auto"/>
        </w:rPr>
        <w:t>assist it in the discharge of its responsibilities. Each of such committees is governed by a written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60325</wp:posOffset>
            </wp:positionV>
            <wp:extent cx="3473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left="192"/>
              <w:spacing w:after="0"/>
              <w:rPr>
                <w:sz w:val="20"/>
                <w:szCs w:val="20"/>
                <w:color w:val="auto"/>
              </w:rPr>
            </w:pPr>
            <w:r>
              <w:rPr>
                <w:rFonts w:ascii="Arial" w:cs="Arial" w:eastAsia="Arial" w:hAnsi="Arial"/>
                <w:sz w:val="16"/>
                <w:szCs w:val="16"/>
                <w:b w:val="1"/>
                <w:bCs w:val="1"/>
                <w:color w:val="auto"/>
              </w:rPr>
              <w:t>Committee</w:t>
            </w:r>
          </w:p>
        </w:tc>
        <w:tc>
          <w:tcPr>
            <w:tcW w:w="1820" w:type="dxa"/>
            <w:vAlign w:val="bottom"/>
            <w:tcBorders>
              <w:bottom w:val="single" w:sz="8" w:color="auto"/>
            </w:tcBorders>
          </w:tcPr>
          <w:p>
            <w:pPr>
              <w:spacing w:after="0"/>
              <w:rPr>
                <w:sz w:val="19"/>
                <w:szCs w:val="19"/>
                <w:color w:val="auto"/>
              </w:rPr>
            </w:pPr>
          </w:p>
        </w:tc>
      </w:tr>
      <w:tr>
        <w:trPr>
          <w:trHeight w:val="198"/>
        </w:trPr>
        <w:tc>
          <w:tcPr>
            <w:tcW w:w="5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Nominating and</w:t>
            </w:r>
          </w:p>
        </w:tc>
      </w:tr>
      <w:tr>
        <w:trPr>
          <w:trHeight w:val="228"/>
        </w:trPr>
        <w:tc>
          <w:tcPr>
            <w:tcW w:w="5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131"/>
              <w:spacing w:after="0"/>
              <w:rPr>
                <w:sz w:val="20"/>
                <w:szCs w:val="20"/>
                <w:color w:val="auto"/>
              </w:rPr>
            </w:pPr>
            <w:r>
              <w:rPr>
                <w:rFonts w:ascii="Arial" w:cs="Arial" w:eastAsia="Arial" w:hAnsi="Arial"/>
                <w:sz w:val="16"/>
                <w:szCs w:val="16"/>
                <w:b w:val="1"/>
                <w:bCs w:val="1"/>
                <w:color w:val="auto"/>
              </w:rPr>
              <w:t>Audit</w:t>
            </w:r>
          </w:p>
        </w:tc>
        <w:tc>
          <w:tcPr>
            <w:tcW w:w="2080" w:type="dxa"/>
            <w:vAlign w:val="bottom"/>
            <w:tcBorders>
              <w:bottom w:val="single" w:sz="8" w:color="auto"/>
            </w:tcBorders>
          </w:tcPr>
          <w:p>
            <w:pPr>
              <w:jc w:val="center"/>
              <w:ind w:left="172"/>
              <w:spacing w:after="0"/>
              <w:rPr>
                <w:sz w:val="20"/>
                <w:szCs w:val="20"/>
                <w:color w:val="auto"/>
              </w:rPr>
            </w:pPr>
            <w:r>
              <w:rPr>
                <w:rFonts w:ascii="Arial" w:cs="Arial" w:eastAsia="Arial" w:hAnsi="Arial"/>
                <w:sz w:val="16"/>
                <w:szCs w:val="16"/>
                <w:b w:val="1"/>
                <w:bCs w:val="1"/>
                <w:color w:val="auto"/>
              </w:rPr>
              <w:t>Human Resources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Irvin E. Aal </w:t>
            </w:r>
            <w:r>
              <w:rPr>
                <w:rFonts w:ascii="Arial" w:cs="Arial" w:eastAsia="Arial" w:hAnsi="Arial"/>
                <w:sz w:val="21"/>
                <w:szCs w:val="21"/>
                <w:color w:val="auto"/>
                <w:vertAlign w:val="superscript"/>
              </w:rPr>
              <w:t>(1)</w:t>
            </w:r>
          </w:p>
        </w:tc>
        <w:tc>
          <w:tcPr>
            <w:tcW w:w="156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w w:val="99"/>
              </w:rPr>
              <w:t>X</w:t>
            </w:r>
          </w:p>
        </w:tc>
        <w:tc>
          <w:tcPr>
            <w:tcW w:w="20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9"/>
              </w:rPr>
              <w:t>X</w:t>
            </w:r>
          </w:p>
        </w:tc>
        <w:tc>
          <w:tcPr>
            <w:tcW w:w="1820" w:type="dxa"/>
            <w:vAlign w:val="bottom"/>
            <w:shd w:val="clear" w:color="auto" w:fill="CCEEFF"/>
          </w:tcPr>
          <w:p>
            <w:pPr>
              <w:spacing w:after="0"/>
              <w:rPr>
                <w:sz w:val="23"/>
                <w:szCs w:val="23"/>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 xml:space="preserve">Robert M. Chiusano </w:t>
            </w:r>
            <w:r>
              <w:rPr>
                <w:rFonts w:ascii="Arial" w:cs="Arial" w:eastAsia="Arial" w:hAnsi="Arial"/>
                <w:sz w:val="21"/>
                <w:szCs w:val="21"/>
                <w:color w:val="auto"/>
                <w:vertAlign w:val="superscript"/>
              </w:rPr>
              <w:t>(1)</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9"/>
              </w:rPr>
              <w:t>X</w:t>
            </w:r>
          </w:p>
        </w:tc>
        <w:tc>
          <w:tcPr>
            <w:tcW w:w="2080" w:type="dxa"/>
            <w:vAlign w:val="bottom"/>
          </w:tcPr>
          <w:p>
            <w:pPr>
              <w:jc w:val="center"/>
              <w:ind w:left="152"/>
              <w:spacing w:after="0"/>
              <w:rPr>
                <w:sz w:val="20"/>
                <w:szCs w:val="20"/>
                <w:color w:val="auto"/>
              </w:rPr>
            </w:pPr>
            <w:r>
              <w:rPr>
                <w:rFonts w:ascii="Arial" w:cs="Arial" w:eastAsia="Arial" w:hAnsi="Arial"/>
                <w:sz w:val="18"/>
                <w:szCs w:val="18"/>
                <w:color w:val="auto"/>
                <w:w w:val="99"/>
              </w:rPr>
              <w:t>X</w:t>
            </w:r>
          </w:p>
        </w:tc>
        <w:tc>
          <w:tcPr>
            <w:tcW w:w="1820" w:type="dxa"/>
            <w:vAlign w:val="bottom"/>
          </w:tcPr>
          <w:p>
            <w:pPr>
              <w:spacing w:after="0"/>
              <w:rPr>
                <w:sz w:val="23"/>
                <w:szCs w:val="23"/>
                <w:color w:val="auto"/>
              </w:rPr>
            </w:pP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Jerry N. Currie </w:t>
            </w:r>
            <w:r>
              <w:rPr>
                <w:rFonts w:ascii="Arial" w:cs="Arial" w:eastAsia="Arial" w:hAnsi="Arial"/>
                <w:sz w:val="21"/>
                <w:szCs w:val="21"/>
                <w:color w:val="auto"/>
                <w:vertAlign w:val="superscript"/>
              </w:rPr>
              <w:t>(1)</w:t>
            </w:r>
          </w:p>
        </w:tc>
        <w:tc>
          <w:tcPr>
            <w:tcW w:w="156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 xml:space="preserve">Joseph W. England </w:t>
            </w:r>
            <w:r>
              <w:rPr>
                <w:rFonts w:ascii="Arial" w:cs="Arial" w:eastAsia="Arial" w:hAnsi="Arial"/>
                <w:sz w:val="21"/>
                <w:szCs w:val="21"/>
                <w:color w:val="auto"/>
                <w:vertAlign w:val="superscript"/>
              </w:rPr>
              <w:t>(1)(2)</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9"/>
              </w:rPr>
              <w:t>X</w:t>
            </w:r>
          </w:p>
        </w:tc>
        <w:tc>
          <w:tcPr>
            <w:tcW w:w="208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Lawrence A. Erickson </w:t>
            </w:r>
            <w:r>
              <w:rPr>
                <w:rFonts w:ascii="Arial" w:cs="Arial" w:eastAsia="Arial" w:hAnsi="Arial"/>
                <w:sz w:val="21"/>
                <w:szCs w:val="21"/>
                <w:color w:val="auto"/>
                <w:vertAlign w:val="superscript"/>
              </w:rPr>
              <w:t>(1)(2)</w:t>
            </w:r>
          </w:p>
        </w:tc>
        <w:tc>
          <w:tcPr>
            <w:tcW w:w="1560" w:type="dxa"/>
            <w:vAlign w:val="bottom"/>
            <w:shd w:val="clear" w:color="auto" w:fill="CCEEFF"/>
          </w:tcPr>
          <w:p>
            <w:pPr>
              <w:jc w:val="center"/>
              <w:ind w:left="151"/>
              <w:spacing w:after="0"/>
              <w:rPr>
                <w:sz w:val="20"/>
                <w:szCs w:val="20"/>
                <w:color w:val="auto"/>
              </w:rPr>
            </w:pPr>
            <w:r>
              <w:rPr>
                <w:rFonts w:ascii="Arial" w:cs="Arial" w:eastAsia="Arial" w:hAnsi="Arial"/>
                <w:sz w:val="18"/>
                <w:szCs w:val="18"/>
                <w:color w:val="auto"/>
              </w:rPr>
              <w:t>Chair</w:t>
            </w:r>
          </w:p>
        </w:tc>
        <w:tc>
          <w:tcPr>
            <w:tcW w:w="208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9"/>
              </w:rPr>
              <w:t>X</w:t>
            </w:r>
          </w:p>
        </w:tc>
        <w:tc>
          <w:tcPr>
            <w:tcW w:w="1820" w:type="dxa"/>
            <w:vAlign w:val="bottom"/>
            <w:shd w:val="clear" w:color="auto" w:fill="CCEEFF"/>
          </w:tcPr>
          <w:p>
            <w:pPr>
              <w:spacing w:after="0"/>
              <w:rPr>
                <w:sz w:val="23"/>
                <w:szCs w:val="23"/>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color w:val="auto"/>
              </w:rPr>
              <w:t xml:space="preserve">John V. Hanson </w:t>
            </w:r>
            <w:r>
              <w:rPr>
                <w:rFonts w:ascii="Arial" w:cs="Arial" w:eastAsia="Arial" w:hAnsi="Arial"/>
                <w:sz w:val="21"/>
                <w:szCs w:val="21"/>
                <w:color w:val="auto"/>
                <w:vertAlign w:val="superscript"/>
              </w:rPr>
              <w:t>(1)</w:t>
            </w:r>
          </w:p>
        </w:tc>
        <w:tc>
          <w:tcPr>
            <w:tcW w:w="15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Chair</w:t>
            </w:r>
          </w:p>
        </w:tc>
      </w:tr>
      <w:tr>
        <w:trPr>
          <w:trHeight w:val="270"/>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Gerald C. Kitch, (Lead Director) </w:t>
            </w:r>
            <w:r>
              <w:rPr>
                <w:rFonts w:ascii="Arial" w:cs="Arial" w:eastAsia="Arial" w:hAnsi="Arial"/>
                <w:sz w:val="21"/>
                <w:szCs w:val="21"/>
                <w:color w:val="auto"/>
                <w:vertAlign w:val="superscript"/>
              </w:rPr>
              <w:t>(1)</w:t>
            </w:r>
          </w:p>
        </w:tc>
        <w:tc>
          <w:tcPr>
            <w:tcW w:w="1560" w:type="dxa"/>
            <w:vAlign w:val="bottom"/>
            <w:shd w:val="clear" w:color="auto" w:fill="CCEEFF"/>
          </w:tcPr>
          <w:p>
            <w:pPr>
              <w:spacing w:after="0"/>
              <w:rPr>
                <w:sz w:val="23"/>
                <w:szCs w:val="23"/>
                <w:color w:val="auto"/>
              </w:rPr>
            </w:pPr>
          </w:p>
        </w:tc>
        <w:tc>
          <w:tcPr>
            <w:tcW w:w="208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7"/>
              </w:rPr>
              <w:t>Chair</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Robert J. Olson</w:t>
            </w:r>
          </w:p>
        </w:tc>
        <w:tc>
          <w:tcPr>
            <w:tcW w:w="15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1820" w:type="dxa"/>
            <w:vAlign w:val="bottom"/>
          </w:tcPr>
          <w:p>
            <w:pPr>
              <w:spacing w:after="0"/>
              <w:rPr>
                <w:sz w:val="22"/>
                <w:szCs w:val="22"/>
                <w:color w:val="auto"/>
              </w:rPr>
            </w:pPr>
          </w:p>
        </w:tc>
      </w:tr>
      <w:tr>
        <w:trPr>
          <w:trHeight w:val="25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Number of meetings in 2010</w:t>
            </w:r>
          </w:p>
        </w:tc>
        <w:tc>
          <w:tcPr>
            <w:tcW w:w="156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9"/>
              </w:rPr>
              <w:t>6</w:t>
            </w:r>
          </w:p>
        </w:tc>
        <w:tc>
          <w:tcPr>
            <w:tcW w:w="208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9"/>
              </w:rPr>
              <w:t>5</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Conducted a self-assessment of its performance</w:t>
            </w:r>
          </w:p>
        </w:tc>
        <w:tc>
          <w:tcPr>
            <w:tcW w:w="1560" w:type="dxa"/>
            <w:vAlign w:val="bottom"/>
          </w:tcPr>
          <w:p>
            <w:pPr>
              <w:jc w:val="center"/>
              <w:ind w:left="151"/>
              <w:spacing w:after="0"/>
              <w:rPr>
                <w:sz w:val="20"/>
                <w:szCs w:val="20"/>
                <w:color w:val="auto"/>
              </w:rPr>
            </w:pPr>
            <w:r>
              <w:rPr>
                <w:rFonts w:ascii="Arial" w:cs="Arial" w:eastAsia="Arial" w:hAnsi="Arial"/>
                <w:sz w:val="18"/>
                <w:szCs w:val="18"/>
                <w:color w:val="auto"/>
                <w:w w:val="99"/>
              </w:rPr>
              <w:t>X</w:t>
            </w:r>
          </w:p>
        </w:tc>
        <w:tc>
          <w:tcPr>
            <w:tcW w:w="2080" w:type="dxa"/>
            <w:vAlign w:val="bottom"/>
          </w:tcPr>
          <w:p>
            <w:pPr>
              <w:jc w:val="center"/>
              <w:ind w:left="152"/>
              <w:spacing w:after="0"/>
              <w:rPr>
                <w:sz w:val="20"/>
                <w:szCs w:val="20"/>
                <w:color w:val="auto"/>
              </w:rPr>
            </w:pPr>
            <w:r>
              <w:rPr>
                <w:rFonts w:ascii="Arial" w:cs="Arial" w:eastAsia="Arial" w:hAnsi="Arial"/>
                <w:sz w:val="18"/>
                <w:szCs w:val="18"/>
                <w:color w:val="auto"/>
                <w:w w:val="99"/>
              </w:rPr>
              <w:t>X</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3"/>
          <w:szCs w:val="13"/>
          <w:color w:val="auto"/>
        </w:rPr>
      </w:pPr>
      <w:r>
        <w:rPr>
          <w:rFonts w:ascii="Arial" w:cs="Arial" w:eastAsia="Arial" w:hAnsi="Arial"/>
          <w:sz w:val="14"/>
          <w:szCs w:val="14"/>
          <w:color w:val="auto"/>
        </w:rPr>
        <w:t>Determined to be "independent" under listing standards of the NYSE and our Director Nomination Policy (defined below).</w:t>
      </w:r>
    </w:p>
    <w:p>
      <w:pPr>
        <w:spacing w:after="0" w:line="14" w:lineRule="exact"/>
        <w:rPr>
          <w:rFonts w:ascii="Arial" w:cs="Arial" w:eastAsia="Arial" w:hAnsi="Arial"/>
          <w:sz w:val="13"/>
          <w:szCs w:val="13"/>
          <w:color w:val="auto"/>
        </w:rPr>
      </w:pPr>
    </w:p>
    <w:p>
      <w:pPr>
        <w:ind w:left="160" w:hanging="152"/>
        <w:spacing w:after="0"/>
        <w:tabs>
          <w:tab w:leader="none" w:pos="160" w:val="left"/>
        </w:tabs>
        <w:numPr>
          <w:ilvl w:val="0"/>
          <w:numId w:val="13"/>
        </w:numPr>
        <w:rPr>
          <w:rFonts w:ascii="Arial" w:cs="Arial" w:eastAsia="Arial" w:hAnsi="Arial"/>
          <w:sz w:val="13"/>
          <w:szCs w:val="13"/>
          <w:color w:val="auto"/>
        </w:rPr>
      </w:pPr>
      <w:r>
        <w:rPr>
          <w:rFonts w:ascii="Arial" w:cs="Arial" w:eastAsia="Arial" w:hAnsi="Arial"/>
          <w:sz w:val="14"/>
          <w:szCs w:val="14"/>
          <w:color w:val="auto"/>
        </w:rPr>
        <w:t>Designated as an "audit committee financial expert" for purposes of Item 407, Regulation S-K under the Securities Act of 1933, as amended.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responsibilities of each of these committees are described below.</w:t>
      </w:r>
    </w:p>
    <w:p>
      <w:pPr>
        <w:spacing w:after="0" w:line="95" w:lineRule="exact"/>
        <w:rPr>
          <w:sz w:val="20"/>
          <w:szCs w:val="20"/>
          <w:color w:val="auto"/>
        </w:rPr>
      </w:pPr>
    </w:p>
    <w:p>
      <w:pPr>
        <w:ind w:left="340" w:right="40" w:hanging="332"/>
        <w:spacing w:after="0" w:line="270" w:lineRule="auto"/>
        <w:tabs>
          <w:tab w:leader="none" w:pos="3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Each year, the committee appoints independent registered public accountants to examine our financial statements. It</w:t>
      </w:r>
      <w:r>
        <w:rPr>
          <w:rFonts w:ascii="Arial" w:cs="Arial" w:eastAsia="Arial" w:hAnsi="Arial"/>
          <w:sz w:val="17"/>
          <w:szCs w:val="17"/>
          <w:b w:val="1"/>
          <w:bCs w:val="1"/>
          <w:color w:val="auto"/>
        </w:rPr>
        <w:t xml:space="preserve"> </w:t>
      </w:r>
      <w:r>
        <w:rPr>
          <w:rFonts w:ascii="Arial" w:cs="Arial" w:eastAsia="Arial" w:hAnsi="Arial"/>
          <w:sz w:val="17"/>
          <w:szCs w:val="17"/>
          <w:color w:val="auto"/>
        </w:rPr>
        <w:t>reviews with representatives of the independent registered public accountants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accountants regarding internal controls. Others in regular attendance at the Audit Committee meeting typically include: the CEO; the CFO; the Vice President, General Counsel and Secretary; the Controller; the Treasurer; and the Internal Audit Manager. The Audit Committee meets at least annually with the CFO, the internal auditors and the independent auditors in separate executive sessions. The Audit Committee is also prepared to meet privately at any time at the request of the independent registered public accountants or members of our Management to review any special situation arising on any of the above subjects. The Audit Committee also performs other duties as set forth in its written charter which is available for review on our Web Site at http://www.winnebagoind.com/governance.html. The Audit Committee regularly reviews its written charter and recommends to the Board such changes as it deems necessary. Reference is also made to the “Report of the Audit Committee” herein.</w:t>
      </w:r>
    </w:p>
    <w:p>
      <w:pPr>
        <w:spacing w:after="0" w:line="65" w:lineRule="exact"/>
        <w:rPr>
          <w:rFonts w:ascii="Arial" w:cs="Arial" w:eastAsia="Arial" w:hAnsi="Arial"/>
          <w:sz w:val="17"/>
          <w:szCs w:val="17"/>
          <w:b w:val="1"/>
          <w:bCs w:val="1"/>
          <w:color w:val="auto"/>
        </w:rPr>
      </w:pPr>
    </w:p>
    <w:p>
      <w:pPr>
        <w:ind w:left="340" w:right="100" w:hanging="332"/>
        <w:spacing w:after="0" w:line="255"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Human Resources Committee. </w:t>
      </w:r>
      <w:r>
        <w:rPr>
          <w:rFonts w:ascii="Arial" w:cs="Arial" w:eastAsia="Arial" w:hAnsi="Arial"/>
          <w:sz w:val="18"/>
          <w:szCs w:val="18"/>
          <w:color w:val="auto"/>
        </w:rPr>
        <w:t>The Human Resources Committee's chart er, which is available for review on our Web Site at</w:t>
      </w:r>
      <w:r>
        <w:rPr>
          <w:rFonts w:ascii="Arial" w:cs="Arial" w:eastAsia="Arial" w:hAnsi="Arial"/>
          <w:sz w:val="18"/>
          <w:szCs w:val="18"/>
          <w:b w:val="1"/>
          <w:bCs w:val="1"/>
          <w:color w:val="auto"/>
        </w:rPr>
        <w:t xml:space="preserve"> </w:t>
      </w:r>
      <w:r>
        <w:rPr>
          <w:rFonts w:ascii="Arial" w:cs="Arial" w:eastAsia="Arial" w:hAnsi="Arial"/>
          <w:sz w:val="18"/>
          <w:szCs w:val="18"/>
          <w:color w:val="auto"/>
        </w:rPr>
        <w:t>http://www.winnebagoind.com/governance.html, establishes the scope of the committee's duties to include: (1) reviewing and approving corporate goals and objectives relevant to compensation of our CEO, evaluating performance and compensation of our CEO in light of such goals and objectives and establishing compensation levels for other executive officers; (2) overseeing the evaluation of our executive officers (other than the CEO) and approving the general compensation program and salary structure of such executive officers;</w:t>
      </w:r>
    </w:p>
    <w:p>
      <w:pPr>
        <w:spacing w:after="0" w:line="2" w:lineRule="exact"/>
        <w:rPr>
          <w:rFonts w:ascii="Arial" w:cs="Arial" w:eastAsia="Arial" w:hAnsi="Arial"/>
          <w:sz w:val="18"/>
          <w:szCs w:val="18"/>
          <w:b w:val="1"/>
          <w:bCs w:val="1"/>
          <w:color w:val="auto"/>
        </w:rPr>
      </w:pPr>
    </w:p>
    <w:p>
      <w:pPr>
        <w:ind w:left="340" w:righ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(3) administering and approving awards under our incentive compensation and equity-based plan; (4) reviewing and approving any executive employment agreements, severance agreements, and change in control agreements and determining policy with respect to Section 162(m) of the Internal Revenue Code of 1986 (the “IRC”); (5) from time to time, reviewing the list of peer group of companies to which we compare ourself for compensation purposes; (6) reviewing and recommending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68"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94" w:lineRule="exact"/>
        <w:rPr>
          <w:sz w:val="20"/>
          <w:szCs w:val="20"/>
          <w:color w:val="auto"/>
        </w:rPr>
      </w:pPr>
    </w:p>
    <w:p>
      <w:pPr>
        <w:ind w:left="340" w:right="40"/>
        <w:spacing w:after="0" w:line="256" w:lineRule="auto"/>
        <w:rPr>
          <w:sz w:val="20"/>
          <w:szCs w:val="20"/>
          <w:color w:val="auto"/>
        </w:rPr>
      </w:pPr>
      <w:r>
        <w:rPr>
          <w:rFonts w:ascii="Arial" w:cs="Arial" w:eastAsia="Arial" w:hAnsi="Arial"/>
          <w:sz w:val="18"/>
          <w:szCs w:val="18"/>
          <w:color w:val="auto"/>
        </w:rPr>
        <w:t>to the Board retainer fees, attendance fees, and other compensation, if any, to be paid to Non-Employee Directors; (7) reviewing and discussing with Management the Compensation Discussion and Analysis section of our Form 10-K and proxy statement; and (8) preparing an annual rep ort on executive compensation for our Form 10-K and proxy statement.</w:t>
      </w:r>
    </w:p>
    <w:p>
      <w:pPr>
        <w:spacing w:after="0" w:line="72" w:lineRule="exact"/>
        <w:rPr>
          <w:sz w:val="20"/>
          <w:szCs w:val="20"/>
          <w:color w:val="auto"/>
        </w:rPr>
      </w:pPr>
    </w:p>
    <w:p>
      <w:pPr>
        <w:ind w:left="340" w:right="100"/>
        <w:spacing w:after="0" w:line="256" w:lineRule="auto"/>
        <w:rPr>
          <w:sz w:val="20"/>
          <w:szCs w:val="20"/>
          <w:color w:val="auto"/>
        </w:rPr>
      </w:pPr>
      <w:r>
        <w:rPr>
          <w:rFonts w:ascii="Arial" w:cs="Arial" w:eastAsia="Arial" w:hAnsi="Arial"/>
          <w:sz w:val="18"/>
          <w:szCs w:val="18"/>
          <w:i w:val="1"/>
          <w:iCs w:val="1"/>
          <w:color w:val="auto"/>
        </w:rPr>
        <w:t xml:space="preserve">Role of Executive Officers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2010, the committee delegated authority to designated members of Management to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compensation packages for certain employees, not including the Named Executive Officers (as defined below), under certain circumstances. In Fiscal 2010, Mr. Olson, as Chairman, CEO and President, recommended to the Committee proposals for base salary, target short-term incentive levels, actual short-term incentive payouts and long-ter m incentive grants for the other Named Executive Officers. The Committee separately considers, discusses, modifies as appropriate, and takes action on such proposals and the compensation of the Chairman, CEO and President. See “Compensation Discussion and Analysis-Role of Executive Officers in Compensation Decisions” below.</w:t>
      </w:r>
    </w:p>
    <w:p>
      <w:pPr>
        <w:spacing w:after="0" w:line="7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 xml:space="preserve">Role of Compensation Consultants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has periodically utilized an outside compensation consultant for matters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In Fiscal 2010, the committee did not retain any compensation consultant to provide advice relating to executive compensation. However, as noted in “Compensation Discussion and Analysis-Competitiv e Benchmarking” below, we engaged Towers Watson (formerly,Towers Perrin) as a consultant for executive compensation matters in 2007 and utilized information from this engagement in subsequent fiscal years.</w:t>
      </w:r>
    </w:p>
    <w:p>
      <w:pPr>
        <w:spacing w:after="0" w:line="126" w:lineRule="exact"/>
        <w:rPr>
          <w:sz w:val="20"/>
          <w:szCs w:val="20"/>
          <w:color w:val="auto"/>
        </w:rPr>
      </w:pPr>
    </w:p>
    <w:p>
      <w:pPr>
        <w:ind w:left="340" w:right="40" w:hanging="332"/>
        <w:spacing w:after="0" w:line="253"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Nominating and Governance Committee. </w:t>
      </w:r>
      <w:r>
        <w:rPr>
          <w:rFonts w:ascii="Arial" w:cs="Arial" w:eastAsia="Arial" w:hAnsi="Arial"/>
          <w:sz w:val="18"/>
          <w:szCs w:val="18"/>
          <w:color w:val="auto"/>
        </w:rPr>
        <w:t>The Nominating and Governance Committee's charter, which is available for review on our</w:t>
      </w:r>
      <w:r>
        <w:rPr>
          <w:rFonts w:ascii="Arial" w:cs="Arial" w:eastAsia="Arial" w:hAnsi="Arial"/>
          <w:sz w:val="18"/>
          <w:szCs w:val="18"/>
          <w:b w:val="1"/>
          <w:bCs w:val="1"/>
          <w:color w:val="auto"/>
        </w:rPr>
        <w:t xml:space="preserve"> </w:t>
      </w:r>
      <w:r>
        <w:rPr>
          <w:rFonts w:ascii="Arial" w:cs="Arial" w:eastAsia="Arial" w:hAnsi="Arial"/>
          <w:sz w:val="18"/>
          <w:szCs w:val="18"/>
          <w:color w:val="auto"/>
        </w:rPr>
        <w:t>Web Site at http://www.winnebagoind.com/governance/html, establishes the scope of the committee's duties to include: (1) adopting p 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will be able to communicate with members of the Board; and (4) developing and recommending to the Board a Corporate Governance Policy applicable to the Company. The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 rdance with our Director Nomination Policy as discussed below. See also, "Fiscal Year 2011 Shareholder Proposals" below for a summary of the procedures that shareholders must follow.</w:t>
      </w:r>
    </w:p>
    <w:p>
      <w:pPr>
        <w:spacing w:after="0" w:line="105"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Our Board of Directors held six meetings during Fiscal 2010. Actions taken by any committee of the Board are reported to the Board of Directors, usually at its next meeting. During Fiscal 2010, all of the directors attended more than 75 percent of the aggregate of Board of Directors' meetings and meetings of committees of the Board on which they served. Our Corporate Governance Policy, discussed below, encourages, but does not require, Board members to attend the Annual Meeting. At the last annual meeting, six of eight directors were in attendance.</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Executive Sessions of Non-employee Directors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meet privately in executive sessions to consider such matters as</w:t>
      </w:r>
      <w:r>
        <w:rPr>
          <w:rFonts w:ascii="Arial" w:cs="Arial" w:eastAsia="Arial" w:hAnsi="Arial"/>
          <w:sz w:val="18"/>
          <w:szCs w:val="18"/>
          <w:i w:val="1"/>
          <w:iCs w:val="1"/>
          <w:color w:val="auto"/>
        </w:rPr>
        <w:t xml:space="preserve"> </w:t>
      </w:r>
      <w:r>
        <w:rPr>
          <w:rFonts w:ascii="Arial" w:cs="Arial" w:eastAsia="Arial" w:hAnsi="Arial"/>
          <w:sz w:val="18"/>
          <w:szCs w:val="18"/>
          <w:color w:val="auto"/>
        </w:rPr>
        <w:t>they deem appropriate, without Management being present, as a routinely scheduled agenda item for every Board meeting. An executive session including only independent directors, as defined by the NYSE listing standards of the Director Nomination Policy (as defined below), is held at least once a year. During Fiscal 2010, all Non-Employee Directors were independent. Director Gerald C. Kitch was chosen as Lead Director to preside at such executive sessions.</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Board has adopted and annually reviews th e Corporate Governance Policy which incorporates the corporate governance principles by which we operate. A copy of our Corporate Governance Policy is available on our Web Site at http://www.winnebagoind.com/governance.html.</w:t>
      </w:r>
    </w:p>
    <w:p>
      <w:pPr>
        <w:spacing w:after="0" w:line="4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color w:val="auto"/>
        </w:rPr>
        <w:t xml:space="preserve">Nominations of Directors Policy. </w:t>
      </w:r>
      <w:r>
        <w:rPr>
          <w:rFonts w:ascii="Arial" w:cs="Arial" w:eastAsia="Arial" w:hAnsi="Arial"/>
          <w:sz w:val="18"/>
          <w:szCs w:val="18"/>
          <w:color w:val="auto"/>
        </w:rPr>
        <w:t>The Nominating and Governance Committee has adopted a Director Nomination Policy (attached as</w:t>
      </w:r>
      <w:r>
        <w:rPr>
          <w:rFonts w:ascii="Arial" w:cs="Arial" w:eastAsia="Arial" w:hAnsi="Arial"/>
          <w:sz w:val="18"/>
          <w:szCs w:val="18"/>
          <w:b w:val="1"/>
          <w:bCs w:val="1"/>
          <w:color w:val="auto"/>
        </w:rPr>
        <w:t xml:space="preserve"> </w:t>
      </w:r>
      <w:r>
        <w:rPr>
          <w:rFonts w:ascii="Arial" w:cs="Arial" w:eastAsia="Arial" w:hAnsi="Arial"/>
          <w:sz w:val="18"/>
          <w:szCs w:val="18"/>
          <w:color w:val="auto"/>
        </w:rPr>
        <w:t>Appendix A to this Proxy Statement) (the "Director Nomination Policy") to assist it in fulfilling its duties and responsibilities in consideration of director nominations.</w:t>
      </w:r>
    </w:p>
    <w:p>
      <w:pPr>
        <w:spacing w:after="0" w:line="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Briefly, the Nominating and Governance Committee will consider as a candidate any director who has indicated to the Nominating and Governance Committe e that he or she is willing to stand for re-election, and who has not reached the age of 75 years prior to the date of re-election to the Board, as well as any other person who is recommended by any shareholder who provides the required information and certifications within the specified time requirements, as set forth in the Director Nomination Policy. The Nominating and Governance Committee may also undertake its own search process for candidates and may retain the services of professional search firms or other third parties to assist in identifying and evaluating potential nominees.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80"/>
          </w:cols>
          <w:pgMar w:left="240" w:top="168" w:right="27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considering a potential nominee for the Board, candidates also will be assessed in the context of the then-current composition of the Board, the operating requirements of the Company and the long-term interests of all shareholders. In conducting this assessment, the Nominating and Governance Committee will consider diversity (including, but not limited to, age, experience and skills) and such other factors as it deems appropriate given the then-current and anticipated future needs of the Board and the Company, and to maintain a balance of perspectives, qualifications, qualities and skills on the Board. Although the Nominating and Governance Committee may seek candidates that have different qualities and experiences at different times in order to maximize the aggregate experience, qualities and strengths of the Board membe rs, nominees for each election or appointment of directors will be evaluated using a substantially similar process, without regard to race, religion, gender, national origin or other protected category, and under no circumstances will the Nominating and Governance Committee evaluate nominees recommended by a shareholder of the Company pursuant to a process substantially different than that used for other nominees for the same election or appointment of directors. The Nominating and Governance Committee considers and assesses the implementation and effectiveness of this process in connection with Board nominations annually to assure that it contains an effective mix of individuals to best further the Company's long-term business interests.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 than the foregoing, there are n 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for an "Audit Committee Financial Expert" as defined by SEC rules.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Policy and Procedures With Respect to Related Person Transactions. </w:t>
      </w:r>
      <w:r>
        <w:rPr>
          <w:rFonts w:ascii="Arial" w:cs="Arial" w:eastAsia="Arial" w:hAnsi="Arial"/>
          <w:sz w:val="18"/>
          <w:szCs w:val="18"/>
          <w:color w:val="auto"/>
        </w:rPr>
        <w:t>The Board of Directors adopted the Winnebago Industries, Inc.</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Person Transaction Policy and Procedures, which provides that the Nominating and Governance Committee will review and approve Related Person Transactions (as defined below); provided that the Human Resources Committee will review and approve the compensation o f each employee who is an immediate family member of a director or executive officer and whose compensation exceeds $120,000. The Chair of the Nominating and Governance Committee has delegated authority to act between committee meetings.</w:t>
      </w:r>
    </w:p>
    <w:p>
      <w:pPr>
        <w:spacing w:after="0" w:line="9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policy defines a “Related Person Transaction” as a transaction, arrangement or relationship (or any series of similar transactions, arrangements or relationships) in which we were, are or will be a participant and the amount involved exceeds $120,000 and in which any Related Person (as defined below) had, has or will have a direct or indirect material interest, other than:</w:t>
      </w:r>
    </w:p>
    <w:p>
      <w:pPr>
        <w:spacing w:after="0" w:line="148"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competitively bid or regulated public utility services transactions,</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transactions involving trustee type services,</w:t>
      </w:r>
    </w:p>
    <w:p>
      <w:pPr>
        <w:spacing w:after="0" w:line="9" w:lineRule="exact"/>
        <w:rPr>
          <w:rFonts w:ascii="Arial" w:cs="Arial" w:eastAsia="Arial" w:hAnsi="Arial"/>
          <w:sz w:val="18"/>
          <w:szCs w:val="18"/>
          <w:color w:val="auto"/>
        </w:rPr>
      </w:pPr>
    </w:p>
    <w:p>
      <w:pPr>
        <w:ind w:left="440" w:right="360" w:hanging="432"/>
        <w:spacing w:after="0" w:line="250"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transactions in which the Related Person's interest arises solely from ownership of our equity securities and all equity security holders received the same benefit on a pro rata basis,</w:t>
      </w: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employment relationship or transact ion involving an executive officer and any related compensation solely resulting from that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employment relationship or transaction if</w:t>
      </w:r>
    </w:p>
    <w:p>
      <w:pPr>
        <w:spacing w:after="0" w:line="9" w:lineRule="exact"/>
        <w:rPr>
          <w:sz w:val="20"/>
          <w:szCs w:val="20"/>
          <w:color w:val="auto"/>
        </w:rPr>
      </w:pPr>
    </w:p>
    <w:p>
      <w:pPr>
        <w:ind w:left="700" w:right="640" w:hanging="368"/>
        <w:spacing w:after="0" w:line="250" w:lineRule="auto"/>
        <w:tabs>
          <w:tab w:leader="none" w:pos="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compensation arising from the relationship or transaction is or will be reported pursuant to the SEC's executive and director compensation proxy statement disclosure rules; or</w:t>
      </w:r>
    </w:p>
    <w:p>
      <w:pPr>
        <w:jc w:val="both"/>
        <w:ind w:left="660" w:right="340" w:hanging="652"/>
        <w:spacing w:after="0" w:line="26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executive officer is not an immediate family member of another executive officer or director and such compensation would have been reported under the SEC's executive and director compensation proxy statement disclosure rules as compensation earned for services if the executive officer was a “named executive officer,” as that term is defined in the SEC's executive and director</w:t>
      </w:r>
    </w:p>
    <w:p>
      <w:pPr>
        <w:spacing w:after="0" w:line="1" w:lineRule="exact"/>
        <w:rPr>
          <w:sz w:val="20"/>
          <w:szCs w:val="20"/>
          <w:color w:val="auto"/>
        </w:rPr>
      </w:pPr>
    </w:p>
    <w:p>
      <w:pPr>
        <w:ind w:left="660" w:right="160"/>
        <w:spacing w:after="0" w:line="250" w:lineRule="auto"/>
        <w:rPr>
          <w:sz w:val="20"/>
          <w:szCs w:val="20"/>
          <w:color w:val="auto"/>
        </w:rPr>
      </w:pPr>
      <w:r>
        <w:rPr>
          <w:rFonts w:ascii="Arial" w:cs="Arial" w:eastAsia="Arial" w:hAnsi="Arial"/>
          <w:sz w:val="18"/>
          <w:szCs w:val="18"/>
          <w:color w:val="auto"/>
        </w:rPr>
        <w:t>compensation proxy statement disclosure rules, and such compensation has been or will be approved, or recommended to our Board of Directors for approval, by the Human Resources Committee of our Board of Directors or</w:t>
      </w:r>
    </w:p>
    <w:p>
      <w:pPr>
        <w:spacing w:after="0" w:line="1" w:lineRule="exact"/>
        <w:rPr>
          <w:sz w:val="20"/>
          <w:szCs w:val="20"/>
          <w:color w:val="auto"/>
        </w:rPr>
      </w:pPr>
    </w:p>
    <w:p>
      <w:pPr>
        <w:ind w:left="440" w:right="460" w:hanging="432"/>
        <w:spacing w:after="0" w:line="262"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compensation of or transaction with a director is or will be reported pursuant to the SEC's executive and director compensation proxy statement disclosure rules.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“Related Person” is defined as (1) each director, director nominee and executive officer, (2) 5 percent or greater beneficial owners,</w:t>
      </w:r>
    </w:p>
    <w:p>
      <w:pPr>
        <w:spacing w:after="0" w:line="9" w:lineRule="exact"/>
        <w:rPr>
          <w:sz w:val="20"/>
          <w:szCs w:val="20"/>
          <w:color w:val="auto"/>
        </w:rPr>
      </w:pPr>
    </w:p>
    <w:p>
      <w:pPr>
        <w:ind w:right="420" w:firstLine="8"/>
        <w:spacing w:after="0" w:line="256"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 family members of the foregoing persons and (4) any entity in which any of the foregoing persons is a general partner or principal or in a similar position or in which such person and all other related persons to such person has a 10 percent or greater beneficial interest.</w:t>
      </w:r>
    </w:p>
    <w:p>
      <w:pPr>
        <w:spacing w:after="0" w:line="94"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The Nominating and Governance Committee will assess whether a proposed transaction is a Related Person Transaction for purposes of the policy. Under the policy, the Chairman of the Nominating and Governance Committee has the authority to pre-approve or ratify (as applicable) any Related Person Transaction with a Related Person in which the aggregate amount involved is expected to be less than $500,000.</w:t>
      </w:r>
    </w:p>
    <w:p>
      <w:pPr>
        <w:spacing w:after="0" w:line="7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policy recognizes that certain Related Person Transactions are in our best interests and of our shareholders. Each of the following Related Person Transactions are deemed to be pre-approved by the Nominating and Gover nance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68"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Committee pursuant to the policy, even if the aggregate amount involved will exceed $120,000:</w:t>
      </w:r>
    </w:p>
    <w:p>
      <w:pPr>
        <w:spacing w:after="0" w:line="99" w:lineRule="exact"/>
        <w:rPr>
          <w:sz w:val="20"/>
          <w:szCs w:val="20"/>
          <w:color w:val="auto"/>
        </w:rPr>
      </w:pPr>
    </w:p>
    <w:p>
      <w:pPr>
        <w:ind w:left="340" w:right="160" w:hanging="332"/>
        <w:spacing w:after="0" w:line="257" w:lineRule="auto"/>
        <w:tabs>
          <w:tab w:leader="none" w:pos="3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Certain transactions with other companies. </w:t>
      </w:r>
      <w:r>
        <w:rPr>
          <w:rFonts w:ascii="Arial" w:cs="Arial" w:eastAsia="Arial" w:hAnsi="Arial"/>
          <w:sz w:val="18"/>
          <w:szCs w:val="18"/>
          <w:color w:val="auto"/>
        </w:rPr>
        <w:t>Any transaction with another company at which a Related Person's only relationship is as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(other than an executive officer), director or beneficial owner of less than 10 percent of that company's shares, if the aggregate amount involved does not exceed the greater of $1,000,000, or 2 percent of that company's total annual revenues.</w:t>
      </w:r>
    </w:p>
    <w:p>
      <w:pPr>
        <w:spacing w:after="0" w:line="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•&amp;n</w:t>
        <w:tab/>
        <w:t xml:space="preserve">Certain Company charitable contributions. </w:t>
      </w:r>
      <w:r>
        <w:rPr>
          <w:rFonts w:ascii="Arial" w:cs="Arial" w:eastAsia="Arial" w:hAnsi="Arial"/>
          <w:sz w:val="18"/>
          <w:szCs w:val="18"/>
          <w:color w:val="auto"/>
        </w:rPr>
        <w:t>Any charitable contribution, grant or endowment by Winnebago Industries or the Winnebago</w:t>
      </w:r>
    </w:p>
    <w:p>
      <w:pPr>
        <w:spacing w:after="0" w:line="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i w:val="1"/>
          <w:iCs w:val="1"/>
          <w:color w:val="auto"/>
        </w:rPr>
        <w:t>bsp;</w:t>
      </w:r>
      <w:r>
        <w:rPr>
          <w:sz w:val="20"/>
          <w:szCs w:val="20"/>
          <w:color w:val="auto"/>
        </w:rPr>
        <w:tab/>
      </w:r>
      <w:r>
        <w:rPr>
          <w:rFonts w:ascii="Arial" w:cs="Arial" w:eastAsia="Arial" w:hAnsi="Arial"/>
          <w:sz w:val="18"/>
          <w:szCs w:val="18"/>
          <w:color w:val="auto"/>
        </w:rPr>
        <w:t>Industries Foundation to a charitable organization, foundation or university at which a Related Person's only relationship is as an</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employee (other than an officer), if the aggregate amount involved does not exceed $100,000.</w:t>
      </w:r>
    </w:p>
    <w:p>
      <w:pPr>
        <w:spacing w:after="0" w:line="11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approval procedures in the policy identify the factors the Nominating and Governance Committee will consider in evaluating whether to approve or ratify Related Person Transactions or material amendments to pre-approved Related Person Transactions. The Nominating and Governance Co mmittee will consider all of the relevant facts and circumstances available to the Nominating and Governance Committee, including (if applicable) but not limited to: whether the Related Person Transaction is on terms no less favorable than terms generally available to an unaffiliated third-party under the same or similar circumstances, the extent of the Related Person's interest in the transaction, and whether the proposed Related Person Transaction is in compliance with or would require disclosure under applicable SEC rules and regulations, NYSE listing requirements and our policies.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policy provides for the annual pre-approval by the Nominating and Corporate Governance Committee of certain Related Person Transactions that are identified in the policy, as the policy may be supplemented and amended. For Fiscal 2010, the Nominating and Corporate Governance Committee appr oved, in accordance with the policy, our banking relations on customary terms with Manufacturers Bank &amp; Trust Company (the “Bank”), Forest City, Iowa. The Bank is a wholly owned subsidiary of MBT Corp. John V. Hanson, a Company Director, owns approximately 33-1/3 percent of MBT Corp.'s outstanding stock. Mr. Hanson is also Chairman of the Board of the Bank and MBT Corp.</w:t>
      </w:r>
    </w:p>
    <w:p>
      <w:pPr>
        <w:spacing w:after="0" w:line="211"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b w:val="1"/>
          <w:bCs w:val="1"/>
          <w:color w:val="auto"/>
        </w:rPr>
        <w:t xml:space="preserve">Corporate Governance Policies and Codes of Conduct. </w:t>
      </w:r>
      <w:r>
        <w:rPr>
          <w:rFonts w:ascii="Arial" w:cs="Arial" w:eastAsia="Arial" w:hAnsi="Arial"/>
          <w:sz w:val="18"/>
          <w:szCs w:val="18"/>
          <w:color w:val="auto"/>
        </w:rPr>
        <w:t>The Board of Directors has adopted a Corporate Governance Policy,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Nomination Policy, a Shareholder and Other Interested Party Communications Policy and written charters for its Audit Committee, Human Resources Committee and Nominatin g and Governance Committee.</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Board of Directors also has adopted a Code of Ethics applicable to all of our directors, officers and employees and the Code of Ethics for CEO and Senior Financial Officers (including the CFO, the Controller and the Treasurer). These policies, charters, codes and other items relating to our governance are available on our Web Site at http://www.winnebagoind.com/governance.html. These documents are also available in print free of charge to any shareholder who requests them in writing from: Winnebago Industries, Inc., Attn: Vice President-General Counsel and Secretary, 605 West Crystal Lake Road, Forest City, Iowa 50436. Information contained on our Web Site is not incorporated into this Proxy Statement or other secur ities filings.</w:t>
      </w:r>
    </w:p>
    <w:p>
      <w:pPr>
        <w:spacing w:after="0" w:line="13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Director Independence. </w:t>
      </w:r>
      <w:r>
        <w:rPr>
          <w:rFonts w:ascii="Arial" w:cs="Arial" w:eastAsia="Arial" w:hAnsi="Arial"/>
          <w:sz w:val="18"/>
          <w:szCs w:val="18"/>
          <w:color w:val="auto"/>
        </w:rPr>
        <w:t>Under our Corporate Governance Policy and NYSE rules, the Board must have a majority of directors who meet the</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for independence under our Director Nomination Policy and applicable NYSE rules, respectively. The Board must determine, based on all of the relevant facts and circumstances, whether each director satisfies the criteria for independence. In accordance with the Director Nomination Policy, the Board undertook its annual review of director and director nominee independence. During this review, the Board considered all of the relevant facts and circumstances, including a review of all transactions and relationships between each director and director nominee or any member of his immediate family and the Company and its subsidiaries and affiliates. Th e Board also considered whether there were any transactions or relationships between directors, nominees or any member of their immediate family (or any entity of which a director, director nominee or an immediate family member is an executive officer, general partner or significant equity holder). As provided in the Director Nomination Policy, the purpose of this review was to determine whether any such relationships or transactions existed that were inconsistent with a determination that the director or nominee is independent. As a result of this review, the Board, at its meeting in October 2010, affirmatively determined that Mr. Aal (Class I director), Mr. Chiusano (Class II director and a nominee for re-election), Mr. Currie (Class II director and a nominee for re-election), Mr. England (Class I director), Mr. Erickson (Class II director and a nominee for re-election), Mr. Hanson (Class III director), and Mr. Kitch (Class III director), are independent as defined by the rele vant provisions of applicable law, the NYSE listing standards and our Director Nomination Policy and that each independent director has no material relationship with Winnebago Industries.</w:t>
      </w:r>
    </w:p>
    <w:p>
      <w:pPr>
        <w:spacing w:after="0" w:line="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a result, all members of the Audit Committee, Human Resources Committee and Nominating and Governance Committee are independent under these standards.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Mr. Olson (Class III director) is not considered independent because of his employment as Chairman, CEO and President of the Company.</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80"/>
          </w:cols>
          <w:pgMar w:left="240" w:top="168" w:right="27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Shareholder and Other Interested Party Communications with Directors</w:t>
      </w:r>
      <w:r>
        <w:rPr>
          <w:rFonts w:ascii="Arial" w:cs="Arial" w:eastAsia="Arial" w:hAnsi="Arial"/>
          <w:sz w:val="18"/>
          <w:szCs w:val="18"/>
          <w:color w:val="auto"/>
        </w:rPr>
        <w:t>. The Nominating and Governance Committee has adopted a</w:t>
      </w:r>
      <w:r>
        <w:rPr>
          <w:rFonts w:ascii="Arial" w:cs="Arial" w:eastAsia="Arial" w:hAnsi="Arial"/>
          <w:sz w:val="18"/>
          <w:szCs w:val="18"/>
          <w:b w:val="1"/>
          <w:bCs w:val="1"/>
          <w:color w:val="auto"/>
        </w:rPr>
        <w:t xml:space="preserve"> </w:t>
      </w:r>
      <w:r>
        <w:rPr>
          <w:rFonts w:ascii="Arial" w:cs="Arial" w:eastAsia="Arial" w:hAnsi="Arial"/>
          <w:sz w:val="18"/>
          <w:szCs w:val="18"/>
          <w:color w:val="auto"/>
        </w:rPr>
        <w:t>policy for shareholders and other interested parties to send communications to the Board. Shareholders and other interested parties who desire to communicate with our directors or a particular director may write to: Winnebago Industries, Inc., Attn: Vice President-General Counsel and Secretary, 605 West Crystal Lake Road, Forest City, Iowa 50436; or e-mail: rbeebe@winnebagoind.com. All communications must be accompanied by the following information (i) if the person s ubmitting the communication is a shareholder, a statement of the number of shares of Common Stock that the person holds; (ii) if the person submitting the communication is not a shareholder and is submitting the communication to the non-Management directors as an interested party, the nature of the person's interest in Winnebago Industries; (iii) any special interest, meaning an interest not in the capacity of a shareholder, of the person in the subject matter of the communication; and (iv) the address, telephone number and e-mail address, if any, of the person submitting the communication. Communications received from shareholders and other interested parties to the Board of Directors will be reviewed by the Vice President-General Counsel and Secretary, or such other person designated by all non-Management members of the Board, and if they are relevant to, and consistent with, our operations and policies that are approved by all non-Management members of the Board, they will be forwarded to the Lead Directo r or applicable Board member or members as expeditiously as reasonably practicable.</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Risk Management Oversight Process. </w:t>
      </w:r>
      <w:r>
        <w:rPr>
          <w:rFonts w:ascii="Arial" w:cs="Arial" w:eastAsia="Arial" w:hAnsi="Arial"/>
          <w:sz w:val="18"/>
          <w:szCs w:val="18"/>
          <w:color w:val="auto"/>
        </w:rPr>
        <w:t>We face a number of material risks, including financial and operational risks. Given the importance of</w:t>
      </w:r>
      <w:r>
        <w:rPr>
          <w:rFonts w:ascii="Arial" w:cs="Arial" w:eastAsia="Arial" w:hAnsi="Arial"/>
          <w:sz w:val="18"/>
          <w:szCs w:val="18"/>
          <w:b w:val="1"/>
          <w:bCs w:val="1"/>
          <w:color w:val="auto"/>
        </w:rPr>
        <w:t xml:space="preserve"> </w:t>
      </w:r>
      <w:r>
        <w:rPr>
          <w:rFonts w:ascii="Arial" w:cs="Arial" w:eastAsia="Arial" w:hAnsi="Arial"/>
          <w:sz w:val="18"/>
          <w:szCs w:val="18"/>
          <w:color w:val="auto"/>
        </w:rPr>
        <w:t>monitoring these risks, the Board has charged its Audit Committee with oversight responsibility of the Company's overall risk management practices and policies, which includes the review with Management policies and analyses with respect to financial risk and fraud risk assessment and related risk management. The Audit Committee meets on a regular basis to review the business risk management practices, at which time applicable members of senior management, including our CEO and CFO, provide reports to the Audit Committee. While the Audit Committee retains this oversight responsibilit y, it coordinates this oversight with other committees of the Board having primary oversight responsibility for specific risks (see “Committees of the Board” above). Each of the Board's standing committees, in turn, receives regular reports from members of senior management concerning Management's assessment of Company risks within the purview of such committee.</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Notwithstanding the Board's oversight delegation to the Audit Committee, the entire Board is actively involved in risk oversight. The Audit Committee annually reviews for the Board which committees maintain oversight responsibilities described above and the overall effectiveness of the policies and programs. In addition, at each of its meetings, the Board receives a report from the Chair of the Audit Committee, as well as from the Chair of each of the Board's other standing committees, each of which is chaired by an i ndependent director. The Board then discusses and deliberates on the Company's risk management policies and practices. Through the process outlined above, the Board believes that the leadership structure of the Board supports effective oversight of the Company's risk management.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Employee directors receive no additional compensation for serving on the Board or its Committees. In Fiscal 2009, as a result of economic conditions affecting the broader U.S. economy and our financial performance, the Board elected to reduce the annual retainer pa id to Non-Employee Directors by 20 percent from $25,000 to $20,000 per annum beginning March 25, 2009 (paid in monthly installments). These reductions in the annual board retainer remained in place through Fiscal 2010 and will continue through Fiscal 2011. All Non-Employee Directors receive a $1,000 per day attendance fee for Board and committee meetings and a $500 fee for participation in Board or committee meetings held telephonically. The Audit Committee Chairman receives an annual retainer of $5,000 (paid in monthly installments) and the Chairmen of other Board Committees receive an annual retainer of $4,000 (paid in monthly installments).</w:t>
      </w:r>
    </w:p>
    <w:p>
      <w:pPr>
        <w:spacing w:after="0" w:line="9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Commencing in Fiscal 2007, each Non-Employee Director received an annual restricted stock grant of 1,000 shares pursuant to the Winnebago Industries, Inc. 2004 Incentive Compensation Plan, as amended (the “2004 Plan”). Th ese restricted shares may not be sold until the Non-Employee Director retires from the Board. This annual grant of restricted stock was increased to 1,500 shares in Fiscal 2008. In Fiscal 2009 and Fiscal 2010, as part of our cost reduction measures, no awards of restricted stock or stock options were made to Non-Employee Directors pursuant to the 2004 Plan.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68"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DIRECTOR COMPENSATION TABLE</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sets forth the total compensation paid to each Non-Employee Director for Fiscal 2010, other than reimbursement for travel expenses.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Change in Pension Value and</w:t>
            </w: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Non-qualified</w:t>
            </w:r>
          </w:p>
        </w:tc>
        <w:tc>
          <w:tcPr>
            <w:tcW w:w="1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rPr>
              <w:t>Fees Earned</w:t>
            </w:r>
          </w:p>
        </w:tc>
        <w:tc>
          <w:tcPr>
            <w:tcW w:w="28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Deferred Compensation</w:t>
            </w:r>
          </w:p>
        </w:tc>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2"/>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or Paid in Cash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 xml:space="preserve">Option Awards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7"/>
              </w:rPr>
              <w:t xml:space="preserve">Earnings </w:t>
            </w:r>
            <w:r>
              <w:rPr>
                <w:rFonts w:ascii="Arial" w:cs="Arial" w:eastAsia="Arial" w:hAnsi="Arial"/>
                <w:sz w:val="17"/>
                <w:szCs w:val="17"/>
                <w:b w:val="1"/>
                <w:bCs w:val="1"/>
                <w:color w:val="auto"/>
                <w:w w:val="97"/>
                <w:vertAlign w:val="superscript"/>
              </w:rPr>
              <w:t>(2)</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 xml:space="preserve">Compensation </w:t>
            </w:r>
            <w:r>
              <w:rPr>
                <w:rFonts w:ascii="Arial" w:cs="Arial" w:eastAsia="Arial" w:hAnsi="Arial"/>
                <w:sz w:val="17"/>
                <w:szCs w:val="17"/>
                <w:b w:val="1"/>
                <w:bCs w:val="1"/>
                <w:color w:val="auto"/>
                <w:w w:val="96"/>
                <w:vertAlign w:val="superscript"/>
              </w:rPr>
              <w:t>(3)(4)</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64"/>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Irvin E. Aal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37,688</w:t>
            </w: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Robert M. Chiusano</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29,000</w:t>
            </w:r>
          </w:p>
        </w:tc>
        <w:tc>
          <w:tcPr>
            <w:tcW w:w="28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1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7,250</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36,250</w:t>
            </w: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Jerry N. Currie</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28,500</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28,500</w:t>
            </w:r>
          </w:p>
        </w:tc>
      </w:tr>
      <w:tr>
        <w:trPr>
          <w:trHeight w:val="263"/>
        </w:trPr>
        <w:tc>
          <w:tcPr>
            <w:tcW w:w="2000" w:type="dxa"/>
            <w:vAlign w:val="bottom"/>
          </w:tcPr>
          <w:p>
            <w:pPr>
              <w:ind w:left="20"/>
              <w:spacing w:after="0"/>
              <w:rPr>
                <w:sz w:val="20"/>
                <w:szCs w:val="20"/>
                <w:color w:val="auto"/>
              </w:rPr>
            </w:pPr>
            <w:r>
              <w:rPr>
                <w:rFonts w:ascii="Arial" w:cs="Arial" w:eastAsia="Arial" w:hAnsi="Arial"/>
                <w:sz w:val="18"/>
                <w:szCs w:val="18"/>
                <w:color w:val="auto"/>
              </w:rPr>
              <w:t>Joseph W. England</w:t>
            </w:r>
          </w:p>
        </w:tc>
        <w:tc>
          <w:tcPr>
            <w:tcW w:w="380" w:type="dxa"/>
            <w:vAlign w:val="bottom"/>
          </w:tcPr>
          <w:p>
            <w:pPr>
              <w:spacing w:after="0"/>
              <w:rPr>
                <w:sz w:val="22"/>
                <w:szCs w:val="22"/>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27,000</w:t>
            </w:r>
          </w:p>
        </w:tc>
        <w:tc>
          <w:tcPr>
            <w:tcW w:w="280" w:type="dxa"/>
            <w:vAlign w:val="bottom"/>
          </w:tcPr>
          <w:p>
            <w:pPr>
              <w:spacing w:after="0"/>
              <w:rPr>
                <w:sz w:val="22"/>
                <w:szCs w:val="22"/>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1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6,750</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33,750</w:t>
            </w:r>
          </w:p>
        </w:tc>
      </w:tr>
      <w:tr>
        <w:trPr>
          <w:trHeight w:val="26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Lawrence A. Erickson</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1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8,750</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43,750</w:t>
            </w:r>
          </w:p>
        </w:tc>
      </w:tr>
      <w:tr>
        <w:trPr>
          <w:trHeight w:val="250"/>
        </w:trPr>
        <w:tc>
          <w:tcPr>
            <w:tcW w:w="2000" w:type="dxa"/>
            <w:vAlign w:val="bottom"/>
          </w:tcPr>
          <w:p>
            <w:pPr>
              <w:ind w:left="20"/>
              <w:spacing w:after="0"/>
              <w:rPr>
                <w:sz w:val="20"/>
                <w:szCs w:val="20"/>
                <w:color w:val="auto"/>
              </w:rPr>
            </w:pPr>
            <w:r>
              <w:rPr>
                <w:rFonts w:ascii="Arial" w:cs="Arial" w:eastAsia="Arial" w:hAnsi="Arial"/>
                <w:sz w:val="18"/>
                <w:szCs w:val="18"/>
                <w:color w:val="auto"/>
              </w:rPr>
              <w:t>John V. Hanson</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31,000</w:t>
            </w:r>
          </w:p>
        </w:tc>
        <w:tc>
          <w:tcPr>
            <w:tcW w:w="28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1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31,000</w:t>
            </w:r>
          </w:p>
        </w:tc>
      </w:tr>
      <w:tr>
        <w:trPr>
          <w:trHeight w:val="263"/>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Gerald C. Kitch</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33,000</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1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8,250</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41,250</w:t>
            </w:r>
          </w:p>
        </w:tc>
      </w:tr>
    </w:tbl>
    <w:p>
      <w:pPr>
        <w:spacing w:after="0" w:line="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4"/>
          <w:szCs w:val="14"/>
          <w:color w:val="auto"/>
        </w:rPr>
        <w:t>No awards of restricted stock, options, stock appreciation rights or similar equity-based compensation instruments that have option-like features were made in Fiscal 2010.</w:t>
      </w:r>
    </w:p>
    <w:p>
      <w:pPr>
        <w:spacing w:after="0" w:line="257"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NON-EMPLOYEE DIRECTOR HOLDINGS AS OF OCTOBER 5, 2010</w:t>
      </w:r>
    </w:p>
    <w:p>
      <w:pPr>
        <w:spacing w:after="0" w:line="109"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As of October 5, 2010, the aggregate number of restricted stock awards, stock option award s and Winnebago Stock Units held by each Non-Employee Director was:</w:t>
      </w:r>
    </w:p>
    <w:p>
      <w:pPr>
        <w:spacing w:after="0" w:line="140"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920" w:type="dxa"/>
            <w:vAlign w:val="bottom"/>
          </w:tcPr>
          <w:p>
            <w:pPr>
              <w:jc w:val="right"/>
              <w:ind w:right="226"/>
              <w:spacing w:after="0"/>
              <w:rPr>
                <w:sz w:val="20"/>
                <w:szCs w:val="20"/>
                <w:color w:val="auto"/>
              </w:rPr>
            </w:pPr>
            <w:r>
              <w:rPr>
                <w:rFonts w:ascii="Arial" w:cs="Arial" w:eastAsia="Arial" w:hAnsi="Arial"/>
                <w:sz w:val="16"/>
                <w:szCs w:val="16"/>
                <w:b w:val="1"/>
                <w:bCs w:val="1"/>
                <w:color w:val="auto"/>
              </w:rPr>
              <w:t>Restricted</w:t>
            </w:r>
          </w:p>
        </w:tc>
        <w:tc>
          <w:tcPr>
            <w:tcW w:w="1600" w:type="dxa"/>
            <w:vAlign w:val="bottom"/>
          </w:tcPr>
          <w:p>
            <w:pPr>
              <w:jc w:val="right"/>
              <w:ind w:right="526"/>
              <w:spacing w:after="0"/>
              <w:rPr>
                <w:sz w:val="20"/>
                <w:szCs w:val="20"/>
                <w:color w:val="auto"/>
              </w:rPr>
            </w:pPr>
            <w:r>
              <w:rPr>
                <w:rFonts w:ascii="Arial" w:cs="Arial" w:eastAsia="Arial" w:hAnsi="Arial"/>
                <w:sz w:val="16"/>
                <w:szCs w:val="16"/>
                <w:b w:val="1"/>
                <w:bCs w:val="1"/>
                <w:color w:val="auto"/>
              </w:rPr>
              <w:t>Stock</w:t>
            </w:r>
          </w:p>
        </w:tc>
        <w:tc>
          <w:tcPr>
            <w:tcW w:w="1380" w:type="dxa"/>
            <w:vAlign w:val="bottom"/>
          </w:tcPr>
          <w:p>
            <w:pPr>
              <w:jc w:val="right"/>
              <w:ind w:right="226"/>
              <w:spacing w:after="0"/>
              <w:rPr>
                <w:sz w:val="20"/>
                <w:szCs w:val="20"/>
                <w:color w:val="auto"/>
              </w:rPr>
            </w:pPr>
            <w:r>
              <w:rPr>
                <w:rFonts w:ascii="Arial" w:cs="Arial" w:eastAsia="Arial" w:hAnsi="Arial"/>
                <w:sz w:val="16"/>
                <w:szCs w:val="16"/>
                <w:b w:val="1"/>
                <w:bCs w:val="1"/>
                <w:color w:val="auto"/>
              </w:rPr>
              <w:t>Winnebago</w:t>
            </w:r>
          </w:p>
        </w:tc>
      </w:tr>
      <w:tr>
        <w:trPr>
          <w:trHeight w:val="22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Director</w:t>
            </w:r>
          </w:p>
        </w:tc>
        <w:tc>
          <w:tcPr>
            <w:tcW w:w="39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Stock Awards</w:t>
            </w:r>
          </w:p>
        </w:tc>
        <w:tc>
          <w:tcPr>
            <w:tcW w:w="1600" w:type="dxa"/>
            <w:vAlign w:val="bottom"/>
            <w:tcBorders>
              <w:bottom w:val="single" w:sz="8" w:color="auto"/>
            </w:tcBorders>
          </w:tcPr>
          <w:p>
            <w:pPr>
              <w:jc w:val="right"/>
              <w:ind w:right="846"/>
              <w:spacing w:after="0"/>
              <w:rPr>
                <w:sz w:val="20"/>
                <w:szCs w:val="20"/>
                <w:color w:val="auto"/>
              </w:rPr>
            </w:pPr>
            <w:r>
              <w:rPr>
                <w:rFonts w:ascii="Arial" w:cs="Arial" w:eastAsia="Arial" w:hAnsi="Arial"/>
                <w:sz w:val="16"/>
                <w:szCs w:val="16"/>
                <w:b w:val="1"/>
                <w:bCs w:val="1"/>
                <w:color w:val="auto"/>
              </w:rPr>
              <w:t>Options</w:t>
            </w:r>
          </w:p>
        </w:tc>
        <w:tc>
          <w:tcPr>
            <w:tcW w:w="13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Stock Units</w:t>
            </w:r>
          </w:p>
        </w:tc>
      </w:tr>
      <w:tr>
        <w:trPr>
          <w:trHeight w:val="257"/>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Irvin E. Aal</w:t>
            </w:r>
          </w:p>
        </w:tc>
        <w:tc>
          <w:tcPr>
            <w:tcW w:w="3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60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28,000</w:t>
            </w:r>
          </w:p>
        </w:tc>
        <w:tc>
          <w:tcPr>
            <w:tcW w:w="13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14,716</w:t>
            </w:r>
          </w:p>
        </w:tc>
      </w:tr>
      <w:tr>
        <w:trPr>
          <w:trHeight w:val="264"/>
        </w:trPr>
        <w:tc>
          <w:tcPr>
            <w:tcW w:w="4120" w:type="dxa"/>
            <w:vAlign w:val="bottom"/>
          </w:tcPr>
          <w:p>
            <w:pPr>
              <w:ind w:left="20"/>
              <w:spacing w:after="0"/>
              <w:rPr>
                <w:sz w:val="20"/>
                <w:szCs w:val="20"/>
                <w:color w:val="auto"/>
              </w:rPr>
            </w:pPr>
            <w:r>
              <w:rPr>
                <w:rFonts w:ascii="Arial" w:cs="Arial" w:eastAsia="Arial" w:hAnsi="Arial"/>
                <w:sz w:val="14"/>
                <w:szCs w:val="14"/>
                <w:color w:val="auto"/>
              </w:rPr>
              <w:t>Robert M. Chiusano</w:t>
            </w:r>
          </w:p>
        </w:tc>
        <w:tc>
          <w:tcPr>
            <w:tcW w:w="39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26"/>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
              <w:spacing w:after="0"/>
              <w:rPr>
                <w:sz w:val="20"/>
                <w:szCs w:val="20"/>
                <w:color w:val="auto"/>
              </w:rPr>
            </w:pPr>
            <w:r>
              <w:rPr>
                <w:rFonts w:ascii="Arial" w:cs="Arial" w:eastAsia="Arial" w:hAnsi="Arial"/>
                <w:sz w:val="14"/>
                <w:szCs w:val="14"/>
                <w:color w:val="auto"/>
              </w:rPr>
              <w:t>9,124</w:t>
            </w:r>
          </w:p>
        </w:tc>
      </w:tr>
      <w:tr>
        <w:trPr>
          <w:trHeight w:val="27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Jerry N. Currie</w:t>
            </w:r>
          </w:p>
        </w:tc>
        <w:tc>
          <w:tcPr>
            <w:tcW w:w="3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60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24,000</w:t>
            </w:r>
          </w:p>
        </w:tc>
        <w:tc>
          <w:tcPr>
            <w:tcW w:w="13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20"/>
              <w:spacing w:after="0"/>
              <w:rPr>
                <w:sz w:val="20"/>
                <w:szCs w:val="20"/>
                <w:color w:val="auto"/>
              </w:rPr>
            </w:pPr>
            <w:r>
              <w:rPr>
                <w:rFonts w:ascii="Arial" w:cs="Arial" w:eastAsia="Arial" w:hAnsi="Arial"/>
                <w:sz w:val="14"/>
                <w:szCs w:val="14"/>
                <w:color w:val="auto"/>
              </w:rPr>
              <w:t>Joseph W. England</w:t>
            </w:r>
          </w:p>
        </w:tc>
        <w:tc>
          <w:tcPr>
            <w:tcW w:w="3920" w:type="dxa"/>
            <w:vAlign w:val="bottom"/>
          </w:tcPr>
          <w:p>
            <w:pPr>
              <w:jc w:val="right"/>
              <w:spacing w:after="0"/>
              <w:rPr>
                <w:sz w:val="20"/>
                <w:szCs w:val="20"/>
                <w:color w:val="auto"/>
              </w:rPr>
            </w:pPr>
            <w:r>
              <w:rPr>
                <w:rFonts w:ascii="Arial" w:cs="Arial" w:eastAsia="Arial" w:hAnsi="Arial"/>
                <w:sz w:val="14"/>
                <w:szCs w:val="14"/>
                <w:color w:val="auto"/>
              </w:rPr>
              <w:t>2,500</w:t>
            </w:r>
          </w:p>
        </w:tc>
        <w:tc>
          <w:tcPr>
            <w:tcW w:w="1600" w:type="dxa"/>
            <w:vAlign w:val="bottom"/>
          </w:tcPr>
          <w:p>
            <w:pPr>
              <w:jc w:val="right"/>
              <w:ind w:right="126"/>
              <w:spacing w:after="0"/>
              <w:rPr>
                <w:sz w:val="20"/>
                <w:szCs w:val="20"/>
                <w:color w:val="auto"/>
              </w:rPr>
            </w:pPr>
            <w:r>
              <w:rPr>
                <w:rFonts w:ascii="Arial" w:cs="Arial" w:eastAsia="Arial" w:hAnsi="Arial"/>
                <w:sz w:val="14"/>
                <w:szCs w:val="14"/>
                <w:color w:val="auto"/>
              </w:rPr>
              <w:t>20,000</w:t>
            </w:r>
          </w:p>
        </w:tc>
        <w:tc>
          <w:tcPr>
            <w:tcW w:w="1380" w:type="dxa"/>
            <w:vAlign w:val="bottom"/>
          </w:tcPr>
          <w:p>
            <w:pPr>
              <w:jc w:val="right"/>
              <w:ind w:right="26"/>
              <w:spacing w:after="0"/>
              <w:rPr>
                <w:sz w:val="20"/>
                <w:szCs w:val="20"/>
                <w:color w:val="auto"/>
              </w:rPr>
            </w:pPr>
            <w:r>
              <w:rPr>
                <w:rFonts w:ascii="Arial" w:cs="Arial" w:eastAsia="Arial" w:hAnsi="Arial"/>
                <w:sz w:val="14"/>
                <w:szCs w:val="14"/>
                <w:color w:val="auto"/>
              </w:rPr>
              <w:t>24,323</w:t>
            </w:r>
          </w:p>
        </w:tc>
      </w:tr>
      <w:tr>
        <w:trPr>
          <w:trHeight w:val="27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Lawrence A. Erickson</w:t>
            </w:r>
          </w:p>
        </w:tc>
        <w:tc>
          <w:tcPr>
            <w:tcW w:w="3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60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14,000</w:t>
            </w:r>
          </w:p>
        </w:tc>
        <w:tc>
          <w:tcPr>
            <w:tcW w:w="13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17,145</w:t>
            </w:r>
          </w:p>
        </w:tc>
      </w:tr>
      <w:tr>
        <w:trPr>
          <w:trHeight w:val="264"/>
        </w:trPr>
        <w:tc>
          <w:tcPr>
            <w:tcW w:w="4120" w:type="dxa"/>
            <w:vAlign w:val="bottom"/>
          </w:tcPr>
          <w:p>
            <w:pPr>
              <w:ind w:left="20"/>
              <w:spacing w:after="0"/>
              <w:rPr>
                <w:sz w:val="20"/>
                <w:szCs w:val="20"/>
                <w:color w:val="auto"/>
              </w:rPr>
            </w:pPr>
            <w:r>
              <w:rPr>
                <w:rFonts w:ascii="Arial" w:cs="Arial" w:eastAsia="Arial" w:hAnsi="Arial"/>
                <w:sz w:val="14"/>
                <w:szCs w:val="14"/>
                <w:color w:val="auto"/>
              </w:rPr>
              <w:t>John V. Hanson</w:t>
            </w:r>
          </w:p>
        </w:tc>
        <w:tc>
          <w:tcPr>
            <w:tcW w:w="3920" w:type="dxa"/>
            <w:vAlign w:val="bottom"/>
          </w:tcPr>
          <w:p>
            <w:pPr>
              <w:jc w:val="right"/>
              <w:spacing w:after="0"/>
              <w:rPr>
                <w:sz w:val="20"/>
                <w:szCs w:val="20"/>
                <w:color w:val="auto"/>
              </w:rPr>
            </w:pPr>
            <w:r>
              <w:rPr>
                <w:rFonts w:ascii="Arial" w:cs="Arial" w:eastAsia="Arial" w:hAnsi="Arial"/>
                <w:sz w:val="14"/>
                <w:szCs w:val="14"/>
                <w:color w:val="auto"/>
              </w:rPr>
              <w:t>2,500</w:t>
            </w:r>
          </w:p>
        </w:tc>
        <w:tc>
          <w:tcPr>
            <w:tcW w:w="1600" w:type="dxa"/>
            <w:vAlign w:val="bottom"/>
          </w:tcPr>
          <w:p>
            <w:pPr>
              <w:jc w:val="right"/>
              <w:ind w:right="126"/>
              <w:spacing w:after="0"/>
              <w:rPr>
                <w:sz w:val="20"/>
                <w:szCs w:val="20"/>
                <w:color w:val="auto"/>
              </w:rPr>
            </w:pPr>
            <w:r>
              <w:rPr>
                <w:rFonts w:ascii="Arial" w:cs="Arial" w:eastAsia="Arial" w:hAnsi="Arial"/>
                <w:sz w:val="14"/>
                <w:szCs w:val="14"/>
                <w:color w:val="auto"/>
              </w:rPr>
              <w:t>24,000</w:t>
            </w:r>
          </w:p>
        </w:tc>
        <w:tc>
          <w:tcPr>
            <w:tcW w:w="138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Gerald C. Kitch</w:t>
            </w:r>
          </w:p>
        </w:tc>
        <w:tc>
          <w:tcPr>
            <w:tcW w:w="3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600" w:type="dxa"/>
            <w:vAlign w:val="bottom"/>
            <w:shd w:val="clear" w:color="auto" w:fill="CCEEFF"/>
          </w:tcPr>
          <w:p>
            <w:pPr>
              <w:jc w:val="right"/>
              <w:ind w:right="126"/>
              <w:spacing w:after="0"/>
              <w:rPr>
                <w:sz w:val="20"/>
                <w:szCs w:val="20"/>
                <w:color w:val="auto"/>
              </w:rPr>
            </w:pPr>
            <w:r>
              <w:rPr>
                <w:rFonts w:ascii="Arial" w:cs="Arial" w:eastAsia="Arial" w:hAnsi="Arial"/>
                <w:sz w:val="14"/>
                <w:szCs w:val="14"/>
                <w:color w:val="auto"/>
              </w:rPr>
              <w:t>24,000</w:t>
            </w:r>
          </w:p>
        </w:tc>
        <w:tc>
          <w:tcPr>
            <w:tcW w:w="13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38,537</w:t>
            </w:r>
          </w:p>
        </w:tc>
      </w:tr>
    </w:tbl>
    <w:p>
      <w:pPr>
        <w:spacing w:after="0" w:line="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 interest was paid in excess of 120% of the applicable federal long-term rates in effect duri ng Fiscal 2010 under the Directors' Deferred Compensation Plan.</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amount includes a matching Company contribution equal to 25% of the cash retainer and fees that are deferred in Winnebago Stock Units at the election of directors Aal, Chiusano, England, Erickson and Kitch and are accrued under the Directors' Deferred Compensation Plan. The Winnebago Stock Units are to be settled 100% in Company Common Stock upon the earliest of the following events: director's termination of service, death, or disability or a “change in th e effective control of the Company,” as defined in said plan.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None of the directors received perquisites and other personal benefits in an aggregate amount of $10,000 or more.</w:t>
      </w:r>
    </w:p>
    <w:p>
      <w:pPr>
        <w:spacing w:after="0" w:line="2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Effective April 1, 1997, the Board of Directors adopted the Winnebago Industries, Inc. Director s' Deferred Compensation Plan (as amended, the “Directors' Deferred Compensation Plan”). The purpose of the Directors' Deferred Compensation Plan is to enable Non-Employee Directors (the “Participants”) to receive their fees and retainers as members of the Board of Directors and Committees of the Board (the “Deferred Compensation”) in a form other than as direct payments. A Participant may elect to apply either 50 or 100 percent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our treasury shares and like all Common Stock, generally, will accrue dividends, if any, paid by us on our Common Stock. Winnebago Stock Units will be recorded in such Participant's account on the basis of the mean between the high and the low prices of the Common Stock of the Company on the date upon which the account is to be credited, as officially reported by the NYSE. Any Participant investing Deferred Compensation in Winnebago Stock Units will receive a matching contribution from the Company equal to 25 percent of the Deferred Compensation so invested, which will be credited to the Participant's account and invested in Winnebago Stock Units .</w:t>
      </w:r>
    </w:p>
    <w:p>
      <w:pPr>
        <w:spacing w:after="0" w:line="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matching contribution to a Participant's Winnebago Stock Unit account will vest on a graduated basis at the rate of 33-1/3 percent for each complete 12-month period of service as a director following the effective date of the Directors' Deferred Compensation Plan. Any matching Winnebago Stock Units thereafter recorded in the Participant's account after the Participant's completion of 36 months of service after the effective date of the Directors' Deferred Compensation Plan</w:t>
      </w:r>
    </w:p>
    <w:p>
      <w:pPr>
        <w:sectPr>
          <w:pgSz w:w="11900" w:h="16838" w:orient="portrait"/>
          <w:cols w:equalWidth="0" w:num="1">
            <w:col w:w="11400"/>
          </w:cols>
          <w:pgMar w:left="240" w:top="168" w:right="259" w:bottom="1440"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168" w:right="25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will be fully vested and nonforfeitable. Notwithstanding the above, the Participant's Winnebago Stock Unit account will become fully vested upon his or her attainment of age 69-1/2 while serving as a director. Under the Directors' Deferred Compensation Plan, participants are restricted from selling the Common Stock underlying the Winnebago Stock Units until the date the participant retires from the Board of Directors. In the event that a Participant terminates his or her service as a director, any unvested Winnebago Stock Units will be forfeited by the director. The Winnebago Stock Units credited to Participant's accounts are included in the Common Stock ownership table under the caption “Voting Securities and Principal Holders Thereof.” The director s, however, do not have any rights in or against any shares of Common Stock credited to their account.</w:t>
      </w:r>
    </w:p>
    <w:p>
      <w:pPr>
        <w:spacing w:after="0" w:line="7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if the Directors' Deferred Compensation Plan administrator determines, in its sole discretion, that such change equitably requires an adjustment in the number of Winnebago Stock Units then held in a Participant's Winnebago Stock Unit account, such adjustments will be made by the Directors' Deferred Compensation Plan administrator and will be conclusive and binding for all purposes of said plan.</w:t>
      </w:r>
    </w:p>
    <w:p>
      <w:pPr>
        <w:spacing w:after="0" w:line="70"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a Participant will receive a lump-sum distribution of his or her account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9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2004 Plan provides that Non-Employee Directors may receive “Stock Awards,” “Performance Awards” or “Non-qualified Stock Options” each as defined under the 2004 Plan (collectively, “Director Awards”)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ten years after the grant date. Non-qualified Stock Options may not include provisions that “reload” the option upon exercise. Subject to the foregoing provisions, the terms, conditions and limitations applicable to any Non-qualified Stock Options awarded to directors pursuant to the 2004 Plan, including the grant price, the term of the Non-qualif 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w:t>
      </w:r>
    </w:p>
    <w:p>
      <w:pPr>
        <w:spacing w:after="0" w:line="5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i w:val="1"/>
          <w:iCs w:val="1"/>
          <w:color w:val="auto"/>
        </w:rPr>
        <w:t xml:space="preserve">Director Stock Ownership Guidelines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Corporate Governance Policy states that Non-Employee Directors have guidelines encouraging</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of Common Stock, Stock Units or other equity equivalents equal in value to 250 percent of their annual director compensation.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68" w:right="2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ECTION OF DIRECTORS</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Board of Directors is divided into three classes with staggered terms, each consisting of approximately one-third of the total number of the members of the Board of Directors. Directors are elected for a term of three years. At the Annual Meeting, the term of office of the Class II directors (Messrs. Chiusano, Currie and Erickson) will expire, and three persons will be elected to serve in that class until the annual meeting following our Fiscal Year 2013 or until their respective successors are elected. The terms of office of the Class III and Class I directors will expire at the annual meetings following our Fiscal Years 2011 and 2012, respectively.</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Discretionary authority is solicited to vote for the election of a substitute for any of Messrs. Chiusano, Currie or Erickson who, for any reason currently unknown, cannot be a candidate for election. The shares represented by proxy will be voted for the election as directors of the nominees for Class II directors named above if no direction is made otherwise. Mr. Currie and Mr. Erickson are currently directors who were elected by the shareholders at our Annual Meeting held in December 2007. Mr. Chiusano is currently a director who was appointed by the Board of Directors to the Board on June 24, 2008, effective October 1, 2008. Please refer to “Voting Securities and Principal Holders Thereof” herein with respect to beneficial ownership of our common stock for each of our directors and nominees for director.</w:t>
      </w:r>
    </w:p>
    <w:p>
      <w:pPr>
        <w:spacing w:after="0" w:line="200" w:lineRule="exact"/>
        <w:rPr>
          <w:sz w:val="20"/>
          <w:szCs w:val="20"/>
          <w:color w:val="auto"/>
        </w:rPr>
      </w:pPr>
    </w:p>
    <w:p>
      <w:pPr>
        <w:spacing w:after="0" w:line="243" w:lineRule="exact"/>
        <w:rPr>
          <w:sz w:val="20"/>
          <w:szCs w:val="20"/>
          <w:color w:val="auto"/>
        </w:rPr>
      </w:pPr>
    </w:p>
    <w:p>
      <w:pPr>
        <w:ind w:right="1020"/>
        <w:spacing w:after="0" w:line="271" w:lineRule="auto"/>
        <w:rPr>
          <w:sz w:val="20"/>
          <w:szCs w:val="20"/>
          <w:color w:val="auto"/>
        </w:rPr>
      </w:pPr>
      <w:r>
        <w:rPr>
          <w:rFonts w:ascii="Arial" w:cs="Arial" w:eastAsia="Arial" w:hAnsi="Arial"/>
          <w:sz w:val="18"/>
          <w:szCs w:val="18"/>
          <w:b w:val="1"/>
          <w:bCs w:val="1"/>
          <w:color w:val="auto"/>
        </w:rPr>
        <w:t>YOUR BOARD OF DIRECTORS UNANIMOUSLY RECOMMENDS THAT YOU VOTE FOR THE ELECTION OF THE DIRECTOR NOMINEES.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II Directors to be Elected to Serve Until the Annual Meeting Following Fiscal Year 2013:</w:t>
      </w:r>
    </w:p>
    <w:p>
      <w:pPr>
        <w:spacing w:after="0" w:line="171" w:lineRule="exact"/>
        <w:rPr>
          <w:sz w:val="20"/>
          <w:szCs w:val="20"/>
          <w:color w:val="auto"/>
        </w:rPr>
      </w:pPr>
    </w:p>
    <w:p>
      <w:pPr>
        <w:ind w:left="340" w:right="80" w:hanging="332"/>
        <w:spacing w:after="0" w:line="255"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Robert M. Chiusano</w:t>
      </w:r>
      <w:r>
        <w:rPr>
          <w:rFonts w:ascii="Arial" w:cs="Arial" w:eastAsia="Arial" w:hAnsi="Arial"/>
          <w:sz w:val="18"/>
          <w:szCs w:val="18"/>
          <w:color w:val="auto"/>
        </w:rPr>
        <w:t>, 59, has been a director since 2008. Mr. Chiusano is currently a principal of RMC Consulting, a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development and operational excellence. Additionally, Mr. Chiusano is a former Executive Vice President and Special Assistant to the Chief Executive Officer and a former Executive Vice President and Chief Operating Officer - Commercial Systems of Rockwell Collins, Inc., a provider of communication and aviation electronic solutions for commercial and military applications. Based primarily upon Mr. Chiusano's extensive knowledge of strategic and organizational planning and acquisition management, his leadership experience as a former Executive Vice President at a communications and aviation electronics manufacturer, his tenure and contributions as a current Board and Board committee member, as well as his contrib utions as a community director to the University of Iowa Engineering Advisory Board and Coe College Board of Trustees, the Board determined that Mr. Chiusano should serve as a director of Winnebago Industries at the time this Proxy Statement is filed with the SEC.</w:t>
      </w:r>
    </w:p>
    <w:p>
      <w:pPr>
        <w:spacing w:after="0" w:line="127" w:lineRule="exact"/>
        <w:rPr>
          <w:rFonts w:ascii="Arial" w:cs="Arial" w:eastAsia="Arial" w:hAnsi="Arial"/>
          <w:sz w:val="18"/>
          <w:szCs w:val="18"/>
          <w:b w:val="1"/>
          <w:bCs w:val="1"/>
          <w:color w:val="auto"/>
        </w:rPr>
      </w:pPr>
    </w:p>
    <w:p>
      <w:pPr>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Jerry N. Currie</w:t>
      </w:r>
      <w:r>
        <w:rPr>
          <w:rFonts w:ascii="Arial" w:cs="Arial" w:eastAsia="Arial" w:hAnsi="Arial"/>
          <w:sz w:val="18"/>
          <w:szCs w:val="18"/>
          <w:color w:val="auto"/>
        </w:rPr>
        <w:t>, 65, has been a director since 1996. Mr. Currie is currently President and Chief Executive Officer of both CURRIES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manufacturer of steel doors and f rames for the nonresidential construction industry, and Graham Manufacturing, a manufacturer of wood doors for the nonresidential construction industry. CURRIES Company and Graham Manufacturing are owned by ASSA ABLOY, a global leader in door opening solutions. Based primarily upon Mr. Currie's significant experiences gained in manufacturing management and operations, his leadership experiences as the current President and Chief Executive Officer at manufacturing companies, and his tenure and contributions as a current Board and Board committee member, the Board determined that Mr. Currie should serve as a director of Winnebago Industries at the time this Proxy Statement is filed with the SEC.</w:t>
      </w:r>
    </w:p>
    <w:p>
      <w:pPr>
        <w:spacing w:after="0" w:line="129" w:lineRule="exact"/>
        <w:rPr>
          <w:rFonts w:ascii="Arial" w:cs="Arial" w:eastAsia="Arial" w:hAnsi="Arial"/>
          <w:sz w:val="18"/>
          <w:szCs w:val="18"/>
          <w:color w:val="auto"/>
        </w:rPr>
      </w:pPr>
    </w:p>
    <w:p>
      <w:pPr>
        <w:ind w:left="340" w:right="20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Lawrence A. Erickson</w:t>
      </w:r>
      <w:r>
        <w:rPr>
          <w:rFonts w:ascii="Arial" w:cs="Arial" w:eastAsia="Arial" w:hAnsi="Arial"/>
          <w:sz w:val="18"/>
          <w:szCs w:val="18"/>
          <w:color w:val="auto"/>
        </w:rPr>
        <w:t>, 61, has been a director since 2005. Mr. Erickson is a former Senior Vice President and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Rockwell Collins, Inc. Based primarily upon Mr. Erickson's significant experience in the areas of finance, accounting and auditing with public companies, his leadership experiences as a former Senior Vice President and Chief Financial Officer at a communications and aviation electronics manufacturer, and his tenure and contributions as a current Board and Board committee member, the Board determined that Mr. Erickson should serve as a director of Winnebago Industries at the time this Proxy Statement is filed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Governance Committee recommended, and the Board approved, the nomination of each person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Whose Terms Expire at the Annual Meeting Following Fiscal Year 2011:</w:t>
      </w:r>
    </w:p>
    <w:p>
      <w:pPr>
        <w:spacing w:after="0" w:line="171" w:lineRule="exact"/>
        <w:rPr>
          <w:sz w:val="20"/>
          <w:szCs w:val="20"/>
          <w:color w:val="auto"/>
        </w:rPr>
      </w:pPr>
    </w:p>
    <w:p>
      <w:pPr>
        <w:ind w:left="340" w:right="6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John V. Hanson</w:t>
      </w:r>
      <w:r>
        <w:rPr>
          <w:rFonts w:ascii="Arial" w:cs="Arial" w:eastAsia="Arial" w:hAnsi="Arial"/>
          <w:sz w:val="18"/>
          <w:szCs w:val="18"/>
          <w:color w:val="auto"/>
        </w:rPr>
        <w:t>, 68, has been a director since 1996, and also served as a director from 1967 to 1979 and from 1985 to 1989. Mr. Hanson</w:t>
      </w:r>
      <w:r>
        <w:rPr>
          <w:rFonts w:ascii="Arial" w:cs="Arial" w:eastAsia="Arial" w:hAnsi="Arial"/>
          <w:sz w:val="18"/>
          <w:szCs w:val="18"/>
          <w:b w:val="1"/>
          <w:bCs w:val="1"/>
          <w:color w:val="auto"/>
        </w:rPr>
        <w:t xml:space="preserve"> </w:t>
      </w:r>
      <w:r>
        <w:rPr>
          <w:rFonts w:ascii="Arial" w:cs="Arial" w:eastAsia="Arial" w:hAnsi="Arial"/>
          <w:sz w:val="18"/>
          <w:szCs w:val="18"/>
          <w:color w:val="auto"/>
        </w:rPr>
        <w:t>is a former Deputy Chairman of the Board of Directors of Winnebago Industries and previously held numerous executive and management positions within the Company over many years. Based primarily upon Mr. Hanson's long-term experience and knowledge of Winnebago Industries, its business operations and work culture, his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68" w:right="2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 ntents</w:t>
        </w:r>
      </w:hyperlink>
    </w:p>
    <w:p>
      <w:pPr>
        <w:spacing w:after="0" w:line="200" w:lineRule="exact"/>
        <w:rPr>
          <w:sz w:val="20"/>
          <w:szCs w:val="20"/>
          <w:color w:val="auto"/>
        </w:rPr>
      </w:pPr>
    </w:p>
    <w:p>
      <w:pPr>
        <w:spacing w:after="0" w:line="248" w:lineRule="exact"/>
        <w:rPr>
          <w:sz w:val="20"/>
          <w:szCs w:val="20"/>
          <w:color w:val="auto"/>
        </w:rPr>
      </w:pPr>
    </w:p>
    <w:p>
      <w:pPr>
        <w:ind w:left="340" w:right="120"/>
        <w:spacing w:after="0" w:line="254" w:lineRule="auto"/>
        <w:rPr>
          <w:sz w:val="20"/>
          <w:szCs w:val="20"/>
          <w:color w:val="auto"/>
        </w:rPr>
      </w:pPr>
      <w:r>
        <w:rPr>
          <w:rFonts w:ascii="Arial" w:cs="Arial" w:eastAsia="Arial" w:hAnsi="Arial"/>
          <w:sz w:val="18"/>
          <w:szCs w:val="18"/>
          <w:color w:val="auto"/>
        </w:rPr>
        <w:t>contributions to and insights of the recreational vehicle industry as a whole, his extensive executive management and leadership experience as the former Deputy Chairman of the Board of Directors of the Company, and his tenure and contributions as a current Board and Board committee member, the Board determined that Mr. Hanson should serve as a director of Winnebago Industries at the time this Proxy Statement is filed with the SEC.</w:t>
      </w:r>
    </w:p>
    <w:p>
      <w:pPr>
        <w:spacing w:after="0" w:line="128" w:lineRule="exact"/>
        <w:rPr>
          <w:sz w:val="20"/>
          <w:szCs w:val="20"/>
          <w:color w:val="auto"/>
        </w:rPr>
      </w:pPr>
    </w:p>
    <w:p>
      <w:pPr>
        <w:ind w:left="340" w:hanging="332"/>
        <w:spacing w:after="0" w:line="24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Gerald C. Kitch</w:t>
      </w:r>
      <w:r>
        <w:rPr>
          <w:rFonts w:ascii="Arial" w:cs="Arial" w:eastAsia="Arial" w:hAnsi="Arial"/>
          <w:sz w:val="18"/>
          <w:szCs w:val="18"/>
          <w:color w:val="auto"/>
        </w:rPr>
        <w:t>, 72, has been a director since 1996. Mr. Kitch is a former Executive Vice President of Pentair, Inc., a diversified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 currently serves as our Lead Director as selected by the Non-Employee Directors. Based primarily upon Mr. Kitch's significant experiences gained in executive management positions and his specific skills and knowledge of acquisitions, diversification and operational management, his leadership experiences as a former Executive Vice President of a diversified manufacturing company, and his tenure and contributions as a current Board and Board committee member, the Board determined that Mr. Kitch should serve as a director of Winnebago Industries at the time this Proxy Statement is filed with the SEC.</w:t>
      </w:r>
    </w:p>
    <w:p>
      <w:pPr>
        <w:spacing w:after="0" w:line="125"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Robert J. Olson</w:t>
      </w:r>
      <w:r>
        <w:rPr>
          <w:rFonts w:ascii="Arial" w:cs="Arial" w:eastAsia="Arial" w:hAnsi="Arial"/>
          <w:sz w:val="18"/>
          <w:szCs w:val="18"/>
          <w:color w:val="auto"/>
        </w:rPr>
        <w:t>, 59, has been a director since 2008. Mr. Olson currently serves as Chairman of the Board, CEO and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Winnebago Industries and has served in that capacity since May 2008. Previously he served as President and prior to that as Vice President - Manufacturing with numerous other positions within Winnebago Industries since his initial employment commenced in 1969. Based primarily upon Mr. Olson's extensive knowledge of Winnebago Industries and experiences gained as a result of his over 35 years in various management positions at Winnebago Industries, his specific skills in strategic planning, financial operations, manufacturing and administration, his industry-wide contributions as a member of the Executive Committee of the Recreation Vehicle Industry Association Board of Directors and Co-Chairman of the Go RVing coalition, and his tenure and contributions as a current Board member and as current Chairman, CEO and President, the Board determined that Mr. Olson should serve as a director of Winnebago Industries at the time this Proxy Statement is filed with the SEC.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Whose Terms Expire at the Annual Meeting Following Fiscal Year 2012:</w:t>
      </w:r>
    </w:p>
    <w:p>
      <w:pPr>
        <w:spacing w:after="0" w:line="171" w:lineRule="exact"/>
        <w:rPr>
          <w:sz w:val="20"/>
          <w:szCs w:val="20"/>
          <w:color w:val="auto"/>
        </w:rPr>
      </w:pPr>
    </w:p>
    <w:p>
      <w:pPr>
        <w:ind w:left="340" w:right="20" w:hanging="332"/>
        <w:spacing w:after="0" w:line="256" w:lineRule="auto"/>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Irvin E. Aal</w:t>
      </w:r>
      <w:r>
        <w:rPr>
          <w:rFonts w:ascii="Arial" w:cs="Arial" w:eastAsia="Arial" w:hAnsi="Arial"/>
          <w:sz w:val="18"/>
          <w:szCs w:val="18"/>
          <w:color w:val="auto"/>
        </w:rPr>
        <w:t>, 71, has been a director since 2004. Mr. Aal is a former General Manager of the Case Tyler Business of CNH Global and</w:t>
      </w:r>
      <w:r>
        <w:rPr>
          <w:rFonts w:ascii="Arial" w:cs="Arial" w:eastAsia="Arial" w:hAnsi="Arial"/>
          <w:sz w:val="18"/>
          <w:szCs w:val="18"/>
          <w:b w:val="1"/>
          <w:bCs w:val="1"/>
          <w:color w:val="auto"/>
        </w:rPr>
        <w:t xml:space="preserve"> </w:t>
      </w:r>
      <w:r>
        <w:rPr>
          <w:rFonts w:ascii="Arial" w:cs="Arial" w:eastAsia="Arial" w:hAnsi="Arial"/>
          <w:sz w:val="18"/>
          <w:szCs w:val="18"/>
          <w:color w:val="auto"/>
        </w:rPr>
        <w:t>predecessor corporation, a manufacturer of banded application business equipment. He is also the previous President and Chief Executive Officer of Tyler Industries, a privately owned specialized agricultural equipment manufacturing company. Based primarily upon Mr. Aal's significant skills and experience in manufacturing operations, sales and marketing, his leadership experience as a former President and Chief Executive Officer of an agricultural equipment manufacturer and General Manager of a global business equipment manufacturer, and his tenure and contributions as a current Board and Board committee member, the Board determined that Mr. Aal should serve as a director of Winnebago Industries at the time this Proxy Statement is filed with the SEC.</w:t>
      </w:r>
    </w:p>
    <w:p>
      <w:pPr>
        <w:spacing w:after="0" w:line="129" w:lineRule="exact"/>
        <w:rPr>
          <w:rFonts w:ascii="Arial" w:cs="Arial" w:eastAsia="Arial" w:hAnsi="Arial"/>
          <w:sz w:val="18"/>
          <w:szCs w:val="18"/>
          <w:b w:val="1"/>
          <w:bCs w:val="1"/>
          <w:color w:val="auto"/>
        </w:rPr>
      </w:pPr>
    </w:p>
    <w:p>
      <w:pPr>
        <w:ind w:left="340" w:right="180" w:hanging="332"/>
        <w:spacing w:after="0" w:line="27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Joseph W. England</w:t>
      </w:r>
      <w:r>
        <w:rPr>
          <w:rFonts w:ascii="Arial" w:cs="Arial" w:eastAsia="Arial" w:hAnsi="Arial"/>
          <w:sz w:val="17"/>
          <w:szCs w:val="17"/>
          <w:color w:val="auto"/>
        </w:rPr>
        <w:t>, 70, has been a director since 2001. Mr. England is a former Senior Vice President - Accounting - Control of Deere</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Company, a mobile power equipment manufacturer. I n addition, Mr. England has served as a director of First Midwest Bancorp, Inc. since 1986. Based primarily upon Mr. England's significant experience in the areas of finance, accounting and public company audits, his leadership experience as a former Vice President-Accounting-Control at mobile power equipment manufacturer, his experience as a director at another public company, and his tenure and contributions as a current Board and Board committee member, the Board determined that Mr. England should serve as a director of Winnebago Industries at the time this Proxy Statement is filed with the SEC.</w:t>
      </w:r>
    </w:p>
    <w:p>
      <w:pPr>
        <w:spacing w:after="0" w:line="1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 ed.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success has been and will be dependent on our ability to attract, retain, motivate and reward the best talent available to us, including the employees identified in this Proxy Statement. The following provides an overview of the more detailed disclosure set forth in this section.</w:t>
      </w:r>
    </w:p>
    <w:p>
      <w:pPr>
        <w:spacing w:after="0" w:line="115"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color w:val="auto"/>
        </w:rPr>
        <w:t>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whereby a substantial portion of each executive officer's total compensation potential is a function of performance incentives.</w:t>
      </w:r>
    </w:p>
    <w:p>
      <w:pPr>
        <w:spacing w:after="0" w:line="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Overall, we normally compensate our executive officers with base salary, annual incentive awards and long-term incentives. For our executives as a group, we generally emphasize a conservative base salary compensation. We alternatively provide the potential for a greater incentive compensation component of total executive compensation.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68" w:right="25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9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Annual and long-term operational and strategic goals identified by Management and approved by the Human Resources Committee of the Board of Directors (the “Committee”) are the foundation for the performance measurements used to determine annual and long-term incentive payouts to our executive officers. In Fiscal 2008 and Fiscal 2007, we granted our executive officers restricted stock as a means to further align the interests of our executive officers with those of our shareholders.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Beginning in Fiscal 2009, we experienced economic conditions that were unprecedented within the history of the recreational vehicle industry. The decline in the U.S. economy during this period resulted in the demand for recreational vehicles reaching historically low levels. The recreational vehicle industry, and specifically the motor home market, has continued to be challenged, demonstrating only slight improvement during Fiscal 2010. In direct response to the negative economic conditions affecting the broader U.S. economy and our economic performance during Fiscal 2009, we initiated numerous cost reductions which were substantially continued through Fiscal 2010, including certain actions directly related to executive compensation. These compensation-related cost reductions, as more fully discussed in the “Compensation Discussion and Analysis” section below, include:</w:t>
      </w:r>
    </w:p>
    <w:p>
      <w:pPr>
        <w:spacing w:after="0" w:line="15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elimination of annual merit-based salary increases for all executive officers;</w:t>
      </w:r>
    </w:p>
    <w:p>
      <w:pPr>
        <w:spacing w:after="0" w:line="9"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substantial reduction of the base salary payable to our CEO and President and other executive officers, effective March 2009 continued during Fiscal 2010;</w:t>
      </w: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reduced level of 401(k) company matching contributions for all participants, including executive officers;</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new stock grants or new stock option grants; and</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payments made under our a nnual and long-term incentive compensation plans.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light of the philosophy and objectives of our executive compensation program described below, we believe that the basic elements of compensation offered to our executives were appropriate for Fiscal 2010 and should not change for Fiscal 2011. Although we remain subject to the economic environment negatively affecting the recreational vehicle industry, we are determined to provide adequate compensation programs necessary to retain and motivate our executives to implement strategic initiatives we believe are necessary to increase shareholder value and restore consistent profitability in the future.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8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following Compensation Discussion and Analysis describes the material elements of our executive compensation program. Throughout this discussion, we refer to our Named Executive Officers. The following individuals are our Named Executive Officers for Fiscal 2010:</w:t>
      </w:r>
    </w:p>
    <w:p>
      <w:pPr>
        <w:spacing w:after="0" w:line="14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Robert J. Olson, Cha irman of the Board, CEO and President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Raymond M. Beebe, Vice President, General Counsel and Secretary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Roger W. Martin, Vice President, Sales and Marketing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Sarah N. Nielsen, Vice President, CFO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Willi am J. O'Leary, Vice President, Product Development</w:t>
      </w:r>
    </w:p>
    <w:p>
      <w:pPr>
        <w:spacing w:after="0" w:line="14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The Human Resources Committee. </w:t>
      </w:r>
      <w:r>
        <w:rPr>
          <w:rFonts w:ascii="Arial" w:cs="Arial" w:eastAsia="Arial" w:hAnsi="Arial"/>
          <w:sz w:val="18"/>
          <w:szCs w:val="18"/>
          <w:color w:val="auto"/>
        </w:rPr>
        <w:t>The Committee is responsible for discharging the Board's responsibilities relating to the compensation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Named Executive Officers, for approving and evaluating all compensation of Named Executive Officers, including salaries, bonuses, compensation plans and policies, and other incentive programs. The Committee members are all independent directors. The Committee acts pursuant to a charter that has been approved by our Board. Committee meetings are held regularly throughout the year, with four meetings typically held per fiscal year. The Committee meetings, in most instances, occur prior to regularly scheduled Board meetings, with telephonic meetings occurring as necessary. Other members of our Board of Directors are invited to attend the Committee meetings. In addition, others in regular attendance at the Committee meeting typically include the CEO and the Vice President, Administration.</w:t>
      </w:r>
    </w:p>
    <w:p>
      <w:pPr>
        <w:spacing w:after="0" w:line="1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color w:val="auto"/>
        </w:rPr>
        <w:t xml:space="preserve">Compensation Philosophy. </w:t>
      </w:r>
      <w:r>
        <w:rPr>
          <w:rFonts w:ascii="Arial" w:cs="Arial" w:eastAsia="Arial" w:hAnsi="Arial"/>
          <w:sz w:val="18"/>
          <w:szCs w:val="18"/>
          <w:color w:val="auto"/>
        </w:rPr>
        <w:t>The Committee believes that the most effective compensation program is one that is designed to reward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our specific annual, long-term and strategic goals, and which aligns executives' interests with those of the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 arly situated executives of our Compensation Peers (as defined below). Accordingly, the Committee believes executive compensation packages provided to our executives, including the Named Executive Officers, should include both cash and stock-based compensation that reward performance as measured against established goals.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68" w:right="259" w:bottom="1440" w:gutter="0" w:footer="0" w:header="0"/>
        </w:sectPr>
      </w:pPr>
    </w:p>
    <w:bookmarkStart w:id="18" w:name="page19"/>
    <w:bookmarkEnd w:id="18"/>
    <w:p>
      <w:pPr>
        <w:spacing w:after="0" w:line="36" w:lineRule="exact"/>
        <w:rPr>
          <w:sz w:val="20"/>
          <w:szCs w:val="20"/>
          <w:color w:val="auto"/>
        </w:rPr>
      </w:pPr>
    </w:p>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6" w:lineRule="exact"/>
        <w:rPr>
          <w:sz w:val="20"/>
          <w:szCs w:val="20"/>
          <w:color w:val="auto"/>
        </w:rPr>
      </w:pPr>
    </w:p>
    <w:p>
      <w:pPr>
        <w:jc w:val="both"/>
        <w:ind w:right="60"/>
        <w:spacing w:after="0" w:line="269" w:lineRule="auto"/>
        <w:rPr>
          <w:sz w:val="20"/>
          <w:szCs w:val="20"/>
          <w:color w:val="auto"/>
        </w:rPr>
      </w:pPr>
      <w:r>
        <w:rPr>
          <w:rFonts w:ascii="Arial" w:cs="Arial" w:eastAsia="Arial" w:hAnsi="Arial"/>
          <w:sz w:val="18"/>
          <w:szCs w:val="18"/>
          <w:b w:val="1"/>
          <w:bCs w:val="1"/>
          <w:color w:val="auto"/>
        </w:rPr>
        <w:t xml:space="preserve">Compensation Objectives. </w:t>
      </w:r>
      <w:r>
        <w:rPr>
          <w:rFonts w:ascii="Arial" w:cs="Arial" w:eastAsia="Arial" w:hAnsi="Arial"/>
          <w:sz w:val="18"/>
          <w:szCs w:val="18"/>
          <w:color w:val="auto"/>
        </w:rPr>
        <w:t>The Committee has worked with Management to design the current executive compensation programs,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belief that compensation should reflect the value created for the shareholders while furthering our strategic goals. In doing so, we instituted our compensation programs to achieve the following goals:</w:t>
      </w:r>
    </w:p>
    <w:p>
      <w:pPr>
        <w:spacing w:after="0" w:line="13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integrate compensation with our business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and retain key executives critical to our success.</w:t>
      </w:r>
    </w:p>
    <w:p>
      <w:pPr>
        <w:spacing w:after="0" w:line="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These objectives emphasize pay for performance by providing an incentive opportunity for at or above average performance. In accordance with these compensation objectives, the Named Executive Officers generally received lower compensation as a result of our economic performance in Fiscal 2010.</w:t>
      </w:r>
    </w:p>
    <w:p>
      <w:pPr>
        <w:spacing w:after="0" w:line="221"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color w:val="auto"/>
        </w:rPr>
        <w:t xml:space="preserve">Competitive Benchmarking. </w:t>
      </w:r>
      <w:r>
        <w:rPr>
          <w:rFonts w:ascii="Arial" w:cs="Arial" w:eastAsia="Arial" w:hAnsi="Arial"/>
          <w:sz w:val="18"/>
          <w:szCs w:val="18"/>
          <w:color w:val="auto"/>
        </w:rPr>
        <w:t>In making compensation decisions, the Committee, at times, compares certain elements of total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other comparable publicly traded and privately held companies in the same or related industry as ours, described below as the “Consultant Industry Group” and the “Proxy In dustry Group” (collectively, the “Compensation Peers”).</w:t>
      </w:r>
    </w:p>
    <w:p>
      <w:pPr>
        <w:spacing w:after="0" w:line="13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Committee has the sole authority to retain or terminate any compensation consultant used in the evaluation of compensation packages and has the sole authority to approve the consultant's fees. In Fiscal 2007, the Committee engaged an outside compensation consultant, Towers Watson (formerly Towers Perrin) (the “Consultant”), to conduct an analysis of the total compensation paid to our key executives, compared to companies of two comparative groups to which we may compete for talent (hereinafter, the “2007 Compensation Analysis”).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Consultant maintains a proprietary executive compensation database that contains information on the various compensation elements of ove r 500 publicly traded and privately held companies across several industries (the “General Consultant Database”). The Committee reviewed compensation information contained in the General Consultant Database and, in Fiscal 2007, additionally requested the Consultant to prepare compensation data from two comparator groups of companies that the Committee believed are more reflective of the market in which we compete for executive talent.</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First, after examining the list of companies in the General Consultant Database, the Committee and Consultant formulated a group of companies found in the General Consultant Database that consisted of public and private companies generally considered to be in the same or related industry as ours, to include the following (the “Consultant Industry Group”):</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American Transmission Co.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Freightliner,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Milacron Inc.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AMETEK,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Harley-Davidson,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Modine Manufacturing Co.</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Arctic Cat,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Harsco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Molex Incorporated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ArvinMeritor,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Herman Miller,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Monaco Coach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AutoZone,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HNI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Regal-Beloit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Barnes Group,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IDEX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Robert Bosch GmbH</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Black &amp; Decker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International Truck &amp; Engine Corp.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Rockwell Collins, Inc.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Jostens,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SENCORP Inc.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Corn Products Interna tional,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Kennametal,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Steelcase Inc.</w:t>
      </w:r>
    </w:p>
    <w:p>
      <w:pPr>
        <w:sectPr>
          <w:pgSz w:w="11900" w:h="16874" w:orient="portrait"/>
          <w:cols w:equalWidth="0" w:num="1">
            <w:col w:w="11400"/>
          </w:cols>
          <w:pgMar w:left="240" w:top="168" w:right="25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Donaldson Company,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Kohler Co.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Terex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Eaton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Makino,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Timken Company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Federal-Mogul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McDermott International,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Fleetwood Enterprises,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Metaldyne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Tower Automotive LLC</w:t>
      </w:r>
    </w:p>
    <w:p>
      <w:pPr>
        <w:spacing w:after="0" w:line="295"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219"/>
          </w:cols>
          <w:pgMar w:left="240" w:top="422" w:right="1440"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Committee and the Consultant separately considered data from proxy statements filed with the SEC by the following public companies that were generally considered to be in the same or related industry as ours, information for whic h may or may not have been made part of the General Consultant Database (the “Proxy Industry Group”):</w:t>
      </w:r>
    </w:p>
    <w:p>
      <w:pPr>
        <w:spacing w:after="0" w:line="324" w:lineRule="exact"/>
        <w:rPr>
          <w:sz w:val="20"/>
          <w:szCs w:val="20"/>
          <w:color w:val="auto"/>
        </w:rPr>
      </w:pPr>
    </w:p>
    <w:tbl>
      <w:tblPr>
        <w:tblLayout w:type="fixed"/>
        <w:tblInd w:w="560" w:type="dxa"/>
        <w:tblCellMar>
          <w:top w:w="0" w:type="dxa"/>
          <w:left w:w="0" w:type="dxa"/>
          <w:bottom w:w="0" w:type="dxa"/>
          <w:right w:w="0" w:type="dxa"/>
        </w:tblCellMar>
      </w:tblPr>
      <w:tr>
        <w:trPr>
          <w:trHeight w:val="217"/>
        </w:trPr>
        <w:tc>
          <w:tcPr>
            <w:tcW w:w="2720" w:type="dxa"/>
            <w:vAlign w:val="bottom"/>
          </w:tcPr>
          <w:p>
            <w:pPr>
              <w:spacing w:after="0"/>
              <w:rPr>
                <w:sz w:val="20"/>
                <w:szCs w:val="20"/>
                <w:color w:val="auto"/>
              </w:rPr>
            </w:pPr>
            <w:r>
              <w:rPr>
                <w:rFonts w:ascii="Arial" w:cs="Arial" w:eastAsia="Arial" w:hAnsi="Arial"/>
                <w:sz w:val="18"/>
                <w:szCs w:val="18"/>
                <w:color w:val="auto"/>
              </w:rPr>
              <w:t>Actuant Corp.</w:t>
            </w:r>
          </w:p>
        </w:tc>
        <w:tc>
          <w:tcPr>
            <w:tcW w:w="3340" w:type="dxa"/>
            <w:vAlign w:val="bottom"/>
          </w:tcPr>
          <w:p>
            <w:pPr>
              <w:ind w:left="600"/>
              <w:spacing w:after="0"/>
              <w:rPr>
                <w:sz w:val="20"/>
                <w:szCs w:val="20"/>
                <w:color w:val="auto"/>
              </w:rPr>
            </w:pPr>
            <w:r>
              <w:rPr>
                <w:rFonts w:ascii="Arial" w:cs="Arial" w:eastAsia="Arial" w:hAnsi="Arial"/>
                <w:sz w:val="18"/>
                <w:szCs w:val="18"/>
                <w:color w:val="auto"/>
              </w:rPr>
              <w:t>GenTek Inc.</w:t>
            </w:r>
          </w:p>
        </w:tc>
        <w:tc>
          <w:tcPr>
            <w:tcW w:w="3320" w:type="dxa"/>
            <w:vAlign w:val="bottom"/>
          </w:tcPr>
          <w:p>
            <w:pPr>
              <w:ind w:left="560"/>
              <w:spacing w:after="0"/>
              <w:rPr>
                <w:sz w:val="20"/>
                <w:szCs w:val="20"/>
                <w:color w:val="auto"/>
              </w:rPr>
            </w:pPr>
            <w:r>
              <w:rPr>
                <w:rFonts w:ascii="Arial" w:cs="Arial" w:eastAsia="Arial" w:hAnsi="Arial"/>
                <w:sz w:val="18"/>
                <w:szCs w:val="18"/>
                <w:color w:val="auto"/>
              </w:rPr>
              <w:t>Polaris Industries Inc.</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ATC Technology Corp.</w:t>
            </w:r>
          </w:p>
        </w:tc>
        <w:tc>
          <w:tcPr>
            <w:tcW w:w="3340" w:type="dxa"/>
            <w:vAlign w:val="bottom"/>
          </w:tcPr>
          <w:p>
            <w:pPr>
              <w:ind w:left="600"/>
              <w:spacing w:after="0"/>
              <w:rPr>
                <w:sz w:val="20"/>
                <w:szCs w:val="20"/>
                <w:color w:val="auto"/>
              </w:rPr>
            </w:pPr>
            <w:r>
              <w:rPr>
                <w:rFonts w:ascii="Arial" w:cs="Arial" w:eastAsia="Arial" w:hAnsi="Arial"/>
                <w:sz w:val="18"/>
                <w:szCs w:val="18"/>
                <w:color w:val="auto"/>
              </w:rPr>
              <w:t>Graco Inc.</w:t>
            </w:r>
          </w:p>
        </w:tc>
        <w:tc>
          <w:tcPr>
            <w:tcW w:w="3320" w:type="dxa"/>
            <w:vAlign w:val="bottom"/>
          </w:tcPr>
          <w:p>
            <w:pPr>
              <w:ind w:left="560"/>
              <w:spacing w:after="0"/>
              <w:rPr>
                <w:sz w:val="20"/>
                <w:szCs w:val="20"/>
                <w:color w:val="auto"/>
              </w:rPr>
            </w:pPr>
            <w:r>
              <w:rPr>
                <w:rFonts w:ascii="Arial" w:cs="Arial" w:eastAsia="Arial" w:hAnsi="Arial"/>
                <w:sz w:val="18"/>
                <w:szCs w:val="18"/>
                <w:color w:val="auto"/>
              </w:rPr>
              <w:t>Regal-Beloit Corporation</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Artic Cat, Inc.</w:t>
            </w:r>
          </w:p>
        </w:tc>
        <w:tc>
          <w:tcPr>
            <w:tcW w:w="3340" w:type="dxa"/>
            <w:vAlign w:val="bottom"/>
          </w:tcPr>
          <w:p>
            <w:pPr>
              <w:ind w:left="600"/>
              <w:spacing w:after="0"/>
              <w:rPr>
                <w:sz w:val="20"/>
                <w:szCs w:val="20"/>
                <w:color w:val="auto"/>
              </w:rPr>
            </w:pPr>
            <w:r>
              <w:rPr>
                <w:rFonts w:ascii="Arial" w:cs="Arial" w:eastAsia="Arial" w:hAnsi="Arial"/>
                <w:sz w:val="18"/>
                <w:szCs w:val="18"/>
                <w:color w:val="auto"/>
              </w:rPr>
              <w:t>Harsco Corp.</w:t>
            </w:r>
          </w:p>
        </w:tc>
        <w:tc>
          <w:tcPr>
            <w:tcW w:w="3320" w:type="dxa"/>
            <w:vAlign w:val="bottom"/>
          </w:tcPr>
          <w:p>
            <w:pPr>
              <w:ind w:left="560"/>
              <w:spacing w:after="0"/>
              <w:rPr>
                <w:sz w:val="20"/>
                <w:szCs w:val="20"/>
                <w:color w:val="auto"/>
              </w:rPr>
            </w:pPr>
            <w:r>
              <w:rPr>
                <w:rFonts w:ascii="Arial" w:cs="Arial" w:eastAsia="Arial" w:hAnsi="Arial"/>
                <w:sz w:val="18"/>
                <w:szCs w:val="18"/>
                <w:color w:val="auto"/>
              </w:rPr>
              <w:t>Snap-On Inc.</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Borgwarner Inc.</w:t>
            </w:r>
          </w:p>
        </w:tc>
        <w:tc>
          <w:tcPr>
            <w:tcW w:w="3340" w:type="dxa"/>
            <w:vAlign w:val="bottom"/>
          </w:tcPr>
          <w:p>
            <w:pPr>
              <w:ind w:left="600"/>
              <w:spacing w:after="0"/>
              <w:rPr>
                <w:sz w:val="20"/>
                <w:szCs w:val="20"/>
                <w:color w:val="auto"/>
              </w:rPr>
            </w:pPr>
            <w:r>
              <w:rPr>
                <w:rFonts w:ascii="Arial" w:cs="Arial" w:eastAsia="Arial" w:hAnsi="Arial"/>
                <w:sz w:val="18"/>
                <w:szCs w:val="18"/>
                <w:color w:val="auto"/>
              </w:rPr>
              <w:t>Idex Corp.</w:t>
            </w:r>
          </w:p>
        </w:tc>
        <w:tc>
          <w:tcPr>
            <w:tcW w:w="3320" w:type="dxa"/>
            <w:vAlign w:val="bottom"/>
          </w:tcPr>
          <w:p>
            <w:pPr>
              <w:ind w:left="560"/>
              <w:spacing w:after="0"/>
              <w:rPr>
                <w:sz w:val="20"/>
                <w:szCs w:val="20"/>
                <w:color w:val="auto"/>
              </w:rPr>
            </w:pPr>
            <w:r>
              <w:rPr>
                <w:rFonts w:ascii="Arial" w:cs="Arial" w:eastAsia="Arial" w:hAnsi="Arial"/>
                <w:sz w:val="18"/>
                <w:szCs w:val="18"/>
                <w:color w:val="auto"/>
              </w:rPr>
              <w:t>Standard Motor Products Inc.</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Briggs &amp; Stratton Corp.</w:t>
            </w:r>
          </w:p>
        </w:tc>
        <w:tc>
          <w:tcPr>
            <w:tcW w:w="3340" w:type="dxa"/>
            <w:vAlign w:val="bottom"/>
          </w:tcPr>
          <w:p>
            <w:pPr>
              <w:ind w:left="600"/>
              <w:spacing w:after="0"/>
              <w:rPr>
                <w:sz w:val="20"/>
                <w:szCs w:val="20"/>
                <w:color w:val="auto"/>
              </w:rPr>
            </w:pPr>
            <w:r>
              <w:rPr>
                <w:rFonts w:ascii="Arial" w:cs="Arial" w:eastAsia="Arial" w:hAnsi="Arial"/>
                <w:sz w:val="18"/>
                <w:szCs w:val="18"/>
                <w:color w:val="auto"/>
              </w:rPr>
              <w:t>Kennametal, Inc.</w:t>
            </w:r>
          </w:p>
        </w:tc>
        <w:tc>
          <w:tcPr>
            <w:tcW w:w="3320" w:type="dxa"/>
            <w:vAlign w:val="bottom"/>
          </w:tcPr>
          <w:p>
            <w:pPr>
              <w:ind w:left="560"/>
              <w:spacing w:after="0"/>
              <w:rPr>
                <w:sz w:val="20"/>
                <w:szCs w:val="20"/>
                <w:color w:val="auto"/>
              </w:rPr>
            </w:pPr>
            <w:r>
              <w:rPr>
                <w:rFonts w:ascii="Arial" w:cs="Arial" w:eastAsia="Arial" w:hAnsi="Arial"/>
                <w:sz w:val="18"/>
                <w:szCs w:val="18"/>
                <w:color w:val="auto"/>
              </w:rPr>
              <w:t>Standex International Corp.</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Carlisle Companies Inc.</w:t>
            </w:r>
          </w:p>
        </w:tc>
        <w:tc>
          <w:tcPr>
            <w:tcW w:w="3340" w:type="dxa"/>
            <w:vAlign w:val="bottom"/>
          </w:tcPr>
          <w:p>
            <w:pPr>
              <w:ind w:left="600"/>
              <w:spacing w:after="0"/>
              <w:rPr>
                <w:sz w:val="20"/>
                <w:szCs w:val="20"/>
                <w:color w:val="auto"/>
              </w:rPr>
            </w:pPr>
            <w:r>
              <w:rPr>
                <w:rFonts w:ascii="Arial" w:cs="Arial" w:eastAsia="Arial" w:hAnsi="Arial"/>
                <w:sz w:val="18"/>
                <w:szCs w:val="18"/>
                <w:color w:val="auto"/>
              </w:rPr>
              <w:t>Milacron Inc.</w:t>
            </w:r>
          </w:p>
        </w:tc>
        <w:tc>
          <w:tcPr>
            <w:tcW w:w="3320" w:type="dxa"/>
            <w:vAlign w:val="bottom"/>
          </w:tcPr>
          <w:p>
            <w:pPr>
              <w:ind w:left="560"/>
              <w:spacing w:after="0"/>
              <w:rPr>
                <w:sz w:val="20"/>
                <w:szCs w:val="20"/>
                <w:color w:val="auto"/>
              </w:rPr>
            </w:pPr>
            <w:r>
              <w:rPr>
                <w:rFonts w:ascii="Arial" w:cs="Arial" w:eastAsia="Arial" w:hAnsi="Arial"/>
                <w:sz w:val="18"/>
                <w:szCs w:val="18"/>
                <w:color w:val="auto"/>
                <w:w w:val="99"/>
              </w:rPr>
              <w:t>Stewart &amp; Stevenson Services Inc.</w:t>
            </w:r>
          </w:p>
        </w:tc>
      </w:tr>
      <w:tr>
        <w:trPr>
          <w:trHeight w:val="257"/>
        </w:trPr>
        <w:tc>
          <w:tcPr>
            <w:tcW w:w="2720" w:type="dxa"/>
            <w:vAlign w:val="bottom"/>
          </w:tcPr>
          <w:p>
            <w:pPr>
              <w:spacing w:after="0"/>
              <w:rPr>
                <w:sz w:val="20"/>
                <w:szCs w:val="20"/>
                <w:color w:val="auto"/>
              </w:rPr>
            </w:pPr>
            <w:r>
              <w:rPr>
                <w:rFonts w:ascii="Arial" w:cs="Arial" w:eastAsia="Arial" w:hAnsi="Arial"/>
                <w:sz w:val="18"/>
                <w:szCs w:val="18"/>
                <w:color w:val="auto"/>
              </w:rPr>
              <w:t>Clarcor Inc.</w:t>
            </w:r>
          </w:p>
        </w:tc>
        <w:tc>
          <w:tcPr>
            <w:tcW w:w="3340" w:type="dxa"/>
            <w:vAlign w:val="bottom"/>
          </w:tcPr>
          <w:p>
            <w:pPr>
              <w:ind w:left="600"/>
              <w:spacing w:after="0"/>
              <w:rPr>
                <w:sz w:val="20"/>
                <w:szCs w:val="20"/>
                <w:color w:val="auto"/>
              </w:rPr>
            </w:pPr>
            <w:r>
              <w:rPr>
                <w:rFonts w:ascii="Arial" w:cs="Arial" w:eastAsia="Arial" w:hAnsi="Arial"/>
                <w:sz w:val="18"/>
                <w:szCs w:val="18"/>
                <w:color w:val="auto"/>
              </w:rPr>
              <w:t>Modine Manufacturing Co.</w:t>
            </w:r>
          </w:p>
        </w:tc>
        <w:tc>
          <w:tcPr>
            <w:tcW w:w="3320" w:type="dxa"/>
            <w:vAlign w:val="bottom"/>
          </w:tcPr>
          <w:p>
            <w:pPr>
              <w:ind w:left="560"/>
              <w:spacing w:after="0"/>
              <w:rPr>
                <w:sz w:val="20"/>
                <w:szCs w:val="20"/>
                <w:color w:val="auto"/>
              </w:rPr>
            </w:pPr>
            <w:r>
              <w:rPr>
                <w:rFonts w:ascii="Arial" w:cs="Arial" w:eastAsia="Arial" w:hAnsi="Arial"/>
                <w:sz w:val="18"/>
                <w:szCs w:val="18"/>
                <w:color w:val="auto"/>
              </w:rPr>
              <w:t>Tennant Co.</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Coachmen Industries Inc.</w:t>
            </w:r>
          </w:p>
        </w:tc>
        <w:tc>
          <w:tcPr>
            <w:tcW w:w="3340" w:type="dxa"/>
            <w:vAlign w:val="bottom"/>
          </w:tcPr>
          <w:p>
            <w:pPr>
              <w:ind w:left="600"/>
              <w:spacing w:after="0"/>
              <w:rPr>
                <w:sz w:val="20"/>
                <w:szCs w:val="20"/>
                <w:color w:val="auto"/>
              </w:rPr>
            </w:pPr>
            <w:r>
              <w:rPr>
                <w:rFonts w:ascii="Arial" w:cs="Arial" w:eastAsia="Arial" w:hAnsi="Arial"/>
                <w:sz w:val="18"/>
                <w:szCs w:val="18"/>
                <w:color w:val="auto"/>
              </w:rPr>
              <w:t>Monaco Coach Corporation</w:t>
            </w:r>
          </w:p>
        </w:tc>
        <w:tc>
          <w:tcPr>
            <w:tcW w:w="3320" w:type="dxa"/>
            <w:vAlign w:val="bottom"/>
          </w:tcPr>
          <w:p>
            <w:pPr>
              <w:ind w:left="560"/>
              <w:spacing w:after="0"/>
              <w:rPr>
                <w:sz w:val="20"/>
                <w:szCs w:val="20"/>
                <w:color w:val="auto"/>
              </w:rPr>
            </w:pPr>
            <w:r>
              <w:rPr>
                <w:rFonts w:ascii="Arial" w:cs="Arial" w:eastAsia="Arial" w:hAnsi="Arial"/>
                <w:sz w:val="18"/>
                <w:szCs w:val="18"/>
                <w:color w:val="auto"/>
              </w:rPr>
              <w:t>Thor Industries Inc.</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Crane Co.</w:t>
            </w:r>
          </w:p>
        </w:tc>
        <w:tc>
          <w:tcPr>
            <w:tcW w:w="3340" w:type="dxa"/>
            <w:vAlign w:val="bottom"/>
          </w:tcPr>
          <w:p>
            <w:pPr>
              <w:ind w:left="600"/>
              <w:spacing w:after="0"/>
              <w:rPr>
                <w:sz w:val="20"/>
                <w:szCs w:val="20"/>
                <w:color w:val="auto"/>
              </w:rPr>
            </w:pPr>
            <w:r>
              <w:rPr>
                <w:rFonts w:ascii="Arial" w:cs="Arial" w:eastAsia="Arial" w:hAnsi="Arial"/>
                <w:sz w:val="18"/>
                <w:szCs w:val="18"/>
                <w:color w:val="auto"/>
              </w:rPr>
              <w:t>National RV Holdings Inc.</w:t>
            </w:r>
          </w:p>
        </w:tc>
        <w:tc>
          <w:tcPr>
            <w:tcW w:w="3320" w:type="dxa"/>
            <w:vAlign w:val="bottom"/>
          </w:tcPr>
          <w:p>
            <w:pPr>
              <w:ind w:left="560"/>
              <w:spacing w:after="0"/>
              <w:rPr>
                <w:sz w:val="20"/>
                <w:szCs w:val="20"/>
                <w:color w:val="auto"/>
              </w:rPr>
            </w:pPr>
            <w:r>
              <w:rPr>
                <w:rFonts w:ascii="Arial" w:cs="Arial" w:eastAsia="Arial" w:hAnsi="Arial"/>
                <w:sz w:val="18"/>
                <w:szCs w:val="18"/>
                <w:color w:val="auto"/>
              </w:rPr>
              <w:t>The Toro Company</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Donaldson Co. Inc.</w:t>
            </w:r>
          </w:p>
        </w:tc>
        <w:tc>
          <w:tcPr>
            <w:tcW w:w="3340" w:type="dxa"/>
            <w:vAlign w:val="bottom"/>
          </w:tcPr>
          <w:p>
            <w:pPr>
              <w:ind w:left="600"/>
              <w:spacing w:after="0"/>
              <w:rPr>
                <w:sz w:val="20"/>
                <w:szCs w:val="20"/>
                <w:color w:val="auto"/>
              </w:rPr>
            </w:pPr>
            <w:r>
              <w:rPr>
                <w:rFonts w:ascii="Arial" w:cs="Arial" w:eastAsia="Arial" w:hAnsi="Arial"/>
                <w:sz w:val="18"/>
                <w:szCs w:val="18"/>
                <w:color w:val="auto"/>
              </w:rPr>
              <w:t>Nordson Corp.</w:t>
            </w:r>
          </w:p>
        </w:tc>
        <w:tc>
          <w:tcPr>
            <w:tcW w:w="3320" w:type="dxa"/>
            <w:vAlign w:val="bottom"/>
          </w:tcPr>
          <w:p>
            <w:pPr>
              <w:ind w:left="560"/>
              <w:spacing w:after="0"/>
              <w:rPr>
                <w:sz w:val="20"/>
                <w:szCs w:val="20"/>
                <w:color w:val="auto"/>
              </w:rPr>
            </w:pPr>
            <w:r>
              <w:rPr>
                <w:rFonts w:ascii="Arial" w:cs="Arial" w:eastAsia="Arial" w:hAnsi="Arial"/>
                <w:sz w:val="18"/>
                <w:szCs w:val="18"/>
                <w:color w:val="auto"/>
              </w:rPr>
              <w:t>Tower Automotive LLC</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Federal Signal Corp.</w:t>
            </w:r>
          </w:p>
        </w:tc>
        <w:tc>
          <w:tcPr>
            <w:tcW w:w="3340" w:type="dxa"/>
            <w:vAlign w:val="bottom"/>
          </w:tcPr>
          <w:p>
            <w:pPr>
              <w:ind w:left="600"/>
              <w:spacing w:after="0"/>
              <w:rPr>
                <w:sz w:val="20"/>
                <w:szCs w:val="20"/>
                <w:color w:val="auto"/>
              </w:rPr>
            </w:pPr>
            <w:r>
              <w:rPr>
                <w:rFonts w:ascii="Arial" w:cs="Arial" w:eastAsia="Arial" w:hAnsi="Arial"/>
                <w:sz w:val="18"/>
                <w:szCs w:val="18"/>
                <w:color w:val="auto"/>
              </w:rPr>
              <w:t>Oshkosh Corp.</w:t>
            </w:r>
          </w:p>
        </w:tc>
        <w:tc>
          <w:tcPr>
            <w:tcW w:w="3320" w:type="dxa"/>
            <w:vAlign w:val="bottom"/>
          </w:tcPr>
          <w:p>
            <w:pPr>
              <w:ind w:left="560"/>
              <w:spacing w:after="0"/>
              <w:rPr>
                <w:sz w:val="20"/>
                <w:szCs w:val="20"/>
                <w:color w:val="auto"/>
              </w:rPr>
            </w:pPr>
            <w:r>
              <w:rPr>
                <w:rFonts w:ascii="Arial" w:cs="Arial" w:eastAsia="Arial" w:hAnsi="Arial"/>
                <w:sz w:val="18"/>
                <w:szCs w:val="18"/>
                <w:color w:val="auto"/>
              </w:rPr>
              <w:t>Wabash National Corp.</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Fleetwood Enterprises Inc.</w:t>
            </w:r>
          </w:p>
        </w:tc>
        <w:tc>
          <w:tcPr>
            <w:tcW w:w="3340" w:type="dxa"/>
            <w:vAlign w:val="bottom"/>
          </w:tcPr>
          <w:p>
            <w:pPr>
              <w:ind w:left="600"/>
              <w:spacing w:after="0"/>
              <w:rPr>
                <w:sz w:val="20"/>
                <w:szCs w:val="20"/>
                <w:color w:val="auto"/>
              </w:rPr>
            </w:pPr>
            <w:r>
              <w:rPr>
                <w:rFonts w:ascii="Arial" w:cs="Arial" w:eastAsia="Arial" w:hAnsi="Arial"/>
                <w:sz w:val="18"/>
                <w:szCs w:val="18"/>
                <w:color w:val="auto"/>
              </w:rPr>
              <w:t>Pall Corp.</w:t>
            </w:r>
          </w:p>
        </w:tc>
        <w:tc>
          <w:tcPr>
            <w:tcW w:w="3320" w:type="dxa"/>
            <w:vAlign w:val="bottom"/>
          </w:tcPr>
          <w:p>
            <w:pPr>
              <w:ind w:left="560"/>
              <w:spacing w:after="0"/>
              <w:rPr>
                <w:sz w:val="20"/>
                <w:szCs w:val="20"/>
                <w:color w:val="auto"/>
              </w:rPr>
            </w:pPr>
            <w:r>
              <w:rPr>
                <w:rFonts w:ascii="Arial" w:cs="Arial" w:eastAsia="Arial" w:hAnsi="Arial"/>
                <w:sz w:val="18"/>
                <w:szCs w:val="18"/>
                <w:color w:val="auto"/>
              </w:rPr>
              <w:t>Watts Water Technologies Inc.</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Flowserve Corp.</w:t>
            </w:r>
          </w:p>
        </w:tc>
        <w:tc>
          <w:tcPr>
            <w:tcW w:w="3340" w:type="dxa"/>
            <w:vAlign w:val="bottom"/>
          </w:tcPr>
          <w:p>
            <w:pPr>
              <w:ind w:left="600"/>
              <w:spacing w:after="0"/>
              <w:rPr>
                <w:sz w:val="20"/>
                <w:szCs w:val="20"/>
                <w:color w:val="auto"/>
              </w:rPr>
            </w:pPr>
            <w:r>
              <w:rPr>
                <w:rFonts w:ascii="Arial" w:cs="Arial" w:eastAsia="Arial" w:hAnsi="Arial"/>
                <w:sz w:val="18"/>
                <w:szCs w:val="18"/>
                <w:color w:val="auto"/>
              </w:rPr>
              <w:t>Pentair Inc.</w:t>
            </w:r>
          </w:p>
        </w:tc>
        <w:tc>
          <w:tcPr>
            <w:tcW w:w="3320" w:type="dxa"/>
            <w:vAlign w:val="bottom"/>
          </w:tcPr>
          <w:p>
            <w:pPr>
              <w:spacing w:after="0"/>
              <w:rPr>
                <w:sz w:val="23"/>
                <w:szCs w:val="23"/>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Factors used in selecting companies in each of the Consultant Industry Group and the Proxy Industry Group, included:</w:t>
      </w:r>
    </w:p>
    <w:p>
      <w:pPr>
        <w:spacing w:after="0" w:line="15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company's focus on manufacturing;</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size in comparison with ours;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participation in automotive, transportation, recreational or lifestyle industries.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part of the 2007 Compensation Analysis, the Committee and Consultant compared data from each of the Consultant Industry Group and Proxy Industry Group to data contained in the General Consultant Database and utilized, among other information, observations relating to data pertaining to specific job categories and industry trends. Market data in the General Consultant Database was adjusted according to these observations and regressed to data in each of the Consultant Industry Group and the Proxy Industry Group and to our revenue size. The market analysis included data on fixed pay (base pay), and variable compensation (annual and long-term incentives).</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light o f the economic conditions facing the Company, no base salary adjustments for Named Executive Officers were considered by the Committee, except for reductions, since Fiscal 2008. As a result, after Fiscal 2007, the Committee determined not to engage the Consultant to update the 2007 Compensation Analysis or to conduct a new benchmarking analysis. Instead, the Committee utilized, in part, certain benchmark information derived from the Fiscal 2007 Consultant Industry Group and Proxy Industry Group as a basis for making compensation decisions. During Fiscal 2010, the Committee did not engage the Consultant to report to the Committee on any compensation matters.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for Fiscal 2010, for the purpose of determining certain performance metrics used for the Officer Incentive Compensation Plan Fiscal Period 2010 and for the Long-Term Incentive Plan Fiscal 2010-2012, the Committee compared return on equity ("ROE") and return on invested capital ("ROIC") data with approximately 40 profitable companies within the same transportation Standard Industrial Classification Code. Those companies include the following (the "Profitable Transportation Group"):</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2900" w:type="dxa"/>
            <w:vAlign w:val="bottom"/>
          </w:tcPr>
          <w:p>
            <w:pPr>
              <w:spacing w:after="0"/>
              <w:rPr>
                <w:sz w:val="20"/>
                <w:szCs w:val="20"/>
                <w:color w:val="auto"/>
              </w:rPr>
            </w:pPr>
            <w:r>
              <w:rPr>
                <w:rFonts w:ascii="Arial" w:cs="Arial" w:eastAsia="Arial" w:hAnsi="Arial"/>
                <w:sz w:val="18"/>
                <w:szCs w:val="18"/>
                <w:color w:val="auto"/>
              </w:rPr>
              <w:t>AAR Corp.</w:t>
            </w:r>
          </w:p>
        </w:tc>
        <w:tc>
          <w:tcPr>
            <w:tcW w:w="3180" w:type="dxa"/>
            <w:vAlign w:val="bottom"/>
          </w:tcPr>
          <w:p>
            <w:pPr>
              <w:ind w:left="400"/>
              <w:spacing w:after="0"/>
              <w:rPr>
                <w:sz w:val="20"/>
                <w:szCs w:val="20"/>
                <w:color w:val="auto"/>
              </w:rPr>
            </w:pPr>
            <w:r>
              <w:rPr>
                <w:rFonts w:ascii="Arial" w:cs="Arial" w:eastAsia="Arial" w:hAnsi="Arial"/>
                <w:sz w:val="18"/>
                <w:szCs w:val="18"/>
                <w:color w:val="auto"/>
              </w:rPr>
              <w:t>Harley-Davidson Inc.</w:t>
            </w:r>
          </w:p>
        </w:tc>
        <w:tc>
          <w:tcPr>
            <w:tcW w:w="3660" w:type="dxa"/>
            <w:vAlign w:val="bottom"/>
          </w:tcPr>
          <w:p>
            <w:pPr>
              <w:ind w:left="540"/>
              <w:spacing w:after="0"/>
              <w:rPr>
                <w:sz w:val="20"/>
                <w:szCs w:val="20"/>
                <w:color w:val="auto"/>
              </w:rPr>
            </w:pPr>
            <w:r>
              <w:rPr>
                <w:rFonts w:ascii="Arial" w:cs="Arial" w:eastAsia="Arial" w:hAnsi="Arial"/>
                <w:sz w:val="18"/>
                <w:szCs w:val="18"/>
                <w:color w:val="auto"/>
              </w:rPr>
              <w:t>Portec Rail Products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AeroVironment Inc.</w:t>
            </w:r>
          </w:p>
        </w:tc>
        <w:tc>
          <w:tcPr>
            <w:tcW w:w="3180" w:type="dxa"/>
            <w:vAlign w:val="bottom"/>
          </w:tcPr>
          <w:p>
            <w:pPr>
              <w:ind w:left="380"/>
              <w:spacing w:after="0"/>
              <w:rPr>
                <w:sz w:val="20"/>
                <w:szCs w:val="20"/>
                <w:color w:val="auto"/>
              </w:rPr>
            </w:pPr>
            <w:r>
              <w:rPr>
                <w:rFonts w:ascii="Arial" w:cs="Arial" w:eastAsia="Arial" w:hAnsi="Arial"/>
                <w:sz w:val="18"/>
                <w:szCs w:val="18"/>
                <w:color w:val="auto"/>
              </w:rPr>
              <w:t>Heico Corp.</w:t>
            </w:r>
          </w:p>
        </w:tc>
        <w:tc>
          <w:tcPr>
            <w:tcW w:w="3660" w:type="dxa"/>
            <w:vAlign w:val="bottom"/>
          </w:tcPr>
          <w:p>
            <w:pPr>
              <w:ind w:left="540"/>
              <w:spacing w:after="0"/>
              <w:rPr>
                <w:sz w:val="20"/>
                <w:szCs w:val="20"/>
                <w:color w:val="auto"/>
              </w:rPr>
            </w:pPr>
            <w:r>
              <w:rPr>
                <w:rFonts w:ascii="Arial" w:cs="Arial" w:eastAsia="Arial" w:hAnsi="Arial"/>
                <w:sz w:val="18"/>
                <w:szCs w:val="18"/>
                <w:color w:val="auto"/>
              </w:rPr>
              <w:t>SIFCO Industries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American Railcar Industries Inc.</w:t>
            </w:r>
          </w:p>
        </w:tc>
        <w:tc>
          <w:tcPr>
            <w:tcW w:w="3180" w:type="dxa"/>
            <w:vAlign w:val="bottom"/>
          </w:tcPr>
          <w:p>
            <w:pPr>
              <w:ind w:left="400"/>
              <w:spacing w:after="0"/>
              <w:rPr>
                <w:sz w:val="20"/>
                <w:szCs w:val="20"/>
                <w:color w:val="auto"/>
              </w:rPr>
            </w:pPr>
            <w:r>
              <w:rPr>
                <w:rFonts w:ascii="Arial" w:cs="Arial" w:eastAsia="Arial" w:hAnsi="Arial"/>
                <w:sz w:val="18"/>
                <w:szCs w:val="18"/>
                <w:color w:val="auto"/>
              </w:rPr>
              <w:t>Heroux-Devtek Inc.</w:t>
            </w:r>
          </w:p>
        </w:tc>
        <w:tc>
          <w:tcPr>
            <w:tcW w:w="3660" w:type="dxa"/>
            <w:vAlign w:val="bottom"/>
          </w:tcPr>
          <w:p>
            <w:pPr>
              <w:ind w:left="540"/>
              <w:spacing w:after="0"/>
              <w:rPr>
                <w:sz w:val="20"/>
                <w:szCs w:val="20"/>
                <w:color w:val="auto"/>
              </w:rPr>
            </w:pPr>
            <w:r>
              <w:rPr>
                <w:rFonts w:ascii="Arial" w:cs="Arial" w:eastAsia="Arial" w:hAnsi="Arial"/>
                <w:sz w:val="18"/>
                <w:szCs w:val="18"/>
                <w:color w:val="auto"/>
              </w:rPr>
              <w:t>Spartan Motors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Boeing Co.</w:t>
            </w:r>
          </w:p>
        </w:tc>
        <w:tc>
          <w:tcPr>
            <w:tcW w:w="3180" w:type="dxa"/>
            <w:vAlign w:val="bottom"/>
          </w:tcPr>
          <w:p>
            <w:pPr>
              <w:ind w:left="400"/>
              <w:spacing w:after="0"/>
              <w:rPr>
                <w:sz w:val="20"/>
                <w:szCs w:val="20"/>
                <w:color w:val="auto"/>
              </w:rPr>
            </w:pPr>
            <w:r>
              <w:rPr>
                <w:rFonts w:ascii="Arial" w:cs="Arial" w:eastAsia="Arial" w:hAnsi="Arial"/>
                <w:sz w:val="18"/>
                <w:szCs w:val="18"/>
                <w:color w:val="auto"/>
              </w:rPr>
              <w:t>Honeywell In ternational Inc.</w:t>
            </w:r>
          </w:p>
        </w:tc>
        <w:tc>
          <w:tcPr>
            <w:tcW w:w="3660" w:type="dxa"/>
            <w:vAlign w:val="bottom"/>
          </w:tcPr>
          <w:p>
            <w:pPr>
              <w:ind w:left="540"/>
              <w:spacing w:after="0"/>
              <w:rPr>
                <w:sz w:val="20"/>
                <w:szCs w:val="20"/>
                <w:color w:val="auto"/>
              </w:rPr>
            </w:pPr>
            <w:r>
              <w:rPr>
                <w:rFonts w:ascii="Arial" w:cs="Arial" w:eastAsia="Arial" w:hAnsi="Arial"/>
                <w:sz w:val="18"/>
                <w:szCs w:val="18"/>
                <w:color w:val="auto"/>
                <w:w w:val="99"/>
              </w:rPr>
              <w:t>Spirit AeroSystems Holdings Inc. (Cl A)</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Bombardier Inc. (Cl A)</w:t>
            </w:r>
          </w:p>
        </w:tc>
        <w:tc>
          <w:tcPr>
            <w:tcW w:w="3180" w:type="dxa"/>
            <w:vAlign w:val="bottom"/>
          </w:tcPr>
          <w:p>
            <w:pPr>
              <w:ind w:left="400"/>
              <w:spacing w:after="0"/>
              <w:rPr>
                <w:sz w:val="20"/>
                <w:szCs w:val="20"/>
                <w:color w:val="auto"/>
              </w:rPr>
            </w:pPr>
            <w:r>
              <w:rPr>
                <w:rFonts w:ascii="Arial" w:cs="Arial" w:eastAsia="Arial" w:hAnsi="Arial"/>
                <w:sz w:val="18"/>
                <w:szCs w:val="18"/>
                <w:color w:val="auto"/>
              </w:rPr>
              <w:t>Ladish Co. Inc.</w:t>
            </w:r>
          </w:p>
        </w:tc>
        <w:tc>
          <w:tcPr>
            <w:tcW w:w="3660" w:type="dxa"/>
            <w:vAlign w:val="bottom"/>
          </w:tcPr>
          <w:p>
            <w:pPr>
              <w:ind w:left="540"/>
              <w:spacing w:after="0"/>
              <w:rPr>
                <w:sz w:val="20"/>
                <w:szCs w:val="20"/>
                <w:color w:val="auto"/>
              </w:rPr>
            </w:pPr>
            <w:r>
              <w:rPr>
                <w:rFonts w:ascii="Arial" w:cs="Arial" w:eastAsia="Arial" w:hAnsi="Arial"/>
                <w:sz w:val="18"/>
                <w:szCs w:val="18"/>
                <w:color w:val="auto"/>
              </w:rPr>
              <w:t>Teleflex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Ducommun Inc.</w:t>
            </w:r>
          </w:p>
        </w:tc>
        <w:tc>
          <w:tcPr>
            <w:tcW w:w="3180" w:type="dxa"/>
            <w:vAlign w:val="bottom"/>
          </w:tcPr>
          <w:p>
            <w:pPr>
              <w:ind w:left="400"/>
              <w:spacing w:after="0"/>
              <w:rPr>
                <w:sz w:val="20"/>
                <w:szCs w:val="20"/>
                <w:color w:val="auto"/>
              </w:rPr>
            </w:pPr>
            <w:r>
              <w:rPr>
                <w:rFonts w:ascii="Arial" w:cs="Arial" w:eastAsia="Arial" w:hAnsi="Arial"/>
                <w:sz w:val="18"/>
                <w:szCs w:val="18"/>
                <w:color w:val="auto"/>
              </w:rPr>
              <w:t>Lockheed Martin Corp.</w:t>
            </w:r>
          </w:p>
        </w:tc>
        <w:tc>
          <w:tcPr>
            <w:tcW w:w="3660" w:type="dxa"/>
            <w:vAlign w:val="bottom"/>
          </w:tcPr>
          <w:p>
            <w:pPr>
              <w:ind w:left="540"/>
              <w:spacing w:after="0"/>
              <w:rPr>
                <w:sz w:val="20"/>
                <w:szCs w:val="20"/>
                <w:color w:val="auto"/>
              </w:rPr>
            </w:pPr>
            <w:r>
              <w:rPr>
                <w:rFonts w:ascii="Arial" w:cs="Arial" w:eastAsia="Arial" w:hAnsi="Arial"/>
                <w:sz w:val="18"/>
                <w:szCs w:val="18"/>
                <w:color w:val="auto"/>
              </w:rPr>
              <w:t>Textron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Eaton Corp.</w:t>
            </w:r>
          </w:p>
        </w:tc>
        <w:tc>
          <w:tcPr>
            <w:tcW w:w="3180" w:type="dxa"/>
            <w:vAlign w:val="bottom"/>
          </w:tcPr>
          <w:p>
            <w:pPr>
              <w:ind w:left="400"/>
              <w:spacing w:after="0"/>
              <w:rPr>
                <w:sz w:val="20"/>
                <w:szCs w:val="20"/>
                <w:color w:val="auto"/>
              </w:rPr>
            </w:pPr>
            <w:r>
              <w:rPr>
                <w:rFonts w:ascii="Arial" w:cs="Arial" w:eastAsia="Arial" w:hAnsi="Arial"/>
                <w:sz w:val="18"/>
                <w:szCs w:val="18"/>
                <w:color w:val="auto"/>
              </w:rPr>
              <w:t>Magellan Aerospace Corp.</w:t>
            </w:r>
          </w:p>
        </w:tc>
        <w:tc>
          <w:tcPr>
            <w:tcW w:w="3660" w:type="dxa"/>
            <w:vAlign w:val="bottom"/>
          </w:tcPr>
          <w:p>
            <w:pPr>
              <w:ind w:left="540"/>
              <w:spacing w:after="0"/>
              <w:rPr>
                <w:sz w:val="20"/>
                <w:szCs w:val="20"/>
                <w:color w:val="auto"/>
              </w:rPr>
            </w:pPr>
            <w:r>
              <w:rPr>
                <w:rFonts w:ascii="Arial" w:cs="Arial" w:eastAsia="Arial" w:hAnsi="Arial"/>
                <w:sz w:val="18"/>
                <w:szCs w:val="18"/>
                <w:color w:val="auto"/>
              </w:rPr>
              <w:t>Thor Industries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Federal Signal Corp.</w:t>
            </w:r>
          </w:p>
        </w:tc>
        <w:tc>
          <w:tcPr>
            <w:tcW w:w="3180" w:type="dxa"/>
            <w:vAlign w:val="bottom"/>
          </w:tcPr>
          <w:p>
            <w:pPr>
              <w:ind w:left="400"/>
              <w:spacing w:after="0"/>
              <w:rPr>
                <w:sz w:val="20"/>
                <w:szCs w:val="20"/>
                <w:color w:val="auto"/>
              </w:rPr>
            </w:pPr>
            <w:r>
              <w:rPr>
                <w:rFonts w:ascii="Arial" w:cs="Arial" w:eastAsia="Arial" w:hAnsi="Arial"/>
                <w:sz w:val="18"/>
                <w:szCs w:val="18"/>
                <w:color w:val="auto"/>
              </w:rPr>
              <w:t>Miller Industries Inc.</w:t>
            </w:r>
          </w:p>
        </w:tc>
        <w:tc>
          <w:tcPr>
            <w:tcW w:w="3660" w:type="dxa"/>
            <w:vAlign w:val="bottom"/>
          </w:tcPr>
          <w:p>
            <w:pPr>
              <w:ind w:left="540"/>
              <w:spacing w:after="0"/>
              <w:rPr>
                <w:sz w:val="20"/>
                <w:szCs w:val="20"/>
                <w:color w:val="auto"/>
              </w:rPr>
            </w:pPr>
            <w:r>
              <w:rPr>
                <w:rFonts w:ascii="Arial" w:cs="Arial" w:eastAsia="Arial" w:hAnsi="Arial"/>
                <w:sz w:val="18"/>
                <w:szCs w:val="18"/>
                <w:color w:val="auto"/>
              </w:rPr>
              <w:t>Todd Shipyards Corp.</w:t>
            </w: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Force Protection Inc.</w:t>
            </w:r>
          </w:p>
        </w:tc>
        <w:tc>
          <w:tcPr>
            <w:tcW w:w="3180" w:type="dxa"/>
            <w:vAlign w:val="bottom"/>
          </w:tcPr>
          <w:p>
            <w:pPr>
              <w:ind w:left="400"/>
              <w:spacing w:after="0"/>
              <w:rPr>
                <w:sz w:val="20"/>
                <w:szCs w:val="20"/>
                <w:color w:val="auto"/>
              </w:rPr>
            </w:pPr>
            <w:r>
              <w:rPr>
                <w:rFonts w:ascii="Arial" w:cs="Arial" w:eastAsia="Arial" w:hAnsi="Arial"/>
                <w:sz w:val="18"/>
                <w:szCs w:val="18"/>
                <w:color w:val="auto"/>
              </w:rPr>
              <w:t>Navistar International Corp.</w:t>
            </w:r>
          </w:p>
        </w:tc>
        <w:tc>
          <w:tcPr>
            <w:tcW w:w="3660" w:type="dxa"/>
            <w:vAlign w:val="bottom"/>
          </w:tcPr>
          <w:p>
            <w:pPr>
              <w:ind w:left="540"/>
              <w:spacing w:after="0"/>
              <w:rPr>
                <w:sz w:val="20"/>
                <w:szCs w:val="20"/>
                <w:color w:val="auto"/>
              </w:rPr>
            </w:pPr>
            <w:r>
              <w:rPr>
                <w:rFonts w:ascii="Arial" w:cs="Arial" w:eastAsia="Arial" w:hAnsi="Arial"/>
                <w:sz w:val="18"/>
                <w:szCs w:val="18"/>
                <w:color w:val="auto"/>
              </w:rPr>
              <w:t>TransDigm Group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FreightCar America Inc.</w:t>
            </w:r>
          </w:p>
        </w:tc>
        <w:tc>
          <w:tcPr>
            <w:tcW w:w="3180" w:type="dxa"/>
            <w:vAlign w:val="bottom"/>
          </w:tcPr>
          <w:p>
            <w:pPr>
              <w:ind w:left="400"/>
              <w:spacing w:after="0"/>
              <w:rPr>
                <w:sz w:val="20"/>
                <w:szCs w:val="20"/>
                <w:color w:val="auto"/>
              </w:rPr>
            </w:pPr>
            <w:r>
              <w:rPr>
                <w:rFonts w:ascii="Arial" w:cs="Arial" w:eastAsia="Arial" w:hAnsi="Arial"/>
                <w:sz w:val="18"/>
                <w:szCs w:val="18"/>
                <w:color w:val="auto"/>
              </w:rPr>
              <w:t>New Flyer Industries, Inc.</w:t>
            </w:r>
          </w:p>
        </w:tc>
        <w:tc>
          <w:tcPr>
            <w:tcW w:w="3660" w:type="dxa"/>
            <w:vAlign w:val="bottom"/>
          </w:tcPr>
          <w:p>
            <w:pPr>
              <w:ind w:left="540"/>
              <w:spacing w:after="0"/>
              <w:rPr>
                <w:sz w:val="20"/>
                <w:szCs w:val="20"/>
                <w:color w:val="auto"/>
              </w:rPr>
            </w:pPr>
            <w:r>
              <w:rPr>
                <w:rFonts w:ascii="Arial" w:cs="Arial" w:eastAsia="Arial" w:hAnsi="Arial"/>
                <w:sz w:val="18"/>
                <w:szCs w:val="18"/>
                <w:color w:val="auto"/>
              </w:rPr>
              <w:t>Trinity Industries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Fuel Systems Solutions Inc.</w:t>
            </w:r>
          </w:p>
        </w:tc>
        <w:tc>
          <w:tcPr>
            <w:tcW w:w="3180" w:type="dxa"/>
            <w:vAlign w:val="bottom"/>
          </w:tcPr>
          <w:p>
            <w:pPr>
              <w:ind w:left="400"/>
              <w:spacing w:after="0"/>
              <w:rPr>
                <w:sz w:val="20"/>
                <w:szCs w:val="20"/>
                <w:color w:val="auto"/>
              </w:rPr>
            </w:pPr>
            <w:r>
              <w:rPr>
                <w:rFonts w:ascii="Arial" w:cs="Arial" w:eastAsia="Arial" w:hAnsi="Arial"/>
                <w:sz w:val="18"/>
                <w:szCs w:val="18"/>
                <w:color w:val="auto"/>
              </w:rPr>
              <w:t>Nobel International Ltd.</w:t>
            </w:r>
          </w:p>
        </w:tc>
        <w:tc>
          <w:tcPr>
            <w:tcW w:w="3660" w:type="dxa"/>
            <w:vAlign w:val="bottom"/>
          </w:tcPr>
          <w:p>
            <w:pPr>
              <w:ind w:left="540"/>
              <w:spacing w:after="0"/>
              <w:rPr>
                <w:sz w:val="20"/>
                <w:szCs w:val="20"/>
                <w:color w:val="auto"/>
              </w:rPr>
            </w:pPr>
            <w:r>
              <w:rPr>
                <w:rFonts w:ascii="Arial" w:cs="Arial" w:eastAsia="Arial" w:hAnsi="Arial"/>
                <w:sz w:val="18"/>
                <w:szCs w:val="18"/>
                <w:color w:val="auto"/>
              </w:rPr>
              <w:t>Triumph Group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GenCorp Inc.</w:t>
            </w:r>
          </w:p>
        </w:tc>
        <w:tc>
          <w:tcPr>
            <w:tcW w:w="3180" w:type="dxa"/>
            <w:vAlign w:val="bottom"/>
          </w:tcPr>
          <w:p>
            <w:pPr>
              <w:ind w:left="400"/>
              <w:spacing w:after="0"/>
              <w:rPr>
                <w:sz w:val="20"/>
                <w:szCs w:val="20"/>
                <w:color w:val="auto"/>
              </w:rPr>
            </w:pPr>
            <w:r>
              <w:rPr>
                <w:rFonts w:ascii="Arial" w:cs="Arial" w:eastAsia="Arial" w:hAnsi="Arial"/>
                <w:sz w:val="18"/>
                <w:szCs w:val="18"/>
                <w:color w:val="auto"/>
              </w:rPr>
              <w:t>Orbital Sciences Corp.</w:t>
            </w:r>
          </w:p>
        </w:tc>
        <w:tc>
          <w:tcPr>
            <w:tcW w:w="3660" w:type="dxa"/>
            <w:vAlign w:val="bottom"/>
          </w:tcPr>
          <w:p>
            <w:pPr>
              <w:ind w:left="540"/>
              <w:spacing w:after="0"/>
              <w:rPr>
                <w:sz w:val="20"/>
                <w:szCs w:val="20"/>
                <w:color w:val="auto"/>
              </w:rPr>
            </w:pPr>
            <w:r>
              <w:rPr>
                <w:rFonts w:ascii="Arial" w:cs="Arial" w:eastAsia="Arial" w:hAnsi="Arial"/>
                <w:sz w:val="18"/>
                <w:szCs w:val="18"/>
                <w:color w:val="auto"/>
              </w:rPr>
              <w:t>Vector Aerospace Corp.</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General Electric Co.</w:t>
            </w:r>
          </w:p>
        </w:tc>
        <w:tc>
          <w:tcPr>
            <w:tcW w:w="3180" w:type="dxa"/>
            <w:vAlign w:val="bottom"/>
          </w:tcPr>
          <w:p>
            <w:pPr>
              <w:ind w:left="400"/>
              <w:spacing w:after="0"/>
              <w:rPr>
                <w:sz w:val="20"/>
                <w:szCs w:val="20"/>
                <w:color w:val="auto"/>
              </w:rPr>
            </w:pPr>
            <w:r>
              <w:rPr>
                <w:rFonts w:ascii="Arial" w:cs="Arial" w:eastAsia="Arial" w:hAnsi="Arial"/>
                <w:sz w:val="18"/>
                <w:szCs w:val="18"/>
                <w:color w:val="auto"/>
              </w:rPr>
              <w:t>Paccar Inc.</w:t>
            </w:r>
          </w:p>
        </w:tc>
        <w:tc>
          <w:tcPr>
            <w:tcW w:w="3660" w:type="dxa"/>
            <w:vAlign w:val="bottom"/>
          </w:tcPr>
          <w:p>
            <w:pPr>
              <w:ind w:left="540"/>
              <w:spacing w:after="0"/>
              <w:rPr>
                <w:sz w:val="20"/>
                <w:szCs w:val="20"/>
                <w:color w:val="auto"/>
              </w:rPr>
            </w:pPr>
            <w:r>
              <w:rPr>
                <w:rFonts w:ascii="Arial" w:cs="Arial" w:eastAsia="Arial" w:hAnsi="Arial"/>
                <w:sz w:val="18"/>
                <w:szCs w:val="18"/>
                <w:color w:val="auto"/>
              </w:rPr>
              <w:t>Wabco Holdings Inc.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Gentex Corp.</w:t>
            </w:r>
          </w:p>
        </w:tc>
        <w:tc>
          <w:tcPr>
            <w:tcW w:w="3180" w:type="dxa"/>
            <w:vAlign w:val="bottom"/>
          </w:tcPr>
          <w:p>
            <w:pPr>
              <w:ind w:left="400"/>
              <w:spacing w:after="0"/>
              <w:rPr>
                <w:sz w:val="20"/>
                <w:szCs w:val="20"/>
                <w:color w:val="auto"/>
              </w:rPr>
            </w:pPr>
            <w:r>
              <w:rPr>
                <w:rFonts w:ascii="Arial" w:cs="Arial" w:eastAsia="Arial" w:hAnsi="Arial"/>
                <w:sz w:val="18"/>
                <w:szCs w:val="18"/>
                <w:color w:val="auto"/>
              </w:rPr>
              <w:t>Polaris Industries Inc.</w:t>
            </w:r>
          </w:p>
        </w:tc>
        <w:tc>
          <w:tcPr>
            <w:tcW w:w="3660" w:type="dxa"/>
            <w:vAlign w:val="bottom"/>
          </w:tcPr>
          <w:p>
            <w:pPr>
              <w:ind w:left="540"/>
              <w:spacing w:after="0"/>
              <w:rPr>
                <w:sz w:val="20"/>
                <w:szCs w:val="20"/>
                <w:color w:val="auto"/>
              </w:rPr>
            </w:pPr>
            <w:r>
              <w:rPr>
                <w:rFonts w:ascii="Arial" w:cs="Arial" w:eastAsia="Arial" w:hAnsi="Arial"/>
                <w:sz w:val="18"/>
                <w:szCs w:val="18"/>
                <w:color w:val="auto"/>
              </w:rPr>
              <w:t>Wabtec</w:t>
            </w:r>
          </w:p>
        </w:tc>
      </w:tr>
      <w:tr>
        <w:trPr>
          <w:trHeight w:val="270"/>
        </w:trPr>
        <w:tc>
          <w:tcPr>
            <w:tcW w:w="2900" w:type="dxa"/>
            <w:vAlign w:val="bottom"/>
          </w:tcPr>
          <w:p>
            <w:pPr>
              <w:spacing w:after="0"/>
              <w:rPr>
                <w:sz w:val="20"/>
                <w:szCs w:val="20"/>
                <w:color w:val="auto"/>
              </w:rPr>
            </w:pPr>
            <w:r>
              <w:rPr>
                <w:rFonts w:ascii="Arial" w:cs="Arial" w:eastAsia="Arial" w:hAnsi="Arial"/>
                <w:sz w:val="18"/>
                <w:szCs w:val="18"/>
                <w:color w:val="auto"/>
              </w:rPr>
              <w:t>Goodrich Corp.</w:t>
            </w:r>
          </w:p>
        </w:tc>
        <w:tc>
          <w:tcPr>
            <w:tcW w:w="3180" w:type="dxa"/>
            <w:vAlign w:val="bottom"/>
          </w:tcPr>
          <w:p>
            <w:pPr>
              <w:spacing w:after="0"/>
              <w:rPr>
                <w:sz w:val="23"/>
                <w:szCs w:val="23"/>
                <w:color w:val="auto"/>
              </w:rPr>
            </w:pPr>
          </w:p>
        </w:tc>
        <w:tc>
          <w:tcPr>
            <w:tcW w:w="3660" w:type="dxa"/>
            <w:vAlign w:val="bottom"/>
          </w:tcPr>
          <w:p>
            <w:pPr>
              <w:spacing w:after="0"/>
              <w:rPr>
                <w:sz w:val="23"/>
                <w:szCs w:val="23"/>
                <w:color w:val="auto"/>
              </w:rPr>
            </w:pPr>
          </w:p>
        </w:tc>
      </w:tr>
    </w:tbl>
    <w:p>
      <w:pPr>
        <w:spacing w:after="0" w:line="200" w:lineRule="exact"/>
        <w:rPr>
          <w:sz w:val="20"/>
          <w:szCs w:val="20"/>
          <w:color w:val="auto"/>
        </w:rPr>
      </w:pPr>
    </w:p>
    <w:p>
      <w:pPr>
        <w:spacing w:after="0" w:line="20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Compensation Process. </w:t>
      </w:r>
      <w:r>
        <w:rPr>
          <w:rFonts w:ascii="Arial" w:cs="Arial" w:eastAsia="Arial" w:hAnsi="Arial"/>
          <w:sz w:val="18"/>
          <w:szCs w:val="18"/>
          <w:color w:val="auto"/>
        </w:rPr>
        <w:t>The Committee reviews the benchmarking and performance evaluations prepared by Management in determining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appropriate aggregate and individual compensation levels for the performance year. In</w:t>
      </w:r>
    </w:p>
    <w:p>
      <w:pPr>
        <w:sectPr>
          <w:pgSz w:w="11900" w:h="16838" w:orient="portrait"/>
          <w:cols w:equalWidth="0" w:num="1">
            <w:col w:w="11400"/>
          </w:cols>
          <w:pgMar w:left="240" w:top="168" w:right="259" w:bottom="1011"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68" w:right="259" w:bottom="1011" w:gutter="0" w:footer="0" w:header="0"/>
          <w:type w:val="continuous"/>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conducting its review, the Committee considers our quantitative performance results; the overall need of the Company to attract, retain and motivate the executive team and the total cost of compensation programs.</w:t>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 above, the Committee, at least annually, reviews executive compensation and benefits of the Named Executive Officers through the use of tally sheets. Each tally sheet identifies anticipated dollar amounts for individual components of executive compensation, including base salary, annual incentive, long-term incentive, equity awards, deferred compensation, benefits, perquisites and potential change in control and severance payments. Each year's decisions for setting compensation targets for each annual and three-year incentive compensation measuring period are based on the Committee's evaluation of our business needs, goals and environment for that year.</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color w:val="auto"/>
        </w:rPr>
        <w:t xml:space="preserve">Role of Executive Officers in Compensation Decisions. </w:t>
      </w:r>
      <w:r>
        <w:rPr>
          <w:rFonts w:ascii="Arial" w:cs="Arial" w:eastAsia="Arial" w:hAnsi="Arial"/>
          <w:sz w:val="18"/>
          <w:szCs w:val="18"/>
          <w:color w:val="auto"/>
        </w:rPr>
        <w:t>The Committee makes all compensation decisions for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and approves recommendations regarding salaries, bonuses and compensation plans and policies, and other incentive programs. The CEO annually reviews the performance of each Named Executive Officer (other than the CEO, whose performance is reviewed by the Committee). The conclusions reached and recommendations by the CEO, which are based on these reviews, including with respect to salary adjustments and annual award amounts, are presented to the Committee. The Committee can exercise its discretion in modifying any recommended adjustments or awards to Named Executive Officers.</w:t>
      </w:r>
    </w:p>
    <w:p>
      <w:pPr>
        <w:spacing w:after="0" w:line="15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noted above, the Committee evaluates the performance of the CEO. That review is conducted at least annually with full Board participation (excluding the CEO). The Committee ultimately must approve all compensation decisions for all executives, including the CEO.</w:t>
      </w:r>
    </w:p>
    <w:p>
      <w:pPr>
        <w:spacing w:after="0" w:line="219"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Determining the CEO's Compensation. </w:t>
      </w:r>
      <w:r>
        <w:rPr>
          <w:rFonts w:ascii="Arial" w:cs="Arial" w:eastAsia="Arial" w:hAnsi="Arial"/>
          <w:sz w:val="18"/>
          <w:szCs w:val="18"/>
          <w:color w:val="auto"/>
        </w:rPr>
        <w:t>The Committee makes a recommendation to the Board for the CEO's total compensation package.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meets in executive session to formulate its recommendation for the CEO's base pay, target annual and long-term incentive compensation and stock-based compensation to the Board. These recommendations are based upon:</w:t>
      </w:r>
    </w:p>
    <w:p>
      <w:pPr>
        <w:spacing w:after="0" w:line="13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evaluation of total compensation made to chief executive officers by certain of the Company's Compensation Peers;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evaluation of the CEO performance for the fiscal year conducted by the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evaluation of the proposed total compensation of the CEO in comparison to the other Named Executive Officers;</w:t>
      </w:r>
    </w:p>
    <w:p>
      <w:pPr>
        <w:spacing w:after="0" w:line="9" w:lineRule="exact"/>
        <w:rPr>
          <w:rFonts w:ascii="Arial" w:cs="Arial" w:eastAsia="Arial" w:hAnsi="Arial"/>
          <w:sz w:val="18"/>
          <w:szCs w:val="18"/>
          <w:color w:val="auto"/>
        </w:rPr>
      </w:pPr>
    </w:p>
    <w:p>
      <w:pPr>
        <w:ind w:left="340" w:right="102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comparison of the differential of total compensation made to chief executive officers and executive officers in the Company's Compensation Peers; and</w:t>
      </w: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conditions.</w:t>
      </w:r>
    </w:p>
    <w:p>
      <w:pPr>
        <w:spacing w:after="0" w:line="17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Members of the Committee may also conduct select in-depth interviews with the CEO's direct reports and other executives. The evaluation is based upon the CEO's success in achieving his performance commitments, which include financial, strategic and company culture/leadership goals.</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Determining Compensation for Named Executive Officers (Other than the CEO). </w:t>
      </w:r>
      <w:r>
        <w:rPr>
          <w:rFonts w:ascii="Arial" w:cs="Arial" w:eastAsia="Arial" w:hAnsi="Arial"/>
          <w:sz w:val="18"/>
          <w:szCs w:val="18"/>
          <w:color w:val="auto"/>
        </w:rPr>
        <w:t>The Committee approves the annual compensation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salary, t arget annual and long-term incentive compensation and stock-based compensation) for our Named Executive Officers (excluding the CEO), based upon:</w:t>
      </w:r>
    </w:p>
    <w:p>
      <w:pPr>
        <w:spacing w:after="0" w:line="3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executive's scope of responsibilities;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market competitive assessment of similar roles at Compensation Peers;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comparisons to the compensation of other Named Executive Officers, including the CEO;</w:t>
      </w:r>
    </w:p>
    <w:p>
      <w:pPr>
        <w:spacing w:after="0" w:line="9" w:lineRule="exact"/>
        <w:rPr>
          <w:rFonts w:ascii="Arial" w:cs="Arial" w:eastAsia="Arial" w:hAnsi="Arial"/>
          <w:sz w:val="18"/>
          <w:szCs w:val="18"/>
          <w:color w:val="auto"/>
        </w:rPr>
      </w:pPr>
    </w:p>
    <w:p>
      <w:pPr>
        <w:ind w:left="340" w:right="44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evaluations of performance for the fiscal year, as submitted by the CEO, and supported by performance evaluation documents, which include feedback from the executive's peers, direct reports and other employees within the executive's division;</w:t>
      </w:r>
    </w:p>
    <w:p>
      <w:pPr>
        <w:ind w:left="340" w:right="120" w:hanging="332"/>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CEO's recommendations for each other Named Executive Officer's base pay, incentive compensation and stock-based compensation amounts; and</w:t>
      </w: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conditions.</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Fiscal 2010, base salaries were reviewed by the Committee periodically throughout the fiscal year. The Committee previously determined that the timing of annual base salary adjustments (if any) would be typically made in September of each year to coincide with the beginning of the new fiscal year and to match the timing of wage and base salary adjustments (if any) for all other employees. However, as further des cribed in “Base Salary” below, no increase in annual base salaries took place during Fiscal 2009 or Fiscal 2010 and furthermore, reductions in base salaries, that occurred in March 2009 remained in place through Fiscal 2010. In October 2009, the financial metrics for incentive awards were reviewed and established at the regularly scheduled meetings of the Committee and the full Board of Directors. No stock options or restricted stock grants were made to Named Executive Officers in Fiscal 2009 or in Fiscal 2010. Historically, stock option or other stock grants were also made at the October meetings. By establishing the meeting schedule and</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40" w:top="168" w:right="29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agenda for these grants well in advance, the Company diminished any opportunity for manipulation of exercise prices on option grants, to the extent any recipients were in possession of material nonpublic information at the time of the meetings.</w:t>
      </w:r>
    </w:p>
    <w:p>
      <w:pPr>
        <w:spacing w:after="0" w:line="12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color w:val="auto"/>
        </w:rPr>
        <w:t xml:space="preserve">Risk Assessment of Compensation Decisions. </w:t>
      </w:r>
      <w:r>
        <w:rPr>
          <w:rFonts w:ascii="Arial" w:cs="Arial" w:eastAsia="Arial" w:hAnsi="Arial"/>
          <w:sz w:val="18"/>
          <w:szCs w:val="18"/>
          <w:color w:val="auto"/>
        </w:rPr>
        <w:t>In formulating and evaluating material elements of compensation available to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Named Executive Officers, the Board takes into consideration whether any such programs may encourage excessive risk behavior. As part of these considerations and consistent with its compensation philosophy, the Board is determined to formulate annual and long-term incentive compensation programs without encouraging excessive risk taking as an integral part of the applicable plan design. The Board believes that the annual and long-term incentive programs as outlined below minimize the risk that the Named Executive Officers are encouraged to take, in that:</w:t>
      </w:r>
    </w:p>
    <w:p>
      <w:pPr>
        <w:spacing w:after="0" w:line="309" w:lineRule="exact"/>
        <w:rPr>
          <w:sz w:val="20"/>
          <w:szCs w:val="20"/>
          <w:color w:val="auto"/>
        </w:rPr>
      </w:pPr>
    </w:p>
    <w:p>
      <w:pPr>
        <w:ind w:left="340" w:right="50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elements of the compensation rewards under our annual and long-term incentive compensation plans include stock-based compensation with required retention periods;</w:t>
      </w: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financial metrics utilized under each of these plans are widely utilized measurements of shareholder value;</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excessive compensation payment opportunities are avoided by the establishment of maximum levels of incentive payment opportunities; and</w:t>
      </w:r>
    </w:p>
    <w:p>
      <w:pPr>
        <w:ind w:left="340" w:right="520" w:hanging="332"/>
        <w:spacing w:after="0" w:line="262"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changes to annual or long-term incentive program financial metrics have been made after the Committee initially establishes such metrics.</w:t>
      </w:r>
    </w:p>
    <w:p>
      <w:pPr>
        <w:spacing w:after="0" w:line="3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color w:val="auto"/>
        </w:rPr>
        <w:t xml:space="preserve">Accounting and Tax Effects. </w:t>
      </w:r>
      <w:r>
        <w:rPr>
          <w:rFonts w:ascii="Arial" w:cs="Arial" w:eastAsia="Arial" w:hAnsi="Arial"/>
          <w:sz w:val="18"/>
          <w:szCs w:val="18"/>
          <w:color w:val="auto"/>
        </w:rPr>
        <w:t>The Committee considers both the financial reporting and the tax treatment of compensation elements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decision-making process. The Committee seeks a balance among the Company's best interests, fair treatment of the Named Executive Officers, minimizing taxation of the compensation offered to the Named Executive Officers, and maximizing immediate deductibility by the Company.</w:t>
      </w:r>
    </w:p>
    <w:p>
      <w:pPr>
        <w:spacing w:after="0" w:line="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Committee reviews the Accounting Standards Codification (ASC) 718 to determine the expense of each stock-based compensation grant made and its impact on our earnings per share. As a result, the Committee has limited grants of stock options and directed the use of more restricted stock grants and increased cash compensation for executives, including our Named Execut ive Officers, in part because of the more direct valuation and expensing of those awards.</w:t>
      </w:r>
    </w:p>
    <w:p>
      <w:pPr>
        <w:spacing w:after="0" w:line="9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From a tax perspective, IRC Section 409A made the taxation of certain grants more costly to the executives with no offsetting benefit to the Company. In response, the Committee froze its Executive Share Option Program in 2004 and all grants not vested before 2005 were terminated as permitted under the transition rule in the regulations under IRC Section 409A. The Committee established the Executive Deferred Compensation Plan, discussed below, to deliver that same element of the executives' competitive pay packages on a more cost-effective basis for the Company because the benefit is now provided with less tax exposure to the executive under IRC Section 409A. In addition, the Committee designed change of control agreements for executives, including the Named Executive Officers, to redu ce amounts payable that otherwise would have been subject to an excise tax known as “excess golden parachute payments” as defined under IRC Section 280G and further amended such agreements in Fiscal 2009 in order to comply with IRC Section 409A. As described below under “Supplemental Executive Retirement Plan (SERP)/Split Dollar Life Insurance,” we converted benefits payable under the Executive Split Dollar Life Program to a Supplemental Executive Retirement Plan in Fiscal 2009 in order to comply with IRC Section 409A.</w:t>
      </w:r>
    </w:p>
    <w:p>
      <w:pPr>
        <w:spacing w:after="0" w:line="10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Committee also is aware that IRC Section 162(m) limits deductions for compensation paid in excess of $1 million. In response, the Committee designs much of the total compensation package of the Named Executive Officers to qualify for the exemption of “performance-based” compensation from the deductibility li mit. However, the Committee reserves the right to design and use compensation elements that may not be deductible within the rules of IRC Section 162(m), if those elements are deemed by it to be in the Company's best interests.</w:t>
      </w:r>
    </w:p>
    <w:p>
      <w:pPr>
        <w:spacing w:after="0" w:line="22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Compensation Design and Elements. </w:t>
      </w:r>
      <w:r>
        <w:rPr>
          <w:rFonts w:ascii="Arial" w:cs="Arial" w:eastAsia="Arial" w:hAnsi="Arial"/>
          <w:sz w:val="18"/>
          <w:szCs w:val="18"/>
          <w:color w:val="auto"/>
        </w:rPr>
        <w:t>In Fiscal 2010, the principal design components of compensation for each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were:</w:t>
      </w:r>
    </w:p>
    <w:p>
      <w:pPr>
        <w:spacing w:after="0" w:line="12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incentive awards;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long-term incentives.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 elements of the total compensation for Named Executive Officers include executive benefits, perquisites and severance agreements, as described below. Each component is designed to achieve a specific purpose and to contribute to a total package that is competitive, appropriately performance-based and valued by our executives. In Fiscal 2010, we made no material deviations from previously disclosed or projected payments or practices under these programs.</w:t>
      </w:r>
    </w:p>
    <w:p>
      <w:pPr>
        <w:spacing w:after="0" w:line="15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Committee has no pre-established policy or target for the allocation between either cash and non-cash or short-term and long-term incentive compensation. However, we believe th at a smaller portion of potential total executive compensation should be attributed to base salary because it is a fixed component of total compensation. As a result, we</w:t>
      </w:r>
    </w:p>
    <w:p>
      <w:pPr>
        <w:sectPr>
          <w:pgSz w:w="11900" w:h="16838" w:orient="portrait"/>
          <w:cols w:equalWidth="0" w:num="1">
            <w:col w:w="11400"/>
          </w:cols>
          <w:pgMar w:left="240" w:top="168" w:right="25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68" w:right="25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have generally emphasized conservative base salary payments to Named Executive Officers, relative to our Compensation Peers. We alternatively provide the potential for a greater incentive compensation component of total executive compensation, which is based predominately on the performance factors described below. In Fiscal 2010, as was the case in Fiscal 2009, because we did not achieve threshold performance measures for the incentive compensation component, base salary contributed to a larger part of total compensation for Named Executive Officers when compared to prior fiscal years.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The base salary program was designed to compensate Named Executive Officers for specific skills and competencies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their respective role and to provide executive leadership. We provide Named Executive Officers and other employees with base salary to compensate them for services rendered during the fiscal year. Base salary ranges for Named Executive Officers are determined for each executive based on his or her position and r esponsibilites. The base salaries of our executives are also determined by considering such factors as:</w:t>
      </w:r>
    </w:p>
    <w:p>
      <w:pPr>
        <w:spacing w:after="0" w:line="31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of the executive;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in position;</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of responsibility for the executive;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conditions.</w:t>
      </w:r>
    </w:p>
    <w:p>
      <w:pPr>
        <w:spacing w:after="0" w:line="171"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In general, base salary determinations are considered annually as part of the Committee's performance review process as well as upon a promotion or other change in job responsibility. Base salary is used as the basis for calculating annual and long-term incentive awards and in calculating payments that may be paid upon a change in control, as described below.</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22"/>
          <w:szCs w:val="22"/>
          <w:color w:val="auto"/>
        </w:rPr>
        <w:t>&lt; div style="line-height:120%;padding-top:12px;font-size:10pt;"&gt;</w:t>
      </w:r>
      <w:r>
        <w:rPr>
          <w:rFonts w:ascii="Arial" w:cs="Arial" w:eastAsia="Arial" w:hAnsi="Arial"/>
          <w:sz w:val="18"/>
          <w:szCs w:val="18"/>
          <w:color w:val="auto"/>
        </w:rPr>
        <w:t>For Fiscal 2009 and Fiscal 2010, the Committee elected not to provide</w:t>
      </w:r>
      <w:r>
        <w:rPr>
          <w:rFonts w:ascii="Arial" w:cs="Arial" w:eastAsia="Arial" w:hAnsi="Arial"/>
          <w:sz w:val="22"/>
          <w:szCs w:val="22"/>
          <w:color w:val="auto"/>
        </w:rPr>
        <w:t xml:space="preserve"> </w:t>
      </w:r>
      <w:r>
        <w:rPr>
          <w:rFonts w:ascii="Arial" w:cs="Arial" w:eastAsia="Arial" w:hAnsi="Arial"/>
          <w:sz w:val="18"/>
          <w:szCs w:val="18"/>
          <w:color w:val="auto"/>
        </w:rPr>
        <w:t>Named Executive Officers with annual base salary increases as a means to control costs in response to economic conditions. Additionally, effective March 1, 2009, the Board of Directors, at the recommendation of Management and in connection with our continuing efforts to reduce costs, approved a 20 percent reduction of the annual base salary of Robert J. Olson, Chairman, CEO and President, and a 10 percent reduction of the annual base salaries of all of our executive officers, including each of the Named Executive Officers. The reductions in base salary remained in place throughout Fiscal 2010 for the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Officers Incentive Compensation Plan Fiscal Period 2010. </w:t>
      </w:r>
      <w:r>
        <w:rPr>
          <w:rFonts w:ascii="Arial" w:cs="Arial" w:eastAsia="Arial" w:hAnsi="Arial"/>
          <w:sz w:val="18"/>
          <w:szCs w:val="18"/>
          <w:color w:val="auto"/>
        </w:rPr>
        <w:t>Our Named Executive Officers are eligible for annual incentive awards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Incentive Compensation Plan Fiscal Period 2010 (the “Officers Incentive Compensation Plan”). The Officers Incentive Compensation Plan is designed to promote our growth and profitability by providing our executives with an incentive to achieve identified short-term corporate profit objectives and to attract and retain such executives who will contribute to the achievement of our growth and profitability.</w:t>
      </w:r>
    </w:p>
    <w:p>
      <w:pPr>
        <w:spacing w:after="0" w:line="15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Officers Incentive Compensation Plan is a program establishe d to provide for annual measurements of financial performance, with a corresponding opportunity for annual incentive payments based upon financial results measured against performance objectives set by the Committee and approved by the Board of Directors. The amount of the participants' incentive compensation for the fiscal year is calculated under the Officers Incentive Compensation Plan to be in direct proportion to our financial performance expressed as a percentage (Financial Factor) against compensation targets for each participant as determined by the Board of Directors.</w:t>
      </w:r>
    </w:p>
    <w:p>
      <w:pPr>
        <w:spacing w:after="0" w:line="15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Diluted earnings per share (“EPS”) and ROIC were chosen by the Committee as the key financial performance measurements under the Officers Incentive Compensation Plan. The Board, upon the recommendation of the Committee, selected EPS as a key financial performance metric for the following reasons:</w:t>
      </w:r>
    </w:p>
    <w:p>
      <w:pPr>
        <w:spacing w:after="0" w:line="14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EPS is an important indicator of profitability by measuring our earnings allocable to each outstanding share of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EPS aligns the interests of the Named Executive Officer with shareholders; and</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EPS factors in the effects of other items of compensation, such as stock options and restricted stock grants.</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formula utilized for EPS is net income divided by weighted average common diluted shares outstanding. For the purposes of the Officers Incentive Compensation Plan, EPS is calculated at fiscal year end.</w:t>
      </w:r>
    </w:p>
    <w:p>
      <w:pPr>
        <w:spacing w:after="0" w:line="14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Additionally, the Board, upon the recommendation of the Committee, selected ROIC as another one of its key financial performance metrics because:</w:t>
      </w:r>
    </w:p>
    <w:p>
      <w:pPr>
        <w:spacing w:after="0" w:line="14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ROIC is a critical indicator of how effectively a company uses its capital invested in its operations;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ROIC is an important measurement for judging how much value the company is creating.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formula utilized for ROIC is operating income after the standard corporate tax rate divided by the average of</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68" w:right="2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beginning and ending Fiscal 2010 year-end total assets, less cash, short-term and long-term investments and non-interest bearing current liabilities.</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Officers Incentive Compensation Plan provided for a bonus (Target) opportunity of 60 percent of base salary (comprised of a mix of 2/3 cash and 1/3 restricted stock) at 100 percent achievement of each of the financial objectives of ROIC and EPS for the Named Executive Officers, except the CEO and President. For the CEO and President, the Plan provided for a bonus (Target) opportunity of 90 percent of base salary (comprised of a mix of 2/3 cash and 1/3 restricted stock) at 100 percent achievement of each of the financial objectives of ROIC and EPS. A participant must be an employee at the end of the fiscal year to be eligible for the incentive except in connection with the Change in Control or as waived by the Committee. The annual restricted stock grant portion of the Officers Incentive Compensation Plan, which comprises 1/3 of the officer's earned incentive for the year, is awarded as soon as practical after the final fiscal year-end compensation accounting is completed and upon approval by the Committee, with a one-year restriction on sale upon award.</w:t>
      </w:r>
    </w:p>
    <w:p>
      <w:pPr>
        <w:spacing w:after="0" w:line="15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calculating the financial targets for incentive eligibility under the Officers Incentive Compensation Plan, the financial performance in Fiscal 2010 was weighted 75 percent to EPS and 25 percent to ROIC, with an aggregate maximum bonus of 200 percent of the Target. The Committee has placed more weight on EPS due to its belief that EPS is an excellent measurement as t o overall company profitability for shareholders. The first portion of the Target is based solely on ROIC which may provide up to a maximum bonus of 50 percent of the Target which is achievable at an ROIC of 16.9 percent. Financial performance of less than 9.7 percent ROIC results in no bonus attributable to ROIC. The Committee believed that setting maximum and minimum bonus levels based on ROIC as defined, would provide for fair and equitable reward opportunity for executives while returning appropriate shareholder value proportionately within those parameters. In surveying applicable companies in the Profitable Transportation Group, the Committee found an average ROIC of approximately 9.5 percent at such companies as of the end of the last reported fiscal year.</w:t>
      </w:r>
    </w:p>
    <w:p>
      <w:pPr>
        <w:spacing w:after="0" w:line="15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Additionally, the 9.7 percent ROIC opportunity threshold was selected because it was the ROIC percentage achieved by the fi rst or lowest company to be listed in the top third of the Profitable Transportation Group. The 16.9 percent ROIC maximum opportunity represented the median of the top third of the Profitable Transportation Group. The other portion of the Target is based solely on EPS and provides a maximum bonus opportunity of 150 percent of the Target. The EPS target for Fiscal 2010 was established at $0.50, after reviewing and evaluating our most recent ten-year EPS average history and the actual EPS result of ($2.71) for Fiscal 2009. Attainment of $0.50 provides the executive 50 percent of the Target. To attain the maximum of 150 percent, EPS maximum was set at $0.60, which represents 120 percent of the target EPS. EPS actual results of less than $0.40, which represents less than 80 percent of target EPS, results in no bonus attributable to EPS.</w:t>
      </w:r>
    </w:p>
    <w:p>
      <w:pPr>
        <w:spacing w:after="0" w:line="15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provided by the Officers Incentive Compensation Plan , the Committee has the discretion and authority to make any and all determinations necessary or advisable for administration of the Officers Incentive Compensation Plan. In addition, under the Officers Incentive Compensation Plan, the Committee, on an annual basis, coordinates an evaluation of previously identified specific strategic organizational goals and priorities established by the Board of Directors. The Board of Directors may adjust the core incentive eligibility and may modify the Financial Factors used in determining the incentive compensation by plus or minus 20 percent as determined by the evaluation results of those strategic organizational goals and priorities. Strategic performance is measured only at the end of the fiscal year and may have included previously established strategic factors including, but not limited to:</w:t>
      </w:r>
    </w:p>
    <w:p>
      <w:pPr>
        <w:spacing w:after="0" w:line="248" w:lineRule="exact"/>
        <w:rPr>
          <w:sz w:val="20"/>
          <w:szCs w:val="20"/>
          <w:color w:val="auto"/>
        </w:rPr>
      </w:pPr>
    </w:p>
    <w:tbl>
      <w:tblPr>
        <w:tblLayout w:type="fixed"/>
        <w:tblInd w:w="420" w:type="dxa"/>
        <w:tblCellMar>
          <w:top w:w="0" w:type="dxa"/>
          <w:left w:w="0" w:type="dxa"/>
          <w:bottom w:w="0" w:type="dxa"/>
          <w:right w:w="0" w:type="dxa"/>
        </w:tblCellMar>
      </w:tblPr>
      <w:tr>
        <w:trPr>
          <w:trHeight w:val="21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60"/>
              <w:spacing w:after="0"/>
              <w:rPr>
                <w:sz w:val="20"/>
                <w:szCs w:val="20"/>
                <w:color w:val="auto"/>
              </w:rPr>
            </w:pPr>
            <w:r>
              <w:rPr>
                <w:rFonts w:ascii="Arial" w:cs="Arial" w:eastAsia="Arial" w:hAnsi="Arial"/>
                <w:sz w:val="18"/>
                <w:szCs w:val="18"/>
                <w:color w:val="auto"/>
              </w:rPr>
              <w:t>Revenue Growth</w:t>
            </w: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Customer Satisfaction</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60"/>
              <w:spacing w:after="0"/>
              <w:rPr>
                <w:sz w:val="20"/>
                <w:szCs w:val="20"/>
                <w:color w:val="auto"/>
              </w:rPr>
            </w:pPr>
            <w:r>
              <w:rPr>
                <w:rFonts w:ascii="Arial" w:cs="Arial" w:eastAsia="Arial" w:hAnsi="Arial"/>
                <w:sz w:val="18"/>
                <w:szCs w:val="18"/>
                <w:color w:val="auto"/>
              </w:rPr>
              <w:t>Market Share</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Inventory Management</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60"/>
              <w:spacing w:after="0"/>
              <w:rPr>
                <w:sz w:val="20"/>
                <w:szCs w:val="20"/>
                <w:color w:val="auto"/>
              </w:rPr>
            </w:pPr>
            <w:r>
              <w:rPr>
                <w:rFonts w:ascii="Arial" w:cs="Arial" w:eastAsia="Arial" w:hAnsi="Arial"/>
                <w:sz w:val="18"/>
                <w:szCs w:val="18"/>
                <w:color w:val="auto"/>
              </w:rPr>
              <w:t>Product Quality</w:t>
            </w: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Technical Innovation</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60"/>
              <w:spacing w:after="0"/>
              <w:rPr>
                <w:sz w:val="20"/>
                <w:szCs w:val="20"/>
                <w:color w:val="auto"/>
              </w:rPr>
            </w:pPr>
            <w:r>
              <w:rPr>
                <w:rFonts w:ascii="Arial" w:cs="Arial" w:eastAsia="Arial" w:hAnsi="Arial"/>
                <w:sz w:val="18"/>
                <w:szCs w:val="18"/>
                <w:color w:val="auto"/>
              </w:rPr>
              <w:t>Product Introductions</w:t>
            </w: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Ethical Business Practices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ind w:left="60"/>
              <w:spacing w:after="0"/>
              <w:rPr>
                <w:sz w:val="20"/>
                <w:szCs w:val="20"/>
                <w:color w:val="auto"/>
              </w:rPr>
            </w:pPr>
            <w:r>
              <w:rPr>
                <w:rFonts w:ascii="Arial" w:cs="Arial" w:eastAsia="Arial" w:hAnsi="Arial"/>
                <w:sz w:val="18"/>
                <w:szCs w:val="18"/>
                <w:color w:val="auto"/>
              </w:rPr>
              <w:t>Planning</w:t>
            </w: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w w:val="99"/>
              </w:rPr>
              <w:t>Business Diversity Initiatives</w:t>
            </w:r>
          </w:p>
        </w:tc>
      </w:tr>
    </w:tbl>
    <w:p>
      <w:pPr>
        <w:spacing w:after="0" w:line="17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the purposes of the Officers Incentive Compensation Plan, the Board determined not to modi fy amounts payable pursuant to EPS and ROIC targets. Since ROIC at the end of Fiscal 2010 was lower than 9.7 percent (ROIC entry target point) and Fiscal 2010 EPS was less than $0.40 (EPS entry target point), no amounts were paid to Named Executive Officers in Fiscal 2010 under the Officers Incentive Compensation Plan.</w:t>
      </w:r>
    </w:p>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recognize long-term incentive opportunity as an important element of the total executive compensation program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Long-term incentives are intended to retain and motivate executives and to encourage a strong link between Management objectives and shareholder long-term interests. Our long-term incentives include the Officers Long-Term Incentive Plan described below , together with long-term incentives provided through grants of stock options and restricted stock in previous fiscal years.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68"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Officers Long-Term Incentive Plan. </w:t>
      </w:r>
      <w:r>
        <w:rPr>
          <w:rFonts w:ascii="Arial" w:cs="Arial" w:eastAsia="Arial" w:hAnsi="Arial"/>
          <w:sz w:val="18"/>
          <w:szCs w:val="18"/>
          <w:color w:val="auto"/>
        </w:rPr>
        <w:t>Our Named Executive Officers are eligible for annual incentive awards under the Company's Officers Long-Term Incentive Plan (the "Long-Term Incentive Plan"). Each year, the Committee estab lishes a three-year performance plan to promote our long-term growth and profitability and to attract and retain executives by providing the officers an opportunity for an incentive award consisting of restricted shares of the Company's Common Stock (or at the election of a participating officer, in cash if specifically permitted in the individual plan period document).</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Long-Term Incentive Plan, the amount of a Named Executive Officer's incentive compensation for the three-year period is calculated to be in direct linear proportion to our measured financial performance expressed as a percentage against compensation targets for each participant, as determined by the Board of Directors. Named Executive Officers may be entitled to earlier vesting of awards under the Long-Term Incentive Plan in the event of a "Change of Control" (as defined in the Long-Term Incentive Plan), or as o therwise specified by the Committee. See "Potential Payments upon Termination of Change of Control-Long-Term Incentive Plan Payments" below.</w:t>
      </w:r>
    </w:p>
    <w:p>
      <w:pPr>
        <w:spacing w:after="0" w:line="1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awards for achieving results under these overlapping but separate Long-Term Incentive Plans may vary by each three-year period and by Named Executive Officer. In general, the awards are based upon our financial performance as measured against the specific three-year plan established by the Committee and approved by the Board of Directors. The Committee has established financial measurements and awards for each specific three-year plan (as defined below). In general, the Committee established certain minimum and ROIC targets for the 2008-2010 Plan (as defined below). The financial performance measurements for the 2008-2010 Plan are primarily based upon the achievement of certain EPS thresholds as determined in each three-year plan. As discussed below, the Committee changed the financial metrics to be utilized for the Long-Term Incentive Plan for the Fiscal 2009-2011 and Fiscal 2010-2012 performance cycles from EPS and ROIC to a single metric of ROE. Stockholders' equity at the beginning of the Company's fiscal year of the applicable plan period is used as the basis figure for the calculation of ROE. The Company calculates EPS and ROIC in the same manner as described under "Annual Incentive Plan" above.</w:t>
      </w:r>
    </w:p>
    <w:p>
      <w:pPr>
        <w:spacing w:after="0" w:line="14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Long-Term Incentive Plan Fiscal 2008-2010 Performance Cycle</w:t>
      </w:r>
      <w:r>
        <w:rPr>
          <w:rFonts w:ascii="Arial" w:cs="Arial" w:eastAsia="Arial" w:hAnsi="Arial"/>
          <w:sz w:val="18"/>
          <w:szCs w:val="18"/>
          <w:color w:val="auto"/>
        </w:rPr>
        <w:t>. In October 2007, the Committee established a three-year plan with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EPS and ROIC, with a performance period from Fiscal 2008 through Fiscal 2010 (the “2008-2010 Plan”). The Committee selected EPS and ROIC, for this plan based on the same principles utilized for the Co mpany's Officers Incentive Compensation Plan in Fiscal 2010, as discussed under “Annual Incentive Plan” above.</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2008-2010 Plan provides for a bonus (Target) of 25 percent of the annualized base salary (Target) to be awarded in restricted stock (or in cash at the participant's election) at 100 percent achievement of each of the financial objectives of EPS and ROIC. The annualized base salary figure utilized for measurement in the 2008-2010 Plan is the salary in place for each participant as of January 2008. The resultant incentive award (at 100 percent of the three-year financial targets) will be adjusted up or down as determined by the actual financial performance of EPS and ROIC expressed as a percentage (Financial Factor) at the end of the three-year fiscal period. In calculating the financial targets for incentive eligibility under the 2008-2010 Plan, the financial performance is weighted 75 percent to EPS and 25 percent to ROIC.</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Financial performance of less than either 80 percent of the three-year cumulative EPS financial target (as described below) or 16 percent of the average annual ROIC financial target results in no incentive award under the 2008-2010 Plan. The maximum aggregate incentive award of 150 percent of Target can be earned if both financial measurement components of EPS and ROIC under 2008-2010 Plan are maximized. The Committee determined that both the target and maximum average annual ROIC for purposes of the 2008-2010 Plan would be 24.5 percent. The Committee also determined that the year-one EPS target under the 2008-2010 Plan would be the actual EPS for Fiscal 2007 of $1.32. The Committee set the second year target for 2008-2010 Plan as the actual EPS for Fiscal 2008, and the third-year target as the actual EPS for Fiscal 2009. The Committee set the maximum target for the three year cumulative EPS at 10 percent above the best EPS fiscal year (2004) in the Company's history for year one and an additional 10 percent increase for each of the two succeeding years ($7.14 total). The actual three-year performance results achieved for EPS and ROIC for the 2008-2010 Plan period were both less than the thresholds which resulted in no payout under the 2008-2010 Plan.</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Long-Term Incentive Plan Fiscal 2009-2011. </w:t>
      </w:r>
      <w:r>
        <w:rPr>
          <w:rFonts w:ascii="Arial" w:cs="Arial" w:eastAsia="Arial" w:hAnsi="Arial"/>
          <w:sz w:val="18"/>
          <w:szCs w:val="18"/>
          <w:color w:val="auto"/>
        </w:rPr>
        <w:t>In October 2008, the Committee established a three-year plan with a performance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2009 through Fiscal 2011 (the “2009-2011 Plan”). The Committee elected to change the financial measurement objectives from EPS and ROIC financial measurements to ROE. The Committee believes that the metric of ROE for the 2009-2 011 Plan, which is an additional financial metric separate from the EPS and ROIC metrics utilized under the Officers' Incentive Compensation Plan for Fiscal 2010 and for the 2008-2010 Plan, will provide for a more complete measurement of Management's effectiveness and the value created for shareholders on a long-term basis. In addition, the Committee determined that awards, if any, under the 2009-2011 Plan will be made solely in restricted stock (without the ability for a participant to elect cash payment) in order to encourage stock ownership and promote the Company's long-term growth and profitability.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2009-2011 Plan provides for a bonus (Target) of 25 percent of the annualized base salary (Target) to be awarded in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68" w:right="239" w:bottom="1440" w:gutter="0" w:footer="0" w:header="0"/>
        </w:sectPr>
      </w:pPr>
    </w:p>
    <w:bookmarkStart w:id="26" w:name="page27"/>
    <w:bookmarkEnd w:id="26"/>
    <w:p>
      <w:pPr>
        <w:jc w:val="cente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color w:val="auto"/>
        </w:rPr>
        <w:t>restricted stock at 100 percent achievement of the ROE financial objective. The annualized salary figure utilized for measurement in the 2009-2011 Plan is the salary in place for each participant as of January 2009, notwithstanding any adjustments to base salary made during Fiscal 2009. The resultant incentive award (at 100 percent of the three-year financial target) will be adjusted up or down as determined by the actual financial performance of ROE expressed as a percentage (Financial Factor) at the end of the three-year fiscal period.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three-year cumulative ROE financial target under the 2009-2011 Plan is 18.8 percent. Financial performance of less than 80 percent of the</w:t>
      </w:r>
    </w:p>
    <w:p>
      <w:pPr>
        <w:spacing w:after="0" w:line="21" w:lineRule="exact"/>
        <w:rPr>
          <w:sz w:val="20"/>
          <w:szCs w:val="20"/>
          <w:color w:val="auto"/>
        </w:rPr>
      </w:pPr>
    </w:p>
    <w:p>
      <w:pPr>
        <w:jc w:val="center"/>
        <w:ind w:right="20"/>
        <w:spacing w:after="0" w:line="291" w:lineRule="auto"/>
        <w:rPr>
          <w:sz w:val="20"/>
          <w:szCs w:val="20"/>
          <w:color w:val="auto"/>
        </w:rPr>
      </w:pPr>
      <w:r>
        <w:rPr>
          <w:rFonts w:ascii="Arial" w:cs="Arial" w:eastAsia="Arial" w:hAnsi="Arial"/>
          <w:sz w:val="17"/>
          <w:szCs w:val="17"/>
          <w:color w:val="auto"/>
        </w:rPr>
        <w:t>three-year cumulative ROE financial target results in no incentive award under the 2009-2011 Plan. The maximum incentive award of 150 percent of Target can be earned if the financial measurement of ROE under the 2009-2011 Plan is maximized at 26.5 percent.</w:t>
      </w:r>
    </w:p>
    <w:p>
      <w:pPr>
        <w:spacing w:after="0" w:line="10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i w:val="1"/>
          <w:iCs w:val="1"/>
          <w:color w:val="auto"/>
        </w:rPr>
        <w:t xml:space="preserve">Long-Term Incentive Plan Fiscal 2010 -2012. </w:t>
      </w:r>
      <w:r>
        <w:rPr>
          <w:rFonts w:ascii="Arial" w:cs="Arial" w:eastAsia="Arial" w:hAnsi="Arial"/>
          <w:sz w:val="18"/>
          <w:szCs w:val="18"/>
          <w:color w:val="auto"/>
        </w:rPr>
        <w:t>In October 2009, the Committee established a three-year plan with a performance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2010 through Fiscal 2012 (the "2010-2012 Plan"). The Committee selected the metric of ROE for the 2010-2012 Plan based on the same principles utilized for the 2009-2011 Plan and as discussed under "Lon g Term Incentive Plan Fiscal 2009-2011" above. In addition, as is the case with the 2009 - 2011 Plan, the Committee determined that awards, if any, under the 2010-2012 Plan will be made solely in restricted stock (without the ability for a participant to elect cash payment) in order to encourage stock ownership and promote our long-term growth and profitability.</w:t>
      </w:r>
    </w:p>
    <w:p>
      <w:pPr>
        <w:spacing w:after="0" w:line="147"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color w:val="auto"/>
        </w:rPr>
        <w:t>The 2010-2012 Plan provides for a bonus (Target) of 25 percent of the annualized base salary (Target) to be awarded in restricted stock at 100 percent achievement of the ROE financial objective. The annualized salary figure utilized for measurement in the 2010-2012 Plan is the salary in place for each participant as of January 2010. The resultant incentive award (at 100 percent of the three-year financial target) will be adjusted up or down as determined by the actual financial performance of ROE expressed as a percentage (F inancial Factor) at the end of the three-year fiscal period. The three-year cumulative ROE financial target under the 2010-2012 Plan is 15 percent. Financial performance of less than 80 percent of the three-year cumulative ROE financial target results in no incentive award under the 2010-2012 Plan. The maximum incentive award of 150 percent of Target can be earned if the financial measurement of ROE under the 2010-2012 Plan is maximized at 24 percent.</w:t>
      </w:r>
    </w:p>
    <w:p>
      <w:pPr>
        <w:spacing w:after="0" w:line="15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color w:val="auto"/>
        </w:rPr>
        <w:t>Estimated future payouts of plan-based awards under the 2010-2012 Plan are reported in the columns designated "Threshold," "Target" and "Maximum" in the Grants of Plan-Based Awards Table in the "Compensation Tables and Narrative Disclosure" below.</w:t>
      </w:r>
    </w:p>
    <w:p>
      <w:pPr>
        <w:spacing w:after="0" w:line="124" w:lineRule="exact"/>
        <w:rPr>
          <w:sz w:val="20"/>
          <w:szCs w:val="20"/>
          <w:color w:val="auto"/>
        </w:rPr>
      </w:pPr>
    </w:p>
    <w:p>
      <w:pPr>
        <w:jc w:val="center"/>
        <w:spacing w:after="0" w:line="304" w:lineRule="auto"/>
        <w:rPr>
          <w:sz w:val="20"/>
          <w:szCs w:val="20"/>
          <w:color w:val="auto"/>
        </w:rPr>
      </w:pPr>
      <w:r>
        <w:rPr>
          <w:rFonts w:ascii="Arial" w:cs="Arial" w:eastAsia="Arial" w:hAnsi="Arial"/>
          <w:sz w:val="16"/>
          <w:szCs w:val="16"/>
          <w:i w:val="1"/>
          <w:iCs w:val="1"/>
          <w:color w:val="auto"/>
        </w:rPr>
        <w:t xml:space="preserve">2004 Incentive Compensation Plan. </w:t>
      </w:r>
      <w:r>
        <w:rPr>
          <w:rFonts w:ascii="Arial" w:cs="Arial" w:eastAsia="Arial" w:hAnsi="Arial"/>
          <w:sz w:val="16"/>
          <w:szCs w:val="16"/>
          <w:color w:val="auto"/>
        </w:rPr>
        <w:t>The 2004 Plan was adopted to reward key employees and Non-employee Directors by providing for certain cash</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additional means for those individuals to acquire Common Stock of the Company. The objective of the 2004 Plan is to further the Company's interests and those of our shareholders by providing incentives to key employees and Non-Employee Directors who contribute materially to our success and profitability. Additionally, we believe that the 2004 Plan serves to attract and retain certain key employees and Non-Employee Directors.</w:t>
      </w:r>
    </w:p>
    <w:p>
      <w:pPr>
        <w:spacing w:after="0" w:line="112" w:lineRule="exact"/>
        <w:rPr>
          <w:sz w:val="20"/>
          <w:szCs w:val="20"/>
          <w:color w:val="auto"/>
        </w:rPr>
      </w:pPr>
    </w:p>
    <w:p>
      <w:pPr>
        <w:jc w:val="center"/>
        <w:ind w:right="20"/>
        <w:spacing w:after="0" w:line="256" w:lineRule="auto"/>
        <w:rPr>
          <w:sz w:val="20"/>
          <w:szCs w:val="20"/>
          <w:color w:val="auto"/>
        </w:rPr>
      </w:pPr>
      <w:r>
        <w:rPr>
          <w:rFonts w:ascii="Arial" w:cs="Arial" w:eastAsia="Arial" w:hAnsi="Arial"/>
          <w:sz w:val="18"/>
          <w:szCs w:val="18"/>
          <w:color w:val="auto"/>
        </w:rPr>
        <w:t>The 2004 Plan provides that employees and Non-Employee Directors may receive certain “Stock Awards,” “Performance Awards” and “Stock Options,” each as defined under the 2004 Plan. Terms, conditions and limitations applicable to any awards granted under the 2004 Plan are recom mended by the Committee to the Board of Directors.</w:t>
      </w:r>
    </w:p>
    <w:p>
      <w:pPr>
        <w:spacing w:after="0" w:line="130" w:lineRule="exact"/>
        <w:rPr>
          <w:sz w:val="20"/>
          <w:szCs w:val="20"/>
          <w:color w:val="auto"/>
        </w:rPr>
      </w:pPr>
    </w:p>
    <w:p>
      <w:pPr>
        <w:jc w:val="both"/>
        <w:ind w:left="60" w:right="60" w:firstLine="32"/>
        <w:spacing w:after="0" w:line="269"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We have utilized restricted stock awards to complement stock options and other 2004 Plan awards as a basis for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incentive compensation. The Committee recognizes that competitive market practices have resulted in an increased use of restricted stock awards as a part of total executive compensation strategy. Our stock awards are intended to retain and motivate officers or employees, including Named Executive Officers, to seek to improve long-term stock market performance and to enhance shareholder value by placing a portion of their compensation at risk and directly tied to our stock price appreciation. The Committee believes that stock options and restricted</w:t>
      </w:r>
    </w:p>
    <w:p>
      <w:pPr>
        <w:spacing w:after="0" w:line="3"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stock grants both continue to serve as critical elements of long-term compen sation plan design. Restricted stock awards provide for an effective recruitment and retention tool, inspire increased motivation by providing ownership, maintain motivation because of intrinsic value even during periods of stock price fluctuations and further align the interests of Management and the shareholders.</w:t>
      </w:r>
    </w:p>
    <w:p>
      <w:pPr>
        <w:spacing w:after="0" w:line="148" w:lineRule="exact"/>
        <w:rPr>
          <w:sz w:val="20"/>
          <w:szCs w:val="20"/>
          <w:color w:val="auto"/>
        </w:rPr>
      </w:pPr>
    </w:p>
    <w:p>
      <w:pPr>
        <w:jc w:val="center"/>
        <w:ind w:right="20"/>
        <w:spacing w:after="0" w:line="254" w:lineRule="auto"/>
        <w:rPr>
          <w:sz w:val="20"/>
          <w:szCs w:val="20"/>
          <w:color w:val="auto"/>
        </w:rPr>
      </w:pPr>
      <w:r>
        <w:rPr>
          <w:rFonts w:ascii="Arial" w:cs="Arial" w:eastAsia="Arial" w:hAnsi="Arial"/>
          <w:sz w:val="18"/>
          <w:szCs w:val="18"/>
          <w:color w:val="auto"/>
        </w:rPr>
        <w:t>From time to time, we make restricted stock awards to Named Executive Officers pursuant to the 2004 Plan. In October 2006, the Committee recommended, and the Board approved, an amendment to the 2004 Plan to reduce the minimum restriction period for non-performance-based stock awards. The Committee believed that one year was the most appropriate minimum restriction period to effectively motivate executives and key personnel participants.</w:t>
      </w:r>
    </w:p>
    <w:p>
      <w:pPr>
        <w:spacing w:after="0" w:line="15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color w:val="auto"/>
        </w:rPr>
        <w:t>In October 2009, we elected not to grant any time-based, non-performance restricted stock awards, as a result of our continuing efforts to reduce costs and expenses during Fiscal 2010.</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60"/>
          </w:cols>
          <w:pgMar w:left="280" w:top="168" w:right="259" w:bottom="1440" w:gutter="0" w:footer="0" w:header="0"/>
        </w:sectPr>
      </w:pPr>
    </w:p>
    <w:bookmarkStart w:id="27" w:name="page28"/>
    <w:bookmarkEnd w:id="27"/>
    <w:p>
      <w:pPr>
        <w:jc w:val="cente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Prior to Fiscal 2007, we provided long-term incentives under the 2004 Plan in the form of stock options granted to Named</w:t>
      </w:r>
    </w:p>
    <w:p>
      <w:pPr>
        <w:spacing w:after="0" w:line="27" w:lineRule="exact"/>
        <w:rPr>
          <w:sz w:val="20"/>
          <w:szCs w:val="20"/>
          <w:color w:val="auto"/>
        </w:rPr>
      </w:pPr>
    </w:p>
    <w:p>
      <w:pPr>
        <w:jc w:val="center"/>
        <w:ind w:right="20"/>
        <w:spacing w:after="0" w:line="256" w:lineRule="auto"/>
        <w:rPr>
          <w:sz w:val="20"/>
          <w:szCs w:val="20"/>
          <w:color w:val="auto"/>
        </w:rPr>
      </w:pPr>
      <w:r>
        <w:rPr>
          <w:rFonts w:ascii="Arial" w:cs="Arial" w:eastAsia="Arial" w:hAnsi="Arial"/>
          <w:sz w:val="18"/>
          <w:szCs w:val="18"/>
          <w:color w:val="auto"/>
        </w:rPr>
        <w:t>Executive Officers and other key Management pe rsonnel. Stock option grants are intended to retain and motivate Named Executive Officers to seek to improve long-term stock market performance and enhance shareholder value by placing a portion of their compensation at risk and directly tied to stock price appreciation. No stock options were granted to Named Executive Officers in Fiscal 2010.</w:t>
      </w:r>
    </w:p>
    <w:p>
      <w:pPr>
        <w:spacing w:after="0" w:line="148" w:lineRule="exact"/>
        <w:rPr>
          <w:sz w:val="20"/>
          <w:szCs w:val="20"/>
          <w:color w:val="auto"/>
        </w:rPr>
      </w:pPr>
    </w:p>
    <w:p>
      <w:pPr>
        <w:jc w:val="center"/>
        <w:spacing w:after="0" w:line="251" w:lineRule="auto"/>
        <w:rPr>
          <w:sz w:val="20"/>
          <w:szCs w:val="20"/>
          <w:color w:val="auto"/>
        </w:rPr>
      </w:pPr>
      <w:r>
        <w:rPr>
          <w:rFonts w:ascii="Arial" w:cs="Arial" w:eastAsia="Arial" w:hAnsi="Arial"/>
          <w:sz w:val="18"/>
          <w:szCs w:val="18"/>
          <w:color w:val="auto"/>
        </w:rPr>
        <w:t>Under the 2004 Plan, incentive and non-qualified stock options may be granted at any time for new hires, promotions or other compensation-based reasons as determined by the Committee. Previously granted stock option awards were recommended by the Committee and approved by the Board at the regularly scheduled October Board of Directors and Committee meetings following our fiscal year end. Any future stock options are expected to be granted at the closing market price on the date of grant by the Committee and, as such, will only gain value if the pri ce of the Company's Common Stock underlying the stock option increases above the price of the Company's Common Stock on the date of the stock option grant. Prior to Fiscal 2007, stock options were granted at the “prevailing market price” — the mean between the highest and lowest price on the date of the grant. Options are exercisable at such time or times and in such amount or amounts as determined by the Committee, generally vesting and exercisable over a three-year period in one-third increments per year, with the term of stock options extending no more than ten years after the grant date.</w:t>
      </w:r>
    </w:p>
    <w:p>
      <w:pPr>
        <w:spacing w:after="0" w:line="159"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auto"/>
        </w:rPr>
        <w:t>In addition, Named Executive Officers may be entitled to earlier vesting of stock option awards under the 2004 Plan in the event of a “Change of Control” (as defined in the 2004 Plan), disability, termination of employment or death. See “Potential Payments upon Ter mination or Change of Control—2004 Incentive Compensation Plan Payments” below. Additional vesting rules apply to incentive stock options and non-qualified options under the 2004 Plan pursuant to individual option award agreements entered into between each stock option grantee and the Company on the date of the stock option grant.</w:t>
      </w:r>
    </w:p>
    <w:p>
      <w:pPr>
        <w:spacing w:after="0" w:line="15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color w:val="auto"/>
        </w:rPr>
        <w:t>While the Committee does not believe that granting stock options every year is necessary to achieve incentive compensation goals, the Committee continues to believe that stock options are an important component of its long-term compensation philosophy.</w:t>
      </w:r>
    </w:p>
    <w:p>
      <w:pPr>
        <w:spacing w:after="0" w:line="120"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Nam ed Executive Officers are eligible to participate in the same benefit plans designed for all of our full-time employees.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basic insurance package includes health, dental, disability and basic group life insurance coverage. In addition, employees, including the Named Executive Officers, may qualify for company subsidized retiree healthcare benefits (if hired before April 2001). Employees hired on or after April 1, 2001 and prior to April 1, 2009, while eligible to participate in our retiree healthcare program at “group rates,” are not eligible for any employer-provided subsidy. Employees hired on or after April 1, 2009 are not eligible to participate in our retiree healthcare programs as these programs are closed to all employees hired thereafter. Under our Long-Term Disability Plan, salaried employees are eligible for a monthly benefit based upon 60 percent of pre-disability earnings, up to a maximum monthly benefit of $10,000.</w:t>
      </w:r>
    </w:p>
    <w:p>
      <w:pPr>
        <w:spacing w:after="0" w:line="1"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Except as specifically summarized in this Compensation Discussion and Analysis, we do not currently provide retirement payments and benefits for Named Executive Officers following his or her retirement, including, but not limited to, tax-qualified defined benefit plans and supplemental executive retirement plans.</w:t>
      </w:r>
    </w:p>
    <w:p>
      <w:pPr>
        <w:spacing w:after="0" w:line="130" w:lineRule="exact"/>
        <w:rPr>
          <w:sz w:val="20"/>
          <w:szCs w:val="20"/>
          <w:color w:val="auto"/>
        </w:rPr>
      </w:pPr>
    </w:p>
    <w:p>
      <w:pPr>
        <w:jc w:val="center"/>
        <w:ind w:right="20"/>
        <w:spacing w:after="0" w:line="254" w:lineRule="auto"/>
        <w:rPr>
          <w:sz w:val="20"/>
          <w:szCs w:val="20"/>
          <w:color w:val="auto"/>
        </w:rPr>
      </w:pPr>
      <w:r>
        <w:rPr>
          <w:rFonts w:ascii="Arial" w:cs="Arial" w:eastAsia="Arial" w:hAnsi="Arial"/>
          <w:sz w:val="18"/>
          <w:szCs w:val="18"/>
          <w:i w:val="1"/>
          <w:iCs w:val="1"/>
          <w:color w:val="auto"/>
        </w:rPr>
        <w:t xml:space="preserve">Profit Sharing and Deferred Savings and Investment Plan, </w:t>
      </w:r>
      <w:r>
        <w:rPr>
          <w:rFonts w:ascii="Arial" w:cs="Arial" w:eastAsia="Arial" w:hAnsi="Arial"/>
          <w:sz w:val="18"/>
          <w:szCs w:val="18"/>
          <w:color w:val="auto"/>
        </w:rPr>
        <w:t>We maintain a 401(k) plan, the Winnebago Industries, Inc. Profit Sharing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Savings and Investment Plan (the “401(k) Plan”), which is a tax-qualified defined contribution plan maintained for the benefit of substantially all hourly and salaried employees, including our executives. The 401(k) Plan offers Named Executive Officers and all other employees the oppo rtunity to defer a percentage of income that is a part of their base compensation. The Board may, at its discretion, also provide for a Company matching contribution at a rate set by the Committee and approved by the Board on a quarterly basis each calendar year. For Fiscal 2010, the Company made matching contributions equal to $0.20 per $1.00 employee contribution, up to 6 percent of the base compensation deferred by employees (subject to IRS limits and non-discrimination testing). Although executives, including the Named Executive Officers, are eligible to participate in the 401(k) Plan, the application of the annual limitation on contributions under the IRC prevents executives from participating at the same level as non-executives. This compensation element is tax-deferred and is not intended to affect the value of any other compensation element.</w:t>
      </w:r>
    </w:p>
    <w:p>
      <w:pPr>
        <w:spacing w:after="0" w:line="132"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i w:val="1"/>
          <w:iCs w:val="1"/>
          <w:color w:val="auto"/>
        </w:rPr>
        <w:t xml:space="preserve">Supplemental Execu tive Retirement Plan (SERP)/Split Dollar Life Insurance. </w:t>
      </w:r>
      <w:r>
        <w:rPr>
          <w:rFonts w:ascii="Arial" w:cs="Arial" w:eastAsia="Arial" w:hAnsi="Arial"/>
          <w:sz w:val="18"/>
          <w:szCs w:val="18"/>
          <w:color w:val="auto"/>
        </w:rPr>
        <w:t>In 1988, the Board of Directors approved the adoption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Split Dollar Life Insurance Program with respect to certain executives. The primary purpose of this insurance was to provide these executives with supplemental retirement income for a period of 15 years after retirement. Additionally, this insurance was intended to provide a liquid asset to heirs of executives to pay estate taxes, thereby minimizing the necessity for their estates to sell large blocks of shares of the Company's Common Stock to pay estate taxes, which sales might disrupt the market for our shares. We have not offered this insurance as a continuing part of the Named Executive Officer total compensation package or to other members of Management since 1998 due to</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60" w:top="168" w:right="239" w:bottom="1440" w:gutter="0" w:footer="0" w:header="0"/>
        </w:sectPr>
      </w:pPr>
    </w:p>
    <w:bookmarkStart w:id="28" w:name="page29"/>
    <w:bookmarkEnd w:id="28"/>
    <w:p>
      <w:pPr>
        <w:jc w:val="center"/>
        <w:ind w:right="-11"/>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94" w:lineRule="exact"/>
        <w:rPr>
          <w:sz w:val="20"/>
          <w:szCs w:val="20"/>
          <w:color w:val="auto"/>
        </w:rPr>
      </w:pPr>
    </w:p>
    <w:p>
      <w:pPr>
        <w:jc w:val="center"/>
        <w:ind w:right="8"/>
        <w:spacing w:after="0" w:line="252" w:lineRule="auto"/>
        <w:rPr>
          <w:sz w:val="20"/>
          <w:szCs w:val="20"/>
          <w:color w:val="auto"/>
        </w:rPr>
      </w:pPr>
      <w:r>
        <w:rPr>
          <w:rFonts w:ascii="Arial" w:cs="Arial" w:eastAsia="Arial" w:hAnsi="Arial"/>
          <w:sz w:val="18"/>
          <w:szCs w:val="18"/>
          <w:color w:val="auto"/>
        </w:rPr>
        <w:t>regulatory and tax changes that made this program less attractive, but have maintained the benefit for those originally participating in the program. The plan is funded with individual whole life insurance policies owned by the named insured executive. The life insurance premiums were initially paid by the Company on the life of the executives and the executive receives life insurance and supplemental cash payment during the 15 years following retirement. We will “cost recover” materially all of the premiums paid by the Company at the executive's death, as e ach insured executive has collaterally assigned to us the right to receive proceeds in an amount equal to the total dollar value of premiums paid by the Company.</w:t>
      </w:r>
    </w:p>
    <w:p>
      <w:pPr>
        <w:spacing w:after="0" w:line="155" w:lineRule="exact"/>
        <w:rPr>
          <w:sz w:val="20"/>
          <w:szCs w:val="20"/>
          <w:color w:val="auto"/>
        </w:rPr>
      </w:pPr>
    </w:p>
    <w:p>
      <w:pPr>
        <w:jc w:val="center"/>
        <w:ind w:left="260" w:right="40"/>
        <w:spacing w:after="0" w:line="250" w:lineRule="auto"/>
        <w:rPr>
          <w:sz w:val="20"/>
          <w:szCs w:val="20"/>
          <w:color w:val="auto"/>
        </w:rPr>
      </w:pPr>
      <w:r>
        <w:rPr>
          <w:rFonts w:ascii="Arial" w:cs="Arial" w:eastAsia="Arial" w:hAnsi="Arial"/>
          <w:sz w:val="18"/>
          <w:szCs w:val="18"/>
          <w:color w:val="auto"/>
        </w:rPr>
        <w:t>In October 2008, the Board of Directors converted benefits payable under the Executive Split Dollar Life Program to a Supplemental Executive Retirement Plan (SERP) as a result of changes in the tax and accounting regulations and rising administrative costs. The redesign was</w:t>
      </w:r>
    </w:p>
    <w:p>
      <w:pPr>
        <w:spacing w:after="0" w:line="1" w:lineRule="exact"/>
        <w:rPr>
          <w:sz w:val="20"/>
          <w:szCs w:val="20"/>
          <w:color w:val="auto"/>
        </w:rPr>
      </w:pPr>
    </w:p>
    <w:p>
      <w:pPr>
        <w:jc w:val="center"/>
        <w:ind w:right="8"/>
        <w:spacing w:after="0" w:line="252" w:lineRule="auto"/>
        <w:rPr>
          <w:sz w:val="20"/>
          <w:szCs w:val="20"/>
          <w:color w:val="auto"/>
        </w:rPr>
      </w:pPr>
      <w:r>
        <w:rPr>
          <w:rFonts w:ascii="Arial" w:cs="Arial" w:eastAsia="Arial" w:hAnsi="Arial"/>
          <w:sz w:val="18"/>
          <w:szCs w:val="18"/>
          <w:color w:val="auto"/>
        </w:rPr>
        <w:t>implemented in order to comply with IRC Section 409A and to control administrative costs. Benefits payable under the redesigned SERP are substantially similar to the Executive Split Dollar Life Insurance Program. However, the underlying life insurance policies previously owned by the named insured executive became company-owned l ife insurance (COLI) by a release of all interests from the participant and assignment to us as a prerequisite to participation in the SERP and conversion from the Executive Split Dollar Life Insurance Program. Pursuant to the SERP, benefit payments are stated as a particular dollar amount in a participation agreement and paid directly from us, no longer linked to the COLI. This program remains closed to new employee participation.</w:t>
      </w:r>
    </w:p>
    <w:p>
      <w:pPr>
        <w:spacing w:after="0" w:line="13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 xml:space="preserve">Executive Share Option Program. </w:t>
      </w:r>
      <w:r>
        <w:rPr>
          <w:rFonts w:ascii="Arial" w:cs="Arial" w:eastAsia="Arial" w:hAnsi="Arial"/>
          <w:sz w:val="18"/>
          <w:szCs w:val="18"/>
          <w:color w:val="auto"/>
        </w:rPr>
        <w:t>We established the Executive Share Option Program in April 1997 to provide executives with an opportunity</w:t>
      </w:r>
    </w:p>
    <w:p>
      <w:pPr>
        <w:spacing w:after="0" w:line="27" w:lineRule="exact"/>
        <w:rPr>
          <w:sz w:val="20"/>
          <w:szCs w:val="20"/>
          <w:color w:val="auto"/>
        </w:rPr>
      </w:pPr>
    </w:p>
    <w:p>
      <w:pPr>
        <w:jc w:val="center"/>
        <w:ind w:right="8"/>
        <w:spacing w:after="0" w:line="252" w:lineRule="auto"/>
        <w:rPr>
          <w:sz w:val="20"/>
          <w:szCs w:val="20"/>
          <w:color w:val="auto"/>
        </w:rPr>
      </w:pPr>
      <w:r>
        <w:rPr>
          <w:rFonts w:ascii="Arial" w:cs="Arial" w:eastAsia="Arial" w:hAnsi="Arial"/>
          <w:sz w:val="18"/>
          <w:szCs w:val="18"/>
          <w:color w:val="auto"/>
        </w:rPr>
        <w:t>to defer a portion of their compensation in the form of options to purchase mutual funds invested in companies other than Winnebago Industries. Due to the enactment in 2004 of Section 409A of the IRC, which provided new tax rules for deferred compensat ion plans, the Executive Share Option Program was frozen effective December 31, 2004. Accordingly, there have been and will be no new deferrals or contributions to the Executive Share Option Program after that date and no new participants may enter the plan.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137" w:lineRule="exact"/>
        <w:rPr>
          <w:sz w:val="20"/>
          <w:szCs w:val="20"/>
          <w:color w:val="auto"/>
        </w:rPr>
      </w:pPr>
    </w:p>
    <w:p>
      <w:pPr>
        <w:jc w:val="center"/>
        <w:ind w:left="260"/>
        <w:spacing w:after="0" w:line="254" w:lineRule="auto"/>
        <w:rPr>
          <w:sz w:val="20"/>
          <w:szCs w:val="20"/>
          <w:color w:val="auto"/>
        </w:rPr>
      </w:pPr>
      <w:r>
        <w:rPr>
          <w:rFonts w:ascii="Arial" w:cs="Arial" w:eastAsia="Arial" w:hAnsi="Arial"/>
          <w:sz w:val="18"/>
          <w:szCs w:val="18"/>
          <w:i w:val="1"/>
          <w:iCs w:val="1"/>
          <w:color w:val="auto"/>
        </w:rPr>
        <w:t xml:space="preserve">Deferred Compensation Plan (1981). </w:t>
      </w:r>
      <w:r>
        <w:rPr>
          <w:rFonts w:ascii="Arial" w:cs="Arial" w:eastAsia="Arial" w:hAnsi="Arial"/>
          <w:sz w:val="18"/>
          <w:szCs w:val="18"/>
          <w:color w:val="auto"/>
        </w:rPr>
        <w:t>Under the Winnebago Industries, Inc. Non-Qualified Deferred Compensation Plan (1981) (the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(1981)”), executive officers and other key employees were eligible to annually elect to defer a portion of their compensation until retirement. The retirement benefit provided is based upon the amount of compensation deferred and the age of the individual at the time of the deferral, at a rate per annum determined by the Board ranging from 6 to 8 percent per annum. Under the plan, a participant generally vests at the later of age 55 and five years of service since the deferral was made. For deferrals prior to December 1992, vesting occurs at the later of</w:t>
      </w:r>
    </w:p>
    <w:p>
      <w:pPr>
        <w:spacing w:after="0" w:line="3" w:lineRule="exact"/>
        <w:rPr>
          <w:sz w:val="20"/>
          <w:szCs w:val="20"/>
          <w:color w:val="auto"/>
        </w:rPr>
      </w:pPr>
    </w:p>
    <w:p>
      <w:pPr>
        <w:jc w:val="center"/>
        <w:ind w:left="260" w:right="40"/>
        <w:spacing w:after="0" w:line="253" w:lineRule="auto"/>
        <w:rPr>
          <w:sz w:val="20"/>
          <w:szCs w:val="20"/>
          <w:color w:val="auto"/>
        </w:rPr>
      </w:pPr>
      <w:r>
        <w:rPr>
          <w:rFonts w:ascii="Arial" w:cs="Arial" w:eastAsia="Arial" w:hAnsi="Arial"/>
          <w:sz w:val="18"/>
          <w:szCs w:val="18"/>
          <w:color w:val="auto"/>
        </w:rPr>
        <w:t>age 55 and five years service from first deferral or 20 years of service. To assist in funding the deferred compensation liability, we invested in corporate-owned life insurance policies. Participants in the plan have the same status as unsecured creditors. In 2001, the Board of Directors elected to freeze this plan to additional participants. We maintain the account balances as part of the executives' past compensation to be paid in the future in accordance with the terms of the plan, but these accounts are not considered a currently active part of the total compensation package of any Named Executive Officer participating in the plan.</w:t>
      </w:r>
    </w:p>
    <w:p>
      <w:pPr>
        <w:spacing w:after="0" w:line="134" w:lineRule="exact"/>
        <w:rPr>
          <w:sz w:val="20"/>
          <w:szCs w:val="20"/>
          <w:color w:val="auto"/>
        </w:rPr>
      </w:pPr>
    </w:p>
    <w:p>
      <w:pPr>
        <w:jc w:val="center"/>
        <w:ind w:right="8"/>
        <w:spacing w:after="0" w:line="258" w:lineRule="auto"/>
        <w:rPr>
          <w:sz w:val="20"/>
          <w:szCs w:val="20"/>
          <w:color w:val="auto"/>
        </w:rPr>
      </w:pPr>
      <w:r>
        <w:rPr>
          <w:rFonts w:ascii="Arial" w:cs="Arial" w:eastAsia="Arial" w:hAnsi="Arial"/>
          <w:sz w:val="18"/>
          <w:szCs w:val="18"/>
          <w:i w:val="1"/>
          <w:iCs w:val="1"/>
          <w:color w:val="auto"/>
        </w:rPr>
        <w:t xml:space="preserve">Executive Deferred Compensation Plan 2007 (Non-Qualified Deferred Compensation Plan). </w:t>
      </w:r>
      <w:r>
        <w:rPr>
          <w:rFonts w:ascii="Arial" w:cs="Arial" w:eastAsia="Arial" w:hAnsi="Arial"/>
          <w:sz w:val="18"/>
          <w:szCs w:val="18"/>
          <w:color w:val="auto"/>
        </w:rPr>
        <w:t>In December 2006, the Board adopted the</w:t>
      </w:r>
      <w:r>
        <w:rPr>
          <w:rFonts w:ascii="Arial" w:cs="Arial" w:eastAsia="Arial" w:hAnsi="Arial"/>
          <w:sz w:val="18"/>
          <w:szCs w:val="18"/>
          <w:i w:val="1"/>
          <w:iCs w:val="1"/>
          <w:color w:val="auto"/>
        </w:rPr>
        <w:t xml:space="preserve"> </w:t>
      </w:r>
      <w:r>
        <w:rPr>
          <w:rFonts w:ascii="Arial" w:cs="Arial" w:eastAsia="Arial" w:hAnsi="Arial"/>
          <w:sz w:val="18"/>
          <w:szCs w:val="18"/>
          <w:color w:val="auto"/>
        </w:rPr>
        <w:t>Winnebago Industries, Inc. Executive Deferred Compensation Plan (the “Executive Deferred Compensation Plan”). The Executive Deferred Compensation Plan permits executive officers, including the Named Executive Officers, to defer a portion of their salary and all or a portion of their cash incentive award compensation. The Executive Deferred Compensation Plan became effective as of January 1, 2007 and applies to compensation paid to participants on and after such date.</w:t>
      </w:r>
    </w:p>
    <w:p>
      <w:pPr>
        <w:spacing w:after="0" w:line="1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Under the Exe cutive Deferred Compensation Plan, executive officers and certain key employees may annually choose to defer up to 50</w:t>
      </w:r>
    </w:p>
    <w:p>
      <w:pPr>
        <w:spacing w:after="0" w:line="9" w:lineRule="exact"/>
        <w:rPr>
          <w:sz w:val="20"/>
          <w:szCs w:val="20"/>
          <w:color w:val="auto"/>
        </w:rPr>
      </w:pPr>
    </w:p>
    <w:p>
      <w:pPr>
        <w:jc w:val="both"/>
        <w:ind w:left="12" w:firstLine="37"/>
        <w:spacing w:after="0" w:line="291" w:lineRule="auto"/>
        <w:rPr>
          <w:sz w:val="20"/>
          <w:szCs w:val="20"/>
          <w:color w:val="auto"/>
        </w:rPr>
      </w:pPr>
      <w:r>
        <w:rPr>
          <w:rFonts w:ascii="Arial" w:cs="Arial" w:eastAsia="Arial" w:hAnsi="Arial"/>
          <w:sz w:val="17"/>
          <w:szCs w:val="17"/>
          <w:color w:val="auto"/>
        </w:rPr>
        <w:t>percent of their salary and up to 100 percent of their cash incentive awards. The Committee may, from time to time and in its sole and absolute discretion, select the available investments in which a participant's deferred benefit account may be deemed invested (“Available Investments”).</w:t>
      </w:r>
    </w:p>
    <w:p>
      <w:pPr>
        <w:spacing w:after="0" w:line="120" w:lineRule="exact"/>
        <w:rPr>
          <w:sz w:val="20"/>
          <w:szCs w:val="20"/>
          <w:color w:val="auto"/>
        </w:rPr>
      </w:pPr>
    </w:p>
    <w:p>
      <w:pPr>
        <w:jc w:val="center"/>
        <w:ind w:right="8"/>
        <w:spacing w:after="0" w:line="256" w:lineRule="auto"/>
        <w:rPr>
          <w:sz w:val="20"/>
          <w:szCs w:val="20"/>
          <w:color w:val="auto"/>
        </w:rPr>
      </w:pPr>
      <w:r>
        <w:rPr>
          <w:rFonts w:ascii="Arial" w:cs="Arial" w:eastAsia="Arial" w:hAnsi="Arial"/>
          <w:sz w:val="18"/>
          <w:szCs w:val="18"/>
          <w:color w:val="auto"/>
        </w:rPr>
        <w:t>Each participant may designate the Available Investments in which his or her deferred benefit account will be deemed invested, and the percentage of his or her deferred benefit account that will be invested in each Available Investment, for purposes of determining the amount of earnings or losses to be credited or debited to his or her deferred benefit account.</w:t>
      </w:r>
    </w:p>
    <w:p>
      <w:pPr>
        <w:spacing w:after="0" w:line="148" w:lineRule="exact"/>
        <w:rPr>
          <w:sz w:val="20"/>
          <w:szCs w:val="20"/>
          <w:color w:val="auto"/>
        </w:rPr>
      </w:pPr>
    </w:p>
    <w:p>
      <w:pPr>
        <w:jc w:val="center"/>
        <w:ind w:left="260" w:right="260"/>
        <w:spacing w:after="0" w:line="262" w:lineRule="auto"/>
        <w:rPr>
          <w:sz w:val="20"/>
          <w:szCs w:val="20"/>
          <w:color w:val="auto"/>
        </w:rPr>
      </w:pPr>
      <w:r>
        <w:rPr>
          <w:rFonts w:ascii="Arial" w:cs="Arial" w:eastAsia="Arial" w:hAnsi="Arial"/>
          <w:sz w:val="18"/>
          <w:szCs w:val="18"/>
          <w:color w:val="auto"/>
        </w:rPr>
        <w:t>A participant in the Executive Deferred Compensation Plan will, upon the first to occur of the following events, be entitled to a payment (a “Deferred Benefit”) equal to the amount of his or her deferred benefit account as of the determination date coinciding with such event:</w:t>
      </w:r>
    </w:p>
    <w:p>
      <w:pPr>
        <w:spacing w:after="0" w:line="142" w:lineRule="exact"/>
        <w:rPr>
          <w:sz w:val="20"/>
          <w:szCs w:val="20"/>
          <w:color w:val="auto"/>
        </w:rPr>
      </w:pPr>
    </w:p>
    <w:p>
      <w:pPr>
        <w:ind w:left="332" w:hanging="332"/>
        <w:spacing w:after="0"/>
        <w:tabs>
          <w:tab w:leader="none" w:pos="3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date certain (which must be selected by the participant in his or her participation agreement and which cannot be</w:t>
      </w:r>
    </w:p>
    <w:p>
      <w:pPr>
        <w:spacing w:after="0" w:line="200" w:lineRule="exact"/>
        <w:rPr>
          <w:rFonts w:ascii="Arial" w:cs="Arial" w:eastAsia="Arial" w:hAnsi="Arial"/>
          <w:sz w:val="18"/>
          <w:szCs w:val="18"/>
          <w:color w:val="auto"/>
        </w:rPr>
      </w:pPr>
    </w:p>
    <w:p>
      <w:pPr>
        <w:ind w:left="5612"/>
        <w:spacing w:after="0"/>
        <w:rPr>
          <w:rFonts w:ascii="Arial" w:cs="Arial" w:eastAsia="Arial" w:hAnsi="Arial"/>
          <w:sz w:val="18"/>
          <w:szCs w:val="18"/>
          <w:color w:val="auto"/>
        </w:rPr>
      </w:pPr>
      <w:r>
        <w:rPr>
          <w:rFonts w:ascii="Arial" w:cs="Arial" w:eastAsia="Arial" w:hAnsi="Arial"/>
          <w:sz w:val="16"/>
          <w:szCs w:val="16"/>
          <w:color w:val="auto"/>
        </w:rPr>
        <w:t>25</w:t>
      </w:r>
    </w:p>
    <w:p>
      <w:pPr>
        <w:sectPr>
          <w:pgSz w:w="11900" w:h="16838" w:orient="portrait"/>
          <w:cols w:equalWidth="0" w:num="1">
            <w:col w:w="11412"/>
          </w:cols>
          <w:pgMar w:left="248" w:top="168" w:right="239" w:bottom="1440" w:gutter="0" w:footer="0" w:header="0"/>
        </w:sectPr>
      </w:pPr>
    </w:p>
    <w:bookmarkStart w:id="29" w:name="page30"/>
    <w:bookmarkEnd w:id="29"/>
    <w:p>
      <w:pPr>
        <w:jc w:val="center"/>
        <w:ind w:right="-19"/>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35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changed except as otherwise provided in the Executive Deferred Compensation Plan);</w:t>
      </w:r>
    </w:p>
    <w:p>
      <w:pPr>
        <w:spacing w:after="0" w:line="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death;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1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Under the Executive Deferred Compensation Plan, we are required to pay to the participant (or the participant's beneficiary), his or her Deferred Benefit in one of the following forms (as elected in the participation agreement filed by the participant with the administrator of the Executive Deferred Compensation Plan):</w:t>
      </w:r>
    </w:p>
    <w:p>
      <w:pPr>
        <w:spacing w:after="0" w:line="14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lump-sum payment; or</w:t>
      </w:r>
    </w:p>
    <w:p>
      <w:pPr>
        <w:spacing w:after="0" w:line="9" w:lineRule="exact"/>
        <w:rPr>
          <w:rFonts w:ascii="Arial" w:cs="Arial" w:eastAsia="Arial" w:hAnsi="Arial"/>
          <w:sz w:val="18"/>
          <w:szCs w:val="18"/>
          <w:color w:val="auto"/>
        </w:rPr>
      </w:pPr>
    </w:p>
    <w:p>
      <w:pPr>
        <w:ind w:left="280" w:right="60" w:hanging="272"/>
        <w:spacing w:after="0" w:line="254" w:lineRule="auto"/>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monthly payment of a fixed amount which shall amortize the participant's Deferred Benefit in equal monthly payments of principal and interest over a period from 2 to 120 months (as selected by the participant on his or her participation agreement); in the event of death, disability or change in control, we are required to pay to the participant (or the participant's beneficiary) the total value of his or her Deferred Benefit in a lump-sum payment.</w:t>
      </w:r>
    </w:p>
    <w:p>
      <w:pPr>
        <w:spacing w:after="0" w:line="150" w:lineRule="exact"/>
        <w:rPr>
          <w:sz w:val="20"/>
          <w:szCs w:val="20"/>
          <w:color w:val="auto"/>
        </w:rPr>
      </w:pPr>
    </w:p>
    <w:p>
      <w:pPr>
        <w:jc w:val="center"/>
        <w:ind w:left="260" w:right="140"/>
        <w:spacing w:after="0" w:line="262" w:lineRule="auto"/>
        <w:rPr>
          <w:sz w:val="20"/>
          <w:szCs w:val="20"/>
          <w:color w:val="auto"/>
        </w:rPr>
      </w:pPr>
      <w:r>
        <w:rPr>
          <w:rFonts w:ascii="Arial" w:cs="Arial" w:eastAsia="Arial" w:hAnsi="Arial"/>
          <w:sz w:val="18"/>
          <w:szCs w:val="18"/>
          <w:color w:val="auto"/>
        </w:rPr>
        <w:t>In the absence of a participant's election as to the form of the payout, a participant's Deferred Benefit account will be paid over a 120-month period.</w:t>
      </w:r>
    </w:p>
    <w:p>
      <w:pPr>
        <w:spacing w:after="0" w:line="142" w:lineRule="exact"/>
        <w:rPr>
          <w:sz w:val="20"/>
          <w:szCs w:val="20"/>
          <w:color w:val="auto"/>
        </w:rPr>
      </w:pPr>
    </w:p>
    <w:p>
      <w:pPr>
        <w:jc w:val="center"/>
        <w:ind w:left="280"/>
        <w:spacing w:after="0" w:line="254" w:lineRule="auto"/>
        <w:rPr>
          <w:sz w:val="20"/>
          <w:szCs w:val="20"/>
          <w:color w:val="auto"/>
        </w:rPr>
      </w:pPr>
      <w:r>
        <w:rPr>
          <w:rFonts w:ascii="Arial" w:cs="Arial" w:eastAsia="Arial" w:hAnsi="Arial"/>
          <w:sz w:val="18"/>
          <w:szCs w:val="18"/>
          <w:color w:val="auto"/>
        </w:rPr>
        <w:t>The Executive Deferred Compensation Plan was established to provide a replacement to several of the executive non-qualified deferred compensation programs that, as described above, were previously frozen. The Committee believed that it was important to provide a current program that would permit executives to defer a portion of their compensation on a voluntary basis to supplement future retirement income due to contribution limitations on our qualified 401(k) Plan.</w:t>
      </w:r>
    </w:p>
    <w:p>
      <w:pPr>
        <w:spacing w:after="0" w:line="128" w:lineRule="exact"/>
        <w:rPr>
          <w:sz w:val="20"/>
          <w:szCs w:val="20"/>
          <w:color w:val="auto"/>
        </w:rPr>
      </w:pPr>
    </w:p>
    <w:p>
      <w:pPr>
        <w:jc w:val="center"/>
        <w:ind w:left="260"/>
        <w:spacing w:after="0" w:line="257" w:lineRule="auto"/>
        <w:rPr>
          <w:sz w:val="20"/>
          <w:szCs w:val="20"/>
          <w:color w:val="auto"/>
        </w:rPr>
      </w:pPr>
      <w:r>
        <w:rPr>
          <w:rFonts w:ascii="Arial" w:cs="Arial" w:eastAsia="Arial" w:hAnsi="Arial"/>
          <w:sz w:val="18"/>
          <w:szCs w:val="18"/>
          <w:b w:val="1"/>
          <w:bCs w:val="1"/>
          <w:i w:val="1"/>
          <w:iCs w:val="1"/>
          <w:color w:val="auto"/>
        </w:rPr>
        <w:t>Perquisites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 Named Executive Officers with limited perquisites that the Committee believes are reasonable and consistent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 compensation program to better enable us to attract and retain superior employees for key positions. We avoid most of the perquisites provided to executives at many other companies and, as such, we do not provide company cars, an executive dining room, paid country club memberships or paid financial counseling. The Committee periodically reviews the levels of perquisites and other personal benefits provided to Named Executive Officers. Based upon this periodic review, perquisites are awarded or adjusted on an individual basis. Named Executive Officers are not automatically awarded all, or in equal amounts, perquisites granted by the Company.</w:t>
      </w:r>
    </w:p>
    <w:p>
      <w:pPr>
        <w:spacing w:after="0" w:line="133" w:lineRule="exact"/>
        <w:rPr>
          <w:sz w:val="20"/>
          <w:szCs w:val="20"/>
          <w:color w:val="auto"/>
        </w:rPr>
      </w:pPr>
    </w:p>
    <w:p>
      <w:pPr>
        <w:jc w:val="center"/>
        <w:ind w:left="280" w:right="460"/>
        <w:spacing w:after="0" w:line="282" w:lineRule="auto"/>
        <w:rPr>
          <w:sz w:val="20"/>
          <w:szCs w:val="20"/>
          <w:color w:val="auto"/>
        </w:rPr>
      </w:pPr>
      <w:r>
        <w:rPr>
          <w:rFonts w:ascii="Arial" w:cs="Arial" w:eastAsia="Arial" w:hAnsi="Arial"/>
          <w:sz w:val="18"/>
          <w:szCs w:val="18"/>
          <w:i w:val="1"/>
          <w:iCs w:val="1"/>
          <w:color w:val="auto"/>
        </w:rPr>
        <w:t xml:space="preserve">Executive Physical. </w:t>
      </w:r>
      <w:r>
        <w:rPr>
          <w:rFonts w:ascii="Arial" w:cs="Arial" w:eastAsia="Arial" w:hAnsi="Arial"/>
          <w:sz w:val="18"/>
          <w:szCs w:val="18"/>
          <w:color w:val="auto"/>
        </w:rPr>
        <w:t>In an effort to e ncourage executives to monitor and maintain good health, we pay for voluntary annual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examinations for executives, including the Named Executive Officers.</w:t>
      </w:r>
    </w:p>
    <w:p>
      <w:pPr>
        <w:spacing w:after="0" w:line="108" w:lineRule="exact"/>
        <w:rPr>
          <w:sz w:val="20"/>
          <w:szCs w:val="20"/>
          <w:color w:val="auto"/>
        </w:rPr>
      </w:pPr>
    </w:p>
    <w:p>
      <w:pPr>
        <w:jc w:val="center"/>
        <w:ind w:left="260" w:right="20"/>
        <w:spacing w:after="0" w:line="266" w:lineRule="auto"/>
        <w:rPr>
          <w:sz w:val="20"/>
          <w:szCs w:val="20"/>
          <w:color w:val="auto"/>
        </w:rPr>
      </w:pPr>
      <w:r>
        <w:rPr>
          <w:rFonts w:ascii="Arial" w:cs="Arial" w:eastAsia="Arial" w:hAnsi="Arial"/>
          <w:sz w:val="18"/>
          <w:szCs w:val="18"/>
          <w:i w:val="1"/>
          <w:iCs w:val="1"/>
          <w:color w:val="auto"/>
        </w:rPr>
        <w:t xml:space="preserve">Motor Home Use. </w:t>
      </w:r>
      <w:r>
        <w:rPr>
          <w:rFonts w:ascii="Arial" w:cs="Arial" w:eastAsia="Arial" w:hAnsi="Arial"/>
          <w:sz w:val="18"/>
          <w:szCs w:val="18"/>
          <w:color w:val="auto"/>
        </w:rPr>
        <w:t>We provide each of our executives, including Named Executive Officers, an opportunity to utilize our motor homes on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 and temporary basis. We encourage the executive to have first hand understanding of the recreational vehicle lifestyle experienced by our customers and to provide the executive with the opportunity to evaluate product design and efficiency.</w:t>
      </w:r>
    </w:p>
    <w:p>
      <w:pPr>
        <w:spacing w:after="0" w:line="122" w:lineRule="exact"/>
        <w:rPr>
          <w:sz w:val="20"/>
          <w:szCs w:val="20"/>
          <w:color w:val="auto"/>
        </w:rPr>
      </w:pPr>
    </w:p>
    <w:p>
      <w:pPr>
        <w:jc w:val="center"/>
        <w:ind w:left="260"/>
        <w:spacing w:after="0" w:line="257" w:lineRule="auto"/>
        <w:rPr>
          <w:sz w:val="20"/>
          <w:szCs w:val="20"/>
          <w:color w:val="auto"/>
        </w:rPr>
      </w:pPr>
      <w:r>
        <w:rPr>
          <w:rFonts w:ascii="Arial" w:cs="Arial" w:eastAsia="Arial" w:hAnsi="Arial"/>
          <w:sz w:val="18"/>
          <w:szCs w:val="18"/>
          <w:i w:val="1"/>
          <w:iCs w:val="1"/>
          <w:color w:val="auto"/>
        </w:rPr>
        <w:t xml:space="preserve">Company Aircraft. </w:t>
      </w:r>
      <w:r>
        <w:rPr>
          <w:rFonts w:ascii="Arial" w:cs="Arial" w:eastAsia="Arial" w:hAnsi="Arial"/>
          <w:sz w:val="18"/>
          <w:szCs w:val="18"/>
          <w:color w:val="auto"/>
        </w:rPr>
        <w:t>Our aircraft is intended to be used only in the conduct of officia l company business. When our aircraft makes flights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of company business, Named Executive Officers while not on official company business as well as other passengers who are not company employees may occupy seats only when approved by the CEO. Occasionally, spouses or guests of Named Executive Officers may accompany the executive on a flight or may occupy an available seat on the aircraft. As appropriate, imputed cost of aircraft use is treated as compensation and reported according to IRS regulations. In Fiscal 2010, none of the Named Executive Officers utilized our aircraft for personal use.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Other Matters</w:t>
      </w:r>
    </w:p>
    <w:p>
      <w:pPr>
        <w:spacing w:after="0" w:line="175" w:lineRule="exact"/>
        <w:rPr>
          <w:sz w:val="20"/>
          <w:szCs w:val="20"/>
          <w:color w:val="auto"/>
        </w:rPr>
      </w:pPr>
    </w:p>
    <w:p>
      <w:pPr>
        <w:jc w:val="center"/>
        <w:ind w:left="260" w:right="20"/>
        <w:spacing w:after="0" w:line="258" w:lineRule="auto"/>
        <w:rPr>
          <w:sz w:val="20"/>
          <w:szCs w:val="20"/>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In 1999, the Committee adopted Stock Ownership Guidelines for executives. In general, each executive has five</w:t>
      </w:r>
      <w:r>
        <w:rPr>
          <w:rFonts w:ascii="Arial" w:cs="Arial" w:eastAsia="Arial" w:hAnsi="Arial"/>
          <w:sz w:val="18"/>
          <w:szCs w:val="18"/>
          <w:i w:val="1"/>
          <w:iCs w:val="1"/>
          <w:color w:val="auto"/>
        </w:rPr>
        <w:t xml:space="preserve"> </w:t>
      </w:r>
      <w:r>
        <w:rPr>
          <w:rFonts w:ascii="Arial" w:cs="Arial" w:eastAsia="Arial" w:hAnsi="Arial"/>
          <w:sz w:val="18"/>
          <w:szCs w:val="18"/>
          <w:color w:val="auto"/>
        </w:rPr>
        <w:t>years from the date he or she becomes an executive to accumulate the appropriate number of shares. The purpose of the guidelines is to encourage our executive officers to own and retain Company shares, thereby aligning their interests with our shareholders. Although these guidelines are not mandatory, executive officers are strongly encouraged to follow them. However, special personal circumstances may require an executive officer to depart from the guidelines.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41" w:right="259" w:bottom="1440" w:gutter="0" w:footer="0" w:header="0"/>
        </w:sectPr>
      </w:pPr>
    </w:p>
    <w:bookmarkStart w:id="30" w:name="page31"/>
    <w:bookmarkEnd w:id="30"/>
    <w:p>
      <w:pPr>
        <w:jc w:val="cente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 ntents</w:t>
        </w:r>
      </w:hyperlink>
    </w:p>
    <w:p>
      <w:pPr>
        <w:spacing w:after="0" w:line="353"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color w:val="auto"/>
        </w:rPr>
        <w:t>The table below describes the ownership guidelines for the CEO and each of the other Named Executive Officers and the number of shares beneficially owned for the purposes of the guidelines as of October 5, 2010.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3940" w:type="dxa"/>
            <w:vAlign w:val="bottom"/>
          </w:tcPr>
          <w:p>
            <w:pPr>
              <w:jc w:val="center"/>
              <w:ind w:left="1694"/>
              <w:spacing w:after="0"/>
              <w:rPr>
                <w:sz w:val="20"/>
                <w:szCs w:val="20"/>
                <w:color w:val="auto"/>
              </w:rPr>
            </w:pPr>
            <w:r>
              <w:rPr>
                <w:rFonts w:ascii="Arial" w:cs="Arial" w:eastAsia="Arial" w:hAnsi="Arial"/>
                <w:sz w:val="16"/>
                <w:szCs w:val="16"/>
                <w:b w:val="1"/>
                <w:bCs w:val="1"/>
                <w:color w:val="auto"/>
              </w:rPr>
              <w:t>Ownership</w:t>
            </w:r>
          </w:p>
        </w:tc>
        <w:tc>
          <w:tcPr>
            <w:tcW w:w="1660" w:type="dxa"/>
            <w:vAlign w:val="bottom"/>
          </w:tcPr>
          <w:p>
            <w:pPr>
              <w:jc w:val="center"/>
              <w:ind w:right="254"/>
              <w:spacing w:after="0"/>
              <w:rPr>
                <w:sz w:val="20"/>
                <w:szCs w:val="20"/>
                <w:color w:val="auto"/>
              </w:rPr>
            </w:pPr>
            <w:r>
              <w:rPr>
                <w:rFonts w:ascii="Arial" w:cs="Arial" w:eastAsia="Arial" w:hAnsi="Arial"/>
                <w:sz w:val="16"/>
                <w:szCs w:val="16"/>
                <w:b w:val="1"/>
                <w:bCs w:val="1"/>
                <w:color w:val="auto"/>
                <w:w w:val="98"/>
              </w:rPr>
              <w:t>Actual</w:t>
            </w:r>
          </w:p>
        </w:tc>
        <w:tc>
          <w:tcPr>
            <w:tcW w:w="1620" w:type="dxa"/>
            <w:vAlign w:val="bottom"/>
          </w:tcPr>
          <w:p>
            <w:pPr>
              <w:spacing w:after="0"/>
              <w:rPr>
                <w:sz w:val="16"/>
                <w:szCs w:val="16"/>
                <w:color w:val="auto"/>
              </w:rPr>
            </w:pPr>
          </w:p>
        </w:tc>
      </w:tr>
      <w:tr>
        <w:trPr>
          <w:trHeight w:val="189"/>
        </w:trPr>
        <w:tc>
          <w:tcPr>
            <w:tcW w:w="4200" w:type="dxa"/>
            <w:vAlign w:val="bottom"/>
          </w:tcPr>
          <w:p>
            <w:pPr>
              <w:spacing w:after="0"/>
              <w:rPr>
                <w:sz w:val="16"/>
                <w:szCs w:val="16"/>
                <w:color w:val="auto"/>
              </w:rPr>
            </w:pPr>
          </w:p>
        </w:tc>
        <w:tc>
          <w:tcPr>
            <w:tcW w:w="3940" w:type="dxa"/>
            <w:vAlign w:val="bottom"/>
          </w:tcPr>
          <w:p>
            <w:pPr>
              <w:jc w:val="center"/>
              <w:ind w:left="1694"/>
              <w:spacing w:after="0"/>
              <w:rPr>
                <w:sz w:val="20"/>
                <w:szCs w:val="20"/>
                <w:color w:val="auto"/>
              </w:rPr>
            </w:pPr>
            <w:r>
              <w:rPr>
                <w:rFonts w:ascii="Arial" w:cs="Arial" w:eastAsia="Arial" w:hAnsi="Arial"/>
                <w:sz w:val="16"/>
                <w:szCs w:val="16"/>
                <w:b w:val="1"/>
                <w:bCs w:val="1"/>
                <w:color w:val="auto"/>
              </w:rPr>
              <w:t>Guidelines-</w:t>
            </w:r>
          </w:p>
        </w:tc>
        <w:tc>
          <w:tcPr>
            <w:tcW w:w="1660" w:type="dxa"/>
            <w:vAlign w:val="bottom"/>
          </w:tcPr>
          <w:p>
            <w:pPr>
              <w:jc w:val="center"/>
              <w:ind w:right="254"/>
              <w:spacing w:after="0"/>
              <w:rPr>
                <w:sz w:val="20"/>
                <w:szCs w:val="20"/>
                <w:color w:val="auto"/>
              </w:rPr>
            </w:pPr>
            <w:r>
              <w:rPr>
                <w:rFonts w:ascii="Arial" w:cs="Arial" w:eastAsia="Arial" w:hAnsi="Arial"/>
                <w:sz w:val="16"/>
                <w:szCs w:val="16"/>
                <w:b w:val="1"/>
                <w:bCs w:val="1"/>
                <w:color w:val="auto"/>
              </w:rPr>
              <w:t>Shares</w:t>
            </w:r>
          </w:p>
        </w:tc>
        <w:tc>
          <w:tcPr>
            <w:tcW w:w="1620" w:type="dxa"/>
            <w:vAlign w:val="bottom"/>
          </w:tcPr>
          <w:p>
            <w:pPr>
              <w:jc w:val="center"/>
              <w:ind w:right="53"/>
              <w:spacing w:after="0"/>
              <w:rPr>
                <w:sz w:val="20"/>
                <w:szCs w:val="20"/>
                <w:color w:val="auto"/>
              </w:rPr>
            </w:pPr>
            <w:r>
              <w:rPr>
                <w:rFonts w:ascii="Arial" w:cs="Arial" w:eastAsia="Arial" w:hAnsi="Arial"/>
                <w:sz w:val="16"/>
                <w:szCs w:val="16"/>
                <w:b w:val="1"/>
                <w:bCs w:val="1"/>
                <w:color w:val="auto"/>
              </w:rPr>
              <w:t>Percentage</w:t>
            </w:r>
          </w:p>
        </w:tc>
      </w:tr>
      <w:tr>
        <w:trPr>
          <w:trHeight w:val="189"/>
        </w:trPr>
        <w:tc>
          <w:tcPr>
            <w:tcW w:w="4200" w:type="dxa"/>
            <w:vAlign w:val="bottom"/>
          </w:tcPr>
          <w:p>
            <w:pPr>
              <w:spacing w:after="0"/>
              <w:rPr>
                <w:sz w:val="16"/>
                <w:szCs w:val="16"/>
                <w:color w:val="auto"/>
              </w:rPr>
            </w:pPr>
          </w:p>
        </w:tc>
        <w:tc>
          <w:tcPr>
            <w:tcW w:w="3940" w:type="dxa"/>
            <w:vAlign w:val="bottom"/>
          </w:tcPr>
          <w:p>
            <w:pPr>
              <w:jc w:val="center"/>
              <w:ind w:left="1694"/>
              <w:spacing w:after="0"/>
              <w:rPr>
                <w:sz w:val="20"/>
                <w:szCs w:val="20"/>
                <w:color w:val="auto"/>
              </w:rPr>
            </w:pPr>
            <w:r>
              <w:rPr>
                <w:rFonts w:ascii="Arial" w:cs="Arial" w:eastAsia="Arial" w:hAnsi="Arial"/>
                <w:sz w:val="16"/>
                <w:szCs w:val="16"/>
                <w:b w:val="1"/>
                <w:bCs w:val="1"/>
                <w:color w:val="auto"/>
              </w:rPr>
              <w:t>Percentage of</w:t>
            </w:r>
          </w:p>
        </w:tc>
        <w:tc>
          <w:tcPr>
            <w:tcW w:w="1660" w:type="dxa"/>
            <w:vAlign w:val="bottom"/>
          </w:tcPr>
          <w:p>
            <w:pPr>
              <w:jc w:val="center"/>
              <w:ind w:right="254"/>
              <w:spacing w:after="0"/>
              <w:rPr>
                <w:sz w:val="20"/>
                <w:szCs w:val="20"/>
                <w:color w:val="auto"/>
              </w:rPr>
            </w:pPr>
            <w:r>
              <w:rPr>
                <w:rFonts w:ascii="Arial" w:cs="Arial" w:eastAsia="Arial" w:hAnsi="Arial"/>
                <w:sz w:val="16"/>
                <w:szCs w:val="16"/>
                <w:b w:val="1"/>
                <w:bCs w:val="1"/>
                <w:color w:val="auto"/>
              </w:rPr>
              <w:t>Beneficially</w:t>
            </w:r>
          </w:p>
        </w:tc>
        <w:tc>
          <w:tcPr>
            <w:tcW w:w="1620" w:type="dxa"/>
            <w:vAlign w:val="bottom"/>
          </w:tcPr>
          <w:p>
            <w:pPr>
              <w:jc w:val="center"/>
              <w:ind w:right="73"/>
              <w:spacing w:after="0"/>
              <w:rPr>
                <w:sz w:val="20"/>
                <w:szCs w:val="20"/>
                <w:color w:val="auto"/>
              </w:rPr>
            </w:pPr>
            <w:r>
              <w:rPr>
                <w:rFonts w:ascii="Arial" w:cs="Arial" w:eastAsia="Arial" w:hAnsi="Arial"/>
                <w:sz w:val="16"/>
                <w:szCs w:val="16"/>
                <w:b w:val="1"/>
                <w:bCs w:val="1"/>
                <w:color w:val="auto"/>
              </w:rPr>
              <w:t>of Guideline</w:t>
            </w:r>
          </w:p>
        </w:tc>
      </w:tr>
      <w:tr>
        <w:trPr>
          <w:trHeight w:val="234"/>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Named Executive Officer</w:t>
            </w:r>
          </w:p>
        </w:tc>
        <w:tc>
          <w:tcPr>
            <w:tcW w:w="3940" w:type="dxa"/>
            <w:vAlign w:val="bottom"/>
            <w:tcBorders>
              <w:bottom w:val="single" w:sz="8" w:color="auto"/>
            </w:tcBorders>
          </w:tcPr>
          <w:p>
            <w:pPr>
              <w:jc w:val="center"/>
              <w:ind w:left="1714"/>
              <w:spacing w:after="0" w:line="234" w:lineRule="exact"/>
              <w:rPr>
                <w:sz w:val="20"/>
                <w:szCs w:val="20"/>
                <w:color w:val="auto"/>
              </w:rPr>
            </w:pPr>
            <w:r>
              <w:rPr>
                <w:rFonts w:ascii="Arial" w:cs="Arial" w:eastAsia="Arial" w:hAnsi="Arial"/>
                <w:sz w:val="16"/>
                <w:szCs w:val="16"/>
                <w:b w:val="1"/>
                <w:bCs w:val="1"/>
                <w:color w:val="auto"/>
                <w:w w:val="98"/>
              </w:rPr>
              <w:t>Annual Salary</w:t>
            </w:r>
            <w:r>
              <w:rPr>
                <w:rFonts w:ascii="Arial" w:cs="Arial" w:eastAsia="Arial" w:hAnsi="Arial"/>
                <w:sz w:val="21"/>
                <w:szCs w:val="21"/>
                <w:b w:val="1"/>
                <w:bCs w:val="1"/>
                <w:color w:val="auto"/>
                <w:w w:val="98"/>
                <w:vertAlign w:val="superscript"/>
              </w:rPr>
              <w:t>(1)</w:t>
            </w:r>
          </w:p>
        </w:tc>
        <w:tc>
          <w:tcPr>
            <w:tcW w:w="1660" w:type="dxa"/>
            <w:vAlign w:val="bottom"/>
            <w:tcBorders>
              <w:bottom w:val="single" w:sz="8" w:color="auto"/>
            </w:tcBorders>
          </w:tcPr>
          <w:p>
            <w:pPr>
              <w:jc w:val="center"/>
              <w:ind w:right="254"/>
              <w:spacing w:after="0"/>
              <w:rPr>
                <w:sz w:val="20"/>
                <w:szCs w:val="20"/>
                <w:color w:val="auto"/>
              </w:rPr>
            </w:pPr>
            <w:r>
              <w:rPr>
                <w:rFonts w:ascii="Arial" w:cs="Arial" w:eastAsia="Arial" w:hAnsi="Arial"/>
                <w:sz w:val="16"/>
                <w:szCs w:val="16"/>
                <w:b w:val="1"/>
                <w:bCs w:val="1"/>
                <w:color w:val="auto"/>
              </w:rPr>
              <w:t>Owned</w:t>
            </w:r>
          </w:p>
        </w:tc>
        <w:tc>
          <w:tcPr>
            <w:tcW w:w="1620" w:type="dxa"/>
            <w:vAlign w:val="bottom"/>
            <w:tcBorders>
              <w:bottom w:val="single" w:sz="8" w:color="auto"/>
            </w:tcBorders>
          </w:tcPr>
          <w:p>
            <w:pPr>
              <w:jc w:val="center"/>
              <w:ind w:right="73"/>
              <w:spacing w:after="0" w:line="234" w:lineRule="exact"/>
              <w:rPr>
                <w:sz w:val="20"/>
                <w:szCs w:val="20"/>
                <w:color w:val="auto"/>
              </w:rPr>
            </w:pPr>
            <w:r>
              <w:rPr>
                <w:rFonts w:ascii="Arial" w:cs="Arial" w:eastAsia="Arial" w:hAnsi="Arial"/>
                <w:sz w:val="16"/>
                <w:szCs w:val="16"/>
                <w:b w:val="1"/>
                <w:bCs w:val="1"/>
                <w:color w:val="auto"/>
                <w:w w:val="96"/>
              </w:rPr>
              <w:t>Attained</w:t>
            </w:r>
            <w:r>
              <w:rPr>
                <w:rFonts w:ascii="Arial" w:cs="Arial" w:eastAsia="Arial" w:hAnsi="Arial"/>
                <w:sz w:val="21"/>
                <w:szCs w:val="21"/>
                <w:b w:val="1"/>
                <w:bCs w:val="1"/>
                <w:color w:val="auto"/>
                <w:w w:val="96"/>
                <w:vertAlign w:val="superscript"/>
              </w:rPr>
              <w:t>(2)</w:t>
            </w:r>
          </w:p>
        </w:tc>
      </w:tr>
      <w:tr>
        <w:trPr>
          <w:trHeight w:val="250"/>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Robert J. Olson</w:t>
            </w:r>
          </w:p>
        </w:tc>
        <w:tc>
          <w:tcPr>
            <w:tcW w:w="3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400%</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24,030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4200" w:type="dxa"/>
            <w:vAlign w:val="bottom"/>
          </w:tcPr>
          <w:p>
            <w:pPr>
              <w:ind w:left="40"/>
              <w:spacing w:after="0"/>
              <w:rPr>
                <w:sz w:val="20"/>
                <w:szCs w:val="20"/>
                <w:color w:val="auto"/>
              </w:rPr>
            </w:pPr>
            <w:r>
              <w:rPr>
                <w:rFonts w:ascii="Arial" w:cs="Arial" w:eastAsia="Arial" w:hAnsi="Arial"/>
                <w:sz w:val="18"/>
                <w:szCs w:val="18"/>
                <w:color w:val="auto"/>
              </w:rPr>
              <w:t>Raymond M. Beebe</w:t>
            </w:r>
          </w:p>
        </w:tc>
        <w:tc>
          <w:tcPr>
            <w:tcW w:w="3940" w:type="dxa"/>
            <w:vAlign w:val="bottom"/>
          </w:tcPr>
          <w:p>
            <w:pPr>
              <w:jc w:val="right"/>
              <w:ind w:right="134"/>
              <w:spacing w:after="0"/>
              <w:rPr>
                <w:sz w:val="20"/>
                <w:szCs w:val="20"/>
                <w:color w:val="auto"/>
              </w:rPr>
            </w:pPr>
            <w:r>
              <w:rPr>
                <w:rFonts w:ascii="Arial" w:cs="Arial" w:eastAsia="Arial" w:hAnsi="Arial"/>
                <w:sz w:val="18"/>
                <w:szCs w:val="18"/>
                <w:color w:val="auto"/>
              </w:rPr>
              <w:t>250%</w:t>
            </w:r>
          </w:p>
        </w:tc>
        <w:tc>
          <w:tcPr>
            <w:tcW w:w="1660" w:type="dxa"/>
            <w:vAlign w:val="bottom"/>
          </w:tcPr>
          <w:p>
            <w:pPr>
              <w:jc w:val="right"/>
              <w:ind w:right="174"/>
              <w:spacing w:after="0"/>
              <w:rPr>
                <w:sz w:val="20"/>
                <w:szCs w:val="20"/>
                <w:color w:val="auto"/>
              </w:rPr>
            </w:pPr>
            <w:r>
              <w:rPr>
                <w:rFonts w:ascii="Arial" w:cs="Arial" w:eastAsia="Arial" w:hAnsi="Arial"/>
                <w:sz w:val="18"/>
                <w:szCs w:val="18"/>
                <w:color w:val="auto"/>
              </w:rPr>
              <w:t>8,472</w:t>
            </w: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Roger W. Martin</w:t>
            </w:r>
          </w:p>
        </w:tc>
        <w:tc>
          <w:tcPr>
            <w:tcW w:w="3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250%</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11,847</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4200" w:type="dxa"/>
            <w:vAlign w:val="bottom"/>
          </w:tcPr>
          <w:p>
            <w:pPr>
              <w:ind w:left="40"/>
              <w:spacing w:after="0"/>
              <w:rPr>
                <w:sz w:val="20"/>
                <w:szCs w:val="20"/>
                <w:color w:val="auto"/>
              </w:rPr>
            </w:pPr>
            <w:r>
              <w:rPr>
                <w:rFonts w:ascii="Arial" w:cs="Arial" w:eastAsia="Arial" w:hAnsi="Arial"/>
                <w:sz w:val="18"/>
                <w:szCs w:val="18"/>
                <w:color w:val="auto"/>
              </w:rPr>
              <w:t xml:space="preserve">Sarah N. Nielsen  </w:t>
            </w:r>
            <w:r>
              <w:rPr>
                <w:rFonts w:ascii="Arial" w:cs="Arial" w:eastAsia="Arial" w:hAnsi="Arial"/>
                <w:sz w:val="21"/>
                <w:szCs w:val="21"/>
                <w:color w:val="auto"/>
                <w:vertAlign w:val="superscript"/>
              </w:rPr>
              <w:t>&amp;nb sp;</w:t>
            </w:r>
          </w:p>
        </w:tc>
        <w:tc>
          <w:tcPr>
            <w:tcW w:w="3940" w:type="dxa"/>
            <w:vAlign w:val="bottom"/>
          </w:tcPr>
          <w:p>
            <w:pPr>
              <w:jc w:val="right"/>
              <w:ind w:right="134"/>
              <w:spacing w:after="0"/>
              <w:rPr>
                <w:sz w:val="20"/>
                <w:szCs w:val="20"/>
                <w:color w:val="auto"/>
              </w:rPr>
            </w:pPr>
            <w:r>
              <w:rPr>
                <w:rFonts w:ascii="Arial" w:cs="Arial" w:eastAsia="Arial" w:hAnsi="Arial"/>
                <w:sz w:val="18"/>
                <w:szCs w:val="18"/>
                <w:color w:val="auto"/>
              </w:rPr>
              <w:t>250%</w:t>
            </w:r>
          </w:p>
        </w:tc>
        <w:tc>
          <w:tcPr>
            <w:tcW w:w="1660" w:type="dxa"/>
            <w:vAlign w:val="bottom"/>
          </w:tcPr>
          <w:p>
            <w:pPr>
              <w:jc w:val="right"/>
              <w:ind w:right="174"/>
              <w:spacing w:after="0"/>
              <w:rPr>
                <w:sz w:val="20"/>
                <w:szCs w:val="20"/>
                <w:color w:val="auto"/>
              </w:rPr>
            </w:pPr>
            <w:r>
              <w:rPr>
                <w:rFonts w:ascii="Arial" w:cs="Arial" w:eastAsia="Arial" w:hAnsi="Arial"/>
                <w:sz w:val="18"/>
                <w:szCs w:val="18"/>
                <w:color w:val="auto"/>
              </w:rPr>
              <w:t>7,444</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William J. O'Leary</w:t>
            </w:r>
          </w:p>
        </w:tc>
        <w:tc>
          <w:tcPr>
            <w:tcW w:w="3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250%</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17,000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5" w:lineRule="exact"/>
        <w:rPr>
          <w:sz w:val="20"/>
          <w:szCs w:val="20"/>
          <w:color w:val="auto"/>
        </w:rPr>
      </w:pPr>
    </w:p>
    <w:p>
      <w:pPr>
        <w:ind w:left="340" w:right="480" w:hanging="332"/>
        <w:spacing w:after="0" w:line="241"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4"/>
          <w:szCs w:val="14"/>
          <w:color w:val="auto"/>
        </w:rPr>
        <w:t>Based upon the annual base salary in effect for each of the Named Executive Officers as of August 28, 2010 (Mr. Olson - $371,200; Mr. Beebe - $232,924; Mr. Martin - $223,330; Ms. Nielsen - $221,364 and Mr. O'Leary - $222,160).</w:t>
      </w:r>
    </w:p>
    <w:p>
      <w:pPr>
        <w:ind w:left="240" w:hanging="232"/>
        <w:spacing w:after="0"/>
        <w:tabs>
          <w:tab w:leader="none" w:pos="2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 xml:space="preserve">&amp; nbsp; </w:t>
      </w:r>
      <w:r>
        <w:rPr>
          <w:rFonts w:ascii="Arial" w:cs="Arial" w:eastAsia="Arial" w:hAnsi="Arial"/>
          <w:sz w:val="14"/>
          <w:szCs w:val="14"/>
          <w:color w:val="auto"/>
        </w:rPr>
        <w:t>Based upon the closing market price of $10.80 per share, the Company's Common Stock as quoted on the NYSE on October 5, 2010.</w:t>
      </w:r>
    </w:p>
    <w:p>
      <w:pPr>
        <w:spacing w:after="0" w:line="140"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i w:val="1"/>
          <w:iCs w:val="1"/>
          <w:color w:val="auto"/>
        </w:rPr>
        <w:t xml:space="preserve">Severance Payments. </w:t>
      </w:r>
      <w:r>
        <w:rPr>
          <w:rFonts w:ascii="Arial" w:cs="Arial" w:eastAsia="Arial" w:hAnsi="Arial"/>
          <w:sz w:val="18"/>
          <w:szCs w:val="18"/>
          <w:color w:val="auto"/>
        </w:rPr>
        <w:t>The compensation package of each Named Executive Officer also provides for special payments and accelerated</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other compensation opportunities upon termination of employment or in specified circumstances involving significant reduction of duties or in working conditions. We have entered into change of control agreements with each of the Named Executive Officers and certain other executive officers (collectively, “Executive Change of Control Agreements”).</w:t>
      </w:r>
    </w:p>
    <w:p>
      <w:pPr>
        <w:spacing w:after="0" w:line="144"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The Executive Change of Control Agreements generally provide that, in the event of a termination of the executive's employment (for a reason other than death, disability, willful misconduct, normal retirement or, under certain circumstances, a voluntary termination of employment by the executive) within three years of a change of control, such executive will receive a cash payment and certain other benefits.</w:t>
      </w:r>
    </w:p>
    <w:p>
      <w:pPr>
        <w:spacing w:after="0" w:line="148"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auto"/>
        </w:rPr>
        <w:t>The Committee believes these agreements are an important part of the total executive compensation program because they protect our interest in the continuity and stability of the executive group. The Committee also believes that these agreements reduce the executives' interest in working against a potential change of control and help to keep them focused on minimizing interruptions in business operations by reducin g any concerns they may have of being terminated prematurely and without cause during any ownership transition. See “Potential Payments upon Termination or Change of Control-Executive Change of Control Agreements” below for additional detail.</w:t>
      </w:r>
    </w:p>
    <w:p>
      <w:pPr>
        <w:spacing w:after="0" w:line="152"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color w:val="auto"/>
        </w:rPr>
        <w:t>We have not provided any executives with special agreements regarding severance with the exception of the Executive Change of Control Agreements referenced above. Our executives are eligible, however, for the same severance program afforded to all salaried employees when an employee is terminated for circumstances outside of their control. Essentially, this program provides for one week of severance pay for each full year of continuous service, up to a maximum of 26 weeks. One week of severance pay is equal to the executive's weekly base compensation.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Notwithstanding anything to the contrary set forth in any of our filings under the Securities Act of 1933, as amended, or the Securities</w:t>
      </w:r>
    </w:p>
    <w:p>
      <w:pPr>
        <w:spacing w:after="0" w:line="27"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i w:val="1"/>
          <w:iCs w:val="1"/>
          <w:color w:val="auto"/>
        </w:rPr>
        <w:t>Exchange Act of 1934, as amended, that might incorporate other filings with the SEC, including this Proxy Statement, in whole or in part, the following Winnebago Industries Human Resources Committee Report on Compensation Discussion and Analysis shall not be deemed to be incorporated by reference into any such filings.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Resources Committee Report</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Human Resources Committee (the &amp; ldquo;Committee”) discharges the Board's responsibilities relating to compensation of the Company's executive officers. The Committee approves and evaluates all compensation of executive officers, including salaries, bonuses, and compensation plans, policies and programs.</w:t>
      </w:r>
    </w:p>
    <w:p>
      <w:pPr>
        <w:spacing w:after="0" w:line="14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Committee also fulfills its duties with respect to the Compensation Discussion and Analysis and Human Resources Committee Report on Compensation Discussion and Analysis portions of the Proxy Statement, as described in the Committee's Charter.</w:t>
      </w:r>
    </w:p>
    <w:p>
      <w:pPr>
        <w:spacing w:after="0" w:line="14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Compensation Discussion and Analysis has been prepared by Management. The Company is responsible for the Compensation Discussion and Analysis and for the disclosure controls relating to executive compensation. The C ompensation Discussion and Analysis is not a report or disclosure of the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Human Resources Committee of Winnebago Industries, Inc.'s Board of Directors:</w:t>
      </w:r>
    </w:p>
    <w:p>
      <w:pPr>
        <w:spacing w:after="0" w:line="9" w:lineRule="exact"/>
        <w:rPr>
          <w:sz w:val="20"/>
          <w:szCs w:val="20"/>
          <w:color w:val="auto"/>
        </w:rPr>
      </w:pPr>
    </w:p>
    <w:p>
      <w:pPr>
        <w:ind w:left="340" w:right="340" w:hanging="332"/>
        <w:spacing w:after="0" w:line="250"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reviewed and discussed the Compensation Discussion and Analysis included in this Proxy Statement and the 2010 Form 10-K with Management; and</w:t>
      </w: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such review and discussions, the Human Resources Committee recommended to the Board of Directors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41" w:right="239" w:bottom="1440" w:gutter="0" w:footer="0" w:header="0"/>
        </w:sectPr>
      </w:pPr>
    </w:p>
    <w:bookmarkStart w:id="31" w:name="page32"/>
    <w:bookmarkEnd w:id="31"/>
    <w:p>
      <w:pPr>
        <w:jc w:val="center"/>
        <w:ind w:right="-379"/>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that the Compensation Discussion and Analysis be included in this Proxy Statement and the 2010 Form 10-K.</w:t>
      </w:r>
    </w:p>
    <w:p>
      <w:pPr>
        <w:spacing w:after="0" w:line="17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Human Resources Committee:</w:t>
      </w:r>
    </w:p>
    <w:p>
      <w:pPr>
        <w:spacing w:after="0" w:line="17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Gerald C. Kitch, Chairman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Irvin E. Aal</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M. Chiusano</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Lawrence A. Erickson</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Human Resources Committee Interlocks and Insider Participation. </w:t>
      </w:r>
      <w:r>
        <w:rPr>
          <w:rFonts w:ascii="Arial" w:cs="Arial" w:eastAsia="Arial" w:hAnsi="Arial"/>
          <w:sz w:val="18"/>
          <w:szCs w:val="18"/>
          <w:color w:val="auto"/>
        </w:rPr>
        <w:t>The current members of the Human Resources Committee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Messrs. Kitch, Aal, Chiusano and Erickson, were not at any time during Fiscal 2010 or at any other time a Winnebago Industries officer or employee, and no member had any relationship with the Company requiring disclosure under applicable SEC rules. No executive officer has served on the board of directors or compensation comm ittee of any other entity that has or has had one or more executive officers who served as a member of our Board of Directors or the Human Resources Committee during Fiscal 2010.</w:t>
      </w:r>
    </w:p>
    <w:p>
      <w:pPr>
        <w:spacing w:after="0" w:line="36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60"/>
          </w:cols>
          <w:pgMar w:left="240" w:top="141" w:right="599" w:bottom="1440" w:gutter="0" w:footer="0" w:header="0"/>
        </w:sectPr>
      </w:pPr>
    </w:p>
    <w:bookmarkStart w:id="32" w:name="page33"/>
    <w:bookmarkEnd w:id="32"/>
    <w:p>
      <w:pPr>
        <w:jc w:val="cente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Tables and Narrative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following tables set forth compensation information for our Named Executive Officers for services rendered in all capacities to Winnebago Industries in Fiscal Years 2010, 2009 and 2008, except that Mr. Martin's 2008 compensation information is not included as he was not among the Named Executive Officers included in the Summary Compensation Table for that year. Refer to the section “Compensation Discussion and Analysis” above for an explanation of the elements used in setting the compensation for our Named Executive Officers.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jc w:val="center"/>
              <w:ind w:right="21"/>
              <w:spacing w:after="0"/>
              <w:rPr>
                <w:sz w:val="20"/>
                <w:szCs w:val="20"/>
                <w:color w:val="auto"/>
              </w:rPr>
            </w:pPr>
            <w:r>
              <w:rPr>
                <w:rFonts w:ascii="Arial" w:cs="Arial" w:eastAsia="Arial" w:hAnsi="Arial"/>
                <w:sz w:val="14"/>
                <w:szCs w:val="14"/>
                <w:b w:val="1"/>
                <w:bCs w:val="1"/>
                <w:color w:val="auto"/>
              </w:rPr>
              <w:t>Non-Equity</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ind w:right="21"/>
              <w:spacing w:after="0"/>
              <w:rPr>
                <w:sz w:val="20"/>
                <w:szCs w:val="20"/>
                <w:color w:val="auto"/>
              </w:rPr>
            </w:pPr>
            <w:r>
              <w:rPr>
                <w:rFonts w:ascii="Arial" w:cs="Arial" w:eastAsia="Arial" w:hAnsi="Arial"/>
                <w:sz w:val="14"/>
                <w:szCs w:val="14"/>
                <w:b w:val="1"/>
                <w:bCs w:val="1"/>
                <w:color w:val="auto"/>
              </w:rPr>
              <w:t>Incentive Plan</w:t>
            </w:r>
          </w:p>
        </w:tc>
        <w:tc>
          <w:tcPr>
            <w:tcW w:w="180" w:type="dxa"/>
            <w:vAlign w:val="bottom"/>
          </w:tcPr>
          <w:p>
            <w:pPr>
              <w:spacing w:after="0"/>
              <w:rPr>
                <w:sz w:val="14"/>
                <w:szCs w:val="14"/>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34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Name (a)</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7"/>
                <w:szCs w:val="17"/>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7"/>
                <w:szCs w:val="17"/>
                <w:b w:val="1"/>
                <w:bCs w:val="1"/>
                <w:color w:val="auto"/>
                <w:vertAlign w:val="superscript"/>
              </w:rPr>
              <w:t>(3)</w:t>
            </w: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7"/>
                <w:szCs w:val="17"/>
                <w:b w:val="1"/>
                <w:bCs w:val="1"/>
                <w:color w:val="auto"/>
                <w:w w:val="98"/>
                <w:vertAlign w:val="superscript"/>
              </w:rPr>
              <w:t>(4)</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7"/>
                <w:szCs w:val="17"/>
                <w:b w:val="1"/>
                <w:bCs w:val="1"/>
                <w:color w:val="auto"/>
                <w:vertAlign w:val="superscript"/>
              </w:rPr>
              <w:t>(5)</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   371,200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4,523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Chairman, CEO and President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401,539</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31,957</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5,859</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2008</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396,369</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282,100</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23,404</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29,497</w:t>
            </w:r>
          </w:p>
        </w:tc>
        <w:tc>
          <w:tcPr>
            <w:tcW w:w="100" w:type="dxa"/>
            <w:vAlign w:val="bottom"/>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731,370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800" w:type="dxa"/>
            <w:vAlign w:val="bottom"/>
          </w:tcPr>
          <w:p>
            <w:pPr>
              <w:jc w:val="center"/>
              <w:spacing w:after="0"/>
              <w:rPr>
                <w:sz w:val="20"/>
                <w:szCs w:val="20"/>
                <w:color w:val="auto"/>
              </w:rPr>
            </w:pPr>
            <w:r>
              <w:rPr>
                <w:rFonts w:ascii="Arial" w:cs="Arial" w:eastAsia="Arial" w:hAnsi="Arial"/>
                <w:sz w:val="16"/>
                <w:szCs w:val="16"/>
                <w:color w:val="auto"/>
              </w:rPr>
              <w:t>2010</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232,924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13,393</w:t>
            </w:r>
          </w:p>
        </w:tc>
        <w:tc>
          <w:tcPr>
            <w:tcW w:w="16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9,127</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40" w:type="dxa"/>
            <w:vAlign w:val="bottom"/>
          </w:tcPr>
          <w:p>
            <w:pPr>
              <w:ind w:left="280"/>
              <w:spacing w:after="0"/>
              <w:rPr>
                <w:sz w:val="20"/>
                <w:szCs w:val="20"/>
                <w:color w:val="auto"/>
              </w:rPr>
            </w:pPr>
            <w:r>
              <w:rPr>
                <w:rFonts w:ascii="Arial" w:cs="Arial" w:eastAsia="Arial" w:hAnsi="Arial"/>
                <w:sz w:val="16"/>
                <w:szCs w:val="16"/>
                <w:color w:val="auto"/>
              </w:rPr>
              <w:t>Vice President, General Counsel and</w:t>
            </w:r>
          </w:p>
        </w:tc>
        <w:tc>
          <w:tcPr>
            <w:tcW w:w="800" w:type="dxa"/>
            <w:vAlign w:val="bottom"/>
          </w:tcPr>
          <w:p>
            <w:pPr>
              <w:jc w:val="center"/>
              <w:spacing w:after="0"/>
              <w:rPr>
                <w:sz w:val="20"/>
                <w:szCs w:val="20"/>
                <w:color w:val="auto"/>
              </w:rPr>
            </w:pPr>
            <w:r>
              <w:rPr>
                <w:rFonts w:ascii="Arial" w:cs="Arial" w:eastAsia="Arial" w:hAnsi="Arial"/>
                <w:sz w:val="16"/>
                <w:szCs w:val="16"/>
                <w:color w:val="auto"/>
              </w:rPr>
              <w:t>2009</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236,408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14,460</w:t>
            </w:r>
          </w:p>
        </w:tc>
        <w:tc>
          <w:tcPr>
            <w:tcW w:w="160" w:type="dxa"/>
            <w:vAlign w:val="bottom"/>
          </w:tcPr>
          <w:p>
            <w:pPr>
              <w:spacing w:after="0"/>
              <w:rPr>
                <w:sz w:val="20"/>
                <w:szCs w:val="20"/>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80"/>
              <w:spacing w:after="0"/>
              <w:rPr>
                <w:sz w:val="20"/>
                <w:szCs w:val="20"/>
                <w:color w:val="auto"/>
              </w:rPr>
            </w:pPr>
            <w:r>
              <w:rPr>
                <w:rFonts w:ascii="Arial" w:cs="Arial" w:eastAsia="Arial" w:hAnsi="Arial"/>
                <w:sz w:val="16"/>
                <w:szCs w:val="16"/>
                <w:color w:val="auto"/>
              </w:rPr>
              <w:t>Secretary</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2008</w:t>
            </w:r>
          </w:p>
        </w:tc>
        <w:tc>
          <w:tcPr>
            <w:tcW w:w="1040" w:type="dxa"/>
            <w:vAlign w:val="bottom"/>
            <w:vMerge w:val="restart"/>
          </w:tcPr>
          <w:p>
            <w:pPr>
              <w:jc w:val="right"/>
              <w:ind w:right="20"/>
              <w:spacing w:after="0"/>
              <w:rPr>
                <w:sz w:val="20"/>
                <w:szCs w:val="20"/>
                <w:color w:val="auto"/>
              </w:rPr>
            </w:pPr>
            <w:r>
              <w:rPr>
                <w:rFonts w:ascii="Arial" w:cs="Arial" w:eastAsia="Arial" w:hAnsi="Arial"/>
                <w:sz w:val="16"/>
                <w:szCs w:val="16"/>
                <w:color w:val="auto"/>
              </w:rPr>
              <w:t>260,870</w:t>
            </w: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155,155</w:t>
            </w:r>
          </w:p>
        </w:tc>
        <w:tc>
          <w:tcPr>
            <w:tcW w:w="160" w:type="dxa"/>
            <w:vAlign w:val="bottom"/>
          </w:tcPr>
          <w:p>
            <w:pPr>
              <w:spacing w:after="0"/>
              <w:rPr>
                <w:sz w:val="16"/>
                <w:szCs w:val="16"/>
                <w:color w:val="auto"/>
              </w:rPr>
            </w:pPr>
          </w:p>
        </w:tc>
        <w:tc>
          <w:tcPr>
            <w:tcW w:w="940" w:type="dxa"/>
            <w:vAlign w:val="bottom"/>
            <w:vMerge w:val="restart"/>
          </w:tcPr>
          <w:p>
            <w:pPr>
              <w:ind w:left="500"/>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
              <w:spacing w:after="0"/>
              <w:rPr>
                <w:sz w:val="20"/>
                <w:szCs w:val="20"/>
                <w:color w:val="auto"/>
              </w:rPr>
            </w:pPr>
            <w:r>
              <w:rPr>
                <w:rFonts w:ascii="Arial" w:cs="Arial" w:eastAsia="Arial" w:hAnsi="Arial"/>
                <w:sz w:val="16"/>
                <w:szCs w:val="16"/>
                <w:color w:val="auto"/>
              </w:rPr>
              <w:t>13,442</w:t>
            </w:r>
          </w:p>
        </w:tc>
        <w:tc>
          <w:tcPr>
            <w:tcW w:w="1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45,149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474,616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Roger W. Martin</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223,330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3,414</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Sales and Marketing</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226,670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13,864</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5,017</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245,551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800" w:type="dxa"/>
            <w:vAlign w:val="bottom"/>
          </w:tcPr>
          <w:p>
            <w:pPr>
              <w:jc w:val="center"/>
              <w:spacing w:after="0"/>
              <w:rPr>
                <w:sz w:val="20"/>
                <w:szCs w:val="20"/>
                <w:color w:val="auto"/>
              </w:rPr>
            </w:pPr>
            <w:r>
              <w:rPr>
                <w:rFonts w:ascii="Arial" w:cs="Arial" w:eastAsia="Arial" w:hAnsi="Arial"/>
                <w:sz w:val="16"/>
                <w:szCs w:val="16"/>
                <w:color w:val="auto"/>
              </w:rPr>
              <w:t>2010</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221,364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12,728</w:t>
            </w:r>
          </w:p>
        </w:tc>
        <w:tc>
          <w:tcPr>
            <w:tcW w:w="160" w:type="dxa"/>
            <w:vAlign w:val="bottom"/>
          </w:tcPr>
          <w:p>
            <w:pPr>
              <w:spacing w:after="0"/>
              <w:rPr>
                <w:sz w:val="19"/>
                <w:szCs w:val="19"/>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3,454</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180"/>
              <w:spacing w:after="0"/>
              <w:rPr>
                <w:sz w:val="20"/>
                <w:szCs w:val="20"/>
                <w:color w:val="auto"/>
              </w:rPr>
            </w:pPr>
            <w:r>
              <w:rPr>
                <w:rFonts w:ascii="Arial" w:cs="Arial" w:eastAsia="Arial" w:hAnsi="Arial"/>
                <w:sz w:val="16"/>
                <w:szCs w:val="16"/>
                <w:color w:val="auto"/>
              </w:rPr>
              <w:t>Vice President, CFO</w:t>
            </w:r>
          </w:p>
        </w:tc>
        <w:tc>
          <w:tcPr>
            <w:tcW w:w="800" w:type="dxa"/>
            <w:vAlign w:val="bottom"/>
          </w:tcPr>
          <w:p>
            <w:pPr>
              <w:jc w:val="center"/>
              <w:spacing w:after="0"/>
              <w:rPr>
                <w:sz w:val="20"/>
                <w:szCs w:val="20"/>
                <w:color w:val="auto"/>
              </w:rPr>
            </w:pPr>
            <w:r>
              <w:rPr>
                <w:rFonts w:ascii="Arial" w:cs="Arial" w:eastAsia="Arial" w:hAnsi="Arial"/>
                <w:sz w:val="16"/>
                <w:szCs w:val="16"/>
                <w:color w:val="auto"/>
              </w:rPr>
              <w:t>2009</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224,675</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13,743</w:t>
            </w:r>
          </w:p>
        </w:tc>
        <w:tc>
          <w:tcPr>
            <w:tcW w:w="160" w:type="dxa"/>
            <w:vAlign w:val="bottom"/>
          </w:tcPr>
          <w:p>
            <w:pPr>
              <w:spacing w:after="0"/>
              <w:rPr>
                <w:sz w:val="22"/>
                <w:szCs w:val="22"/>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4,664</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243,082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2008</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243,6 67</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155,155</w:t>
            </w:r>
          </w:p>
        </w:tc>
        <w:tc>
          <w:tcPr>
            <w:tcW w:w="16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12,182</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428,115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2010</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222,160</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5,702</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Vice President, Prod uct Development</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225,483</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13,792</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7,575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2008</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248,807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155,155</w:t>
            </w: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12,819</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23,277</w:t>
            </w:r>
          </w:p>
        </w:tc>
        <w:tc>
          <w:tcPr>
            <w:tcW w:w="100" w:type="dxa"/>
            <w:vAlign w:val="bottom"/>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440,058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See “Compensat ion Discussion and Analysis-Base Salary” for information relating to certain base salary adjustments beginning in Fiscal 2009.</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This column represents the grant date fair value computed in accordance with ASC 718 for Fiscal 2008 through Fiscal 2010 with respect to the following: (i) restricted stock granted in Fiscal 2008 pursuant to the 2004 Plan, (ii) the portion of award opportunities made available to Named Executive Officers in Fiscal 2009 and Fiscal 2010 comprised of restricted stock pursuant to the Officers Incentive C ompensation Plan Fiscal Period 2009 and the Officers Incentive Compensation Plan Fiscal Period 2010, respectively, and (iii) restricted stock award opportunities under each of the 2008-2010 Plan, the 2009-2011 Plan and the 2010-2012 Plan for Fiscal 2008, Fiscal 2009 and Fiscal 2010 respectively, each based upon the probable outcome of the performance conditions measured as of the grant date. The grant date fair value of each of the performance-based awards was determined at the closing price of the Company's shares on the NYSE on the grant date, based on Management's estimate of the threshold levels of achievement of the performance measures related to the applicable awards, as described in the "Compensation Discussion and Analysis" section above and without regard to estimated forfeitures related to service-based vesting conditions. The grant date fair values for each Named Executive Officer stock-based award in Fiscal 2010 (including restricted stock opportunities under the Officers Incentive Compensation Plan Fiscal Period 2010 and the 2010-2012 Plan) are set forth in the Grants of Plan-Based Awards table that follows. The grant date fair value of the performance stock awards granted to Named Executive Officers during Fiscal 2010 assuming that the Company's performance will be at the levels that would result in a maximum payout under those awards is as follows: Olson - $361,920; Beebe - $180,516; Martin - $173,081; Nielsen - $171,558; and O'Leary - $172.168. The amounts reported for Fiscal 2008 and Fiscal 2009 for the applicable Named Executive Officers have been restated to reflect the aggregate grant date fair value for the respective years, in accordance with new SEC rules. The amounts reported in this column do not reflect actual compensation realized by the Named Executive Officers and are not a guarantee of the amount that the Named Executive Officer will actually receive. No restricted stock awards were made to Named Executive Officers in Fiscal 2010 pursuant to the 2008-2010 Plan. The performance per iod under the 2009-2011 Plan and the 2010-2012 Plan will not end until August 27, 2011 and August 25, 2012, respectively, and, as such, the actual value of restricted stock grants, if any, will generally depend on the Company's achievement of certain performance measures during these periods. For information regarding the terms of the awards and the criteria for determining the amounts payable, see "Compensation Discussion and Analysis-Long-Term Incentives." In addition, no restricted stock awards were made to Named Executive Officers in Fiscal 2009 and Fiscal 2010 pursuant to the Officers Incentive Compensation Plan Fiscal Period 2009 and the Officers Incentive Compensation Plan Fiscal 2010, respectively.</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None of the Named Executive Officers received stock option awards in Fiscal 2008 through Fiscal 2010.</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amounts represent annual incentive plan award payouts under the Officers Incentive Compensation Plan Fiscal Period 2008. Awards consisted of cash and are calculated as a percentage of the Named Executive Officer's base salary in accordance with th e Officers Incentive Compensation Plan Fiscal Period 2008. No cash awards were made to Named Executive Officers in Fiscal 2010 under the Officer Incentive Compensation Plan Fiscal Period 2010 and the 2008-2010 Plan or in Fiscal 2009 under the Officer Incentive Compensation Plan Fiscal Period 2009 and the 2007-2009 Plan. See “Compensation Discussion and Analysis” for further discussion on how amounts were determined for Fiscal 2010.</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all of the Named Executive Officers, "All Other Compensatio n" for Fiscal 2010 includes the Company match to the 401(k) Plan, the cost of life insurance over $50,000 per IRS regulations and the cost of executive physical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29</w:t>
      </w:r>
    </w:p>
    <w:p>
      <w:pPr>
        <w:sectPr>
          <w:pgSz w:w="11900" w:h="16838" w:orient="portrait"/>
          <w:cols w:equalWidth="0" w:num="1">
            <w:col w:w="11420"/>
          </w:cols>
          <w:pgMar w:left="240" w:top="141" w:right="239" w:bottom="1440" w:gutter="0" w:footer="0" w:header="0"/>
        </w:sectPr>
      </w:pPr>
    </w:p>
    <w:bookmarkStart w:id="33" w:name="page34"/>
    <w:bookmarkEnd w:id="33"/>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GRANTS OF PLAN-BASED AWARDS TABLE</w:t>
      </w:r>
    </w:p>
    <w:p>
      <w:pPr>
        <w:spacing w:after="0" w:line="104"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The following table provides additional information relating to plan-based awards granted to our Named Executive Officers during Fiscal 2010. No actual payouts were made to the Named Executive Officers under the 2010 OICP, as discussed under "Compensation Discussion and Analysis-Annual Incentive Plan"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52705</wp:posOffset>
            </wp:positionV>
            <wp:extent cx="1714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16319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398"/>
        </w:trPr>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80" w:type="dxa"/>
            <w:vAlign w:val="bottom"/>
            <w:gridSpan w:val="5"/>
          </w:tcPr>
          <w:p>
            <w:pPr>
              <w:jc w:val="right"/>
              <w:ind w:right="919"/>
              <w:spacing w:after="0"/>
              <w:rPr>
                <w:sz w:val="20"/>
                <w:szCs w:val="20"/>
                <w:color w:val="auto"/>
              </w:rPr>
            </w:pPr>
            <w:r>
              <w:rPr>
                <w:rFonts w:ascii="Arial" w:cs="Arial" w:eastAsia="Arial" w:hAnsi="Arial"/>
                <w:sz w:val="14"/>
                <w:szCs w:val="14"/>
                <w:b w:val="1"/>
                <w:bCs w:val="1"/>
                <w:color w:val="auto"/>
              </w:rPr>
              <w:t>Estimated Future Payouts Under</w:t>
            </w:r>
          </w:p>
        </w:tc>
        <w:tc>
          <w:tcPr>
            <w:tcW w:w="140" w:type="dxa"/>
            <w:vAlign w:val="bottom"/>
          </w:tcPr>
          <w:p>
            <w:pPr>
              <w:spacing w:after="0"/>
              <w:rPr>
                <w:sz w:val="24"/>
                <w:szCs w:val="24"/>
                <w:color w:val="auto"/>
              </w:rPr>
            </w:pPr>
          </w:p>
        </w:tc>
        <w:tc>
          <w:tcPr>
            <w:tcW w:w="32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Estimated Future Payments Under</w:t>
            </w:r>
          </w:p>
        </w:tc>
      </w:tr>
      <w:tr>
        <w:trPr>
          <w:trHeight w:val="196"/>
        </w:trPr>
        <w:tc>
          <w:tcPr>
            <w:tcW w:w="2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1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4"/>
                <w:szCs w:val="14"/>
                <w:b w:val="1"/>
                <w:bCs w:val="1"/>
                <w:color w:val="auto"/>
              </w:rPr>
              <w:t>Non-Equity Incentive Plan Awards</w:t>
            </w:r>
          </w:p>
        </w:tc>
        <w:tc>
          <w:tcPr>
            <w:tcW w:w="2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Equity Incentive Plan Awards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16"/>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auto"/>
            </w:tcBorders>
            <w:gridSpan w:val="2"/>
          </w:tcPr>
          <w:p>
            <w:pPr>
              <w:ind w:left="240"/>
              <w:spacing w:after="0" w:line="216" w:lineRule="exact"/>
              <w:rPr>
                <w:sz w:val="20"/>
                <w:szCs w:val="20"/>
                <w:color w:val="auto"/>
              </w:rPr>
            </w:pPr>
            <w:r>
              <w:rPr>
                <w:rFonts w:ascii="Arial" w:cs="Arial" w:eastAsia="Arial" w:hAnsi="Arial"/>
                <w:sz w:val="24"/>
                <w:szCs w:val="24"/>
                <w:b w:val="1"/>
                <w:bCs w:val="1"/>
                <w:color w:val="auto"/>
                <w:vertAlign w:val="subscript"/>
              </w:rPr>
              <w:t>Name</w:t>
            </w:r>
            <w:r>
              <w:rPr>
                <w:rFonts w:ascii="Arial" w:cs="Arial" w:eastAsia="Arial" w:hAnsi="Arial"/>
                <w:sz w:val="8"/>
                <w:szCs w:val="8"/>
                <w:b w:val="1"/>
                <w:bCs w:val="1"/>
                <w:color w:val="auto"/>
              </w:rPr>
              <w:t>(1)(2)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Date </w:t>
            </w:r>
            <w:r>
              <w:rPr>
                <w:rFonts w:ascii="Arial" w:cs="Arial" w:eastAsia="Arial" w:hAnsi="Arial"/>
                <w:sz w:val="17"/>
                <w:szCs w:val="17"/>
                <w:b w:val="1"/>
                <w:bCs w:val="1"/>
                <w:color w:val="auto"/>
                <w:w w:val="95"/>
                <w:vertAlign w:val="superscript"/>
              </w:rPr>
              <w:t>(3)</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Threshold</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Target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Maximum</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Threshold</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Target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Maximum</w:t>
            </w:r>
          </w:p>
        </w:tc>
      </w:tr>
      <w:tr>
        <w:trPr>
          <w:trHeight w:val="217"/>
        </w:trPr>
        <w:tc>
          <w:tcPr>
            <w:tcW w:w="2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Robert J. Olson</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2010</w:t>
            </w: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OICP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36,192</w:t>
            </w:r>
          </w:p>
        </w:tc>
        <w:tc>
          <w:tcPr>
            <w:tcW w:w="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222,720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445,440</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18,096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111,360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222,720</w:t>
            </w:r>
          </w:p>
        </w:tc>
      </w:tr>
      <w:tr>
        <w:trPr>
          <w:trHeight w:val="276"/>
        </w:trPr>
        <w:tc>
          <w:tcPr>
            <w:tcW w:w="2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2012 LTIP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9,280</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92,800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139,200</w:t>
            </w:r>
          </w:p>
        </w:tc>
      </w:tr>
      <w:tr>
        <w:trPr>
          <w:trHeight w:val="224"/>
        </w:trPr>
        <w:tc>
          <w:tcPr>
            <w:tcW w:w="2140" w:type="dxa"/>
            <w:vAlign w:val="bottom"/>
          </w:tcPr>
          <w:p>
            <w:pPr>
              <w:ind w:left="40"/>
              <w:spacing w:after="0"/>
              <w:rPr>
                <w:sz w:val="20"/>
                <w:szCs w:val="20"/>
                <w:color w:val="auto"/>
              </w:rPr>
            </w:pPr>
            <w:r>
              <w:rPr>
                <w:rFonts w:ascii="Arial" w:cs="Arial" w:eastAsia="Arial" w:hAnsi="Arial"/>
                <w:sz w:val="16"/>
                <w:szCs w:val="16"/>
                <w:color w:val="auto"/>
              </w:rPr>
              <w:t>Raymond M. Beebe</w:t>
            </w:r>
          </w:p>
        </w:tc>
        <w:tc>
          <w:tcPr>
            <w:tcW w:w="400" w:type="dxa"/>
            <w:vAlign w:val="bottom"/>
          </w:tcPr>
          <w:p>
            <w:pPr>
              <w:ind w:left="20"/>
              <w:spacing w:after="0"/>
              <w:rPr>
                <w:sz w:val="20"/>
                <w:szCs w:val="20"/>
                <w:color w:val="auto"/>
              </w:rPr>
            </w:pPr>
            <w:r>
              <w:rPr>
                <w:rFonts w:ascii="Arial" w:cs="Arial" w:eastAsia="Arial" w:hAnsi="Arial"/>
                <w:sz w:val="16"/>
                <w:szCs w:val="16"/>
                <w:color w:val="auto"/>
              </w:rPr>
              <w:t>2010</w:t>
            </w:r>
          </w:p>
        </w:tc>
        <w:tc>
          <w:tcPr>
            <w:tcW w:w="700" w:type="dxa"/>
            <w:vAlign w:val="bottom"/>
          </w:tcPr>
          <w:p>
            <w:pPr>
              <w:ind w:left="40"/>
              <w:spacing w:after="0"/>
              <w:rPr>
                <w:sz w:val="20"/>
                <w:szCs w:val="20"/>
                <w:color w:val="auto"/>
              </w:rPr>
            </w:pPr>
            <w:r>
              <w:rPr>
                <w:rFonts w:ascii="Arial" w:cs="Arial" w:eastAsia="Arial" w:hAnsi="Arial"/>
                <w:sz w:val="16"/>
                <w:szCs w:val="16"/>
                <w:color w:val="auto"/>
              </w:rPr>
              <w:t>OICP</w:t>
            </w:r>
          </w:p>
        </w:tc>
        <w:tc>
          <w:tcPr>
            <w:tcW w:w="880" w:type="dxa"/>
            <w:vAlign w:val="bottom"/>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15,140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93,170</w:t>
            </w:r>
          </w:p>
        </w:tc>
        <w:tc>
          <w:tcPr>
            <w:tcW w:w="300" w:type="dxa"/>
            <w:vAlign w:val="bottom"/>
          </w:tcPr>
          <w:p>
            <w:pPr>
              <w:spacing w:after="0"/>
              <w:rPr>
                <w:sz w:val="19"/>
                <w:szCs w:val="19"/>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color w:val="auto"/>
              </w:rPr>
              <w:t>186,339</w:t>
            </w:r>
          </w:p>
        </w:tc>
        <w:tc>
          <w:tcPr>
            <w:tcW w:w="1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7,570</w:t>
            </w:r>
          </w:p>
        </w:tc>
        <w:tc>
          <w:tcPr>
            <w:tcW w:w="2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46,585</w:t>
            </w:r>
          </w:p>
        </w:tc>
        <w:tc>
          <w:tcPr>
            <w:tcW w:w="10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93,170</w:t>
            </w:r>
          </w:p>
        </w:tc>
      </w:tr>
      <w:tr>
        <w:trPr>
          <w:trHeight w:val="253"/>
        </w:trPr>
        <w:tc>
          <w:tcPr>
            <w:tcW w:w="214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2012</w:t>
            </w:r>
          </w:p>
        </w:tc>
        <w:tc>
          <w:tcPr>
            <w:tcW w:w="700" w:type="dxa"/>
            <w:vAlign w:val="bottom"/>
          </w:tcPr>
          <w:p>
            <w:pPr>
              <w:ind w:left="40"/>
              <w:spacing w:after="0"/>
              <w:rPr>
                <w:sz w:val="20"/>
                <w:szCs w:val="20"/>
                <w:color w:val="auto"/>
              </w:rPr>
            </w:pPr>
            <w:r>
              <w:rPr>
                <w:rFonts w:ascii="Arial" w:cs="Arial" w:eastAsia="Arial" w:hAnsi="Arial"/>
                <w:sz w:val="16"/>
                <w:szCs w:val="16"/>
                <w:color w:val="auto"/>
              </w:rPr>
              <w:t>LTIP</w:t>
            </w:r>
          </w:p>
        </w:tc>
        <w:tc>
          <w:tcPr>
            <w:tcW w:w="880" w:type="dxa"/>
            <w:vAlign w:val="bottom"/>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5,823</w:t>
            </w:r>
          </w:p>
        </w:tc>
        <w:tc>
          <w:tcPr>
            <w:tcW w:w="22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58,231</w:t>
            </w:r>
          </w:p>
        </w:tc>
        <w:tc>
          <w:tcPr>
            <w:tcW w:w="1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87,346</w:t>
            </w:r>
          </w:p>
        </w:tc>
      </w:tr>
      <w:tr>
        <w:trPr>
          <w:trHeight w:val="253"/>
        </w:trPr>
        <w:tc>
          <w:tcPr>
            <w:tcW w:w="2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Roger W. Martin</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2010</w:t>
            </w: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OICP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6/24/09</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14,516</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89,332</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178,664</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7,258</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44,666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89,332</w:t>
            </w:r>
          </w:p>
        </w:tc>
      </w:tr>
      <w:tr>
        <w:trPr>
          <w:trHeight w:val="243"/>
        </w:trPr>
        <w:tc>
          <w:tcPr>
            <w:tcW w:w="214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LTIP</w:t>
            </w:r>
          </w:p>
        </w:tc>
        <w:tc>
          <w:tcPr>
            <w:tcW w:w="880" w:type="dxa"/>
            <w:vAlign w:val="bottom"/>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55,832</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83,749</w:t>
            </w:r>
          </w:p>
        </w:tc>
        <w:tc>
          <w:tcPr>
            <w:tcW w:w="100" w:type="dxa"/>
            <w:vAlign w:val="bottom"/>
            <w:shd w:val="clear" w:color="auto" w:fill="CCEEFF"/>
          </w:tcPr>
          <w:p>
            <w:pPr>
              <w:spacing w:after="0"/>
              <w:rPr>
                <w:sz w:val="21"/>
                <w:szCs w:val="21"/>
                <w:color w:val="auto"/>
              </w:rPr>
            </w:pPr>
          </w:p>
        </w:tc>
        <w:tc>
          <w:tcPr>
            <w:tcW w:w="1000" w:type="dxa"/>
            <w:vAlign w:val="bottom"/>
          </w:tcPr>
          <w:p>
            <w:pPr>
              <w:spacing w:after="0"/>
              <w:rPr>
                <w:sz w:val="21"/>
                <w:szCs w:val="21"/>
                <w:color w:val="auto"/>
              </w:rPr>
            </w:pPr>
          </w:p>
        </w:tc>
      </w:tr>
      <w:tr>
        <w:trPr>
          <w:trHeight w:val="237"/>
        </w:trPr>
        <w:tc>
          <w:tcPr>
            <w:tcW w:w="214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400" w:type="dxa"/>
            <w:vAlign w:val="bottom"/>
          </w:tcPr>
          <w:p>
            <w:pPr>
              <w:ind w:left="20"/>
              <w:spacing w:after="0"/>
              <w:rPr>
                <w:sz w:val="20"/>
                <w:szCs w:val="20"/>
                <w:color w:val="auto"/>
              </w:rPr>
            </w:pPr>
            <w:r>
              <w:rPr>
                <w:rFonts w:ascii="Arial" w:cs="Arial" w:eastAsia="Arial" w:hAnsi="Arial"/>
                <w:sz w:val="16"/>
                <w:szCs w:val="16"/>
                <w:color w:val="auto"/>
              </w:rPr>
              <w:t>2010</w:t>
            </w:r>
          </w:p>
        </w:tc>
        <w:tc>
          <w:tcPr>
            <w:tcW w:w="700" w:type="dxa"/>
            <w:vAlign w:val="bottom"/>
          </w:tcPr>
          <w:p>
            <w:pPr>
              <w:ind w:left="40"/>
              <w:spacing w:after="0"/>
              <w:rPr>
                <w:sz w:val="20"/>
                <w:szCs w:val="20"/>
                <w:color w:val="auto"/>
              </w:rPr>
            </w:pPr>
            <w:r>
              <w:rPr>
                <w:rFonts w:ascii="Arial" w:cs="Arial" w:eastAsia="Arial" w:hAnsi="Arial"/>
                <w:sz w:val="16"/>
                <w:szCs w:val="16"/>
                <w:color w:val="auto"/>
              </w:rPr>
              <w:t>OICP</w:t>
            </w:r>
          </w:p>
        </w:tc>
        <w:tc>
          <w:tcPr>
            <w:tcW w:w="880" w:type="dxa"/>
            <w:vAlign w:val="bottom"/>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14,389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88,546</w:t>
            </w:r>
          </w:p>
        </w:tc>
        <w:tc>
          <w:tcPr>
            <w:tcW w:w="300" w:type="dxa"/>
            <w:vAlign w:val="bottom"/>
          </w:tcPr>
          <w:p>
            <w:pPr>
              <w:spacing w:after="0"/>
              <w:rPr>
                <w:sz w:val="20"/>
                <w:szCs w:val="20"/>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color w:val="auto"/>
              </w:rPr>
              <w:t>177,091</w:t>
            </w: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7,194</w:t>
            </w:r>
          </w:p>
        </w:tc>
        <w:tc>
          <w:tcPr>
            <w:tcW w:w="2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44,273</w:t>
            </w:r>
          </w:p>
        </w:tc>
        <w:tc>
          <w:tcPr>
            <w:tcW w:w="1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88,546</w:t>
            </w:r>
          </w:p>
        </w:tc>
      </w:tr>
      <w:tr>
        <w:trPr>
          <w:trHeight w:val="253"/>
        </w:trPr>
        <w:tc>
          <w:tcPr>
            <w:tcW w:w="214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2012</w:t>
            </w:r>
          </w:p>
        </w:tc>
        <w:tc>
          <w:tcPr>
            <w:tcW w:w="700" w:type="dxa"/>
            <w:vAlign w:val="bottom"/>
          </w:tcPr>
          <w:p>
            <w:pPr>
              <w:ind w:left="40"/>
              <w:spacing w:after="0"/>
              <w:rPr>
                <w:sz w:val="20"/>
                <w:szCs w:val="20"/>
                <w:color w:val="auto"/>
              </w:rPr>
            </w:pPr>
            <w:r>
              <w:rPr>
                <w:rFonts w:ascii="Arial" w:cs="Arial" w:eastAsia="Arial" w:hAnsi="Arial"/>
                <w:sz w:val="16"/>
                <w:szCs w:val="16"/>
                <w:color w:val="auto"/>
              </w:rPr>
              <w:t>LTIP</w:t>
            </w:r>
          </w:p>
        </w:tc>
        <w:tc>
          <w:tcPr>
            <w:tcW w:w="880" w:type="dxa"/>
            <w:vAlign w:val="bottom"/>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5,534</w:t>
            </w:r>
          </w:p>
        </w:tc>
        <w:tc>
          <w:tcPr>
            <w:tcW w:w="22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55,341</w:t>
            </w:r>
          </w:p>
        </w:tc>
        <w:tc>
          <w:tcPr>
            <w:tcW w:w="10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83,012</w:t>
            </w:r>
          </w:p>
        </w:tc>
      </w:tr>
      <w:tr>
        <w:trPr>
          <w:trHeight w:val="260"/>
        </w:trPr>
        <w:tc>
          <w:tcPr>
            <w:tcW w:w="2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2010</w:t>
            </w: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OICP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14,440</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88,864</w:t>
            </w: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177,728</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7,220</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44,432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88,864</w:t>
            </w:r>
          </w:p>
        </w:tc>
      </w:tr>
      <w:tr>
        <w:trPr>
          <w:trHeight w:val="221"/>
        </w:trPr>
        <w:tc>
          <w:tcPr>
            <w:tcW w:w="2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&amp;nbs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14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LTIP</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6/24/09</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r>
              <w:rPr>
                <w:rFonts w:ascii="Arial" w:cs="Arial" w:eastAsia="Arial" w:hAnsi="Arial"/>
                <w:sz w:val="18"/>
                <w:szCs w:val="18"/>
                <w:color w:val="auto"/>
              </w:rPr>
              <w:t>p;</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5,554</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55,536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83,304</w:t>
            </w:r>
          </w:p>
        </w:tc>
      </w:tr>
    </w:tbl>
    <w:p>
      <w:pPr>
        <w:spacing w:after="0" w:line="5" w:lineRule="exact"/>
        <w:rPr>
          <w:sz w:val="20"/>
          <w:szCs w:val="20"/>
          <w:color w:val="auto"/>
        </w:rPr>
      </w:pPr>
    </w:p>
    <w:p>
      <w:pPr>
        <w:ind w:left="340" w:right="260" w:hanging="332"/>
        <w:spacing w:after="0" w:line="241"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2010 OICP refers to our Officers Incentive Compensation Plan Fiscal Period 2010, which targets annual performance against goals established by the Committee. Awards under the 2010 OICP are payable in cash and restricted stock. The applicable Threshold, Target and Maximum amounts presented above represent such cash and dollar value of restricted stock for the 2010 OICP. Under the 2010 OICP, the Committee had discretionary authority to modify the financial factors used in determining amounts payable by plus or minus 20% based upon strategic priorities.</w:t>
      </w:r>
    </w:p>
    <w:p>
      <w:pPr>
        <w:spacing w:after="0" w:line="1" w:lineRule="exact"/>
        <w:rPr>
          <w:rFonts w:ascii="Arial" w:cs="Arial" w:eastAsia="Arial" w:hAnsi="Arial"/>
          <w:sz w:val="13"/>
          <w:szCs w:val="13"/>
          <w:color w:val="auto"/>
        </w:rPr>
      </w:pPr>
    </w:p>
    <w:p>
      <w:pPr>
        <w:ind w:left="340" w:right="60" w:hanging="332"/>
        <w:spacing w:after="0" w:line="241"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4"/>
          <w:szCs w:val="14"/>
          <w:color w:val="auto"/>
        </w:rPr>
        <w:t>2012 LTIP refers to our Officers Long-Term Incentive Plan Fiscal Three-Year Period 2010-2012. For each of the Named Executive Officers, the Threshold, Target and Maximum amounts under the 2012 LTIP represent potential restricted stock payments that are measured over a three-year performance period from August 29, 2009 through August 25, 2012. See “Compensation Discussion and Analysis-Long Term Incentive Plans Fiscal 2010-2012” for information regarding the terms of the restricted stock awards, the description of the performance-based vesting conditions and the criteria for determining the amounts payable.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approved the award opportunities on June 24, 2009, effective as of August 30, 2009.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 and Grants of Plan-Based Awards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31"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None of the Named Executive Officers has an employment agreement. However, each Named Executive Officer has an Executive Change of Control Agreement that provides the executive with three-year severance benefits in the event he or she ceases to be employed by the Company within three years of a &amp; ldquo;Change of Control,” as defined in the agreement. Discussion of the payouts provided for under various termination situations is set forth in the section “Potential Payments upon Termination or Change of Control”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In general, the Committee annually reviews and adjusts base pay, in keeping with the overall objectives, pay philosophy and relative position with comparable companies. As discussed in more detail in the “Compensation Discussion and Analysis-Base Salary” above. For Fiscal 2010, base salaries (including amounts deferred to the 401(k) Plan) as a percentage of total compensation shown in the Summary Compensation Table, were approximately 99 percent for Mr. Olson, 98 percent f or Ms. Nielsen and Mr. Martin, 97 percent for Mr. O'Leary and 96 percent for Mr. Beebe.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i w:val="1"/>
          <w:iCs w:val="1"/>
          <w:color w:val="auto"/>
        </w:rPr>
        <w:t>No restricted stock awards or stock options were granted during Fiscal 2010 or 2009 to any Named Executive Officer. Stock-based awards under the 2004 Plan were previously made as restricted stock in Fiscal 2008. Descriptions of these types of grants and the reason for these types of grants are discussed in “Compensation Discussion and Analysis—2004 Incentive Compensation Plan.” Grants of restricted stock and stock options, the ASC 718 grant date fair value of which is disclosed in the Summary Compensation Table, begin vesting in annual increments of one-third after one year from the date of grant for restricted stock grants. Restricted Stock grants and stock option awards are subject to earlier vesting in the event of a Change of Control or termination of employment, as set forth in the section “Potential Payment upon Termination or Change of Control”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Plan</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In addition to base salary, each Named Executive Officer is eligible to receive, subject to certain financial performance metrics, a target annual incentive cash and restricted stock award equal to a percentage of his or her annual base salary, as follows: Mr. Olson - 90 percent; Mr. Beebe, Mr. Martin, Ms. Nielsen and Mr. ;O'Leary - 60 percent. This element of compensation is carried out through the Officers Incentive Compensation Plan Fiscal Period 2010, which is discussed in the “Compensation Discussion and Analysis-Annual Incentive Plan” above. No payouts were made to Named Executive Officers under this plan.</w:t>
      </w:r>
    </w:p>
    <w:p>
      <w:pPr>
        <w:sectPr>
          <w:pgSz w:w="11900" w:h="16838" w:orient="portrait"/>
          <w:cols w:equalWidth="0" w:num="1">
            <w:col w:w="11420"/>
          </w:cols>
          <w:pgMar w:left="240" w:top="135" w:right="239"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30</w:t>
      </w:r>
    </w:p>
    <w:p>
      <w:pPr>
        <w:sectPr>
          <w:pgSz w:w="11900" w:h="16838" w:orient="portrait"/>
          <w:cols w:equalWidth="0" w:num="1">
            <w:col w:w="11420"/>
          </w:cols>
          <w:pgMar w:left="240" w:top="135" w:right="239" w:bottom="1440" w:gutter="0" w:footer="0" w:header="0"/>
          <w:type w:val="continuous"/>
        </w:sectPr>
      </w:pPr>
    </w:p>
    <w:bookmarkStart w:id="34" w:name="page35"/>
    <w:bookmarkEnd w:id="34"/>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This element of compensation is described in the “Compensation Discussion and Analysis-Long-Term Incentives” above. No</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payouts were made to Named Executive Officers under the 2008-2010 Plan.</w:t>
      </w:r>
    </w:p>
    <w:p>
      <w:pPr>
        <w:spacing w:after="0" w:line="95"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auto"/>
        </w:rPr>
        <w:t>See “Compensation Discussion and Analysis” for further information regarding the terms of awards reported in the Summary Compensation Table and the Grants of Plan-Based Awards Table and for discussions regarding officer stock ownership guidelines, incentive compensation awards, and allocations between short-term and long-term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FISCAL YEAR END TABLE</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following table provides information regarding the outstanding equity awards held by each of the Named Executive Officers as of August 28, 2010.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w w:val="97"/>
              </w:rPr>
              <w:t>Stock Awards</w:t>
            </w:r>
            <w:r>
              <w:rPr>
                <w:rFonts w:ascii="Arial" w:cs="Arial" w:eastAsia="Arial" w:hAnsi="Arial"/>
                <w:sz w:val="21"/>
                <w:szCs w:val="21"/>
                <w:b w:val="1"/>
                <w:bCs w:val="1"/>
                <w:color w:val="auto"/>
                <w:w w:val="97"/>
                <w:vertAlign w:val="superscript"/>
              </w:rPr>
              <w:t>(2)</w:t>
            </w:r>
          </w:p>
        </w:tc>
        <w:tc>
          <w:tcPr>
            <w:tcW w:w="2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ind w:left="214"/>
              <w:spacing w:after="0"/>
              <w:rPr>
                <w:sz w:val="20"/>
                <w:szCs w:val="20"/>
                <w:color w:val="auto"/>
              </w:rPr>
            </w:pPr>
            <w:r>
              <w:rPr>
                <w:rFonts w:ascii="Arial" w:cs="Arial" w:eastAsia="Arial" w:hAnsi="Arial"/>
                <w:sz w:val="16"/>
                <w:szCs w:val="16"/>
                <w:b w:val="1"/>
                <w:bCs w:val="1"/>
                <w:color w:val="auto"/>
              </w:rPr>
              <w:t>Market Value of</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rPr>
              <w:t>Option</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Shares or</w:t>
            </w:r>
          </w:p>
        </w:tc>
        <w:tc>
          <w:tcPr>
            <w:tcW w:w="2100" w:type="dxa"/>
            <w:vAlign w:val="bottom"/>
          </w:tcPr>
          <w:p>
            <w:pPr>
              <w:jc w:val="center"/>
              <w:ind w:left="214"/>
              <w:spacing w:after="0"/>
              <w:rPr>
                <w:sz w:val="20"/>
                <w:szCs w:val="20"/>
                <w:color w:val="auto"/>
              </w:rPr>
            </w:pPr>
            <w:r>
              <w:rPr>
                <w:rFonts w:ascii="Arial" w:cs="Arial" w:eastAsia="Arial" w:hAnsi="Arial"/>
                <w:sz w:val="16"/>
                <w:szCs w:val="16"/>
                <w:b w:val="1"/>
                <w:bCs w:val="1"/>
                <w:color w:val="auto"/>
              </w:rPr>
              <w:t>Shares or Units of</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2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Exercise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Option</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Units of Stock That</w:t>
            </w:r>
          </w:p>
        </w:tc>
        <w:tc>
          <w:tcPr>
            <w:tcW w:w="2100" w:type="dxa"/>
            <w:vAlign w:val="bottom"/>
          </w:tcPr>
          <w:p>
            <w:pPr>
              <w:jc w:val="right"/>
              <w:ind w:right="34"/>
              <w:spacing w:after="0"/>
              <w:rPr>
                <w:sz w:val="20"/>
                <w:szCs w:val="20"/>
                <w:color w:val="auto"/>
              </w:rPr>
            </w:pPr>
            <w:r>
              <w:rPr>
                <w:rFonts w:ascii="Arial" w:cs="Arial" w:eastAsia="Arial" w:hAnsi="Arial"/>
                <w:sz w:val="16"/>
                <w:szCs w:val="16"/>
                <w:b w:val="1"/>
                <w:bCs w:val="1"/>
                <w:color w:val="auto"/>
              </w:rPr>
              <w:t>Stock That Have Not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2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Underlying Unexercised</w:t>
            </w:r>
          </w:p>
        </w:tc>
        <w:tc>
          <w:tcPr>
            <w:tcW w:w="1340" w:type="dxa"/>
            <w:vAlign w:val="bottom"/>
            <w:gridSpan w:val="2"/>
          </w:tcPr>
          <w:p>
            <w:pPr>
              <w:jc w:val="center"/>
              <w:spacing w:after="0" w:line="189" w:lineRule="exact"/>
              <w:rPr>
                <w:sz w:val="20"/>
                <w:szCs w:val="20"/>
                <w:color w:val="auto"/>
              </w:rPr>
            </w:pPr>
            <w:r>
              <w:rPr>
                <w:rFonts w:ascii="Arial" w:cs="Arial" w:eastAsia="Arial" w:hAnsi="Arial"/>
                <w:sz w:val="16"/>
                <w:szCs w:val="16"/>
                <w:b w:val="1"/>
                <w:bCs w:val="1"/>
                <w:color w:val="auto"/>
                <w:w w:val="95"/>
              </w:rPr>
              <w:t>Price</w:t>
            </w:r>
            <w:r>
              <w:rPr>
                <w:rFonts w:ascii="Arial" w:cs="Arial" w:eastAsia="Arial" w:hAnsi="Arial"/>
                <w:sz w:val="21"/>
                <w:szCs w:val="21"/>
                <w:b w:val="1"/>
                <w:bCs w:val="1"/>
                <w:color w:val="auto"/>
                <w:w w:val="95"/>
                <w:vertAlign w:val="superscript"/>
              </w:rPr>
              <w:t>(3)</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Expiration</w:t>
            </w:r>
          </w:p>
        </w:tc>
        <w:tc>
          <w:tcPr>
            <w:tcW w:w="1800" w:type="dxa"/>
            <w:vAlign w:val="bottom"/>
            <w:gridSpan w:val="2"/>
          </w:tcPr>
          <w:p>
            <w:pPr>
              <w:jc w:val="center"/>
              <w:spacing w:after="0" w:line="189" w:lineRule="exact"/>
              <w:rPr>
                <w:sz w:val="20"/>
                <w:szCs w:val="20"/>
                <w:color w:val="auto"/>
              </w:rPr>
            </w:pPr>
            <w:r>
              <w:rPr>
                <w:rFonts w:ascii="Arial" w:cs="Arial" w:eastAsia="Arial" w:hAnsi="Arial"/>
                <w:sz w:val="16"/>
                <w:szCs w:val="16"/>
                <w:b w:val="1"/>
                <w:bCs w:val="1"/>
                <w:color w:val="auto"/>
                <w:w w:val="97"/>
              </w:rPr>
              <w:t>Have Not Vested</w:t>
            </w:r>
            <w:r>
              <w:rPr>
                <w:rFonts w:ascii="Arial" w:cs="Arial" w:eastAsia="Arial" w:hAnsi="Arial"/>
                <w:sz w:val="21"/>
                <w:szCs w:val="21"/>
                <w:b w:val="1"/>
                <w:bCs w:val="1"/>
                <w:color w:val="auto"/>
                <w:w w:val="97"/>
                <w:vertAlign w:val="superscript"/>
              </w:rPr>
              <w:t>(4)</w:t>
            </w:r>
          </w:p>
        </w:tc>
        <w:tc>
          <w:tcPr>
            <w:tcW w:w="2100" w:type="dxa"/>
            <w:vAlign w:val="bottom"/>
          </w:tcPr>
          <w:p>
            <w:pPr>
              <w:jc w:val="center"/>
              <w:ind w:left="214"/>
              <w:spacing w:after="0" w:line="189" w:lineRule="exact"/>
              <w:rPr>
                <w:sz w:val="20"/>
                <w:szCs w:val="20"/>
                <w:color w:val="auto"/>
              </w:rPr>
            </w:pPr>
            <w:r>
              <w:rPr>
                <w:rFonts w:ascii="Arial" w:cs="Arial" w:eastAsia="Arial" w:hAnsi="Arial"/>
                <w:sz w:val="16"/>
                <w:szCs w:val="16"/>
                <w:b w:val="1"/>
                <w:bCs w:val="1"/>
                <w:color w:val="auto"/>
                <w:w w:val="91"/>
              </w:rPr>
              <w:t>Vested</w:t>
            </w:r>
            <w:r>
              <w:rPr>
                <w:rFonts w:ascii="Arial" w:cs="Arial" w:eastAsia="Arial" w:hAnsi="Arial"/>
                <w:sz w:val="21"/>
                <w:szCs w:val="21"/>
                <w:b w:val="1"/>
                <w:bCs w:val="1"/>
                <w:color w:val="auto"/>
                <w:w w:val="91"/>
                <w:vertAlign w:val="superscript"/>
              </w:rPr>
              <w:t>(5)</w:t>
            </w:r>
          </w:p>
        </w:tc>
        <w:tc>
          <w:tcPr>
            <w:tcW w:w="0" w:type="dxa"/>
            <w:vAlign w:val="bottom"/>
          </w:tcPr>
          <w:p>
            <w:pPr>
              <w:spacing w:after="0"/>
              <w:rPr>
                <w:sz w:val="1"/>
                <w:szCs w:val="1"/>
                <w:color w:val="auto"/>
              </w:rPr>
            </w:pPr>
          </w:p>
        </w:tc>
      </w:tr>
      <w:tr>
        <w:trPr>
          <w:trHeight w:val="228"/>
        </w:trPr>
        <w:tc>
          <w:tcPr>
            <w:tcW w:w="25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Exercisable Options (#)</w:t>
            </w:r>
          </w:p>
        </w:tc>
        <w:tc>
          <w:tcPr>
            <w:tcW w:w="1240" w:type="dxa"/>
            <w:vAlign w:val="bottom"/>
          </w:tcPr>
          <w:p>
            <w:pPr>
              <w:jc w:val="right"/>
              <w:ind w:right="9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1680" w:type="dxa"/>
            <w:vAlign w:val="bottom"/>
          </w:tcPr>
          <w:p>
            <w:pPr>
              <w:jc w:val="center"/>
              <w:ind w:left="3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2100" w:type="dxa"/>
            <w:vAlign w:val="bottom"/>
          </w:tcPr>
          <w:p>
            <w:pPr>
              <w:jc w:val="center"/>
              <w:ind w:left="21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3"/>
        </w:trPr>
        <w:tc>
          <w:tcPr>
            <w:tcW w:w="2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Robert J. Olson</w:t>
            </w:r>
          </w:p>
        </w:tc>
        <w:tc>
          <w:tcPr>
            <w:tcW w:w="180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8,746</w:t>
            </w:r>
          </w:p>
        </w:tc>
        <w:tc>
          <w:tcPr>
            <w:tcW w:w="3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10/8/12</w:t>
            </w:r>
          </w:p>
        </w:tc>
        <w:tc>
          <w:tcPr>
            <w:tcW w:w="12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26.495</w:t>
            </w:r>
          </w:p>
        </w:tc>
        <w:tc>
          <w:tcPr>
            <w:tcW w:w="13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6"/>
              </w:rPr>
              <w:t>10/15/13</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4"/>
              </w:rPr>
              <w:t>12,500</w:t>
            </w:r>
          </w:p>
        </w:tc>
        <w:tc>
          <w:tcPr>
            <w:tcW w:w="120" w:type="dxa"/>
            <w:vAlign w:val="bottom"/>
            <w:shd w:val="clear" w:color="auto" w:fill="CCEEFF"/>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10/13/14</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5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4"/>
              </w:rPr>
              <w:t>12,500</w:t>
            </w:r>
          </w:p>
        </w:tc>
        <w:tc>
          <w:tcPr>
            <w:tcW w:w="1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26.930</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10/12/15</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4"/>
              </w:rPr>
              <w:t>48,746</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3,334</w:t>
            </w: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30,173</w:t>
            </w:r>
          </w:p>
        </w:tc>
        <w:tc>
          <w:tcPr>
            <w:tcW w:w="0" w:type="dxa"/>
            <w:vAlign w:val="bottom"/>
          </w:tcPr>
          <w:p>
            <w:pPr>
              <w:spacing w:after="0"/>
              <w:rPr>
                <w:sz w:val="1"/>
                <w:szCs w:val="1"/>
                <w:color w:val="auto"/>
              </w:rPr>
            </w:pPr>
          </w:p>
        </w:tc>
      </w:tr>
      <w:tr>
        <w:trPr>
          <w:trHeight w:val="20"/>
        </w:trPr>
        <w:tc>
          <w:tcPr>
            <w:tcW w:w="2560" w:type="dxa"/>
            <w:vAlign w:val="bottom"/>
            <w:vMerge w:val="restart"/>
          </w:tcPr>
          <w:p>
            <w:pPr>
              <w:ind w:left="40"/>
              <w:spacing w:after="0"/>
              <w:rPr>
                <w:sz w:val="20"/>
                <w:szCs w:val="20"/>
                <w:color w:val="auto"/>
              </w:rPr>
            </w:pPr>
            <w:r>
              <w:rPr>
                <w:rFonts w:ascii="Arial" w:cs="Arial" w:eastAsia="Arial" w:hAnsi="Arial"/>
                <w:sz w:val="18"/>
                <w:szCs w:val="18"/>
                <w:color w:val="auto"/>
              </w:rPr>
              <w:t>Raymond M. Beebe</w:t>
            </w: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560" w:type="dxa"/>
            <w:vAlign w:val="bottom"/>
            <w:vMerge w:val="continue"/>
          </w:tcPr>
          <w:p>
            <w:pPr>
              <w:spacing w:after="0"/>
              <w:rPr>
                <w:sz w:val="24"/>
                <w:szCs w:val="24"/>
                <w:color w:val="auto"/>
              </w:rPr>
            </w:pPr>
          </w:p>
        </w:tc>
        <w:tc>
          <w:tcPr>
            <w:tcW w:w="1800" w:type="dxa"/>
            <w:vAlign w:val="bottom"/>
            <w:gridSpan w:val="3"/>
          </w:tcPr>
          <w:p>
            <w:pPr>
              <w:ind w:left="1140"/>
              <w:spacing w:after="0"/>
              <w:rPr>
                <w:sz w:val="20"/>
                <w:szCs w:val="20"/>
                <w:color w:val="auto"/>
              </w:rPr>
            </w:pPr>
            <w:r>
              <w:rPr>
                <w:rFonts w:ascii="Arial" w:cs="Arial" w:eastAsia="Arial" w:hAnsi="Arial"/>
                <w:sz w:val="18"/>
                <w:szCs w:val="18"/>
                <w:color w:val="auto"/>
              </w:rPr>
              <w:t>15,000</w:t>
            </w:r>
          </w:p>
        </w:tc>
        <w:tc>
          <w:tcPr>
            <w:tcW w:w="34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26.495</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10/15/13</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3"/>
                <w:szCs w:val="23"/>
                <w:color w:val="auto"/>
              </w:rPr>
            </w:pPr>
          </w:p>
        </w:tc>
        <w:tc>
          <w:tcPr>
            <w:tcW w:w="1800" w:type="dxa"/>
            <w:vAlign w:val="bottom"/>
            <w:gridSpan w:val="3"/>
          </w:tcPr>
          <w:p>
            <w:pPr>
              <w:ind w:left="1140"/>
              <w:spacing w:after="0"/>
              <w:rPr>
                <w:sz w:val="20"/>
                <w:szCs w:val="20"/>
                <w:color w:val="auto"/>
              </w:rPr>
            </w:pPr>
            <w:r>
              <w:rPr>
                <w:rFonts w:ascii="Arial" w:cs="Arial" w:eastAsia="Arial" w:hAnsi="Arial"/>
                <w:sz w:val="18"/>
                <w:szCs w:val="18"/>
                <w:color w:val="auto"/>
              </w:rPr>
              <w:t>12,500</w:t>
            </w:r>
          </w:p>
        </w:tc>
        <w:tc>
          <w:tcPr>
            <w:tcW w:w="34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31.475</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10/13/14</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rPr>
              <w:t>12,500</w:t>
            </w:r>
          </w:p>
        </w:tc>
        <w:tc>
          <w:tcPr>
            <w:tcW w:w="34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26.930</w:t>
            </w: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10/12/15</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560" w:type="dxa"/>
            <w:vAlign w:val="bottom"/>
          </w:tcPr>
          <w:p>
            <w:pPr>
              <w:spacing w:after="0"/>
              <w:rPr>
                <w:sz w:val="22"/>
                <w:szCs w:val="22"/>
                <w:color w:val="auto"/>
              </w:rPr>
            </w:pPr>
          </w:p>
        </w:tc>
        <w:tc>
          <w:tcPr>
            <w:tcW w:w="1800" w:type="dxa"/>
            <w:vAlign w:val="bottom"/>
            <w:gridSpan w:val="3"/>
          </w:tcPr>
          <w:p>
            <w:pPr>
              <w:ind w:left="1140"/>
              <w:spacing w:after="0"/>
              <w:rPr>
                <w:sz w:val="20"/>
                <w:szCs w:val="20"/>
                <w:color w:val="auto"/>
              </w:rPr>
            </w:pPr>
            <w:r>
              <w:rPr>
                <w:rFonts w:ascii="Arial" w:cs="Arial" w:eastAsia="Arial" w:hAnsi="Arial"/>
                <w:sz w:val="18"/>
                <w:szCs w:val="18"/>
                <w:color w:val="auto"/>
              </w:rPr>
              <w:t>40,000</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1,834</w:t>
            </w: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Roger W. Martin</w:t>
            </w:r>
          </w:p>
        </w:tc>
        <w:tc>
          <w:tcPr>
            <w:tcW w:w="180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26.495</w:t>
            </w:r>
          </w:p>
        </w:tc>
        <w:tc>
          <w:tcPr>
            <w:tcW w:w="1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10/15/13</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12,500</w:t>
            </w:r>
          </w:p>
        </w:tc>
        <w:tc>
          <w:tcPr>
            <w:tcW w:w="340" w:type="dxa"/>
            <w:vAlign w:val="bottom"/>
            <w:shd w:val="clear" w:color="auto" w:fill="CCEEFF"/>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31.475</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10/13/14</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4"/>
              </w:rPr>
              <w:t>12,500</w:t>
            </w:r>
          </w:p>
        </w:tc>
        <w:tc>
          <w:tcPr>
            <w:tcW w:w="1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10/12/15</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1,834</w:t>
            </w: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560" w:type="dxa"/>
            <w:vAlign w:val="bottom"/>
          </w:tcPr>
          <w:p>
            <w:pPr>
              <w:ind w:left="40"/>
              <w:spacing w:after="0"/>
              <w:rPr>
                <w:sz w:val="20"/>
                <w:szCs w:val="20"/>
                <w:color w:val="auto"/>
              </w:rPr>
            </w:pPr>
            <w:r>
              <w:rPr>
                <w:rFonts w:ascii="Arial" w:cs="Arial" w:eastAsia="Arial" w:hAnsi="Arial"/>
                <w:sz w:val="18"/>
                <w:szCs w:val="18"/>
                <w:color w:val="auto"/>
              </w:rPr>
              <w:t>Sarah N. Nielsen</w:t>
            </w:r>
          </w:p>
        </w:tc>
        <w:tc>
          <w:tcPr>
            <w:tcW w:w="1800" w:type="dxa"/>
            <w:vAlign w:val="bottom"/>
            <w:gridSpan w:val="3"/>
          </w:tcPr>
          <w:p>
            <w:pPr>
              <w:ind w:left="1140"/>
              <w:spacing w:after="0"/>
              <w:rPr>
                <w:sz w:val="20"/>
                <w:szCs w:val="20"/>
                <w:color w:val="auto"/>
              </w:rPr>
            </w:pPr>
            <w:r>
              <w:rPr>
                <w:rFonts w:ascii="Arial" w:cs="Arial" w:eastAsia="Arial" w:hAnsi="Arial"/>
                <w:sz w:val="18"/>
                <w:szCs w:val="18"/>
                <w:color w:val="auto"/>
              </w:rPr>
              <w:t>12,500</w:t>
            </w:r>
          </w:p>
        </w:tc>
        <w:tc>
          <w:tcPr>
            <w:tcW w:w="34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32.345</w:t>
            </w: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11/14/15</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&lt; /font&gt;</w:t>
            </w: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1,834</w:t>
            </w:r>
          </w:p>
        </w:tc>
        <w:tc>
          <w:tcPr>
            <w:tcW w:w="2100" w:type="dxa"/>
            <w:vAlign w:val="bottom"/>
          </w:tcPr>
          <w:p>
            <w:pPr>
              <w:jc w:val="right"/>
              <w:ind w:right="14"/>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77"/>
        </w:trPr>
        <w:tc>
          <w:tcPr>
            <w:tcW w:w="2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William J. O'Leary</w:t>
            </w:r>
          </w:p>
        </w:tc>
        <w:tc>
          <w:tcPr>
            <w:tcW w:w="340" w:type="dxa"/>
            <w:vAlign w:val="bottom"/>
            <w:shd w:val="clear" w:color="auto" w:fill="CCEEFF"/>
          </w:tcPr>
          <w:p>
            <w:pPr>
              <w:spacing w:after="0"/>
              <w:rPr>
                <w:sz w:val="24"/>
                <w:szCs w:val="24"/>
                <w:color w:val="auto"/>
              </w:rPr>
            </w:pPr>
          </w:p>
        </w:tc>
        <w:tc>
          <w:tcPr>
            <w:tcW w:w="1340" w:type="dxa"/>
            <w:vAlign w:val="bottom"/>
          </w:tcPr>
          <w:p>
            <w:pPr>
              <w:ind w:left="800"/>
              <w:spacing w:after="0"/>
              <w:rPr>
                <w:sz w:val="20"/>
                <w:szCs w:val="20"/>
                <w:color w:val="auto"/>
              </w:rPr>
            </w:pPr>
            <w:r>
              <w:rPr>
                <w:rFonts w:ascii="Arial" w:cs="Arial" w:eastAsia="Arial" w:hAnsi="Arial"/>
                <w:sz w:val="18"/>
                <w:szCs w:val="18"/>
                <w:color w:val="auto"/>
                <w:w w:val="94"/>
              </w:rPr>
              <w:t>15,000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26.495</w:t>
            </w:r>
          </w:p>
        </w:tc>
        <w:tc>
          <w:tcPr>
            <w:tcW w:w="1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10/15/13</w:t>
            </w: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4"/>
              </w:rPr>
              <w:t>12,500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31.475</w:t>
            </w:r>
          </w:p>
        </w:tc>
        <w:tc>
          <w:tcPr>
            <w:tcW w:w="1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10/13/14</w:t>
            </w:r>
          </w:p>
        </w:tc>
        <w:tc>
          <w:tcPr>
            <w:tcW w:w="120" w:type="dxa"/>
            <w:vAlign w:val="bottom"/>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4"/>
              </w:rPr>
              <w:t>12,500</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26.930</w:t>
            </w: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10/12/15</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50"/>
        </w:trPr>
        <w:tc>
          <w:tcPr>
            <w:tcW w:w="2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4"/>
              </w:rPr>
              <w:t>40,000</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340" w:right="300" w:hanging="332"/>
        <w:spacing w:after="0" w:line="24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Company stock options awarded to Named Executive Officers prior to Fiscal 2007 under the 2004 Plan and the 1997 Plan. No stock options were awarded to Named Executive Officers in Fiscal 2010.</w:t>
      </w:r>
    </w:p>
    <w:p>
      <w:pPr>
        <w:ind w:left="340" w:hanging="332"/>
        <w:spacing w:after="0"/>
        <w:tabs>
          <w:tab w:leader="none" w:pos="340" w:val="left"/>
        </w:tabs>
        <w:numPr>
          <w:ilvl w:val="0"/>
          <w:numId w:val="46"/>
        </w:numPr>
        <w:rPr>
          <w:rFonts w:ascii="Arial" w:cs="Arial" w:eastAsia="Arial" w:hAnsi="Arial"/>
          <w:sz w:val="13"/>
          <w:szCs w:val="13"/>
          <w:color w:val="auto"/>
        </w:rPr>
      </w:pPr>
      <w:r>
        <w:rPr>
          <w:rFonts w:ascii="Arial" w:cs="Arial" w:eastAsia="Arial" w:hAnsi="Arial"/>
          <w:sz w:val="14"/>
          <w:szCs w:val="14"/>
          <w:color w:val="auto"/>
        </w:rPr>
        <w:t>Unvested restricted stock awarded to Named Executive Officers in Fiscal 2008 and Fiscal 2007 pursuant to the 2004 Plan.</w:t>
      </w:r>
    </w:p>
    <w:p>
      <w:pPr>
        <w:spacing w:after="0" w:line="41" w:lineRule="exact"/>
        <w:rPr>
          <w:rFonts w:ascii="Arial" w:cs="Arial" w:eastAsia="Arial" w:hAnsi="Arial"/>
          <w:sz w:val="13"/>
          <w:szCs w:val="13"/>
          <w:color w:val="auto"/>
        </w:rPr>
      </w:pPr>
    </w:p>
    <w:p>
      <w:pPr>
        <w:ind w:left="380" w:right="60" w:hanging="372"/>
        <w:spacing w:after="0" w:line="249" w:lineRule="auto"/>
        <w:tabs>
          <w:tab w:leader="none" w:pos="380" w:val="left"/>
        </w:tabs>
        <w:numPr>
          <w:ilvl w:val="0"/>
          <w:numId w:val="46"/>
        </w:numPr>
        <w:rPr>
          <w:rFonts w:ascii="Arial" w:cs="Arial" w:eastAsia="Arial" w:hAnsi="Arial"/>
          <w:sz w:val="13"/>
          <w:szCs w:val="13"/>
          <w:color w:val="auto"/>
        </w:rPr>
      </w:pPr>
      <w:r>
        <w:rPr>
          <w:rFonts w:ascii="Arial" w:cs="Arial" w:eastAsia="Arial" w:hAnsi="Arial"/>
          <w:sz w:val="14"/>
          <w:szCs w:val="14"/>
          <w:color w:val="auto"/>
        </w:rPr>
        <w:t>All stock options were granted under the 2004 Plan with the exercise price equal to the mean of the highest and lowest price of the Company's Common Stock, as quoted on the NYSE, on the date of the grant.</w:t>
      </w:r>
    </w:p>
    <w:p>
      <w:pPr>
        <w:ind w:right="140"/>
        <w:spacing w:after="0" w:line="246" w:lineRule="auto"/>
        <w:rPr>
          <w:sz w:val="20"/>
          <w:szCs w:val="20"/>
          <w:color w:val="auto"/>
        </w:rPr>
      </w:pPr>
      <w:r>
        <w:rPr>
          <w:rFonts w:ascii="Arial" w:cs="Arial" w:eastAsia="Arial" w:hAnsi="Arial"/>
          <w:sz w:val="14"/>
          <w:szCs w:val="14"/>
          <w:b w:val="1"/>
          <w:bCs w:val="1"/>
          <w:i w:val="1"/>
          <w:iCs w:val="1"/>
          <w:color w:val="auto"/>
        </w:rPr>
        <w:t>Shares of restricted stock generally vest in one-third increments beginning one year from the date of grant. A discussion of the vesting of awards provided for under various termination situations is set forth in the section “Potential Payments upon Termination or Change of Control” below.</w:t>
      </w:r>
    </w:p>
    <w:p>
      <w:pPr>
        <w:spacing w:after="0"/>
        <w:rPr>
          <w:sz w:val="20"/>
          <w:szCs w:val="20"/>
          <w:color w:val="auto"/>
        </w:rPr>
      </w:pPr>
      <w:r>
        <w:rPr>
          <w:rFonts w:ascii="Arial" w:cs="Arial" w:eastAsia="Arial" w:hAnsi="Arial"/>
          <w:sz w:val="13"/>
          <w:szCs w:val="13"/>
          <w:color w:val="auto"/>
        </w:rPr>
        <w:t>(4)</w:t>
      </w:r>
    </w:p>
    <w:p>
      <w:pPr>
        <w:spacing w:after="0" w:line="10" w:lineRule="exact"/>
        <w:rPr>
          <w:sz w:val="20"/>
          <w:szCs w:val="20"/>
          <w:color w:val="auto"/>
        </w:rPr>
      </w:pPr>
    </w:p>
    <w:p>
      <w:pPr>
        <w:ind w:left="340" w:right="380" w:hanging="332"/>
        <w:spacing w:after="0" w:line="258" w:lineRule="auto"/>
        <w:tabs>
          <w:tab w:leader="none" w:pos="340" w:val="left"/>
        </w:tabs>
        <w:numPr>
          <w:ilvl w:val="0"/>
          <w:numId w:val="47"/>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that have not vested by the closing price of the Compan y's Common Stock ($9.05) as quoted on the NYSE on August 27, 2010, the last trading day of Fiscal 2010.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31</w:t>
      </w:r>
    </w:p>
    <w:p>
      <w:pPr>
        <w:sectPr>
          <w:pgSz w:w="11900" w:h="16838" w:orient="portrait"/>
          <w:cols w:equalWidth="0" w:num="1">
            <w:col w:w="11420"/>
          </w:cols>
          <w:pgMar w:left="240" w:top="135" w:right="239" w:bottom="1440" w:gutter="0" w:footer="0" w:header="0"/>
        </w:sectPr>
      </w:pPr>
    </w:p>
    <w:bookmarkStart w:id="35" w:name="page36"/>
    <w:bookmarkEnd w:id="35"/>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TABLE</w:t>
      </w:r>
    </w:p>
    <w:p>
      <w:pPr>
        <w:spacing w:after="0" w:line="11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The following table provides the amounts received upon the exercise of options or similar instruments or the vesting of stock or similar instruments during the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34925</wp:posOffset>
            </wp:positionV>
            <wp:extent cx="17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206375</wp:posOffset>
            </wp:positionV>
            <wp:extent cx="17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309245</wp:posOffset>
            </wp:positionV>
            <wp:extent cx="17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1"/>
                <w:szCs w:val="21"/>
                <w:color w:val="auto"/>
              </w:rPr>
            </w:pPr>
          </w:p>
        </w:tc>
        <w:tc>
          <w:tcPr>
            <w:tcW w:w="3120" w:type="dxa"/>
            <w:vAlign w:val="bottom"/>
            <w:tcBorders>
              <w:bottom w:val="single" w:sz="8" w:color="auto"/>
            </w:tcBorders>
            <w:gridSpan w:val="2"/>
          </w:tcPr>
          <w:p>
            <w:pPr>
              <w:ind w:left="126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6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tcBorders>
              <w:bottom w:val="single" w:sz="8" w:color="auto"/>
            </w:tcBorders>
            <w:gridSpan w:val="2"/>
          </w:tcPr>
          <w:p>
            <w:pPr>
              <w:ind w:left="1380"/>
              <w:spacing w:after="0"/>
              <w:rPr>
                <w:sz w:val="20"/>
                <w:szCs w:val="20"/>
                <w:color w:val="auto"/>
              </w:rPr>
            </w:pPr>
            <w:r>
              <w:rPr>
                <w:rFonts w:ascii="Arial" w:cs="Arial" w:eastAsia="Arial" w:hAnsi="Arial"/>
                <w:sz w:val="16"/>
                <w:szCs w:val="16"/>
                <w:b w:val="1"/>
                <w:bCs w:val="1"/>
                <w:color w:val="auto"/>
              </w:rPr>
              <w:t>Stock Awards</w:t>
            </w: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Value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540" w:type="dxa"/>
            <w:vAlign w:val="bottom"/>
          </w:tcPr>
          <w:p>
            <w:pPr>
              <w:jc w:val="center"/>
              <w:ind w:right="34"/>
              <w:spacing w:after="0"/>
              <w:rPr>
                <w:sz w:val="20"/>
                <w:szCs w:val="20"/>
                <w:color w:val="auto"/>
              </w:rPr>
            </w:pPr>
            <w:r>
              <w:rPr>
                <w:rFonts w:ascii="Arial" w:cs="Arial" w:eastAsia="Arial" w:hAnsi="Arial"/>
                <w:sz w:val="16"/>
                <w:szCs w:val="16"/>
                <w:b w:val="1"/>
                <w:bCs w:val="1"/>
                <w:color w:val="auto"/>
              </w:rPr>
              <w:t>Number of</w:t>
            </w:r>
          </w:p>
        </w:tc>
        <w:tc>
          <w:tcPr>
            <w:tcW w:w="1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Realized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540" w:type="dxa"/>
            <w:vAlign w:val="bottom"/>
          </w:tcPr>
          <w:p>
            <w:pPr>
              <w:jc w:val="center"/>
              <w:ind w:right="14"/>
              <w:spacing w:after="0"/>
              <w:rPr>
                <w:sz w:val="20"/>
                <w:szCs w:val="20"/>
                <w:color w:val="auto"/>
              </w:rPr>
            </w:pPr>
            <w:r>
              <w:rPr>
                <w:rFonts w:ascii="Arial" w:cs="Arial" w:eastAsia="Arial" w:hAnsi="Arial"/>
                <w:sz w:val="16"/>
                <w:szCs w:val="16"/>
                <w:b w:val="1"/>
                <w:bCs w:val="1"/>
                <w:color w:val="auto"/>
              </w:rPr>
              <w:t>Shares Acquired</w:t>
            </w:r>
          </w:p>
        </w:tc>
        <w:tc>
          <w:tcPr>
            <w:tcW w:w="1580" w:type="dxa"/>
            <w:vAlign w:val="bottom"/>
          </w:tcPr>
          <w:p>
            <w:pPr>
              <w:jc w:val="center"/>
              <w:ind w:left="39"/>
              <w:spacing w:after="0"/>
              <w:rPr>
                <w:sz w:val="20"/>
                <w:szCs w:val="20"/>
                <w:color w:val="auto"/>
              </w:rPr>
            </w:pPr>
            <w:r>
              <w:rPr>
                <w:rFonts w:ascii="Arial" w:cs="Arial" w:eastAsia="Arial" w:hAnsi="Arial"/>
                <w:sz w:val="16"/>
                <w:szCs w:val="16"/>
                <w:b w:val="1"/>
                <w:bCs w:val="1"/>
                <w:color w:val="auto"/>
              </w:rPr>
              <w:t>Value Realized on</w:t>
            </w:r>
          </w:p>
        </w:tc>
        <w:tc>
          <w:tcPr>
            <w:tcW w:w="680" w:type="dxa"/>
            <w:vAlign w:val="bottom"/>
          </w:tcPr>
          <w:p>
            <w:pPr>
              <w:spacing w:after="0"/>
              <w:rPr>
                <w:sz w:val="16"/>
                <w:szCs w:val="16"/>
                <w:color w:val="auto"/>
              </w:rPr>
            </w:pPr>
          </w:p>
        </w:tc>
        <w:tc>
          <w:tcPr>
            <w:tcW w:w="2120" w:type="dxa"/>
            <w:vAlign w:val="bottom"/>
            <w:gridSpan w:val="2"/>
          </w:tcPr>
          <w:p>
            <w:pPr>
              <w:jc w:val="center"/>
              <w:ind w:right="313"/>
              <w:spacing w:after="0"/>
              <w:rPr>
                <w:sz w:val="20"/>
                <w:szCs w:val="20"/>
                <w:color w:val="auto"/>
              </w:rPr>
            </w:pPr>
            <w:r>
              <w:rPr>
                <w:rFonts w:ascii="Arial" w:cs="Arial" w:eastAsia="Arial" w:hAnsi="Arial"/>
                <w:sz w:val="16"/>
                <w:szCs w:val="16"/>
                <w:b w:val="1"/>
                <w:bCs w:val="1"/>
                <w:color w:val="auto"/>
              </w:rPr>
              <w:t>Number of Shares</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on</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540" w:type="dxa"/>
            <w:vAlign w:val="bottom"/>
          </w:tcPr>
          <w:p>
            <w:pPr>
              <w:jc w:val="center"/>
              <w:ind w:right="34"/>
              <w:spacing w:after="0"/>
              <w:rPr>
                <w:sz w:val="20"/>
                <w:szCs w:val="20"/>
                <w:color w:val="auto"/>
              </w:rPr>
            </w:pPr>
            <w:r>
              <w:rPr>
                <w:rFonts w:ascii="Arial" w:cs="Arial" w:eastAsia="Arial" w:hAnsi="Arial"/>
                <w:sz w:val="16"/>
                <w:szCs w:val="16"/>
                <w:b w:val="1"/>
                <w:bCs w:val="1"/>
                <w:color w:val="auto"/>
              </w:rPr>
              <w:t>on Exercise</w:t>
            </w:r>
          </w:p>
        </w:tc>
        <w:tc>
          <w:tcPr>
            <w:tcW w:w="1580" w:type="dxa"/>
            <w:vAlign w:val="bottom"/>
          </w:tcPr>
          <w:p>
            <w:pPr>
              <w:jc w:val="center"/>
              <w:ind w:left="39"/>
              <w:spacing w:after="0"/>
              <w:rPr>
                <w:sz w:val="20"/>
                <w:szCs w:val="20"/>
                <w:color w:val="auto"/>
              </w:rPr>
            </w:pPr>
            <w:r>
              <w:rPr>
                <w:rFonts w:ascii="Arial" w:cs="Arial" w:eastAsia="Arial" w:hAnsi="Arial"/>
                <w:sz w:val="16"/>
                <w:szCs w:val="16"/>
                <w:b w:val="1"/>
                <w:bCs w:val="1"/>
                <w:color w:val="auto"/>
              </w:rPr>
              <w:t>Exercise</w:t>
            </w:r>
          </w:p>
        </w:tc>
        <w:tc>
          <w:tcPr>
            <w:tcW w:w="680" w:type="dxa"/>
            <w:vAlign w:val="bottom"/>
          </w:tcPr>
          <w:p>
            <w:pPr>
              <w:spacing w:after="0"/>
              <w:rPr>
                <w:sz w:val="16"/>
                <w:szCs w:val="16"/>
                <w:color w:val="auto"/>
              </w:rPr>
            </w:pPr>
          </w:p>
        </w:tc>
        <w:tc>
          <w:tcPr>
            <w:tcW w:w="2120" w:type="dxa"/>
            <w:vAlign w:val="bottom"/>
            <w:gridSpan w:val="2"/>
          </w:tcPr>
          <w:p>
            <w:pPr>
              <w:jc w:val="center"/>
              <w:ind w:right="313"/>
              <w:spacing w:after="0"/>
              <w:rPr>
                <w:sz w:val="20"/>
                <w:szCs w:val="20"/>
                <w:color w:val="auto"/>
              </w:rPr>
            </w:pPr>
            <w:r>
              <w:rPr>
                <w:rFonts w:ascii="Arial" w:cs="Arial" w:eastAsia="Arial" w:hAnsi="Arial"/>
                <w:sz w:val="16"/>
                <w:szCs w:val="16"/>
                <w:b w:val="1"/>
                <w:bCs w:val="1"/>
                <w:color w:val="auto"/>
              </w:rPr>
              <w:t>Acquired on Vesting</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Vesting</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5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1"/>
              </w:rPr>
              <w:t>($)</w:t>
            </w:r>
          </w:p>
        </w:tc>
        <w:tc>
          <w:tcPr>
            <w:tcW w:w="6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right="313"/>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Robert J. Olson</w:t>
            </w:r>
          </w:p>
        </w:tc>
        <w:tc>
          <w:tcPr>
            <w:tcW w:w="1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2"/>
                <w:szCs w:val="22"/>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3,333</w:t>
            </w:r>
          </w:p>
        </w:tc>
        <w:tc>
          <w:tcPr>
            <w:tcW w:w="6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49,128 </w:t>
            </w:r>
            <w:r>
              <w:rPr>
                <w:rFonts w:ascii="Arial" w:cs="Arial" w:eastAsia="Arial" w:hAnsi="Arial"/>
                <w:sz w:val="21"/>
                <w:szCs w:val="21"/>
                <w:color w:val="auto"/>
                <w:w w:val="90"/>
                <w:vertAlign w:val="superscript"/>
              </w:rPr>
              <w:t>(2)</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29,480</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42"/>
        </w:trPr>
        <w:tc>
          <w:tcPr>
            <w:tcW w:w="3480" w:type="dxa"/>
            <w:vAlign w:val="bottom"/>
          </w:tcPr>
          <w:p>
            <w:pPr>
              <w:ind w:left="40"/>
              <w:spacing w:after="0"/>
              <w:rPr>
                <w:sz w:val="20"/>
                <w:szCs w:val="20"/>
                <w:color w:val="auto"/>
              </w:rPr>
            </w:pPr>
            <w:r>
              <w:rPr>
                <w:rFonts w:ascii="Arial" w:cs="Arial" w:eastAsia="Arial" w:hAnsi="Arial"/>
                <w:sz w:val="18"/>
                <w:szCs w:val="18"/>
                <w:color w:val="auto"/>
              </w:rPr>
              <w:t>Raymond M. Beebe</w:t>
            </w:r>
          </w:p>
        </w:tc>
        <w:tc>
          <w:tcPr>
            <w:tcW w:w="1540" w:type="dxa"/>
            <w:vAlign w:val="bottom"/>
          </w:tcPr>
          <w:p>
            <w:pPr>
              <w:ind w:left="11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1280"/>
              <w:spacing w:after="0"/>
              <w:rPr>
                <w:sz w:val="20"/>
                <w:szCs w:val="20"/>
                <w:color w:val="auto"/>
              </w:rPr>
            </w:pPr>
            <w:r>
              <w:rPr>
                <w:rFonts w:ascii="Arial" w:cs="Arial" w:eastAsia="Arial" w:hAnsi="Arial"/>
                <w:sz w:val="18"/>
                <w:szCs w:val="18"/>
                <w:color w:val="auto"/>
              </w:rPr>
              <w:t>1,833</w:t>
            </w:r>
          </w:p>
        </w:tc>
        <w:tc>
          <w:tcPr>
            <w:tcW w:w="6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27,018</w:t>
            </w:r>
            <w:r>
              <w:rPr>
                <w:rFonts w:ascii="Arial" w:cs="Arial" w:eastAsia="Arial" w:hAnsi="Arial"/>
                <w:sz w:val="21"/>
                <w:szCs w:val="21"/>
                <w:color w:val="auto"/>
                <w:w w:val="94"/>
                <w:vertAlign w:val="superscript"/>
              </w:rPr>
              <w:t>(2)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380"/>
              <w:spacing w:after="0"/>
              <w:rPr>
                <w:sz w:val="20"/>
                <w:szCs w:val="20"/>
                <w:color w:val="auto"/>
              </w:rPr>
            </w:pPr>
            <w:r>
              <w:rPr>
                <w:rFonts w:ascii="Arial" w:cs="Arial" w:eastAsia="Arial" w:hAnsi="Arial"/>
                <w:sz w:val="18"/>
                <w:szCs w:val="18"/>
                <w:color w:val="auto"/>
                <w:w w:val="92"/>
              </w:rPr>
              <w:t>&amp;nbs</w:t>
            </w:r>
          </w:p>
        </w:tc>
        <w:tc>
          <w:tcPr>
            <w:tcW w:w="68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4"/>
              </w:rPr>
              <w:t>19,663</w:t>
            </w:r>
            <w:r>
              <w:rPr>
                <w:rFonts w:ascii="Arial" w:cs="Arial" w:eastAsia="Arial" w:hAnsi="Arial"/>
                <w:sz w:val="21"/>
                <w:szCs w:val="21"/>
                <w:color w:val="auto"/>
                <w:w w:val="94"/>
                <w:vertAlign w:val="superscript"/>
              </w:rPr>
              <w:t>(3)</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ind w:left="940"/>
              <w:spacing w:after="0"/>
              <w:rPr>
                <w:sz w:val="20"/>
                <w:szCs w:val="20"/>
                <w:color w:val="auto"/>
              </w:rPr>
            </w:pPr>
            <w:r>
              <w:rPr>
                <w:rFonts w:ascii="Arial" w:cs="Arial" w:eastAsia="Arial" w:hAnsi="Arial"/>
                <w:sz w:val="18"/>
                <w:szCs w:val="18"/>
                <w:color w:val="auto"/>
              </w:rPr>
              <w:t>1,334p;</w:t>
            </w:r>
          </w:p>
        </w:tc>
        <w:tc>
          <w:tcPr>
            <w:tcW w:w="68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Roger W. Martin</w:t>
            </w:r>
          </w:p>
        </w:tc>
        <w:tc>
          <w:tcPr>
            <w:tcW w:w="1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2"/>
                <w:szCs w:val="22"/>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1,833</w:t>
            </w:r>
          </w:p>
        </w:tc>
        <w:tc>
          <w:tcPr>
            <w:tcW w:w="68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27,018</w:t>
            </w:r>
            <w:r>
              <w:rPr>
                <w:rFonts w:ascii="Arial" w:cs="Arial" w:eastAsia="Arial" w:hAnsi="Arial"/>
                <w:sz w:val="21"/>
                <w:szCs w:val="21"/>
                <w:color w:val="auto"/>
                <w:w w:val="94"/>
                <w:vertAlign w:val="superscript"/>
              </w:rPr>
              <w:t>(2)</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1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1,334</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&amp;nb sp;</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19,663</w:t>
            </w:r>
            <w:r>
              <w:rPr>
                <w:rFonts w:ascii="Arial" w:cs="Arial" w:eastAsia="Arial" w:hAnsi="Arial"/>
                <w:sz w:val="21"/>
                <w:szCs w:val="21"/>
                <w:color w:val="auto"/>
                <w:w w:val="94"/>
                <w:vertAlign w:val="superscript"/>
              </w:rPr>
              <w:t>(3)</w:t>
            </w:r>
          </w:p>
        </w:tc>
        <w:tc>
          <w:tcPr>
            <w:tcW w:w="0" w:type="dxa"/>
            <w:vAlign w:val="bottom"/>
          </w:tcPr>
          <w:p>
            <w:pPr>
              <w:spacing w:after="0"/>
              <w:rPr>
                <w:sz w:val="1"/>
                <w:szCs w:val="1"/>
                <w:color w:val="auto"/>
              </w:rPr>
            </w:pPr>
          </w:p>
        </w:tc>
      </w:tr>
      <w:tr>
        <w:trPr>
          <w:trHeight w:val="280"/>
        </w:trPr>
        <w:tc>
          <w:tcPr>
            <w:tcW w:w="3480" w:type="dxa"/>
            <w:vAlign w:val="bottom"/>
          </w:tcPr>
          <w:p>
            <w:pPr>
              <w:ind w:left="40"/>
              <w:spacing w:after="0"/>
              <w:rPr>
                <w:sz w:val="20"/>
                <w:szCs w:val="20"/>
                <w:color w:val="auto"/>
              </w:rPr>
            </w:pPr>
            <w:r>
              <w:rPr>
                <w:rFonts w:ascii="Arial" w:cs="Arial" w:eastAsia="Arial" w:hAnsi="Arial"/>
                <w:sz w:val="18"/>
                <w:szCs w:val="18"/>
                <w:color w:val="auto"/>
              </w:rPr>
              <w:t>Sarah N. Nielsen</w:t>
            </w:r>
          </w:p>
        </w:tc>
        <w:tc>
          <w:tcPr>
            <w:tcW w:w="1540" w:type="dxa"/>
            <w:vAlign w:val="bottom"/>
          </w:tcPr>
          <w:p>
            <w:pPr>
              <w:ind w:left="114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1280"/>
              <w:spacing w:after="0"/>
              <w:rPr>
                <w:sz w:val="20"/>
                <w:szCs w:val="20"/>
                <w:color w:val="auto"/>
              </w:rPr>
            </w:pPr>
            <w:r>
              <w:rPr>
                <w:rFonts w:ascii="Arial" w:cs="Arial" w:eastAsia="Arial" w:hAnsi="Arial"/>
                <w:sz w:val="18"/>
                <w:szCs w:val="18"/>
                <w:color w:val="auto"/>
              </w:rPr>
              <w:t>1,833</w:t>
            </w:r>
          </w:p>
        </w:tc>
        <w:tc>
          <w:tcPr>
            <w:tcW w:w="6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27,018</w:t>
            </w:r>
            <w:r>
              <w:rPr>
                <w:rFonts w:ascii="Arial" w:cs="Arial" w:eastAsia="Arial" w:hAnsi="Arial"/>
                <w:sz w:val="21"/>
                <w:szCs w:val="21"/>
                <w:color w:val="auto"/>
                <w:w w:val="94"/>
                <w:vertAlign w:val="superscript"/>
              </w:rPr>
              <w:t>(2)</w:t>
            </w:r>
          </w:p>
        </w:tc>
        <w:tc>
          <w:tcPr>
            <w:tcW w:w="0" w:type="dxa"/>
            <w:vAlign w:val="bottom"/>
          </w:tcPr>
          <w:p>
            <w:pPr>
              <w:spacing w:after="0"/>
              <w:rPr>
                <w:sz w:val="1"/>
                <w:szCs w:val="1"/>
                <w:color w:val="auto"/>
              </w:rPr>
            </w:pPr>
          </w:p>
        </w:tc>
      </w:tr>
      <w:tr>
        <w:trPr>
          <w:trHeight w:val="233"/>
        </w:trPr>
        <w:tc>
          <w:tcPr>
            <w:tcW w:w="3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gridSpan w:val="2"/>
          </w:tcPr>
          <w:p>
            <w:pPr>
              <w:ind w:left="1280"/>
              <w:spacing w:after="0"/>
              <w:rPr>
                <w:sz w:val="20"/>
                <w:szCs w:val="20"/>
                <w:color w:val="auto"/>
              </w:rPr>
            </w:pPr>
            <w:r>
              <w:rPr>
                <w:rFonts w:ascii="Arial" w:cs="Arial" w:eastAsia="Arial" w:hAnsi="Arial"/>
                <w:sz w:val="18"/>
                <w:szCs w:val="18"/>
                <w:color w:val="auto"/>
              </w:rPr>
              <w:t>1,334</w:t>
            </w:r>
          </w:p>
        </w:tc>
        <w:tc>
          <w:tcPr>
            <w:tcW w:w="680" w:type="dxa"/>
            <w:vAlign w:val="bottom"/>
          </w:tcPr>
          <w:p>
            <w:pPr>
              <w:spacing w:after="0"/>
              <w:rPr>
                <w:sz w:val="20"/>
                <w:szCs w:val="20"/>
                <w:color w:val="auto"/>
              </w:rPr>
            </w:pPr>
          </w:p>
        </w:tc>
        <w:tc>
          <w:tcPr>
            <w:tcW w:w="1340" w:type="dxa"/>
            <w:vAlign w:val="bottom"/>
          </w:tcPr>
          <w:p>
            <w:pPr>
              <w:jc w:val="center"/>
              <w:spacing w:after="0" w:line="233" w:lineRule="exact"/>
              <w:rPr>
                <w:sz w:val="20"/>
                <w:szCs w:val="20"/>
                <w:color w:val="auto"/>
              </w:rPr>
            </w:pPr>
            <w:r>
              <w:rPr>
                <w:rFonts w:ascii="Arial" w:cs="Arial" w:eastAsia="Arial" w:hAnsi="Arial"/>
                <w:sz w:val="18"/>
                <w:szCs w:val="18"/>
                <w:color w:val="auto"/>
                <w:w w:val="94"/>
              </w:rPr>
              <w:t>19,663</w:t>
            </w:r>
            <w:r>
              <w:rPr>
                <w:rFonts w:ascii="Arial" w:cs="Arial" w:eastAsia="Arial" w:hAnsi="Arial"/>
                <w:sz w:val="21"/>
                <w:szCs w:val="21"/>
                <w:color w:val="auto"/>
                <w:w w:val="94"/>
                <w:vertAlign w:val="superscript"/>
              </w:rPr>
              <w:t>(3)</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8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&lt;</w:t>
            </w: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27,018</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William J. O'Leary</w:t>
            </w:r>
          </w:p>
        </w:tc>
        <w:tc>
          <w:tcPr>
            <w:tcW w:w="15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20"/>
                <w:szCs w:val="20"/>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—/font&gt;</w:t>
            </w:r>
          </w:p>
        </w:tc>
        <w:tc>
          <w:tcPr>
            <w:tcW w:w="21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1,833</w:t>
            </w:r>
          </w:p>
        </w:tc>
        <w:tc>
          <w:tcPr>
            <w:tcW w:w="68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20" w:type="dxa"/>
            <w:vAlign w:val="bottom"/>
            <w:gridSpan w:val="2"/>
          </w:tcPr>
          <w:p>
            <w:pPr>
              <w:ind w:left="1280"/>
              <w:spacing w:after="0"/>
              <w:rPr>
                <w:sz w:val="20"/>
                <w:szCs w:val="20"/>
                <w:color w:val="auto"/>
              </w:rPr>
            </w:pPr>
            <w:r>
              <w:rPr>
                <w:rFonts w:ascii="Arial" w:cs="Arial" w:eastAsia="Arial" w:hAnsi="Arial"/>
                <w:sz w:val="18"/>
                <w:szCs w:val="18"/>
                <w:color w:val="auto"/>
              </w:rPr>
              <w:t>1,334</w:t>
            </w:r>
          </w:p>
        </w:tc>
        <w:tc>
          <w:tcPr>
            <w:tcW w:w="6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19,663</w:t>
            </w:r>
            <w:r>
              <w:rPr>
                <w:rFonts w:ascii="Arial" w:cs="Arial" w:eastAsia="Arial" w:hAnsi="Arial"/>
                <w:sz w:val="21"/>
                <w:szCs w:val="21"/>
                <w:color w:val="auto"/>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43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-2644775</wp:posOffset>
            </wp:positionV>
            <wp:extent cx="17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ind w:left="340" w:hanging="332"/>
        <w:spacing w:after="0"/>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None of the Named Executive Officers exercised stock options to purchase shares of the Company's Common Stock in Fiscal 2010.</w:t>
      </w:r>
    </w:p>
    <w:p>
      <w:pPr>
        <w:spacing w:after="0" w:line="12" w:lineRule="exact"/>
        <w:rPr>
          <w:rFonts w:ascii="Arial" w:cs="Arial" w:eastAsia="Arial" w:hAnsi="Arial"/>
          <w:sz w:val="13"/>
          <w:szCs w:val="13"/>
          <w:color w:val="auto"/>
        </w:rPr>
      </w:pPr>
    </w:p>
    <w:p>
      <w:pPr>
        <w:ind w:left="340" w:right="40" w:hanging="332"/>
        <w:spacing w:after="0" w:line="241"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vested by the closing market price of $14.74 of the Company's Common Stock as quoted on the NYSE on October 12, 2009, the first business day after the vesting date (Saturday, October 10, 2009).</w:t>
      </w:r>
    </w:p>
    <w:p>
      <w:pPr>
        <w:ind w:left="340" w:right="40" w:hanging="332"/>
        <w:spacing w:after="0" w:line="258" w:lineRule="auto"/>
        <w:tabs>
          <w:tab w:leader="none" w:pos="340" w:val="left"/>
        </w:tabs>
        <w:numPr>
          <w:ilvl w:val="0"/>
          <w:numId w:val="48"/>
        </w:numPr>
        <w:rPr>
          <w:rFonts w:ascii="Arial" w:cs="Arial" w:eastAsia="Arial" w:hAnsi="Arial"/>
          <w:sz w:val="13"/>
          <w:szCs w:val="13"/>
          <w:color w:val="auto"/>
        </w:rPr>
      </w:pPr>
      <w:r>
        <w:rPr>
          <w:rFonts w:ascii="Arial" w:cs="Arial" w:eastAsia="Arial" w:hAnsi="Arial"/>
          <w:sz w:val="14"/>
          <w:szCs w:val="14"/>
          <w:color w:val="auto"/>
        </w:rPr>
        <w:t>Amount is calculated by multiplying the number of restricted shares vested by the closing market price of $14.74 of the Company's Common Stock as quoted on the NYSE on October 12, 2009, the first business day after the vesting date (Sunday, October 11, 2009).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TABLE</w:t>
      </w:r>
    </w:p>
    <w:p>
      <w:pPr>
        <w:spacing w:after="0" w:line="9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The following table discloses contributions, earnings and balances under non-qualified deferred compensation plans for each Named Executive Officer.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Executive</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32"/>
              <w:spacing w:after="0"/>
              <w:rPr>
                <w:sz w:val="20"/>
                <w:szCs w:val="20"/>
                <w:color w:val="auto"/>
              </w:rPr>
            </w:pPr>
            <w:r>
              <w:rPr>
                <w:rFonts w:ascii="Arial" w:cs="Arial" w:eastAsia="Arial" w:hAnsi="Arial"/>
                <w:sz w:val="16"/>
                <w:szCs w:val="16"/>
                <w:b w:val="1"/>
                <w:bCs w:val="1"/>
                <w:color w:val="auto"/>
              </w:rPr>
              <w:t>Contributions in</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Earnings</w:t>
            </w: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rPr>
              <w:t>Aggregate Balance</w:t>
            </w:r>
          </w:p>
        </w:tc>
        <w:tc>
          <w:tcPr>
            <w:tcW w:w="0" w:type="dxa"/>
            <w:vAlign w:val="bottom"/>
          </w:tcPr>
          <w:p>
            <w:pPr>
              <w:spacing w:after="0"/>
              <w:rPr>
                <w:sz w:val="1"/>
                <w:szCs w:val="1"/>
                <w:color w:val="auto"/>
              </w:rPr>
            </w:pPr>
          </w:p>
        </w:tc>
      </w:tr>
      <w:tr>
        <w:trPr>
          <w:trHeight w:val="234"/>
        </w:trPr>
        <w:tc>
          <w:tcPr>
            <w:tcW w:w="2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 ame</w:t>
            </w:r>
          </w:p>
        </w:tc>
        <w:tc>
          <w:tcPr>
            <w:tcW w:w="4380" w:type="dxa"/>
            <w:vAlign w:val="bottom"/>
            <w:tcBorders>
              <w:bottom w:val="single" w:sz="8" w:color="auto"/>
            </w:tcBorders>
          </w:tcPr>
          <w:p>
            <w:pPr>
              <w:ind w:left="1840"/>
              <w:spacing w:after="0"/>
              <w:rPr>
                <w:sz w:val="20"/>
                <w:szCs w:val="20"/>
                <w:color w:val="auto"/>
              </w:rPr>
            </w:pPr>
            <w:r>
              <w:rPr>
                <w:rFonts w:ascii="Arial" w:cs="Arial" w:eastAsia="Arial" w:hAnsi="Arial"/>
                <w:sz w:val="16"/>
                <w:szCs w:val="16"/>
                <w:b w:val="1"/>
                <w:bCs w:val="1"/>
                <w:color w:val="auto"/>
              </w:rPr>
              <w:t>Plan Name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2"/>
              <w:spacing w:after="0" w:line="234" w:lineRule="exact"/>
              <w:rPr>
                <w:sz w:val="20"/>
                <w:szCs w:val="20"/>
                <w:color w:val="auto"/>
              </w:rPr>
            </w:pPr>
            <w:r>
              <w:rPr>
                <w:rFonts w:ascii="Arial" w:cs="Arial" w:eastAsia="Arial" w:hAnsi="Arial"/>
                <w:sz w:val="16"/>
                <w:szCs w:val="16"/>
                <w:b w:val="1"/>
                <w:bCs w:val="1"/>
                <w:color w:val="auto"/>
                <w:w w:val="93"/>
              </w:rPr>
              <w:t>Last FY</w:t>
            </w:r>
            <w:r>
              <w:rPr>
                <w:rFonts w:ascii="Arial" w:cs="Arial" w:eastAsia="Arial" w:hAnsi="Arial"/>
                <w:sz w:val="21"/>
                <w:szCs w:val="21"/>
                <w:b w:val="1"/>
                <w:bCs w:val="1"/>
                <w:color w:val="auto"/>
                <w:w w:val="93"/>
                <w:vertAlign w:val="superscript"/>
              </w:rPr>
              <w:t>(1)</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1"/>
              <w:spacing w:after="0" w:line="234" w:lineRule="exact"/>
              <w:rPr>
                <w:sz w:val="20"/>
                <w:szCs w:val="20"/>
                <w:color w:val="auto"/>
              </w:rPr>
            </w:pPr>
            <w:r>
              <w:rPr>
                <w:rFonts w:ascii="Arial" w:cs="Arial" w:eastAsia="Arial" w:hAnsi="Arial"/>
                <w:sz w:val="16"/>
                <w:szCs w:val="16"/>
                <w:b w:val="1"/>
                <w:bCs w:val="1"/>
                <w:color w:val="auto"/>
              </w:rPr>
              <w:t>in Last FY</w:t>
            </w:r>
            <w:r>
              <w:rPr>
                <w:rFonts w:ascii="Arial" w:cs="Arial" w:eastAsia="Arial" w:hAnsi="Arial"/>
                <w:sz w:val="21"/>
                <w:szCs w:val="21"/>
                <w:b w:val="1"/>
                <w:bCs w:val="1"/>
                <w:color w:val="auto"/>
                <w:vertAlign w:val="superscript"/>
              </w:rPr>
              <w:t>(2)</w:t>
            </w:r>
          </w:p>
        </w:tc>
        <w:tc>
          <w:tcPr>
            <w:tcW w:w="1520" w:type="dxa"/>
            <w:vAlign w:val="bottom"/>
            <w:tcBorders>
              <w:bottom w:val="single" w:sz="8" w:color="auto"/>
            </w:tcBorders>
            <w:gridSpan w:val="3"/>
          </w:tcPr>
          <w:p>
            <w:pPr>
              <w:jc w:val="center"/>
              <w:spacing w:after="0" w:line="234" w:lineRule="exact"/>
              <w:rPr>
                <w:sz w:val="20"/>
                <w:szCs w:val="20"/>
                <w:color w:val="auto"/>
              </w:rPr>
            </w:pPr>
            <w:r>
              <w:rPr>
                <w:rFonts w:ascii="Arial" w:cs="Arial" w:eastAsia="Arial" w:hAnsi="Arial"/>
                <w:sz w:val="16"/>
                <w:szCs w:val="16"/>
                <w:b w:val="1"/>
                <w:bCs w:val="1"/>
                <w:color w:val="auto"/>
                <w:w w:val="97"/>
              </w:rPr>
              <w:t>at Last FYE</w:t>
            </w:r>
            <w:r>
              <w:rPr>
                <w:rFonts w:ascii="Arial" w:cs="Arial" w:eastAsia="Arial" w:hAnsi="Arial"/>
                <w:sz w:val="21"/>
                <w:szCs w:val="21"/>
                <w:b w:val="1"/>
                <w:bCs w:val="1"/>
                <w:color w:val="auto"/>
                <w:w w:val="97"/>
                <w:vertAlign w:val="superscript"/>
              </w:rPr>
              <w:t>(3)</w:t>
            </w:r>
          </w:p>
        </w:tc>
        <w:tc>
          <w:tcPr>
            <w:tcW w:w="0" w:type="dxa"/>
            <w:vAlign w:val="bottom"/>
          </w:tcPr>
          <w:p>
            <w:pPr>
              <w:spacing w:after="0"/>
              <w:rPr>
                <w:sz w:val="1"/>
                <w:szCs w:val="1"/>
                <w:color w:val="auto"/>
              </w:rPr>
            </w:pPr>
          </w:p>
        </w:tc>
      </w:tr>
      <w:tr>
        <w:trPr>
          <w:trHeight w:val="237"/>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Robert J. Olson</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Compensation Plan (1981)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49,182</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869,011</w:t>
            </w:r>
          </w:p>
        </w:tc>
        <w:tc>
          <w:tcPr>
            <w:tcW w:w="0" w:type="dxa"/>
            <w:vAlign w:val="bottom"/>
          </w:tcPr>
          <w:p>
            <w:pPr>
              <w:spacing w:after="0"/>
              <w:rPr>
                <w:sz w:val="1"/>
                <w:szCs w:val="1"/>
                <w:color w:val="auto"/>
              </w:rPr>
            </w:pPr>
          </w:p>
        </w:tc>
      </w:tr>
      <w:tr>
        <w:trPr>
          <w:trHeight w:val="270"/>
        </w:trPr>
        <w:tc>
          <w:tcPr>
            <w:tcW w:w="2200" w:type="dxa"/>
            <w:vAlign w:val="bottom"/>
            <w:shd w:val="clear" w:color="auto" w:fill="CCEEFF"/>
          </w:tcPr>
          <w:p>
            <w:pPr>
              <w:spacing w:after="0"/>
              <w:rPr>
                <w:sz w:val="23"/>
                <w:szCs w:val="23"/>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Executive Retirement Plan (SERP)</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7,850</w:t>
            </w:r>
          </w:p>
        </w:tc>
        <w:tc>
          <w:tcPr>
            <w:tcW w:w="6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266,888</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Executive</w:t>
            </w:r>
          </w:p>
        </w:tc>
        <w:tc>
          <w:tcPr>
            <w:tcW w:w="4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Share</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Option</w:t>
            </w:r>
          </w:p>
        </w:tc>
        <w:tc>
          <w:tcPr>
            <w:tcW w:w="4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Program</w:t>
            </w:r>
          </w:p>
        </w:tc>
        <w:tc>
          <w:tcPr>
            <w:tcW w:w="43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62,591</w:t>
            </w:r>
          </w:p>
        </w:tc>
        <w:tc>
          <w:tcPr>
            <w:tcW w:w="1940" w:type="dxa"/>
            <w:vAlign w:val="bottom"/>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869,954</w:t>
            </w:r>
          </w:p>
        </w:tc>
        <w:tc>
          <w:tcPr>
            <w:tcW w:w="8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Raymond M. Beebe</w:t>
            </w:r>
          </w:p>
        </w:tc>
        <w:tc>
          <w:tcPr>
            <w:tcW w:w="4380" w:type="dxa"/>
            <w:vAlign w:val="bottom"/>
          </w:tcPr>
          <w:p>
            <w:pPr>
              <w:ind w:left="40"/>
              <w:spacing w:after="0"/>
              <w:rPr>
                <w:sz w:val="20"/>
                <w:szCs w:val="20"/>
                <w:color w:val="auto"/>
              </w:rPr>
            </w:pPr>
            <w:r>
              <w:rPr>
                <w:rFonts w:ascii="Arial" w:cs="Arial" w:eastAsia="Arial" w:hAnsi="Arial"/>
                <w:sz w:val="18"/>
                <w:szCs w:val="18"/>
                <w:color w:val="auto"/>
              </w:rPr>
              <w:t>Deferred Compensation Plan (1981)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165,385</w:t>
            </w:r>
          </w:p>
        </w:tc>
        <w:tc>
          <w:tcPr>
            <w:tcW w:w="6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2,921,770</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Supplemental Executive Retirement Plan (SERP)</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34,745</w:t>
            </w:r>
          </w:p>
        </w:tc>
        <w:tc>
          <w:tcPr>
            <w:tcW w:w="6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729,635</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2"/>
                <w:szCs w:val="22"/>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Executive Deferred Compensation Plan</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5,850</w:t>
            </w:r>
          </w:p>
        </w:tc>
        <w:tc>
          <w:tcPr>
            <w:tcW w:w="340" w:type="dxa"/>
            <w:vAlign w:val="bottom"/>
          </w:tcPr>
          <w:p>
            <w:pPr>
              <w:spacing w:after="0"/>
              <w:rPr>
                <w:sz w:val="22"/>
                <w:szCs w:val="22"/>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1,405</w:t>
            </w:r>
          </w:p>
        </w:tc>
        <w:tc>
          <w:tcPr>
            <w:tcW w:w="600" w:type="dxa"/>
            <w:vAlign w:val="bottom"/>
          </w:tcPr>
          <w:p>
            <w:pPr>
              <w:ind w:left="20"/>
              <w:spacing w:after="0"/>
              <w:rPr>
                <w:sz w:val="20"/>
                <w:szCs w:val="20"/>
                <w:color w:val="auto"/>
              </w:rPr>
            </w:pPr>
            <w:r>
              <w:rPr>
                <w:rFonts w:ascii="Arial" w:cs="Arial" w:eastAsia="Arial" w:hAnsi="Arial"/>
                <w:sz w:val="18"/>
                <w:szCs w:val="18"/>
                <w:color w:val="auto"/>
              </w:rPr>
              <w:t>43,997</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4380" w:type="dxa"/>
            <w:vAlign w:val="bottom"/>
          </w:tcPr>
          <w:p>
            <w:pPr>
              <w:ind w:left="40"/>
              <w:spacing w:after="0"/>
              <w:rPr>
                <w:sz w:val="20"/>
                <w:szCs w:val="20"/>
                <w:color w:val="auto"/>
              </w:rPr>
            </w:pPr>
            <w:r>
              <w:rPr>
                <w:rFonts w:ascii="Arial" w:cs="Arial" w:eastAsia="Arial" w:hAnsi="Arial"/>
                <w:sz w:val="18"/>
                <w:szCs w:val="18"/>
                <w:color w:val="auto"/>
              </w:rPr>
              <w:t>Executive Share Option Program</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52,985</w:t>
            </w:r>
          </w:p>
        </w:tc>
        <w:tc>
          <w:tcPr>
            <w:tcW w:w="6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858,808</w:t>
            </w:r>
          </w:p>
        </w:tc>
        <w:tc>
          <w:tcPr>
            <w:tcW w:w="0" w:type="dxa"/>
            <w:vAlign w:val="bottom"/>
          </w:tcPr>
          <w:p>
            <w:pPr>
              <w:spacing w:after="0"/>
              <w:rPr>
                <w:sz w:val="1"/>
                <w:szCs w:val="1"/>
                <w:color w:val="auto"/>
              </w:rPr>
            </w:pPr>
          </w:p>
        </w:tc>
      </w:tr>
      <w:tr>
        <w:trPr>
          <w:trHeight w:val="257"/>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Roger W. Martin</w:t>
            </w:r>
          </w:p>
        </w:tc>
        <w:tc>
          <w:tcPr>
            <w:tcW w:w="4380" w:type="dxa"/>
            <w:vAlign w:val="bottom"/>
          </w:tcPr>
          <w:p>
            <w:pPr>
              <w:spacing w:after="0"/>
              <w:rPr>
                <w:sz w:val="20"/>
                <w:szCs w:val="20"/>
                <w:color w:val="auto"/>
              </w:rPr>
            </w:pPr>
            <w:r>
              <w:rPr>
                <w:rFonts w:ascii="Arial" w:cs="Arial" w:eastAsia="Arial" w:hAnsi="Arial"/>
                <w:sz w:val="18"/>
                <w:szCs w:val="18"/>
                <w:color w:val="auto"/>
              </w:rPr>
              <w:t>Deferred Compensation Plan (1981)</w:t>
            </w:r>
          </w:p>
        </w:tc>
        <w:tc>
          <w:tcPr>
            <w:tcW w:w="1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683</w:t>
            </w:r>
          </w:p>
        </w:tc>
        <w:tc>
          <w:tcPr>
            <w:tcW w:w="6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50"/>
        </w:trPr>
        <w:tc>
          <w:tcPr>
            <w:tcW w:w="2200" w:type="dxa"/>
            <w:vAlign w:val="bottom"/>
            <w:shd w:val="clear" w:color="auto" w:fill="CCEEFF"/>
          </w:tcPr>
          <w:p>
            <w:pPr>
              <w:spacing w:after="0"/>
              <w:rPr>
                <w:sz w:val="21"/>
                <w:szCs w:val="21"/>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Executive Retirement Plan (SERP)</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2,187</w:t>
            </w:r>
          </w:p>
        </w:tc>
        <w:tc>
          <w:tcPr>
            <w:tcW w:w="6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70"/>
        </w:trPr>
        <w:tc>
          <w:tcPr>
            <w:tcW w:w="2200" w:type="dxa"/>
            <w:vAlign w:val="bottom"/>
            <w:shd w:val="clear" w:color="auto" w:fill="CCEEFF"/>
          </w:tcPr>
          <w:p>
            <w:pPr>
              <w:spacing w:after="0"/>
              <w:rPr>
                <w:sz w:val="23"/>
                <w:szCs w:val="23"/>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Share Option Program</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4,192</w:t>
            </w:r>
          </w:p>
        </w:tc>
        <w:tc>
          <w:tcPr>
            <w:tcW w:w="6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61,913</w:t>
            </w:r>
          </w:p>
        </w:tc>
        <w:tc>
          <w:tcPr>
            <w:tcW w:w="0" w:type="dxa"/>
            <w:vAlign w:val="bottom"/>
          </w:tcPr>
          <w:p>
            <w:pPr>
              <w:spacing w:after="0"/>
              <w:rPr>
                <w:sz w:val="1"/>
                <w:szCs w:val="1"/>
                <w:color w:val="auto"/>
              </w:rPr>
            </w:pPr>
          </w:p>
        </w:tc>
      </w:tr>
      <w:tr>
        <w:trPr>
          <w:trHeight w:val="311"/>
        </w:trPr>
        <w:tc>
          <w:tcPr>
            <w:tcW w:w="2200" w:type="dxa"/>
            <w:vAlign w:val="bottom"/>
          </w:tcPr>
          <w:p>
            <w:pPr>
              <w:ind w:left="40"/>
              <w:spacing w:after="0"/>
              <w:rPr>
                <w:sz w:val="20"/>
                <w:szCs w:val="20"/>
                <w:color w:val="auto"/>
              </w:rPr>
            </w:pPr>
            <w:r>
              <w:rPr>
                <w:rFonts w:ascii="Arial" w:cs="Arial" w:eastAsia="Arial" w:hAnsi="Arial"/>
                <w:sz w:val="18"/>
                <w:szCs w:val="18"/>
                <w:color w:val="auto"/>
              </w:rPr>
              <w:t>Sarah N. Nielsen</w:t>
            </w:r>
            <w:r>
              <w:rPr>
                <w:rFonts w:ascii="Arial" w:cs="Arial" w:eastAsia="Arial" w:hAnsi="Arial"/>
                <w:sz w:val="21"/>
                <w:szCs w:val="21"/>
                <w:color w:val="auto"/>
                <w:vertAlign w:val="superscript"/>
              </w:rPr>
              <w:t>(4)</w:t>
            </w:r>
          </w:p>
        </w:tc>
        <w:tc>
          <w:tcPr>
            <w:tcW w:w="4380" w:type="dxa"/>
            <w:vAlign w:val="bottom"/>
          </w:tcPr>
          <w:p>
            <w:pPr>
              <w:ind w:left="40"/>
              <w:spacing w:after="0"/>
              <w:rPr>
                <w:sz w:val="20"/>
                <w:szCs w:val="20"/>
                <w:color w:val="auto"/>
              </w:rPr>
            </w:pPr>
            <w:r>
              <w:rPr>
                <w:rFonts w:ascii="Arial" w:cs="Arial" w:eastAsia="Arial" w:hAnsi="Arial"/>
                <w:sz w:val="18"/>
                <w:szCs w:val="18"/>
                <w:color w:val="auto"/>
              </w:rPr>
              <w:t>Executive Deferred Compensation Plan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42"/>
        </w:trPr>
        <w:tc>
          <w:tcPr>
            <w:tcW w:w="2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William J. O'Leary</w:t>
            </w:r>
            <w:r>
              <w:rPr>
                <w:rFonts w:ascii="Arial" w:cs="Arial" w:eastAsia="Arial" w:hAnsi="Arial"/>
                <w:sz w:val="21"/>
                <w:szCs w:val="21"/>
                <w:color w:val="auto"/>
                <w:vertAlign w:val="superscript"/>
              </w:rPr>
              <w:t>(4)</w:t>
            </w: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&lt; div style="text-align:left;font-size:10pt;"&gt;Supplemental</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0" w:type="dxa"/>
            <w:vAlign w:val="bottom"/>
            <w:vMerge w:val="continue"/>
            <w:shd w:val="clear" w:color="auto" w:fill="CCEEFF"/>
          </w:tcPr>
          <w:p>
            <w:pPr>
              <w:spacing w:after="0"/>
              <w:rPr>
                <w:sz w:val="20"/>
                <w:szCs w:val="20"/>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Retirement Plan (SERP)</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7,288</w:t>
            </w:r>
          </w:p>
        </w:tc>
        <w:tc>
          <w:tcPr>
            <w:tcW w:w="6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116,593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00" w:type="dxa"/>
            <w:vAlign w:val="bottom"/>
            <w:shd w:val="clear" w:color="auto" w:fill="CCEEFF"/>
          </w:tcPr>
          <w:p>
            <w:pPr>
              <w:spacing w:after="0"/>
              <w:rPr>
                <w:sz w:val="23"/>
                <w:szCs w:val="23"/>
                <w:color w:val="auto"/>
              </w:rPr>
            </w:pPr>
          </w:p>
        </w:tc>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Share Option Program</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9,717</w:t>
            </w:r>
          </w:p>
        </w:tc>
        <w:tc>
          <w:tcPr>
            <w:tcW w:w="6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180" w:hanging="332"/>
        <w:spacing w:after="0" w:line="24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In Fiscal 2010, Mr. Beebe was the only Named Executive Officer that contributed to the Executive Deferred Compensation Plan. This amount is also included in the amount designated as “Salary” in the Summary Comp ensation Table.</w:t>
      </w:r>
    </w:p>
    <w:p>
      <w:pPr>
        <w:ind w:left="340" w:right="20" w:hanging="332"/>
        <w:spacing w:after="0" w:line="241"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Mr. Olson's and Mr. Beebe's dollar amount under the Deferred Compensation Plan (1981) represents the additional vesting earned in Fiscal 2010. As of August 28, 2010, Mr. Martin had not qualified for early retirement under the Deferred Compensation Plan (1981), therefore the dollar amount under this plan represents a 6% earnings as is described in the Plan document. As of August 28, 2010, the change under the Supplemental Executive Retirement Plan (SERP) represents additional vesting earned in Fiscal 2010 from benef its converted under the Executive Split Dollar Life program. The change under the Executive Share Option Program represents the change in the market price of the financial instruments from August 29, 2009 to August 28, 2010 in each of such Named Executive Officer's account. The amount under the Executive Deferred Compensation Plan represents the change in the market price of the underlying investments from August 29, 2009 to August 28, 2010.</w:t>
      </w:r>
    </w:p>
    <w:p>
      <w:pPr>
        <w:spacing w:after="0" w:line="2" w:lineRule="exact"/>
        <w:rPr>
          <w:rFonts w:ascii="Arial" w:cs="Arial" w:eastAsia="Arial" w:hAnsi="Arial"/>
          <w:sz w:val="13"/>
          <w:szCs w:val="13"/>
          <w:color w:val="auto"/>
        </w:rPr>
      </w:pPr>
    </w:p>
    <w:p>
      <w:pPr>
        <w:ind w:left="340" w:right="20" w:hanging="332"/>
        <w:spacing w:after="0" w:line="243" w:lineRule="auto"/>
        <w:tabs>
          <w:tab w:leader="none" w:pos="340" w:val="left"/>
        </w:tabs>
        <w:numPr>
          <w:ilvl w:val="0"/>
          <w:numId w:val="49"/>
        </w:numPr>
        <w:rPr>
          <w:rFonts w:ascii="Arial" w:cs="Arial" w:eastAsia="Arial" w:hAnsi="Arial"/>
          <w:sz w:val="13"/>
          <w:szCs w:val="13"/>
          <w:color w:val="auto"/>
        </w:rPr>
      </w:pPr>
      <w:r>
        <w:rPr>
          <w:rFonts w:ascii="Arial" w:cs="Arial" w:eastAsia="Arial" w:hAnsi="Arial"/>
          <w:sz w:val="14"/>
          <w:szCs w:val="14"/>
          <w:color w:val="auto"/>
        </w:rPr>
        <w:t>The dollar amount under the Deferred Compensation Plan (1981) for Mr. Olson represents the total 15 year payout based on his respective Early Retirement Benefit. Mr. Beebe, who is of retirement age, has a benefit that reflects the total of the 15 years of payout based on the Normal Retirement Benefit, plus a 6% per year crediting rate, established by the Board, which is applied to each year worked past age 65. Mr. Martin had not qualified for the Early Retirement Benefit under the Deferred Compensation Plan (1981); however, his balances represents his contributions into the plan plus a 6% per year crediting rate from 1999 through 2010. This plan was frozen as of 2001. Mr. Olson's and Mr. Martin's dollar amount under SERP represents their benefit amounts adjusted for their current age (not age 65 yet) based on the early retirement formula in the plan. Mr. Beebe's dollar amount under the SERP plan represents the Normal Retirement Benefit stated in the Participation Agreement plus a 5% increase each full year of continuous service performed by the Participant for the Company af ter age 65. The dollar amount under the Executive Share Option Program represents the market price of the financial instruments as of August 28, 2010 in each of such Named Executive Officer's account.</w:t>
      </w:r>
    </w:p>
    <w:p>
      <w:pPr>
        <w:sectPr>
          <w:pgSz w:w="11900" w:h="16838" w:orient="portrait"/>
          <w:cols w:equalWidth="0" w:num="1">
            <w:col w:w="11420"/>
          </w:cols>
          <w:pgMar w:left="240" w:top="135"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32</w:t>
      </w:r>
    </w:p>
    <w:p>
      <w:pPr>
        <w:sectPr>
          <w:pgSz w:w="11900" w:h="16838" w:orient="portrait"/>
          <w:cols w:equalWidth="0" w:num="1">
            <w:col w:w="11420"/>
          </w:cols>
          <w:pgMar w:left="240" w:top="135" w:right="239" w:bottom="0" w:gutter="0" w:footer="0" w:header="0"/>
          <w:type w:val="continuous"/>
        </w:sectPr>
      </w:pPr>
    </w:p>
    <w:bookmarkStart w:id="36" w:name="page37"/>
    <w:bookmarkEnd w:id="36"/>
    <w:p>
      <w:pPr>
        <w:jc w:val="center"/>
        <w:ind w:right="-39"/>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28" w:lineRule="exact"/>
        <w:rPr>
          <w:sz w:val="20"/>
          <w:szCs w:val="20"/>
          <w:color w:val="auto"/>
        </w:rPr>
      </w:pPr>
    </w:p>
    <w:p>
      <w:pPr>
        <w:ind w:left="340" w:right="20"/>
        <w:spacing w:after="0" w:line="253" w:lineRule="auto"/>
        <w:rPr>
          <w:sz w:val="20"/>
          <w:szCs w:val="20"/>
          <w:color w:val="auto"/>
        </w:rPr>
      </w:pPr>
      <w:r>
        <w:rPr>
          <w:rFonts w:ascii="Arial" w:cs="Arial" w:eastAsia="Arial" w:hAnsi="Arial"/>
          <w:sz w:val="14"/>
          <w:szCs w:val="14"/>
          <w:b w:val="1"/>
          <w:bCs w:val="1"/>
          <w:i w:val="1"/>
          <w:iCs w:val="1"/>
          <w:color w:val="auto"/>
        </w:rPr>
        <w:t>The dollar amount under the Executive Deferred Compensation Plan represents the market price of the financial instruments as of August 28, 2010 in Mr. Beebe's and Ms. Nielse n's account.</w:t>
      </w:r>
    </w:p>
    <w:p>
      <w:pPr>
        <w:spacing w:after="0" w:line="1" w:lineRule="exact"/>
        <w:rPr>
          <w:sz w:val="20"/>
          <w:szCs w:val="20"/>
          <w:color w:val="auto"/>
        </w:rPr>
      </w:pPr>
    </w:p>
    <w:p>
      <w:pPr>
        <w:ind w:left="340" w:right="600" w:hanging="332"/>
        <w:spacing w:after="0" w:line="258" w:lineRule="auto"/>
        <w:tabs>
          <w:tab w:leader="none" w:pos="340" w:val="left"/>
        </w:tabs>
        <w:numPr>
          <w:ilvl w:val="0"/>
          <w:numId w:val="50"/>
        </w:numPr>
        <w:rPr>
          <w:rFonts w:ascii="Arial" w:cs="Arial" w:eastAsia="Arial" w:hAnsi="Arial"/>
          <w:sz w:val="13"/>
          <w:szCs w:val="13"/>
          <w:color w:val="auto"/>
        </w:rPr>
      </w:pPr>
      <w:r>
        <w:rPr>
          <w:rFonts w:ascii="Arial" w:cs="Arial" w:eastAsia="Arial" w:hAnsi="Arial"/>
          <w:sz w:val="14"/>
          <w:szCs w:val="14"/>
          <w:color w:val="auto"/>
        </w:rPr>
        <w:t>Mr. O'Leary elected not to participate in the Deferred Compensation Plan (1981). The Board of Directors elected to freeze this plan to additional participants in 2001; therefore, Ms. Nielsen, who joined Winnebago Industries after 2001, could not participate.</w:t>
      </w:r>
    </w:p>
    <w:p>
      <w:pPr>
        <w:spacing w:after="0" w:line="1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The Executive Share Option Program was established in 1997 to provide executives with an opportunity to defer a portion of t heir compensation in the form of options to purchase mutual funds invested in companies other than Winnebago Industries. The Executive Share Option Program was frozen effective December 31, 2004. Accordingly, no new deferrals or contributions to the Executive Share Option Program have been made after that date and no new participants may enter the plan.</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The Deferred Compensation Program Plan (1981)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To assist in funding the deferred compensation liability, we invested in corporate-owned life insurance pol icies. See “Compensation Discussion and Analysis-Deferred Compensation Plan (1981)” above for a description of this plan.</w:t>
      </w:r>
    </w:p>
    <w:p>
      <w:pPr>
        <w:spacing w:after="0" w:line="7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The Executive Deferred Compensation Plan permits Named Executive Officers to defer a portion of their salary and all or a portion of their cash incentive award compensation. The Executive Deferred Compensation Plan was effective as of January 1, 2007 and applies to compensation paid to participants on and after such date. See “Compensation Discussion and Analysis-Executive Deferred Compensation Plan 2007 (Non-Qualified Deferred Compensation Plan)” for a description of this plan.</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Supplemental Executive Retirement Plan (SERP) - In 1988, the Board of Directors approved the adoption of an Executive Split Dollar Life Insurance Program with respect to certain executives. In October 2008, the Board of Directors took action to convert the Executive Split Dollar Life Insurance Program to the SERP as a result of changes in the tax and accounting regulations and rising administrative costs. See “Compensation Discussion and Analysis-Supplemental Executive Retirement Plan (SERP)/Split Dollar Life Insurance” above for a description of this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Change of Control Agreements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During Fiscal 2001, the Board of Directors approved Executive Change of Control Agreements for certain executive officers and, at later dates, approved agreements for certain other executive officers, including Named Executive Officers, not previously a party to an Executive Change of Control Agreement. In December 2008, the Board of Directors approved amendments to the Executive Change of Control Agreements primarily to comply with the enactment of IRC Section 409A, while still preserving material terms of the Company's agreement with each executive (the Executive Change of Control Agreements, as amended are hereinafter referred to as the “Agreements”).</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The purpose of the Agreements is to reinforce and encourage executives to maintain objectivity and a high level of attention to their duties without distraction from the possibility of a change of control of the Company. The Agreements provide that in the event of a “Change of Control” of the Company, as that term is defined in the Agreements, each such executive (provided such Change of Control occurs when the executive is in the employ of the Company) would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three fiscal years preceding the Change of Control. This multiple was arrived at through an analysis of certain Compen sation Peers change of control agreements at the time these agreements were initially developed.</w:t>
      </w:r>
    </w:p>
    <w:p>
      <w:pPr>
        <w:spacing w:after="0" w:line="7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In addition, under the Agreements, if it is determined that any payment or distribution made to the executive would be subject to a federal excise tax, we would pay to the executive an additional payment (a “gross-up benefit”) so that he or she would not be subject to a net reduction in compensation due to the imposition of the excise tax.</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the Agreements, a “Change of Control” occurs when (i) any person becomes an “acquiring person” (as defined below) or</w:t>
      </w:r>
    </w:p>
    <w:p>
      <w:pPr>
        <w:spacing w:after="0" w:line="31" w:lineRule="exact"/>
        <w:rPr>
          <w:sz w:val="20"/>
          <w:szCs w:val="20"/>
          <w:color w:val="auto"/>
        </w:rPr>
      </w:pPr>
    </w:p>
    <w:p>
      <w:pPr>
        <w:ind w:right="120" w:firstLine="8"/>
        <w:spacing w:after="0" w:line="252" w:lineRule="auto"/>
        <w:tabs>
          <w:tab w:leader="none" w:pos="27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individuals who shall qualify as Continuing Directors (as defined below) shall have ceased for any reason to constitute at least a m ajority of our Board of Directors;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“Continuing Director” means (i) any member of our Board of Directors,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33</w:t>
      </w:r>
    </w:p>
    <w:p>
      <w:pPr>
        <w:sectPr>
          <w:pgSz w:w="11900" w:h="16838" w:orient="portrait"/>
          <w:cols w:equalWidth="0" w:num="1">
            <w:col w:w="11380"/>
          </w:cols>
          <w:pgMar w:left="240" w:top="135" w:right="279" w:bottom="1440" w:gutter="0" w:footer="0" w:header="0"/>
        </w:sectPr>
      </w:pPr>
    </w:p>
    <w:bookmarkStart w:id="37" w:name="page38"/>
    <w:bookmarkEnd w:id="37"/>
    <w:p>
      <w:pPr>
        <w:jc w:val="center"/>
        <w:ind w:right="-19"/>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3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 An "acquiring person" means any person or any individual or group of affiliates or associates of such person who acquires beneficial ownership, directly or indirectly, of twenty percent or more of the outstanding stock of the Company if such acquisition occurs in whole or in part following the date of that person's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Plan Payments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In the event of a “Change in Control” (as defined in the Officers Incentive Compensation Plan), participants are entitled to receive awards within 15 days of the effective date of the Change in Control based upon the Committee's estimate of our financial performance through the end of the fiscal year in which such Change in Control occurs. A participant must be employed by the Company at the end of the fiscal year to be eligible for annual incentive payments, except for a Change in Control as described above or as determined by the Committee for normal retirement, disability and death.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 Payments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 the event of a “Change in Control” (as defined in each of the Long-Term Incentive Plans) participants are entitled to receive awards within 15 days of the effective date of the Change in Control based on the Committee's estimate of our financial performance through the end of the Long-Term Incentive Plan three-year fiscal period in which such Change in Control occurs. A participant must be employed by the Company at the end of the three-year fiscal period to be eligible for any long-term incentive award, except for a Change in Control as described above or as waived by the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Incentive Co mpensation Plan Payments</w:t>
      </w:r>
    </w:p>
    <w:p>
      <w:pPr>
        <w:spacing w:after="0" w:line="11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Restricted Stock. Pursuant to restricted award agreements entered into by each Named Executive Officer, unvested awards of restricted stock will immediately vest to Named Executive Officers under the following circumstances:</w:t>
      </w:r>
    </w:p>
    <w:p>
      <w:pPr>
        <w:spacing w:after="0" w:line="121" w:lineRule="exact"/>
        <w:rPr>
          <w:sz w:val="20"/>
          <w:szCs w:val="20"/>
          <w:color w:val="auto"/>
        </w:rPr>
      </w:pPr>
    </w:p>
    <w:p>
      <w:pPr>
        <w:ind w:left="340" w:right="120" w:hanging="332"/>
        <w:spacing w:after="0" w:line="250"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Named Executive Officer's termination of employment is due to his or her retirement and occurs after at least five consecutive years of employment with the Company, any unvested awards of restricted stock immediately vest if the participant is at least 55 years of age;</w:t>
      </w:r>
    </w:p>
    <w:p>
      <w:pPr>
        <w:ind w:left="340" w:right="180" w:hanging="332"/>
        <w:spacing w:after="0" w:line="250"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disability (as defined in the 2004 Plan) and occurs after at least five consecu tive years of employment with the Company, any unvested awards of restricted stock immediately vest; and</w:t>
      </w:r>
    </w:p>
    <w:p>
      <w:pPr>
        <w:ind w:left="340" w:right="320" w:hanging="332"/>
        <w:spacing w:after="0" w:line="262"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death and occurs after at least five consecutive years of employment with the Company or any subsidiary, any unvested awards of restricted stock shall immediately vest.</w:t>
      </w:r>
    </w:p>
    <w:p>
      <w:pPr>
        <w:spacing w:after="0" w:line="120"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In addition, any restricted shares that are not vested under the 2004 Plan will vest upon a “Change of Control” (as defined in the 2004 Plan) of the Company. In all other circumstances, in the event that a Named Executive Officer ceases to be employed by the Company or any subsidiary, any awards held by such grantee will terminate and thereafter, be null and void.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b w:val="1"/>
          <w:bCs w:val="1"/>
          <w:i w:val="1"/>
          <w:iCs w:val="1"/>
          <w:color w:val="auto"/>
        </w:rPr>
        <w:t>Any options not vested under the 2004 Plan will vest upon a “Change of Control” (as defined in the 2004 Plan) of the Company, pursuant to the terms of the 2004 Plan. In the event that a Named Executive Officer ceases to be employed by the Company, stock optio ns held by such Named Executive Officer will vest as follows:</w:t>
      </w:r>
    </w:p>
    <w:p>
      <w:pPr>
        <w:spacing w:after="0" w:line="136" w:lineRule="exact"/>
        <w:rPr>
          <w:sz w:val="20"/>
          <w:szCs w:val="20"/>
          <w:color w:val="auto"/>
        </w:rPr>
      </w:pPr>
    </w:p>
    <w:p>
      <w:pPr>
        <w:ind w:left="34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retirement, and occurs after at least five consecutive years of employment with the Company, the stock options become vested in full and immediately exercisable for a period of three months following such termination of employment for incentive stock options and for a period of ten years after any stock o ption grant date for non-qualified stock options;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disability and occurs after at least five consecutive years of employment with the Company, the stock options become vested in full and immediately exercisable for a period of one year following such termination of employment for incentive stock options and for a period of ten years after any stock option grant date for non-qualified stock options; and</w:t>
      </w:r>
    </w:p>
    <w:p>
      <w:pPr>
        <w:spacing w:after="0" w:line="1" w:lineRule="exact"/>
        <w:rPr>
          <w:rFonts w:ascii="Arial" w:cs="Arial" w:eastAsia="Arial" w:hAnsi="Arial"/>
          <w:sz w:val="18"/>
          <w:szCs w:val="18"/>
          <w:color w:val="auto"/>
        </w:rPr>
      </w:pPr>
    </w:p>
    <w:p>
      <w:pPr>
        <w:ind w:left="340" w:right="160" w:hanging="332"/>
        <w:spacing w:after="0" w:line="25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Named Executive Officer's termination of employment is due to his or her death and occurs after at least five consecutive years of employment with the Company, the options shall become vested in full and immediately exercisable by the Named Executive Officer's estate or legal representative for a period of one year following such termination of employment and shall thereafter, terminate, for both in centive and non-qualified stock options.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event that a Named Executive Officer ceases to be employed by the Company other than because of retirement,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34</w:t>
      </w:r>
    </w:p>
    <w:p>
      <w:pPr>
        <w:sectPr>
          <w:pgSz w:w="11900" w:h="16838" w:orient="portrait"/>
          <w:cols w:equalWidth="0" w:num="1">
            <w:col w:w="11400"/>
          </w:cols>
          <w:pgMar w:left="240" w:top="135" w:right="259" w:bottom="1440" w:gutter="0" w:footer="0" w:header="0"/>
        </w:sectPr>
      </w:pPr>
    </w:p>
    <w:bookmarkStart w:id="38" w:name="page39"/>
    <w:bookmarkEnd w:id="38"/>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3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disability or death or if retirement, disability or death occurs before the Named Executive O fficer has completed five consecutive years of employment with the Company, any outstanding stock options held by the Named Executive Officer which have not vested as of the date of termination of employment will terminate and the Named Executive Officer may exercise any options in which he or she is vested at the date of termination of employment for a period of three months following such date of termination of employment.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CHANGE OF CONTROL OR TERMINATION PAYMENTS AND BENEFITS AT THE END OF FISCAL 2010</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The tables below reflect the payments and be nefits payable to each of the Named Executive Officers in the event of a termination of the executive's employment under several different circumstances. The amounts shown assume that termination was effective as of August 28, 2010, at the executive's compensation and service levels as of that date, and are estimates of the amounts that would be payable to the Named Executive Officers in each scenario and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amount of the amounts paid on termination of employment, among others, include the timing of event, compensation level, the market price of the Company's Common Stock and the executive's age.</w:t>
      </w:r>
    </w:p>
    <w:p>
      <w:pPr>
        <w:spacing w:after="0" w:line="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i w:val="1"/>
          <w:iCs w:val="1"/>
          <w:color w:val="auto"/>
        </w:rPr>
        <w:t>Payments relating to the Officers Incentive Compensation Plan Fiscal Period 2010 and the Long-Term Incentive Plan (2008-2010), Long-Term Incentive Plan (2009-2011), and Long-Term Incentive Plan (2010-2012) are not currently applicable, as the Company did not meet or, as of August 28, 2010, is not estimated to meet, the applicable threshold requirements of these plans as of the end of Fiscal 2010.</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ROBERT J. OLSON</w:t>
      </w:r>
    </w:p>
    <w:p>
      <w:pPr>
        <w:spacing w:after="0" w:line="144" w:lineRule="exact"/>
        <w:rPr>
          <w:sz w:val="20"/>
          <w:szCs w:val="20"/>
          <w:color w:val="auto"/>
        </w:rPr>
      </w:pPr>
    </w:p>
    <w:p>
      <w:pPr>
        <w:ind w:left="1640"/>
        <w:spacing w:after="0"/>
        <w:rPr>
          <w:sz w:val="20"/>
          <w:szCs w:val="20"/>
          <w:color w:val="auto"/>
        </w:rPr>
      </w:pPr>
      <w:r>
        <w:rPr>
          <w:rFonts w:ascii="Arial" w:cs="Arial" w:eastAsia="Arial" w:hAnsi="Arial"/>
          <w:sz w:val="18"/>
          <w:szCs w:val="18"/>
          <w:b w:val="1"/>
          <w:bCs w:val="1"/>
          <w:i w:val="1"/>
          <w:iCs w:val="1"/>
          <w:color w:val="auto"/>
        </w:rPr>
        <w:t>&lt; td style="vertical-align:bottom;background-color:#cceeff;border-bottom:1px solid #000000;"&gt;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rPr>
              <w:t>Involuntary</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jc w:val="center"/>
              <w:ind w:left="42"/>
              <w:spacing w:after="0"/>
              <w:rPr>
                <w:sz w:val="20"/>
                <w:szCs w:val="20"/>
                <w:color w:val="auto"/>
              </w:rPr>
            </w:pPr>
            <w:r>
              <w:rPr>
                <w:rFonts w:ascii="Arial" w:cs="Arial" w:eastAsia="Arial" w:hAnsi="Arial"/>
                <w:sz w:val="14"/>
                <w:szCs w:val="14"/>
                <w:b w:val="1"/>
                <w:bCs w:val="1"/>
                <w:color w:val="auto"/>
                <w:w w:val="99"/>
              </w:rPr>
              <w:t>Termination</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Arial" w:cs="Arial" w:eastAsia="Arial" w:hAnsi="Arial"/>
                <w:sz w:val="14"/>
                <w:szCs w:val="14"/>
                <w:b w:val="1"/>
                <w:bCs w:val="1"/>
                <w:color w:val="auto"/>
              </w:rPr>
              <w:t>Without</w:t>
            </w:r>
          </w:p>
        </w:tc>
        <w:tc>
          <w:tcPr>
            <w:tcW w:w="480" w:type="dxa"/>
            <w:vAlign w:val="bottom"/>
          </w:tcPr>
          <w:p>
            <w:pPr>
              <w:spacing w:after="0"/>
              <w:rPr>
                <w:sz w:val="14"/>
                <w:szCs w:val="14"/>
                <w:color w:val="auto"/>
              </w:rPr>
            </w:pPr>
          </w:p>
        </w:tc>
        <w:tc>
          <w:tcPr>
            <w:tcW w:w="172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rPr>
              <w:t>Without Cause /</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Executive Payments and Benefits Upon</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Retirement</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For Cause</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Termination</w:t>
            </w:r>
          </w:p>
        </w:tc>
        <w:tc>
          <w:tcPr>
            <w:tcW w:w="11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Death</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Disability</w:t>
            </w: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&lt;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2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1,198,977</w:t>
            </w:r>
          </w:p>
        </w:tc>
        <w:tc>
          <w:tcPr>
            <w:tcW w:w="2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8"/>
              </w:rPr>
              <w:t>/td&gt;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7"/>
        </w:trPr>
        <w:tc>
          <w:tcPr>
            <w:tcW w:w="328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(2)(3)</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30,173</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30,173</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30,173</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30,173</w:t>
            </w: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30,173</w:t>
            </w:r>
          </w:p>
        </w:tc>
        <w:tc>
          <w:tcPr>
            <w:tcW w:w="100" w:type="dxa"/>
            <w:vAlign w:val="bottom"/>
            <w:shd w:val="clear" w:color="auto" w:fill="CCEEFF"/>
          </w:tcPr>
          <w:p>
            <w:pPr>
              <w:spacing w:after="0"/>
              <w:rPr>
                <w:sz w:val="21"/>
                <w:szCs w:val="21"/>
                <w:color w:val="auto"/>
              </w:rPr>
            </w:pPr>
          </w:p>
        </w:tc>
      </w:tr>
      <w:tr>
        <w:trPr>
          <w:trHeight w:val="247"/>
        </w:trPr>
        <w:tc>
          <w:tcPr>
            <w:tcW w:w="32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6"/>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Plan (1981)</w:t>
            </w:r>
            <w:r>
              <w:rPr>
                <w:rFonts w:ascii="Arial" w:cs="Arial" w:eastAsia="Arial" w:hAnsi="Arial"/>
                <w:sz w:val="21"/>
                <w:szCs w:val="21"/>
                <w:color w:val="auto"/>
                <w:vertAlign w:val="superscript"/>
              </w:rPr>
              <w:t>(4)(5)</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869,011</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869,011</w:t>
            </w: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869,011</w:t>
            </w:r>
          </w:p>
        </w:tc>
        <w:tc>
          <w:tcPr>
            <w:tcW w:w="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869,011</w:t>
            </w:r>
          </w:p>
        </w:tc>
        <w:tc>
          <w:tcPr>
            <w:tcW w:w="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869,011</w:t>
            </w:r>
          </w:p>
        </w:tc>
        <w:tc>
          <w:tcPr>
            <w:tcW w:w="100" w:type="dxa"/>
            <w:vAlign w:val="bottom"/>
            <w:shd w:val="clear" w:color="auto" w:fill="CCEEFF"/>
          </w:tcPr>
          <w:p>
            <w:pPr>
              <w:spacing w:after="0"/>
              <w:rPr>
                <w:sz w:val="23"/>
                <w:szCs w:val="23"/>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8"/>
                <w:szCs w:val="28"/>
                <w:color w:val="auto"/>
                <w:vertAlign w:val="subscript"/>
              </w:rPr>
              <w:t>SERP</w:t>
            </w:r>
            <w:r>
              <w:rPr>
                <w:rFonts w:ascii="Arial" w:cs="Arial" w:eastAsia="Arial" w:hAnsi="Arial"/>
                <w:sz w:val="10"/>
                <w:szCs w:val="10"/>
                <w:color w:val="auto"/>
              </w:rPr>
              <w:t xml:space="preserve"> (4) (6)</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266,888</w:t>
            </w:r>
          </w:p>
        </w:tc>
        <w:tc>
          <w:tcPr>
            <w:tcW w:w="200" w:type="dxa"/>
            <w:vAlign w:val="bottom"/>
          </w:tcPr>
          <w:p>
            <w:pPr>
              <w:spacing w:after="0"/>
              <w:rPr>
                <w:sz w:val="21"/>
                <w:szCs w:val="21"/>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266,888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266,888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266,888</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266,888</w:t>
            </w:r>
          </w:p>
        </w:tc>
        <w:tc>
          <w:tcPr>
            <w:tcW w:w="100" w:type="dxa"/>
            <w:vAlign w:val="bottom"/>
          </w:tcPr>
          <w:p>
            <w:pPr>
              <w:spacing w:after="0"/>
              <w:rPr>
                <w:sz w:val="21"/>
                <w:szCs w:val="21"/>
                <w:color w:val="auto"/>
              </w:rPr>
            </w:pPr>
          </w:p>
        </w:tc>
      </w:tr>
      <w:tr>
        <w:trPr>
          <w:trHeight w:val="24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(7)</w:t>
            </w: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869,954</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869,954</w:t>
            </w: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869,954</w:t>
            </w:r>
          </w:p>
        </w:tc>
        <w:tc>
          <w:tcPr>
            <w:tcW w:w="1600" w:type="dxa"/>
            <w:vAlign w:val="bottom"/>
            <w:tcBorders>
              <w:bottom w:val="single" w:sz="8" w:color="auto"/>
            </w:tcBorders>
            <w:gridSpan w:val="2"/>
            <w:shd w:val="clear" w:color="auto" w:fill="CCEEFF"/>
          </w:tcPr>
          <w:p>
            <w:pPr>
              <w:jc w:val="right"/>
              <w:ind w:right="922"/>
              <w:spacing w:after="0"/>
              <w:rPr>
                <w:sz w:val="20"/>
                <w:szCs w:val="20"/>
                <w:color w:val="auto"/>
              </w:rPr>
            </w:pPr>
            <w:r>
              <w:rPr>
                <w:rFonts w:ascii="Arial" w:cs="Arial" w:eastAsia="Arial" w:hAnsi="Arial"/>
                <w:sz w:val="16"/>
                <w:szCs w:val="16"/>
                <w:color w:val="auto"/>
              </w:rPr>
              <w:t>869,954</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869,954</w:t>
            </w:r>
          </w:p>
        </w:tc>
        <w:tc>
          <w:tcPr>
            <w:tcW w:w="86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869,954</w:t>
            </w:r>
          </w:p>
        </w:tc>
        <w:tc>
          <w:tcPr>
            <w:tcW w:w="880" w:type="dxa"/>
            <w:vAlign w:val="bottom"/>
            <w:tcBorders>
              <w:bottom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2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2,036,026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2,036,026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869,954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3,235,003</w:t>
            </w:r>
          </w:p>
        </w:tc>
        <w:tc>
          <w:tcPr>
            <w:tcW w:w="60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2,036,026</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2,036,026</w:t>
            </w: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right="120" w:hanging="332"/>
        <w:spacing w:after="0" w:line="259"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Severance upon a Change of Control for Mr. Olson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$9.05 per share on August 27, 2010, the last trading day of Fiscal 2010.</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As of August 28, 2010, Mr. Olson had qualified for early retirement.</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plan was frozen as of 2001. This amount reflects the total of the 15 years of payout based on Early Retirement Benefit. See “Deferred Compensation Plan (1981).”</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2010 for the Supplemental Executive Retirement Plan adjusted by the early retirement formula (frozen program).</w:t>
      </w:r>
    </w:p>
    <w:p>
      <w:pPr>
        <w:ind w:left="340" w:hanging="332"/>
        <w:spacing w:after="0"/>
        <w:tabs>
          <w:tab w:leader="none" w:pos="340" w:val="left"/>
        </w:tabs>
        <w:numPr>
          <w:ilvl w:val="0"/>
          <w:numId w:val="54"/>
        </w:numPr>
        <w:rPr>
          <w:rFonts w:ascii="Arial" w:cs="Arial" w:eastAsia="Arial" w:hAnsi="Arial"/>
          <w:sz w:val="13"/>
          <w:szCs w:val="13"/>
          <w:color w:val="auto"/>
        </w:rPr>
      </w:pPr>
      <w:r>
        <w:rPr>
          <w:rFonts w:ascii="Arial" w:cs="Arial" w:eastAsia="Arial" w:hAnsi="Arial"/>
          <w:sz w:val="14"/>
          <w:szCs w:val="14"/>
          <w:color w:val="auto"/>
        </w:rPr>
        <w:t>Represents market value balance as of August 27, 2010 for the Executive Share Option Program reduced by the ex ercise price (frozen program).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35</w:t>
      </w:r>
    </w:p>
    <w:p>
      <w:pPr>
        <w:sectPr>
          <w:pgSz w:w="11900" w:h="16838" w:orient="portrait"/>
          <w:cols w:equalWidth="0" w:num="1">
            <w:col w:w="11420"/>
          </w:cols>
          <w:pgMar w:left="240" w:top="135" w:right="239" w:bottom="1440" w:gutter="0" w:footer="0" w:header="0"/>
        </w:sectPr>
      </w:pPr>
    </w:p>
    <w:bookmarkStart w:id="39" w:name="page40"/>
    <w:bookmarkEnd w:id="39"/>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RAYMOND M. BEEBE</w:t>
      </w:r>
    </w:p>
    <w:p>
      <w:pPr>
        <w:spacing w:after="0" w:line="181" w:lineRule="exact"/>
        <w:rPr>
          <w:sz w:val="20"/>
          <w:szCs w:val="20"/>
          <w:color w:val="auto"/>
        </w:rPr>
      </w:pPr>
    </w:p>
    <w:p>
      <w:pPr>
        <w:jc w:val="center"/>
        <w:ind w:left="1620"/>
        <w:spacing w:after="0"/>
        <w:rPr>
          <w:sz w:val="20"/>
          <w:szCs w:val="20"/>
          <w:color w:val="auto"/>
        </w:rPr>
      </w:pPr>
      <w:r>
        <w:rPr>
          <w:rFonts w:ascii="Arial" w:cs="Arial" w:eastAsia="Arial" w:hAnsi="Arial"/>
          <w:sz w:val="14"/>
          <w:szCs w:val="14"/>
          <w:b w:val="1"/>
          <w:bCs w:val="1"/>
          <w:color w:val="auto"/>
        </w:rPr>
        <w:t>Change</w:t>
      </w:r>
    </w:p>
    <w:p>
      <w:pPr>
        <w:spacing w:after="0" w:line="19" w:lineRule="exact"/>
        <w:rPr>
          <w:sz w:val="20"/>
          <w:szCs w:val="20"/>
          <w:color w:val="auto"/>
        </w:rPr>
      </w:pPr>
    </w:p>
    <w:p>
      <w:pPr>
        <w:jc w:val="center"/>
        <w:ind w:left="1620"/>
        <w:spacing w:after="0"/>
        <w:rPr>
          <w:sz w:val="20"/>
          <w:szCs w:val="20"/>
          <w:color w:val="auto"/>
        </w:rPr>
      </w:pPr>
      <w:r>
        <w:rPr>
          <w:rFonts w:ascii="Arial" w:cs="Arial" w:eastAsia="Arial" w:hAnsi="Arial"/>
          <w:sz w:val="14"/>
          <w:szCs w:val="14"/>
          <w:b w:val="1"/>
          <w:bCs w:val="1"/>
          <w:color w:val="auto"/>
        </w:rPr>
        <w:t>of</w:t>
      </w:r>
    </w:p>
    <w:p>
      <w:pPr>
        <w:spacing w:after="0" w:line="1" w:lineRule="exact"/>
        <w:rPr>
          <w:sz w:val="20"/>
          <w:szCs w:val="20"/>
          <w:color w:val="auto"/>
        </w:rPr>
      </w:pPr>
    </w:p>
    <w:p>
      <w:pPr>
        <w:jc w:val="center"/>
        <w:ind w:left="1620"/>
        <w:spacing w:after="0"/>
        <w:rPr>
          <w:sz w:val="20"/>
          <w:szCs w:val="20"/>
          <w:color w:val="auto"/>
        </w:rPr>
      </w:pPr>
      <w:r>
        <w:rPr>
          <w:rFonts w:ascii="Arial" w:cs="Arial" w:eastAsia="Arial" w:hAnsi="Arial"/>
          <w:sz w:val="14"/>
          <w:szCs w:val="14"/>
          <w:b w:val="1"/>
          <w:bCs w:val="1"/>
          <w:color w:val="auto"/>
        </w:rPr>
        <w:t>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01"/>
              <w:spacing w:after="0"/>
              <w:rPr>
                <w:sz w:val="20"/>
                <w:szCs w:val="20"/>
                <w:color w:val="auto"/>
              </w:rPr>
            </w:pPr>
            <w:r>
              <w:rPr>
                <w:rFonts w:ascii="Arial" w:cs="Arial" w:eastAsia="Arial" w:hAnsi="Arial"/>
                <w:sz w:val="14"/>
                <w:szCs w:val="14"/>
                <w:b w:val="1"/>
                <w:bCs w:val="1"/>
                <w:color w:val="auto"/>
              </w:rPr>
              <w:t>Involuntary</w:t>
            </w:r>
          </w:p>
        </w:tc>
        <w:tc>
          <w:tcPr>
            <w:tcW w:w="240" w:type="dxa"/>
            <w:vAlign w:val="bottom"/>
          </w:tcPr>
          <w:p>
            <w:pPr>
              <w:spacing w:after="0"/>
              <w:rPr>
                <w:sz w:val="14"/>
                <w:szCs w:val="14"/>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4"/>
                <w:szCs w:val="14"/>
                <w:color w:val="auto"/>
              </w:rPr>
            </w:pPr>
          </w:p>
        </w:tc>
        <w:tc>
          <w:tcPr>
            <w:tcW w:w="1060" w:type="dxa"/>
            <w:vAlign w:val="bottom"/>
          </w:tcPr>
          <w:p>
            <w:pPr>
              <w:jc w:val="center"/>
              <w:ind w:right="21"/>
              <w:spacing w:after="0"/>
              <w:rPr>
                <w:sz w:val="20"/>
                <w:szCs w:val="20"/>
                <w:color w:val="auto"/>
              </w:rPr>
            </w:pPr>
            <w:r>
              <w:rPr>
                <w:rFonts w:ascii="Arial" w:cs="Arial" w:eastAsia="Arial" w:hAnsi="Arial"/>
                <w:sz w:val="14"/>
                <w:szCs w:val="14"/>
                <w:b w:val="1"/>
                <w:bCs w:val="1"/>
                <w:color w:val="auto"/>
                <w:w w:val="99"/>
              </w:rPr>
              <w:t>Termination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Termination</w:t>
            </w:r>
          </w:p>
        </w:tc>
        <w:tc>
          <w:tcPr>
            <w:tcW w:w="24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Without Cause /</w:t>
            </w: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Termination</w:t>
            </w:r>
          </w:p>
        </w:tc>
        <w:tc>
          <w:tcPr>
            <w:tcW w:w="12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20" w:type="dxa"/>
            <w:vAlign w:val="bottom"/>
          </w:tcPr>
          <w:p>
            <w:pPr>
              <w:spacing w:after="0"/>
              <w:rPr>
                <w:sz w:val="9"/>
                <w:szCs w:val="9"/>
                <w:color w:val="auto"/>
              </w:rPr>
            </w:pPr>
          </w:p>
        </w:tc>
        <w:tc>
          <w:tcPr>
            <w:tcW w:w="11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Retirement</w:t>
            </w:r>
          </w:p>
        </w:tc>
        <w:tc>
          <w:tcPr>
            <w:tcW w:w="220" w:type="dxa"/>
            <w:vAlign w:val="bottom"/>
          </w:tcPr>
          <w:p>
            <w:pPr>
              <w:spacing w:after="0"/>
              <w:rPr>
                <w:sz w:val="9"/>
                <w:szCs w:val="9"/>
                <w:color w:val="auto"/>
              </w:rPr>
            </w:pPr>
          </w:p>
        </w:tc>
        <w:tc>
          <w:tcPr>
            <w:tcW w:w="12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For Cause</w:t>
            </w:r>
          </w:p>
        </w:tc>
        <w:tc>
          <w:tcPr>
            <w:tcW w:w="2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Good Reason</w:t>
            </w:r>
          </w:p>
        </w:tc>
        <w:tc>
          <w:tcPr>
            <w:tcW w:w="260" w:type="dxa"/>
            <w:vAlign w:val="bottom"/>
          </w:tcPr>
          <w:p>
            <w:pPr>
              <w:spacing w:after="0"/>
              <w:rPr>
                <w:sz w:val="9"/>
                <w:szCs w:val="9"/>
                <w:color w:val="auto"/>
              </w:rPr>
            </w:pPr>
          </w:p>
        </w:tc>
        <w:tc>
          <w:tcPr>
            <w:tcW w:w="9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9"/>
                <w:szCs w:val="9"/>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87"/>
        </w:trPr>
        <w:tc>
          <w:tcPr>
            <w:tcW w:w="3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772,941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(2)(3)</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16,598</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16,598</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16,598</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16,598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5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&lt; /div&gt;</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Deferred Compensation Plan (1981) </w:t>
            </w:r>
            <w:r>
              <w:rPr>
                <w:rFonts w:ascii="Arial" w:cs="Arial" w:eastAsia="Arial" w:hAnsi="Arial"/>
                <w:sz w:val="21"/>
                <w:szCs w:val="21"/>
                <w:color w:val="auto"/>
                <w:vertAlign w:val="superscript"/>
              </w:rPr>
              <w:t>(4)(5)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2,921,770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2,921,770</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2,921,770</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2,921,770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2,921,770</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
              <w:spacing w:after="0" w:line="201" w:lineRule="exact"/>
              <w:rPr>
                <w:sz w:val="20"/>
                <w:szCs w:val="20"/>
                <w:color w:val="auto"/>
              </w:rPr>
            </w:pPr>
            <w:r>
              <w:rPr>
                <w:rFonts w:ascii="Arial" w:cs="Arial" w:eastAsia="Arial" w:hAnsi="Arial"/>
                <w:sz w:val="18"/>
                <w:szCs w:val="18"/>
                <w:color w:val="auto"/>
              </w:rPr>
              <w:t>&amp;n</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line="230" w:lineRule="exact"/>
              <w:rPr>
                <w:sz w:val="20"/>
                <w:szCs w:val="20"/>
                <w:color w:val="auto"/>
              </w:rPr>
            </w:pPr>
            <w:r>
              <w:rPr>
                <w:rFonts w:ascii="Arial" w:cs="Arial" w:eastAsia="Arial" w:hAnsi="Arial"/>
                <w:sz w:val="26"/>
                <w:szCs w:val="26"/>
                <w:color w:val="auto"/>
                <w:vertAlign w:val="subscript"/>
              </w:rPr>
              <w:t>SERP</w:t>
            </w:r>
            <w:r>
              <w:rPr>
                <w:rFonts w:ascii="Arial" w:cs="Arial" w:eastAsia="Arial" w:hAnsi="Arial"/>
                <w:sz w:val="10"/>
                <w:szCs w:val="10"/>
                <w:color w:val="auto"/>
              </w:rPr>
              <w:t>(4)(6)</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729,635</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729,635</w:t>
            </w:r>
            <w:r>
              <w:rPr>
                <w:rFonts w:ascii="Arial" w:cs="Arial" w:eastAsia="Arial" w:hAnsi="Arial"/>
                <w:sz w:val="18"/>
                <w:szCs w:val="18"/>
                <w:color w:val="auto"/>
              </w:rPr>
              <w:t>bsp;</w:t>
            </w:r>
          </w:p>
        </w:tc>
        <w:tc>
          <w:tcPr>
            <w:tcW w:w="2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729,635</w:t>
            </w:r>
          </w:p>
        </w:tc>
        <w:tc>
          <w:tcPr>
            <w:tcW w:w="2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729,635</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729,635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Executive Share Option Program (2007)</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858,808</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858,808</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858,808</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858,808</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858,808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858,808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180"/>
              <w:spacing w:after="0"/>
              <w:rPr>
                <w:sz w:val="20"/>
                <w:szCs w:val="20"/>
                <w:color w:val="auto"/>
              </w:rPr>
            </w:pPr>
            <w:r>
              <w:rPr>
                <w:rFonts w:ascii="Arial" w:cs="Arial" w:eastAsia="Arial" w:hAnsi="Arial"/>
                <w:sz w:val="16"/>
                <w:szCs w:val="16"/>
                <w:color w:val="auto"/>
              </w:rPr>
              <w:t>Executive Deferred Compensation Plan (2007)</w:t>
            </w:r>
          </w:p>
        </w:tc>
        <w:tc>
          <w:tcPr>
            <w:tcW w:w="120" w:type="dxa"/>
            <w:vAlign w:val="bottom"/>
          </w:tcPr>
          <w:p>
            <w:pPr>
              <w:spacing w:after="0"/>
              <w:rPr>
                <w:sz w:val="18"/>
                <w:szCs w:val="18"/>
                <w:color w:val="auto"/>
              </w:rPr>
            </w:pPr>
          </w:p>
        </w:tc>
        <w:tc>
          <w:tcPr>
            <w:tcW w:w="1100" w:type="dxa"/>
            <w:vAlign w:val="bottom"/>
            <w:vMerge w:val="restart"/>
          </w:tcPr>
          <w:p>
            <w:pPr>
              <w:jc w:val="right"/>
              <w:ind w:right="20"/>
              <w:spacing w:after="0"/>
              <w:rPr>
                <w:sz w:val="20"/>
                <w:szCs w:val="20"/>
                <w:color w:val="auto"/>
              </w:rPr>
            </w:pPr>
            <w:r>
              <w:rPr>
                <w:rFonts w:ascii="Arial" w:cs="Arial" w:eastAsia="Arial" w:hAnsi="Arial"/>
                <w:sz w:val="16"/>
                <w:szCs w:val="16"/>
                <w:color w:val="auto"/>
              </w:rPr>
              <w:t>43,997</w:t>
            </w: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color w:val="auto"/>
              </w:rPr>
              <w:t>43,997</w:t>
            </w:r>
          </w:p>
        </w:tc>
        <w:tc>
          <w:tcPr>
            <w:tcW w:w="240" w:type="dxa"/>
            <w:vAlign w:val="bottom"/>
          </w:tcPr>
          <w:p>
            <w:pPr>
              <w:spacing w:after="0"/>
              <w:rPr>
                <w:sz w:val="18"/>
                <w:szCs w:val="18"/>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vMerge w:val="restart"/>
          </w:tcPr>
          <w:p>
            <w:pPr>
              <w:jc w:val="right"/>
              <w:ind w:right="21"/>
              <w:spacing w:after="0"/>
              <w:rPr>
                <w:sz w:val="20"/>
                <w:szCs w:val="20"/>
                <w:color w:val="auto"/>
              </w:rPr>
            </w:pPr>
            <w:r>
              <w:rPr>
                <w:rFonts w:ascii="Arial" w:cs="Arial" w:eastAsia="Arial" w:hAnsi="Arial"/>
                <w:sz w:val="16"/>
                <w:szCs w:val="16"/>
                <w:color w:val="auto"/>
              </w:rPr>
              <w:t>43,997</w:t>
            </w:r>
          </w:p>
        </w:tc>
        <w:tc>
          <w:tcPr>
            <w:tcW w:w="260" w:type="dxa"/>
            <w:vAlign w:val="bottom"/>
          </w:tcPr>
          <w:p>
            <w:pPr>
              <w:spacing w:after="0"/>
              <w:rPr>
                <w:sz w:val="18"/>
                <w:szCs w:val="18"/>
                <w:color w:val="auto"/>
              </w:rPr>
            </w:pP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color w:val="auto"/>
              </w:rPr>
              <w:t>43,997</w:t>
            </w: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43,997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42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4,570,808</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4,570,808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858,808</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5,343,749</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4,570,808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4,570,808</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340" w:right="140" w:hanging="332"/>
        <w:spacing w:after="0" w:line="24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Severance upon a Change of Control for Mr. Be ebe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$9.05 per share on August 27, 2010, the last trading day of Fiscal 2010.</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 w:lineRule="exact"/>
        <w:rPr>
          <w:rFonts w:ascii="Arial" w:cs="Arial" w:eastAsia="Arial" w:hAnsi="Arial"/>
          <w:sz w:val="13"/>
          <w:szCs w:val="13"/>
          <w:color w:val="auto"/>
        </w:rPr>
      </w:pPr>
    </w:p>
    <w:p>
      <w:pPr>
        <w:ind w:left="340" w:hanging="332"/>
        <w:spacing w:after="0" w:line="236"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As of August 28, 2010, Mr. Beebe is of retirement age.</w:t>
      </w:r>
    </w:p>
    <w:p>
      <w:pPr>
        <w:ind w:left="340"/>
        <w:spacing w:after="0"/>
        <w:rPr>
          <w:rFonts w:ascii="Arial" w:cs="Arial" w:eastAsia="Arial" w:hAnsi="Arial"/>
          <w:sz w:val="13"/>
          <w:szCs w:val="13"/>
          <w:color w:val="auto"/>
        </w:rPr>
      </w:pPr>
      <w:r>
        <w:rPr>
          <w:rFonts w:ascii="Arial" w:cs="Arial" w:eastAsia="Arial" w:hAnsi="Arial"/>
          <w:sz w:val="18"/>
          <w:szCs w:val="18"/>
          <w:color w:val="auto"/>
        </w:rPr>
        <w:t>&lt; /td&gt;</w:t>
      </w:r>
    </w:p>
    <w:p>
      <w:pPr>
        <w:spacing w:after="0" w:line="12" w:lineRule="exact"/>
        <w:rPr>
          <w:rFonts w:ascii="Arial" w:cs="Arial" w:eastAsia="Arial" w:hAnsi="Arial"/>
          <w:sz w:val="13"/>
          <w:szCs w:val="13"/>
          <w:color w:val="auto"/>
        </w:rPr>
      </w:pPr>
    </w:p>
    <w:p>
      <w:pPr>
        <w:ind w:left="340" w:right="740" w:hanging="332"/>
        <w:spacing w:after="0" w:line="241"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plan was frozen as of 2001. This amount reflects the total of the 15 years of payout based on the Normal Retirement Benefit, plus a 6% per year crediting rate established by the Board which is applied to each year worked past age 65. See “Deferred Compensation Plan (1981).”</w:t>
      </w:r>
    </w:p>
    <w:p>
      <w:pPr>
        <w:jc w:val="both"/>
        <w:ind w:left="340" w:right="80" w:hanging="332"/>
        <w:spacing w:after="0" w:line="241"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estimated Annual Income Option reflecting 15 years of payout as of August 2010 for the Supplemental Executive Retirement Plan (frozen program). The Normal Retirement Benefit stated in the Participation Agreement shall be increased by 5% for each full year of continuous service performed by the Participant for the Company after the Normal Retirement Date.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market value balance as of August 27, 2010 for the Executive Share Option Program reduced by the exercise price (frozen program).</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5"/>
        </w:numPr>
        <w:rPr>
          <w:rFonts w:ascii="Arial" w:cs="Arial" w:eastAsia="Arial" w:hAnsi="Arial"/>
          <w:sz w:val="13"/>
          <w:szCs w:val="13"/>
          <w:color w:val="auto"/>
        </w:rPr>
      </w:pPr>
      <w:r>
        <w:rPr>
          <w:rFonts w:ascii="Arial" w:cs="Arial" w:eastAsia="Arial" w:hAnsi="Arial"/>
          <w:sz w:val="14"/>
          <w:szCs w:val="14"/>
          <w:color w:val="auto"/>
        </w:rPr>
        <w:t>Represents market value balance as of August 27, 2010.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NAMED EXECUTIVE: ROGER W. MARTIN </w:t>
      </w:r>
      <w:r>
        <w:rPr>
          <w:rFonts w:ascii="Arial" w:cs="Arial" w:eastAsia="Arial" w:hAnsi="Arial"/>
          <w:sz w:val="10"/>
          <w:szCs w:val="10"/>
          <w:b w:val="1"/>
          <w:bCs w:val="1"/>
          <w:i w:val="1"/>
          <w:iCs w:val="1"/>
          <w:color w:val="auto"/>
        </w:rPr>
        <w:t>(1)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4"/>
                <w:szCs w:val="14"/>
                <w:b w:val="1"/>
                <w:bCs w:val="1"/>
                <w:color w:val="auto"/>
              </w:rPr>
              <w:t>Change of Control</w:t>
            </w: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Involuntary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2"/>
              <w:spacing w:after="0"/>
              <w:rPr>
                <w:sz w:val="20"/>
                <w:szCs w:val="20"/>
                <w:color w:val="auto"/>
              </w:rPr>
            </w:pPr>
            <w:r>
              <w:rPr>
                <w:rFonts w:ascii="Arial" w:cs="Arial" w:eastAsia="Arial" w:hAnsi="Arial"/>
                <w:sz w:val="14"/>
                <w:szCs w:val="14"/>
                <w:b w:val="1"/>
                <w:bCs w:val="1"/>
                <w:color w:val="auto"/>
              </w:rPr>
              <w:t>Termination</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441"/>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180" w:type="dxa"/>
            <w:vAlign w:val="bottom"/>
          </w:tcPr>
          <w:p>
            <w:pPr>
              <w:jc w:val="center"/>
              <w:ind w:right="2"/>
              <w:spacing w:after="0"/>
              <w:rPr>
                <w:sz w:val="20"/>
                <w:szCs w:val="20"/>
                <w:color w:val="auto"/>
              </w:rPr>
            </w:pPr>
            <w:r>
              <w:rPr>
                <w:rFonts w:ascii="Arial" w:cs="Arial" w:eastAsia="Arial" w:hAnsi="Arial"/>
                <w:sz w:val="14"/>
                <w:szCs w:val="14"/>
                <w:b w:val="1"/>
                <w:bCs w:val="1"/>
                <w:color w:val="auto"/>
              </w:rPr>
              <w:t>Without Cause /</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Cause</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Termination</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Good Reason</w:t>
            </w:r>
          </w:p>
        </w:tc>
        <w:tc>
          <w:tcPr>
            <w:tcW w:w="6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Death</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717,333</w:t>
            </w:r>
          </w:p>
        </w:tc>
        <w:tc>
          <w:tcPr>
            <w:tcW w:w="64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9"/>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&lt; /td&gt;</w:t>
            </w:r>
          </w:p>
        </w:tc>
        <w:tc>
          <w:tcPr>
            <w:tcW w:w="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tcPr>
          <w:p>
            <w:pPr>
              <w:ind w:left="180"/>
              <w:spacing w:after="0"/>
              <w:rPr>
                <w:sz w:val="20"/>
                <w:szCs w:val="20"/>
                <w:color w:val="auto"/>
              </w:rPr>
            </w:pPr>
            <w:r>
              <w:rPr>
                <w:rFonts w:ascii="Arial" w:cs="Arial" w:eastAsia="Arial" w:hAnsi="Arial"/>
                <w:sz w:val="16"/>
                <w:szCs w:val="16"/>
                <w:color w:val="auto"/>
              </w:rPr>
              <w:t>Restricted Stock:</w:t>
            </w:r>
            <w:r>
              <w:rPr>
                <w:rFonts w:ascii="Arial" w:cs="Arial" w:eastAsia="Arial" w:hAnsi="Arial"/>
                <w:sz w:val="21"/>
                <w:szCs w:val="21"/>
                <w:color w:val="auto"/>
                <w:vertAlign w:val="superscript"/>
              </w:rPr>
              <w:t>(3) (4)</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16,598</w:t>
            </w:r>
          </w:p>
        </w:tc>
        <w:tc>
          <w:tcPr>
            <w:tcW w:w="6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Deferred Compensation Plan (1981) </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72,000</w:t>
            </w:r>
          </w:p>
        </w:tc>
        <w:tc>
          <w:tcPr>
            <w:tcW w:w="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72,000</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72,000</w:t>
            </w:r>
          </w:p>
        </w:tc>
        <w:tc>
          <w:tcPr>
            <w:tcW w:w="9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80" w:type="dxa"/>
            <w:vAlign w:val="bottom"/>
          </w:tcPr>
          <w:p>
            <w:pPr>
              <w:ind w:left="180"/>
              <w:spacing w:after="0"/>
              <w:rPr>
                <w:sz w:val="20"/>
                <w:szCs w:val="20"/>
                <w:color w:val="auto"/>
              </w:rPr>
            </w:pPr>
            <w:r>
              <w:rPr>
                <w:rFonts w:ascii="Arial" w:cs="Arial" w:eastAsia="Arial" w:hAnsi="Arial"/>
                <w:sz w:val="16"/>
                <w:szCs w:val="16"/>
                <w:color w:val="auto"/>
              </w:rPr>
              <w:t xml:space="preserve">Executive Share Option Program </w:t>
            </w:r>
            <w:r>
              <w:rPr>
                <w:rFonts w:ascii="Arial" w:cs="Arial" w:eastAsia="Arial" w:hAnsi="Arial"/>
                <w:sz w:val="21"/>
                <w:szCs w:val="21"/>
                <w:color w:val="auto"/>
                <w:vertAlign w:val="superscript"/>
              </w:rPr>
              <w:t>(6)</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61,913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381"/>
              <w:spacing w:after="0"/>
              <w:rPr>
                <w:sz w:val="20"/>
                <w:szCs w:val="20"/>
                <w:color w:val="auto"/>
              </w:rPr>
            </w:pPr>
            <w:r>
              <w:rPr>
                <w:rFonts w:ascii="Arial" w:cs="Arial" w:eastAsia="Arial" w:hAnsi="Arial"/>
                <w:sz w:val="16"/>
                <w:szCs w:val="16"/>
                <w:color w:val="auto"/>
              </w:rPr>
              <w:t>61,913</w:t>
            </w:r>
          </w:p>
        </w:tc>
        <w:tc>
          <w:tcPr>
            <w:tcW w:w="1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61,913</w:t>
            </w: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61,913</w:t>
            </w: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61,913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41"/>
              <w:spacing w:after="0" w:line="201" w:lineRule="exact"/>
              <w:rPr>
                <w:sz w:val="20"/>
                <w:szCs w:val="20"/>
                <w:color w:val="auto"/>
              </w:rPr>
            </w:pPr>
            <w:r>
              <w:rPr>
                <w:rFonts w:ascii="Arial" w:cs="Arial" w:eastAsia="Arial" w:hAnsi="Arial"/>
                <w:sz w:val="18"/>
                <w:szCs w:val="18"/>
                <w:color w:val="auto"/>
              </w:rPr>
              <w:t>&lt;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10,935</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180"/>
              <w:spacing w:after="0" w:line="231" w:lineRule="exact"/>
              <w:rPr>
                <w:sz w:val="20"/>
                <w:szCs w:val="20"/>
                <w:color w:val="auto"/>
              </w:rPr>
            </w:pPr>
            <w:r>
              <w:rPr>
                <w:rFonts w:ascii="Arial" w:cs="Arial" w:eastAsia="Arial" w:hAnsi="Arial"/>
                <w:sz w:val="16"/>
                <w:szCs w:val="16"/>
                <w:color w:val="auto"/>
              </w:rPr>
              <w:t xml:space="preserve">SERP </w:t>
            </w:r>
            <w:r>
              <w:rPr>
                <w:rFonts w:ascii="Arial" w:cs="Arial" w:eastAsia="Arial" w:hAnsi="Arial"/>
                <w:sz w:val="21"/>
                <w:szCs w:val="21"/>
                <w:color w:val="auto"/>
                <w:vertAlign w:val="superscript"/>
              </w:rPr>
              <w:t>(7)</w:t>
            </w: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10,935</w:t>
            </w:r>
          </w:p>
        </w:tc>
        <w:tc>
          <w:tcPr>
            <w:tcW w:w="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8"/>
                <w:szCs w:val="18"/>
                <w:color w:val="auto"/>
              </w:rPr>
              <w:t>/font&gt;</w:t>
            </w: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10,935</w:t>
            </w:r>
          </w:p>
        </w:tc>
        <w:tc>
          <w:tcPr>
            <w:tcW w:w="6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10,935</w:t>
            </w:r>
          </w:p>
        </w:tc>
        <w:tc>
          <w:tcPr>
            <w:tcW w:w="5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161,446</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81"/>
              <w:spacing w:after="0"/>
              <w:rPr>
                <w:sz w:val="20"/>
                <w:szCs w:val="20"/>
                <w:color w:val="auto"/>
              </w:rPr>
            </w:pPr>
            <w:r>
              <w:rPr>
                <w:rFonts w:ascii="Arial" w:cs="Arial" w:eastAsia="Arial" w:hAnsi="Arial"/>
                <w:sz w:val="16"/>
                <w:szCs w:val="16"/>
                <w:color w:val="auto"/>
              </w:rPr>
              <w:t>61,913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878,779</w:t>
            </w:r>
          </w:p>
        </w:tc>
        <w:tc>
          <w:tcPr>
            <w:tcW w:w="64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161,446</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161,446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As of August 28, 2010, Mr. Martin had not qualified for early retirement.</w:t>
      </w:r>
    </w:p>
    <w:p>
      <w:pPr>
        <w:spacing w:after="0" w:line="1" w:lineRule="exact"/>
        <w:rPr>
          <w:rFonts w:ascii="Arial" w:cs="Arial" w:eastAsia="Arial" w:hAnsi="Arial"/>
          <w:sz w:val="13"/>
          <w:szCs w:val="13"/>
          <w:color w:val="auto"/>
        </w:rPr>
      </w:pPr>
    </w:p>
    <w:p>
      <w:pPr>
        <w:ind w:left="340" w:right="160" w:hanging="332"/>
        <w:spacing w:after="0" w:line="241" w:lineRule="auto"/>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Severance upon a Change of Control for Mr. Martin equals severance pay in lump-s 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$9.05 per share on August 27, 2010, the last trading day of Fiscal 2010.</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Change of Control, retirement, death or disability.</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This plan was frozen as of 2001. As Mr. Martin had not qualified for early retirement, this amount represents his contributions into the plan plus a 6% per year crediting rate.</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6"/>
        </w:numPr>
        <w:rPr>
          <w:rFonts w:ascii="Arial" w:cs="Arial" w:eastAsia="Arial" w:hAnsi="Arial"/>
          <w:sz w:val="13"/>
          <w:szCs w:val="13"/>
          <w:color w:val="auto"/>
        </w:rPr>
      </w:pPr>
      <w:r>
        <w:rPr>
          <w:rFonts w:ascii="Arial" w:cs="Arial" w:eastAsia="Arial" w:hAnsi="Arial"/>
          <w:sz w:val="14"/>
          <w:szCs w:val="14"/>
          <w:color w:val="auto"/>
        </w:rPr>
        <w:t>Represents market value balance as of August 27, 2010, for the Executive Share Option Program reduced by the exercise price (frozen program).</w:t>
      </w:r>
    </w:p>
    <w:p>
      <w:pPr>
        <w:spacing w:after="0" w:line="1" w:lineRule="exact"/>
        <w:rPr>
          <w:rFonts w:ascii="Arial" w:cs="Arial" w:eastAsia="Arial" w:hAnsi="Arial"/>
          <w:sz w:val="13"/>
          <w:szCs w:val="13"/>
          <w:color w:val="auto"/>
        </w:rPr>
      </w:pPr>
    </w:p>
    <w:p>
      <w:pPr>
        <w:ind w:left="340" w:hanging="332"/>
        <w:spacing w:after="0" w:line="258"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estimated Annual Income Option reflecting 15 years of payout as of August 2010 for the Supplemental Executive Retirement Plan adjusted by the early retirement formula (frozen program).</w:t>
      </w:r>
    </w:p>
    <w:p>
      <w:pPr>
        <w:sectPr>
          <w:pgSz w:w="11900" w:h="16838" w:orient="portrait"/>
          <w:cols w:equalWidth="0" w:num="1">
            <w:col w:w="11420"/>
          </w:cols>
          <w:pgMar w:left="240" w:top="135" w:right="239"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36</w:t>
      </w:r>
    </w:p>
    <w:p>
      <w:pPr>
        <w:sectPr>
          <w:pgSz w:w="11900" w:h="16838" w:orient="portrait"/>
          <w:cols w:equalWidth="0" w:num="1">
            <w:col w:w="11420"/>
          </w:cols>
          <w:pgMar w:left="240" w:top="135" w:right="239" w:bottom="1440" w:gutter="0" w:footer="0" w:header="0"/>
          <w:type w:val="continuous"/>
        </w:sectPr>
      </w:pPr>
    </w:p>
    <w:bookmarkStart w:id="40" w:name="page41"/>
    <w:bookmarkEnd w:id="40"/>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NAMED EXECUTIVE: SARAH N. NIELSEN </w:t>
      </w:r>
      <w:r>
        <w:rPr>
          <w:rFonts w:ascii="Arial" w:cs="Arial" w:eastAsia="Arial" w:hAnsi="Arial"/>
          <w:sz w:val="10"/>
          <w:szCs w:val="10"/>
          <w:b w:val="1"/>
          <w:bCs w:val="1"/>
          <w:i w:val="1"/>
          <w:iCs w:val="1"/>
          <w:color w:val="auto"/>
        </w:rPr>
        <w:t>(1)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 of Control</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75"/>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rPr>
              <w:t>Involuntary</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center"/>
              <w:ind w:right="183"/>
              <w:spacing w:after="0"/>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right="183"/>
              <w:spacing w:after="0"/>
              <w:rPr>
                <w:sz w:val="20"/>
                <w:szCs w:val="20"/>
                <w:color w:val="auto"/>
              </w:rPr>
            </w:pPr>
            <w:r>
              <w:rPr>
                <w:rFonts w:ascii="Arial" w:cs="Arial" w:eastAsia="Arial" w:hAnsi="Arial"/>
                <w:sz w:val="14"/>
                <w:szCs w:val="14"/>
                <w:b w:val="1"/>
                <w:bCs w:val="1"/>
                <w:color w:val="auto"/>
              </w:rPr>
              <w:t>Without Cause /</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For Cause</w:t>
            </w: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Good Reason</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Death</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Disability</w:t>
            </w: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70"/>
        </w:trPr>
        <w:tc>
          <w:tcPr>
            <w:tcW w:w="5000" w:type="dxa"/>
            <w:vAlign w:val="bottom"/>
          </w:tcPr>
          <w:p>
            <w:pPr>
              <w:ind w:left="180"/>
              <w:spacing w:after="0"/>
              <w:rPr>
                <w:sz w:val="20"/>
                <w:szCs w:val="20"/>
                <w:color w:val="auto"/>
              </w:rPr>
            </w:pPr>
            <w:r>
              <w:rPr>
                <w:rFonts w:ascii="Arial" w:cs="Arial" w:eastAsia="Arial" w:hAnsi="Arial"/>
                <w:sz w:val="16"/>
                <w:szCs w:val="16"/>
                <w:color w:val="auto"/>
              </w:rPr>
              <w:t>Severance Benefit (Change of Control)</w:t>
            </w:r>
            <w:r>
              <w:rPr>
                <w:rFonts w:ascii="Arial" w:cs="Arial" w:eastAsia="Arial" w:hAnsi="Arial"/>
                <w:sz w:val="21"/>
                <w:szCs w:val="21"/>
                <w:color w:val="auto"/>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43"/>
              <w:spacing w:after="0"/>
              <w:rPr>
                <w:sz w:val="20"/>
                <w:szCs w:val="20"/>
                <w:color w:val="auto"/>
              </w:rPr>
            </w:pPr>
            <w:r>
              <w:rPr>
                <w:rFonts w:ascii="Arial" w:cs="Arial" w:eastAsia="Arial" w:hAnsi="Arial"/>
                <w:sz w:val="16"/>
                <w:szCs w:val="16"/>
                <w:color w:val="auto"/>
              </w:rPr>
              <w:t>701,888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Incentives: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500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(3) (4)</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5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&amp;n</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16,598</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bsp;</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16,598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16,598</w:t>
            </w:r>
          </w:p>
        </w:tc>
      </w:tr>
      <w:tr>
        <w:trPr>
          <w:trHeight w:val="260"/>
        </w:trPr>
        <w:tc>
          <w:tcPr>
            <w:tcW w:w="500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5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Executive Deferred Compensation Plan (2007) </w:t>
            </w:r>
            <w:r>
              <w:rPr>
                <w:rFonts w:ascii="Arial" w:cs="Arial" w:eastAsia="Arial" w:hAnsi="Arial"/>
                <w:sz w:val="21"/>
                <w:szCs w:val="21"/>
                <w:color w:val="auto"/>
                <w:vertAlign w:val="superscript"/>
              </w:rPr>
              <w:t>(5)</w:t>
            </w: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1,262</w:t>
            </w:r>
          </w:p>
        </w:tc>
        <w:tc>
          <w:tcPr>
            <w:tcW w:w="3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1,262</w:t>
            </w:r>
          </w:p>
        </w:tc>
        <w:tc>
          <w:tcPr>
            <w:tcW w:w="1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1,262</w:t>
            </w:r>
          </w:p>
        </w:tc>
      </w:tr>
      <w:tr>
        <w:trPr>
          <w:trHeight w:val="261"/>
        </w:trPr>
        <w:tc>
          <w:tcPr>
            <w:tcW w:w="5000" w:type="dxa"/>
            <w:vAlign w:val="bottom"/>
          </w:tcPr>
          <w:p>
            <w:pPr>
              <w:ind w:left="40"/>
              <w:spacing w:after="0"/>
              <w:rPr>
                <w:sz w:val="20"/>
                <w:szCs w:val="20"/>
                <w:color w:val="auto"/>
              </w:rPr>
            </w:pPr>
            <w:r>
              <w:rPr>
                <w:rFonts w:ascii="Arial" w:cs="Arial" w:eastAsia="Arial" w:hAnsi="Arial"/>
                <w:sz w:val="16"/>
                <w:szCs w:val="16"/>
                <w:color w:val="auto"/>
              </w:rPr>
              <w:t>Total Benefits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17,860</w:t>
            </w: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719,748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w w:val="98"/>
              </w:rPr>
              <w:t>17,860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17,860</w:t>
            </w: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As of August 28, 2010, Ms. Nielsen had not qualified for early retirement.</w:t>
      </w:r>
    </w:p>
    <w:p>
      <w:pPr>
        <w:spacing w:after="0" w:line="1" w:lineRule="exact"/>
        <w:rPr>
          <w:rFonts w:ascii="Arial" w:cs="Arial" w:eastAsia="Arial" w:hAnsi="Arial"/>
          <w:sz w:val="13"/>
          <w:szCs w:val="13"/>
          <w:color w:val="auto"/>
        </w:rPr>
      </w:pPr>
    </w:p>
    <w:p>
      <w:pPr>
        <w:ind w:right="140" w:firstLine="8"/>
        <w:spacing w:after="0" w:line="241" w:lineRule="auto"/>
        <w:tabs>
          <w:tab w:leader="none" w:pos="270" w:val="left"/>
        </w:tabs>
        <w:numPr>
          <w:ilvl w:val="0"/>
          <w:numId w:val="57"/>
        </w:numPr>
        <w:rPr>
          <w:rFonts w:ascii="Arial" w:cs="Arial" w:eastAsia="Arial" w:hAnsi="Arial"/>
          <w:sz w:val="13"/>
          <w:szCs w:val="13"/>
          <w:color w:val="auto"/>
        </w:rPr>
      </w:pPr>
      <w:r>
        <w:rPr>
          <w:rFonts w:ascii="Arial" w:cs="Arial" w:eastAsia="Arial" w:hAnsi="Arial"/>
          <w:sz w:val="14"/>
          <w:szCs w:val="14"/>
          <w:color w:val="auto"/>
        </w:rPr>
        <w:t xml:space="preserve">Severance upon a Change of Control for Ms. Nielsen equals severance pay in lump-sum, an amount equal to three times the average of the aggregate annual compensation </w:t>
      </w:r>
      <w:r>
        <w:rPr>
          <w:rFonts w:ascii="Arial" w:cs="Arial" w:eastAsia="Arial" w:hAnsi="Arial"/>
          <w:sz w:val="12"/>
          <w:szCs w:val="12"/>
          <w:color w:val="auto"/>
        </w:rPr>
        <w:t xml:space="preserve">; </w:t>
      </w:r>
      <w:r>
        <w:rPr>
          <w:rFonts w:ascii="Arial" w:cs="Arial" w:eastAsia="Arial" w:hAnsi="Arial"/>
          <w:sz w:val="14"/>
          <w:szCs w:val="14"/>
          <w:color w:val="auto"/>
        </w:rPr>
        <w:t>paid during our three fiscal years immediately preceding the Change of Control.</w:t>
      </w: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Represents the intrinsic value of stock grants based on our closing stock price of $9.05 per share on August 27, 2010, the last trading day of Fiscal 2010.</w:t>
      </w:r>
    </w:p>
    <w:p>
      <w:pPr>
        <w:spacing w:after="0" w:line="1" w:lineRule="exact"/>
        <w:rPr>
          <w:rFonts w:ascii="Arial" w:cs="Arial" w:eastAsia="Arial" w:hAnsi="Arial"/>
          <w:sz w:val="13"/>
          <w:szCs w:val="13"/>
          <w:color w:val="auto"/>
        </w:rPr>
      </w:pPr>
    </w:p>
    <w:p>
      <w:pPr>
        <w:ind w:left="340" w:hanging="332"/>
        <w:spacing w:after="0"/>
        <w:tabs>
          <w:tab w:leader="none" w:pos="340" w:val="left"/>
        </w:tabs>
        <w:numPr>
          <w:ilvl w:val="0"/>
          <w:numId w:val="57"/>
        </w:numPr>
        <w:rPr>
          <w:rFonts w:ascii="Arial" w:cs="Arial" w:eastAsia="Arial" w:hAnsi="Arial"/>
          <w:sz w:val="13"/>
          <w:szCs w:val="13"/>
          <w:color w:val="auto"/>
        </w:rPr>
      </w:pPr>
      <w:r>
        <w:rPr>
          <w:rFonts w:ascii="Arial" w:cs="Arial" w:eastAsia="Arial" w:hAnsi="Arial"/>
          <w:sz w:val="14"/>
          <w:szCs w:val="14"/>
          <w:color w:val="auto"/>
        </w:rPr>
        <w:t>Stock grants under the 2004 Plan provide for acceleration of unvested Common Stock in the event of a Change of Control, retirement, death or disability.</w:t>
      </w:r>
    </w:p>
    <w:p>
      <w:pPr>
        <w:spacing w:after="0" w:line="189" w:lineRule="auto"/>
        <w:rPr>
          <w:sz w:val="20"/>
          <w:szCs w:val="20"/>
          <w:color w:val="auto"/>
        </w:rPr>
      </w:pPr>
      <w:r>
        <w:rPr>
          <w:rFonts w:ascii="Arial" w:cs="Arial" w:eastAsia="Arial" w:hAnsi="Arial"/>
          <w:sz w:val="12"/>
          <w:szCs w:val="12"/>
          <w:color w:val="auto"/>
        </w:rPr>
        <w:t>(5)</w:t>
      </w:r>
    </w:p>
    <w:p>
      <w:pPr>
        <w:spacing w:after="0" w:line="184" w:lineRule="auto"/>
        <w:rPr>
          <w:sz w:val="20"/>
          <w:szCs w:val="20"/>
          <w:color w:val="auto"/>
        </w:rPr>
      </w:pPr>
      <w:r>
        <w:rPr>
          <w:rFonts w:ascii="Arial" w:cs="Arial" w:eastAsia="Arial" w:hAnsi="Arial"/>
          <w:sz w:val="30"/>
          <w:szCs w:val="30"/>
          <w:color w:val="auto"/>
          <w:vertAlign w:val="subscript"/>
        </w:rPr>
        <w:t>&lt; /td&gt;</w:t>
      </w:r>
      <w:r>
        <w:rPr>
          <w:rFonts w:ascii="Arial" w:cs="Arial" w:eastAsia="Arial" w:hAnsi="Arial"/>
          <w:sz w:val="13"/>
          <w:szCs w:val="13"/>
          <w:color w:val="auto"/>
        </w:rPr>
        <w:t>Represents market value balance as of August 27, 2010.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NAMED EXECUTIVE: WILLIAM J. O'LEARY </w:t>
      </w:r>
      <w:r>
        <w:rPr>
          <w:rFonts w:ascii="Arial" w:cs="Arial" w:eastAsia="Arial" w:hAnsi="Arial"/>
          <w:sz w:val="10"/>
          <w:szCs w:val="10"/>
          <w:b w:val="1"/>
          <w:bCs w:val="1"/>
          <w:i w:val="1"/>
          <w:iCs w:val="1"/>
          <w:color w:val="auto"/>
        </w:rPr>
        <w:t>(1)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Change of Control</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82"/>
              <w:spacing w:after="0"/>
              <w:rPr>
                <w:sz w:val="20"/>
                <w:szCs w:val="20"/>
                <w:color w:val="auto"/>
              </w:rPr>
            </w:pPr>
            <w:r>
              <w:rPr>
                <w:rFonts w:ascii="Arial" w:cs="Arial" w:eastAsia="Arial" w:hAnsi="Arial"/>
                <w:sz w:val="14"/>
                <w:szCs w:val="14"/>
                <w:b w:val="1"/>
                <w:bCs w:val="1"/>
                <w:color w:val="auto"/>
              </w:rPr>
              <w:t>Involuntary</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22"/>
              <w:spacing w:after="0"/>
              <w:rPr>
                <w:sz w:val="20"/>
                <w:szCs w:val="20"/>
                <w:color w:val="auto"/>
              </w:rPr>
            </w:pPr>
            <w:r>
              <w:rPr>
                <w:rFonts w:ascii="Arial" w:cs="Arial" w:eastAsia="Arial" w:hAnsi="Arial"/>
                <w:sz w:val="14"/>
                <w:szCs w:val="14"/>
                <w:b w:val="1"/>
                <w:bCs w:val="1"/>
                <w:color w:val="auto"/>
              </w:rPr>
              <w:t>Termination</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82"/>
              <w:spacing w:after="0"/>
              <w:rPr>
                <w:sz w:val="20"/>
                <w:szCs w:val="20"/>
                <w:color w:val="auto"/>
              </w:rPr>
            </w:pPr>
            <w:r>
              <w:rPr>
                <w:rFonts w:ascii="Arial" w:cs="Arial" w:eastAsia="Arial" w:hAnsi="Arial"/>
                <w:sz w:val="14"/>
                <w:szCs w:val="14"/>
                <w:b w:val="1"/>
                <w:bCs w:val="1"/>
                <w:color w:val="auto"/>
                <w:w w:val="99"/>
              </w:rPr>
              <w:t>Termination</w:t>
            </w:r>
          </w:p>
        </w:tc>
        <w:tc>
          <w:tcPr>
            <w:tcW w:w="18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Without</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Without Cause /</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Executive Payments and Benefits Upon</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Retirement</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For Cause</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Good Reason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Death</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Disability</w:t>
            </w:r>
          </w:p>
        </w:tc>
      </w:tr>
      <w:tr>
        <w:trPr>
          <w:trHeight w:val="250"/>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Severance Benefit (Change of Control) </w:t>
            </w:r>
            <w:r>
              <w:rPr>
                <w:rFonts w:ascii="Arial" w:cs="Arial" w:eastAsia="Arial" w:hAnsi="Arial"/>
                <w:sz w:val="21"/>
                <w:szCs w:val="21"/>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716,692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Long-Term Incentives:</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7"/>
        </w:trPr>
        <w:tc>
          <w:tcPr>
            <w:tcW w:w="3880" w:type="dxa"/>
            <w:vAlign w:val="bottom"/>
          </w:tcPr>
          <w:p>
            <w:pPr>
              <w:ind w:left="18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21"/>
                <w:szCs w:val="21"/>
                <w:color w:val="auto"/>
                <w:vertAlign w:val="superscript"/>
              </w:rPr>
              <w:t>(3) (4)</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3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Accelerated Vesting</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16,598</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16,598</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16,598</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16,598</w:t>
            </w:r>
          </w:p>
        </w:tc>
      </w:tr>
      <w:tr>
        <w:trPr>
          <w:trHeight w:val="247"/>
        </w:trPr>
        <w:tc>
          <w:tcPr>
            <w:tcW w:w="3880" w:type="dxa"/>
            <w:vAlign w:val="bottom"/>
          </w:tcPr>
          <w:p>
            <w:pPr>
              <w:ind w:left="40"/>
              <w:spacing w:after="0"/>
              <w:rPr>
                <w:sz w:val="20"/>
                <w:szCs w:val="20"/>
                <w:color w:val="auto"/>
              </w:rPr>
            </w:pPr>
            <w:r>
              <w:rPr>
                <w:rFonts w:ascii="Arial" w:cs="Arial" w:eastAsia="Arial" w:hAnsi="Arial"/>
                <w:sz w:val="16"/>
                <w:szCs w:val="16"/>
                <w:color w:val="auto"/>
              </w:rPr>
              <w:t>Deferred Compensation Plans: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3"/>
        </w:trPr>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Program (2007)</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152,623</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152,623</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152,623</w:t>
            </w:r>
          </w:p>
        </w:tc>
        <w:tc>
          <w:tcPr>
            <w:tcW w:w="1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152,623</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152,623</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152,623</w:t>
            </w:r>
          </w:p>
        </w:tc>
      </w:tr>
      <w:tr>
        <w:trPr>
          <w:trHeight w:val="243"/>
        </w:trPr>
        <w:tc>
          <w:tcPr>
            <w:tcW w:w="3880" w:type="dxa"/>
            <w:vAlign w:val="bottom"/>
            <w:tcBorders>
              <w:bottom w:val="single" w:sz="8" w:color="CCEEFF"/>
            </w:tcBorders>
          </w:tcPr>
          <w:p>
            <w:pPr>
              <w:ind w:left="180"/>
              <w:spacing w:after="0" w:line="243" w:lineRule="exact"/>
              <w:rPr>
                <w:sz w:val="20"/>
                <w:szCs w:val="20"/>
                <w:color w:val="auto"/>
              </w:rPr>
            </w:pPr>
            <w:r>
              <w:rPr>
                <w:rFonts w:ascii="Arial" w:cs="Arial" w:eastAsia="Arial" w:hAnsi="Arial"/>
                <w:sz w:val="28"/>
                <w:szCs w:val="28"/>
                <w:color w:val="auto"/>
                <w:vertAlign w:val="subscript"/>
              </w:rPr>
              <w:t>SERP</w:t>
            </w:r>
            <w:r>
              <w:rPr>
                <w:rFonts w:ascii="Arial" w:cs="Arial" w:eastAsia="Arial" w:hAnsi="Arial"/>
                <w:sz w:val="10"/>
                <w:szCs w:val="10"/>
                <w:color w:val="auto"/>
              </w:rPr>
              <w:t xml:space="preserve"> (1)(6)</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116,593</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116,593</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116,593</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116,593</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116,593</w:t>
            </w:r>
          </w:p>
        </w:tc>
      </w:tr>
      <w:tr>
        <w:trPr>
          <w:trHeight w:val="23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Benefits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285,814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152,623</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1,002,506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285,814</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285,814</w:t>
            </w: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of August 28, 2010, Mr. O'Leary had qualified for early retirement.</w:t>
      </w:r>
    </w:p>
    <w:p>
      <w:pPr>
        <w:spacing w:after="0" w:line="24"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Severance upon a Change of Control for Mr. O'Leary equals severance pay in lump-sum, an amount equal to three times the average of the aggregate annual compensation paid during our three fiscal years immediately preceding the Change of Control.</w:t>
      </w: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intrinsic value of stock grants based on our closing stock price of $9.05 per share on August 27, 2010, the last trading day of Fiscal 2010.</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Stock grants under the 2004 Plan provide for acceleration of unvested Common Stock i n the event of a Change of Control, retirement, death or disability.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market value balance as of August 27, 2010 for the Executive Share Option Program reduced by the exercise price (frozen program).</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estimated Annual Income Option reflecting 15 years of payout as of August 2010 for the Supplemental Executive Retirement Plan adjusted by the early retirement formula (frozen program).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37</w:t>
      </w:r>
    </w:p>
    <w:p>
      <w:pPr>
        <w:sectPr>
          <w:pgSz w:w="11900" w:h="16838" w:orient="portrait"/>
          <w:cols w:equalWidth="0" w:num="1">
            <w:col w:w="11420"/>
          </w:cols>
          <w:pgMar w:left="240" w:top="135" w:right="239" w:bottom="1440" w:gutter="0" w:footer="0" w:header="0"/>
        </w:sectPr>
      </w:pPr>
    </w:p>
    <w:bookmarkStart w:id="41" w:name="page42"/>
    <w:bookmarkEnd w:id="41"/>
    <w:p>
      <w:pPr>
        <w:jc w:val="center"/>
        <w:ind w:right="-19"/>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&lt; /div&gt;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w:t>
      </w:r>
    </w:p>
    <w:p>
      <w:pPr>
        <w:spacing w:after="0" w:line="9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RATIFICATION OF THE APPOINTMENT OF INDEPENDENT REGISTERED PUBLIC ACCOUNTANTS FOR THE FISCAL YEAR ENDING AUGUST 27, 2011</w:t>
      </w:r>
    </w:p>
    <w:p>
      <w:pPr>
        <w:spacing w:after="0" w:line="1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Deloitte &amp; Touche LLP (“Deloitte &amp; Touche”) was appointed by the Audit Committee as our independent registered public accountants for the fiscal year ending August 27, 2011. We are asking our shareholders to ratify the appointment of Deloitte &amp; Touche. Deloitte &amp; Touche has served as our independent registered public accountants for over 25 years. For a description of the fees for services rendered by Deloitte &amp; Tou che in Fiscal 2010 and Fiscal 2009, and a description of our policy regarding the approval of independent registered public accountants provisions of audit and nonaudit services, see “Independent Registered Public Accountants Fees and Services” below.</w:t>
      </w:r>
    </w:p>
    <w:p>
      <w:pPr>
        <w:spacing w:after="0" w:line="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Although ratification by the shareholders is not required by law, the Board of Directors has determined that it is desirable to request approval of this selection by the shareholders. In the event the shareholders fail to ratify the appointment, the Audit Committee will consider this factor when making any determination regarding Deloitte &amp; Touche. Even if the selection is ratified, the Audit Committee in its discretion may direct the appointment of a different independent registered public accounting firm at any time during the year if it determines that such a change would be in the Company's best interests and those of its shareholders.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Passage of the proposal requires the affirmative vote of a majority of the shares entitled to vote on the proposal and represented in person or by proxy at the Meeting at which a quorum is present.</w:t>
      </w:r>
    </w:p>
    <w:p>
      <w:pPr>
        <w:spacing w:after="0" w:line="18"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i w:val="1"/>
          <w:iCs w:val="1"/>
          <w:color w:val="auto"/>
        </w:rPr>
        <w:t>YOUR BOARD OF DIRECTORS UNANIMOUSLY RECOMMENDS THAT YOU VOTE FOR THE RATIFICATION OF THE APPOINTMENT OF DELOITTE &amp; TOUCHE AS INDEPENDENT REGISTERED PUBLIC ACCOUNTANTS FOR OUR FISCAL YEAR ENDING AUGUST 27, 2011.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8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The Board of Directors does not know of any matter, other than the election of directors and the ratification of the appointment of independent registered public accountants, which may be presented at the Meeting. However, if any other matters should properly come before the Meeting, it is the intention of the persons named in the proxy to vote thereon in accordance with their best judgment.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THE AUDIT COMMITTEE</w:t>
      </w:r>
    </w:p>
    <w:p>
      <w:pPr>
        <w:spacing w:after="0" w:line="225" w:lineRule="exact"/>
        <w:rPr>
          <w:sz w:val="20"/>
          <w:szCs w:val="20"/>
          <w:color w:val="auto"/>
        </w:rPr>
      </w:pPr>
    </w:p>
    <w:p>
      <w:pPr>
        <w:jc w:val="center"/>
        <w:ind w:left="260" w:right="220"/>
        <w:spacing w:after="0" w:line="259" w:lineRule="auto"/>
        <w:rPr>
          <w:sz w:val="20"/>
          <w:szCs w:val="20"/>
          <w:color w:val="auto"/>
        </w:rPr>
      </w:pPr>
      <w:r>
        <w:rPr>
          <w:rFonts w:ascii="Arial" w:cs="Arial" w:eastAsia="Arial" w:hAnsi="Arial"/>
          <w:sz w:val="18"/>
          <w:szCs w:val="18"/>
          <w:b w:val="1"/>
          <w:bCs w:val="1"/>
          <w:i w:val="1"/>
          <w:iCs w:val="1"/>
          <w:color w:val="auto"/>
        </w:rPr>
        <w:t>Notwithstanding anything to the contrary set forth in any of our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The Audit Committee reviews the Company's financial reporting process on behalf of the Board of Directors. In fulfilling its respo nsibilities, the Committee has reviewed and discussed the audited financial statements to be included in the 2010 Form 10-K with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97" w:lineRule="exact"/>
        <w:rPr>
          <w:sz w:val="20"/>
          <w:szCs w:val="20"/>
          <w:color w:val="auto"/>
        </w:rPr>
      </w:pPr>
    </w:p>
    <w:p>
      <w:pPr>
        <w:ind w:left="340" w:hanging="332"/>
        <w:spacing w:after="0" w:line="25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for the fiscal year ended August 28, 2010 of Winnebago Industries, Inc. (the “Audited Financial Statements”) with Winnebago Industries, Inc.'s Management.</w:t>
      </w:r>
    </w:p>
    <w:p>
      <w:pPr>
        <w:ind w:left="340" w:right="280" w:hanging="332"/>
        <w:spacing w:after="0" w:line="25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 Committee has discussed with Deloitte &amp; Touche LLP, the Company's independent registered public accountants, the matters required to be discussed by Statement on Auditing Standards No. 61, as amended (AICPA, Professional Standards, Vol. 1. AU Section 380), as adopted by the Public Company Accounting Oversight Board in Rule 3200T.</w:t>
      </w:r>
    </w:p>
    <w:p>
      <w:pPr>
        <w:spacing w:after="0" w:line="1"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 w:lineRule="exact"/>
        <w:rPr>
          <w:rFonts w:ascii="Arial" w:cs="Arial" w:eastAsia="Arial" w:hAnsi="Arial"/>
          <w:sz w:val="18"/>
          <w:szCs w:val="18"/>
          <w:color w:val="auto"/>
        </w:rPr>
      </w:pPr>
    </w:p>
    <w:p>
      <w:pPr>
        <w:ind w:left="340" w:right="20" w:hanging="332"/>
        <w:spacing w:after="0" w:line="256"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the first and third bullet points above, the Audit Committee recommended to the Board of Directors of Winnebago Industries, Inc., and the Board has approved, that the Audited Financial Statements be included in Winnebago Industries, Inc.'s 2010 Form 10-K, for filing with the SEC.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copy of the Audit Committee Charter, as last amended as of June 21, 2006, is available on the Company's Web Site at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38</w:t>
      </w:r>
    </w:p>
    <w:p>
      <w:pPr>
        <w:sectPr>
          <w:pgSz w:w="11900" w:h="16838" w:orient="portrait"/>
          <w:cols w:equalWidth="0" w:num="1">
            <w:col w:w="11400"/>
          </w:cols>
          <w:pgMar w:left="240" w:top="135" w:right="259" w:bottom="1440" w:gutter="0" w:footer="0" w:header="0"/>
        </w:sectPr>
      </w:pPr>
    </w:p>
    <w:bookmarkStart w:id="42" w:name="page43"/>
    <w:bookmarkEnd w:id="42"/>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http://www.winnebagoind.com/governance.html and in print free of charge to any shareholder who requests a copy in writing from:</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Winnebago Industries, Inc., Attn: Vice President-General Counsel and Secretary, 605 West Crystal Lake Road, Forest City,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Iowa 60436.</w:t>
      </w:r>
    </w:p>
    <w:p>
      <w:pPr>
        <w:spacing w:after="0" w:line="18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The Audit Commitee:</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A. Erickson (Chair)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Irvin E. Aal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M. Chiusano</w:t>
      </w:r>
    </w:p>
    <w:p>
      <w:pPr>
        <w:spacing w:after="0" w:line="36"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8"/>
          <w:szCs w:val="18"/>
          <w:color w:val="auto"/>
        </w:rPr>
        <w:t>&amp;n bsp;</w:t>
      </w:r>
      <w:r>
        <w:rPr>
          <w:sz w:val="20"/>
          <w:szCs w:val="20"/>
          <w:color w:val="auto"/>
        </w:rPr>
        <w:tab/>
      </w:r>
      <w:r>
        <w:rPr>
          <w:rFonts w:ascii="Arial" w:cs="Arial" w:eastAsia="Arial" w:hAnsi="Arial"/>
          <w:sz w:val="17"/>
          <w:szCs w:val="17"/>
          <w:color w:val="auto"/>
        </w:rPr>
        <w:t>Joseph W. England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REGISTERED PUBLIC ACCOUNTANTS FEES AND SERVICES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Deloitte &amp; Touche served as our independent registered public accountants in Fiscal 2010. Deloitte &amp; Touche is an independent registered public accounting firm with the Public Company Accounting Oversight Board (“PCAOB”). Representatives of the firm are expected to be present at the Annual Meeting with the opportunity to make a statement if they so desire and are expected to be available to respond to appropriate questions.</w:t>
      </w:r>
    </w:p>
    <w:p>
      <w:pPr>
        <w:spacing w:after="0" w:line="69"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i w:val="1"/>
          <w:iCs w:val="1"/>
          <w:color w:val="auto"/>
        </w:rPr>
        <w:t>The following table presents fees for professional audit services rendered by Deloitte &amp; Touche for the audit of our annual financial statements for fiscal years ended August 28, 2010 and August 29, 2009, and fees billed for other services rendered by Deloitte &amp; Touche during those periods.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9"/>
              </w:rPr>
              <w:t>Fiscal 2010</w:t>
            </w:r>
          </w:p>
        </w:tc>
        <w:tc>
          <w:tcPr>
            <w:tcW w:w="7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Fiscal 2009</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5"/>
              </w:rPr>
              <w:t>485,000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22,900</w:t>
            </w:r>
          </w:p>
        </w:tc>
        <w:tc>
          <w:tcPr>
            <w:tcW w:w="7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27,025</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Fees</w:t>
            </w:r>
            <w:r>
              <w:rPr>
                <w:rFonts w:ascii="Arial" w:cs="Arial" w:eastAsia="Arial" w:hAnsi="Arial"/>
                <w:sz w:val="21"/>
                <w:szCs w:val="21"/>
                <w:color w:val="auto"/>
                <w:vertAlign w:val="superscript"/>
              </w:rPr>
              <w:t>(3)</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152,153</w:t>
            </w:r>
          </w:p>
        </w:tc>
        <w:tc>
          <w:tcPr>
            <w:tcW w:w="7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154,705</w:t>
            </w:r>
          </w:p>
        </w:tc>
      </w:tr>
      <w:tr>
        <w:trPr>
          <w:trHeight w:val="264"/>
        </w:trPr>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650,053</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666,730</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340" w:hanging="332"/>
        <w:spacing w:after="0" w:line="228"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Audit Fees represent fees for professional services provided for the audit of our annual financial statements and review of our quarterly financial statements.</w:t>
      </w:r>
    </w:p>
    <w:p>
      <w:pPr>
        <w:ind w:left="340" w:hanging="332"/>
        <w:spacing w:after="0" w:line="20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Audit-Related Fees represent fees for the benefit plan audit and accounting related consulting matters.</w:t>
      </w: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Tax Fees represent fees for professional services related to tax compliance and tax planning .</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Audit Committee considered whether the provision of tax, benefit plan audit and accounting consulting services by Deloitte &amp;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Touche are compatible with maintaining the independence of Deloitte &amp; Touche and concluded that the independence of Deloitte &amp;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Touche is not compromised by the provision of such services.</w:t>
      </w:r>
    </w:p>
    <w:p>
      <w:pPr>
        <w:spacing w:after="0" w:line="9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Policy Regarding the Approval of Independent Registered Public Accountants Provision of Audit and Nonaudit Services - The Audit Committee Charter requires the Audit Committee to pre-approve the fees and other significant compensation to be paid to the independent registered public accountants as well as pre-a pprove all nonaudit engagements with the independent registered public accountants.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percent of the fees, if any, for services covered under the captions “Audit-Related Fees,” “Tax Fees” and “All Other Fees” for Fiscal 2009 and Fiscal 2010.</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2011 SHAREHOLDER PROPOSALS</w:t>
      </w:r>
    </w:p>
    <w:p>
      <w:pPr>
        <w:spacing w:after="0" w:line="225"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i w:val="1"/>
          <w:iCs w:val="1"/>
          <w:color w:val="auto"/>
        </w:rPr>
        <w:t>If a shareholder intends to present a proposal at our Annual Meeting following Fiscal 2011, scheduled for December 13, 2011 and desires that the proposal be included in our 2011 proxy statement and form of proxy for that meeting, the proposal must be in compliance with Rule 14a-8 under the Exchange Act and received at our principal executive offices no later than June 28, 2011.</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Our By-Laws and the Directors Nomination Policy require that in order to nominate persons to our Board of Directors, a shareholder must provide advance written notice in the form set forth therein to the Secretary, which notice must be delivered to or mailed and received at our principal executive offices not less than 90 days nor more than 120 days before the anniversary of the preceding year's annual meeting, except in the case of candidates recommended by shareholders of more than 5 percent of the Company's Common Stock who may also submit nominations in accordance with the procedures in the Director Nomination Policy and except as otherwise provided in our By-Laws. During Fiscal 2010, our By-Laws were amended to:</w:t>
      </w:r>
    </w:p>
    <w:p>
      <w:pPr>
        <w:spacing w:after="0" w:line="205" w:lineRule="exact"/>
        <w:rPr>
          <w:sz w:val="20"/>
          <w:szCs w:val="20"/>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explicitly provide that the advance notice provisions contained in the By-Laws are t he exclusive means for a</w:t>
      </w:r>
    </w:p>
    <w:p>
      <w:pPr>
        <w:sectPr>
          <w:pgSz w:w="11900" w:h="16838" w:orient="portrait"/>
          <w:cols w:equalWidth="0" w:num="1">
            <w:col w:w="11420"/>
          </w:cols>
          <w:pgMar w:left="240" w:top="13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39</w:t>
      </w:r>
    </w:p>
    <w:p>
      <w:pPr>
        <w:sectPr>
          <w:pgSz w:w="11900" w:h="16838" w:orient="portrait"/>
          <w:cols w:equalWidth="0" w:num="1">
            <w:col w:w="11420"/>
          </w:cols>
          <w:pgMar w:left="240" w:top="135" w:right="239" w:bottom="1440" w:gutter="0" w:footer="0" w:header="0"/>
          <w:type w:val="continuous"/>
        </w:sectPr>
      </w:pPr>
    </w:p>
    <w:bookmarkStart w:id="43" w:name="page44"/>
    <w:bookmarkEnd w:id="43"/>
    <w:p>
      <w:pPr>
        <w:jc w:val="center"/>
        <w:ind w:right="-19"/>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16" w:lineRule="exact"/>
        <w:rPr>
          <w:sz w:val="20"/>
          <w:szCs w:val="20"/>
          <w:color w:val="auto"/>
        </w:rPr>
      </w:pPr>
    </w:p>
    <w:p>
      <w:pPr>
        <w:ind w:left="180" w:right="580"/>
        <w:spacing w:after="0" w:line="263" w:lineRule="auto"/>
        <w:rPr>
          <w:sz w:val="20"/>
          <w:szCs w:val="20"/>
          <w:color w:val="auto"/>
        </w:rPr>
      </w:pPr>
      <w:r>
        <w:rPr>
          <w:rFonts w:ascii="Arial" w:cs="Arial" w:eastAsia="Arial" w:hAnsi="Arial"/>
          <w:sz w:val="18"/>
          <w:szCs w:val="18"/>
          <w:b w:val="1"/>
          <w:bCs w:val="1"/>
          <w:i w:val="1"/>
          <w:iCs w:val="1"/>
          <w:color w:val="auto"/>
        </w:rPr>
        <w:t>shareholder to make nominations or submit other business (other than matters properly brought under Rule 14a-8 under the Exchange Act) before an annual meeting of shareholders;</w:t>
      </w:r>
    </w:p>
    <w:p>
      <w:pPr>
        <w:spacing w:after="0" w:line="1" w:lineRule="exact"/>
        <w:rPr>
          <w:sz w:val="20"/>
          <w:szCs w:val="20"/>
          <w:color w:val="auto"/>
        </w:rPr>
      </w:pPr>
    </w:p>
    <w:p>
      <w:pPr>
        <w:ind w:left="280" w:right="100" w:hanging="272"/>
        <w:spacing w:after="0" w:line="180" w:lineRule="auto"/>
        <w:tabs>
          <w:tab w:leader="none" w:pos="280" w:val="left"/>
        </w:tabs>
        <w:numPr>
          <w:ilvl w:val="0"/>
          <w:numId w:val="62"/>
        </w:numPr>
        <w:rPr>
          <w:rFonts w:ascii="Arial" w:cs="Arial" w:eastAsia="Arial" w:hAnsi="Arial"/>
          <w:sz w:val="33"/>
          <w:szCs w:val="33"/>
          <w:color w:val="auto"/>
          <w:vertAlign w:val="subscript"/>
        </w:rPr>
      </w:pPr>
      <w:r>
        <w:rPr>
          <w:rFonts w:ascii="Arial" w:cs="Arial" w:eastAsia="Arial" w:hAnsi="Arial"/>
          <w:sz w:val="17"/>
          <w:szCs w:val="17"/>
          <w:color w:val="auto"/>
        </w:rPr>
        <w:t>explicitly provide that nominations of persons for election to the Board of Directors at any special meeting of shareholders will be subject to advance notice requirements of the By-Laws;</w:t>
      </w:r>
    </w:p>
    <w:p>
      <w:pPr>
        <w:ind w:left="280" w:right="40" w:hanging="272"/>
        <w:spacing w:after="0" w:line="250"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clarify the procedures for which the advance not ice By-Laws are applicable if the Company announces an increase in the size of the Board of Directors within 70 days of the first anniversary of the preceding annual meeting;</w:t>
      </w:r>
    </w:p>
    <w:p>
      <w:pPr>
        <w:ind w:left="280" w:right="60" w:hanging="272"/>
        <w:spacing w:after="0" w:line="250"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 the required disclosure regarding the shareholder giving the notice on whose behalf the director nomination or business proposal is made to include, among other things, a description of any derivative instruments, short positions, options, hedging transactions, voting arrangements and other economic and voting interests the shareholder has with respect to the Company's securities;</w:t>
      </w:r>
    </w:p>
    <w:p>
      <w:pPr>
        <w:spacing w:after="0" w:line="1" w:lineRule="exact"/>
        <w:rPr>
          <w:rFonts w:ascii="Arial" w:cs="Arial" w:eastAsia="Arial" w:hAnsi="Arial"/>
          <w:sz w:val="18"/>
          <w:szCs w:val="18"/>
          <w:color w:val="auto"/>
        </w:rPr>
      </w:pPr>
    </w:p>
    <w:p>
      <w:pPr>
        <w:ind w:left="280" w:right="180" w:hanging="272"/>
        <w:spacing w:after="0" w:line="250"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expand the required disclosure regarding any person whom a shareholder proposes to nominate for election or re-election as a director to include, among other things, a description of certain compensation and other material monetary arrangements and certain material relationships between the shareholder and each proposed nominee; and</w:t>
      </w:r>
    </w:p>
    <w:p>
      <w:pPr>
        <w:spacing w:after="0" w:line="1" w:lineRule="exact"/>
        <w:rPr>
          <w:rFonts w:ascii="Arial" w:cs="Arial" w:eastAsia="Arial" w:hAnsi="Arial"/>
          <w:sz w:val="18"/>
          <w:szCs w:val="18"/>
          <w:color w:val="auto"/>
        </w:rPr>
      </w:pPr>
    </w:p>
    <w:p>
      <w:pPr>
        <w:ind w:left="5660" w:hanging="161"/>
        <w:spacing w:after="0" w:line="234" w:lineRule="auto"/>
        <w:tabs>
          <w:tab w:leader="none" w:pos="5660" w:val="left"/>
        </w:tabs>
        <w:numPr>
          <w:ilvl w:val="1"/>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td&gt;</w:t>
      </w:r>
    </w:p>
    <w:p>
      <w:pPr>
        <w:ind w:left="280" w:right="160" w:hanging="272"/>
        <w:spacing w:after="0" w:line="256" w:lineRule="auto"/>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a signed statement by a director nominee agreeing that, if elected, the nominee will, among other things, comply with the Director Nomination Policy and also furnish any other information as may reasonably be required by the Company to determine the eligibility of the proposed nominee to serve as an independent director of the Company.</w:t>
      </w:r>
    </w:p>
    <w:p>
      <w:pPr>
        <w:spacing w:after="0" w:line="180"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The above procedures are in addition to any SEC rules and regulations which may be in effect regarding the procedures for nominating Company directors pursuant to Rule 14a-11 under t he Exchange Act.</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The By-Laws also require that in order to present a proposal for action by shareholders at an annual meeting, a shareholder must provide advance written notice to the Secretary, which notice must contain detailed information specified in our By-Laws. This notice must be delivered to or mailed and received at our principal executive offices not less than 90 days nor more than 120 days before the anniversary of the preceding year's annual meeting. As to any proposal that a shareholder intends to present to shareholders without inclusion in our proxy statement for our annual meeting following Fiscal 2011, the proxies named in Management's proxy for that meeting will be entitled to exercise their discretionary authority on that proposal by advising shareholders of such proposal and how they intend to exercise their discretion to vote on such matter, unless t he shareholder making the proposal solicits proxies with respect to the proposal to the extent required by Rule 14a-4(c)(2) under the Exchange Act. The specific procedures to be used by shareholders, including those to be used by shareholders of more than 5 percent of the Common Stock, to recommend nominees for director are set forth in the Director Nomination Policy, a copy of which is attached hereto as Appendix A and the By-Laws. A copy of our By-Laws may be obtained by written request to: Winnebago Industries, Inc., Attn: Vice President-General Counsel and Secretary, 605 West Crystal Lake Road, Forest City, Iowa 50436.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Deloitte &amp; Touche has been selected by the Audit Committee as our independent registered public accountants for the current fiscal year by the Audit Committee. Deloitte &amp; Touche has been our accountants for more than 25 years. Representatives of that firm are expected to be present at the Annual Meeting with the opportunity to make a statement if they desire to do so and to be available to respond to appropriate questions.</w:t>
      </w:r>
    </w:p>
    <w:p>
      <w:pPr>
        <w:spacing w:after="0" w:line="6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The cost of this proxy solicitation will be borne by us. Solicitation will be made primarily through the Internet and the use of the mail, but our officers, directors or regular employees may solicit proxies personally or by telephone or telegraph without additional remuneration for such activity. In addition, we will reimburse brokerage houses and other custodians, nominees or fiduciaries for their reasonable expenses in forwarding proxies and proxy material to the beneficial owners of such shares.</w:t>
      </w:r>
    </w:p>
    <w:p>
      <w:pPr>
        <w:spacing w:after="0" w:line="6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A copy of our Annual Report for the fiscal year ended August 28, 2010, which includes audited financial statements, is available on the Internet as set forth in the Notice of Internet Availability of Proxy Materials.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COPY OF THIS PROXY STATEMENT AND OUR MOST RECENT ANNUAL REPORT TO THE SEC ON FORM 10-K (WITHOUT EXHIBIT</w:t>
      </w:r>
    </w:p>
    <w:p>
      <w:pPr>
        <w:spacing w:after="0" w:line="31" w:lineRule="exact"/>
        <w:rPr>
          <w:sz w:val="20"/>
          <w:szCs w:val="20"/>
          <w:color w:val="auto"/>
        </w:rPr>
      </w:pPr>
    </w:p>
    <w:p>
      <w:pPr>
        <w:ind w:right="1080" w:firstLine="8"/>
        <w:spacing w:after="0" w:line="262" w:lineRule="auto"/>
        <w:tabs>
          <w:tab w:leader="none" w:pos="23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BE FURNISHED, WITHOUT CHARGE, TO OUR SHAREHOLDERS UPON WRITTEN REQUEST PURSUANT TO THE INSTRUCTIONS SET FORTH IN THE NOTICE OF INTERNET AVAILABILITY OF PROXY MATERIALS.</w:t>
      </w:r>
    </w:p>
    <w:p>
      <w:pPr>
        <w:spacing w:after="0" w:line="66"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i w:val="1"/>
          <w:iCs w:val="1"/>
          <w:color w:val="auto"/>
        </w:rPr>
        <w:t>FOR INFORMATION ABOUT US, INCLUDING OUR ANNUAL, QUARTERLY AND CURRENT REPORTS ON SEC FORMS 10-K, 10-Q AND 8-K, RESPECTIVELY, PLEASE VISIT OUR HOME PAGE ON THE INTERNET - http://www.winnebagoind.com. INFORMATION CONTAINED ON OUR WEB SITE IS NOT INCORPORATED INTO THIS PROXY STATEMENT OR OTHER SECURITIES FILINGS.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40</w:t>
      </w:r>
    </w:p>
    <w:p>
      <w:pPr>
        <w:sectPr>
          <w:pgSz w:w="11900" w:h="16838" w:orient="portrait"/>
          <w:cols w:equalWidth="0" w:num="1">
            <w:col w:w="11400"/>
          </w:cols>
          <w:pgMar w:left="240" w:top="135" w:right="259" w:bottom="1440" w:gutter="0" w:footer="0" w:header="0"/>
        </w:sectPr>
      </w:pPr>
    </w:p>
    <w:bookmarkStart w:id="44" w:name="page45"/>
    <w:bookmarkEnd w:id="44"/>
    <w:p>
      <w:pPr>
        <w:jc w:val="center"/>
        <w:ind w:right="-99"/>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324"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As of the date of this Proxy Statement, Management knows of no other matters to be brought before the Annual Meeting. However, if any other matters should properly come before the meeting, it is the intention of the persons named in the proxy to vote thereon in accordance with their best judgment.</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16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By Order of the Board of Directors</w:t>
            </w:r>
          </w:p>
        </w:tc>
      </w:tr>
      <w:tr>
        <w:trPr>
          <w:trHeight w:val="561"/>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26, 2010</w:t>
            </w:r>
          </w:p>
        </w:tc>
        <w:tc>
          <w:tcPr>
            <w:tcW w:w="320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M. Beebe</w:t>
            </w:r>
          </w:p>
        </w:tc>
      </w:tr>
      <w:tr>
        <w:trPr>
          <w:trHeight w:val="257"/>
        </w:trPr>
        <w:tc>
          <w:tcPr>
            <w:tcW w:w="1680" w:type="dxa"/>
            <w:vAlign w:val="bottom"/>
          </w:tcPr>
          <w:p>
            <w:pPr>
              <w:ind w:left="20"/>
              <w:spacing w:after="0"/>
              <w:rPr>
                <w:sz w:val="20"/>
                <w:szCs w:val="20"/>
                <w:color w:val="auto"/>
              </w:rPr>
            </w:pPr>
            <w:r>
              <w:rPr>
                <w:rFonts w:ascii="Arial" w:cs="Arial" w:eastAsia="Arial" w:hAnsi="Arial"/>
                <w:sz w:val="18"/>
                <w:szCs w:val="18"/>
                <w:color w:val="auto"/>
              </w:rPr>
              <w:t>Date</w:t>
            </w:r>
          </w:p>
        </w:tc>
        <w:tc>
          <w:tcPr>
            <w:tcW w:w="320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Raymond M. Beebe</w:t>
            </w:r>
          </w:p>
        </w:tc>
      </w:tr>
      <w:tr>
        <w:trPr>
          <w:trHeight w:val="270"/>
        </w:trPr>
        <w:tc>
          <w:tcPr>
            <w:tcW w:w="16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Secretary</w:t>
            </w:r>
          </w:p>
        </w:tc>
      </w:tr>
      <w:tr>
        <w:trPr>
          <w:trHeight w:val="426"/>
        </w:trPr>
        <w:tc>
          <w:tcPr>
            <w:tcW w:w="1680" w:type="dxa"/>
            <w:vAlign w:val="bottom"/>
          </w:tcPr>
          <w:p>
            <w:pPr>
              <w:spacing w:after="0"/>
              <w:rPr>
                <w:sz w:val="24"/>
                <w:szCs w:val="24"/>
                <w:color w:val="auto"/>
              </w:rPr>
            </w:pPr>
          </w:p>
        </w:tc>
        <w:tc>
          <w:tcPr>
            <w:tcW w:w="6460" w:type="dxa"/>
            <w:vAlign w:val="bottom"/>
            <w:gridSpan w:val="2"/>
          </w:tcPr>
          <w:p>
            <w:pPr>
              <w:jc w:val="right"/>
              <w:ind w:right="3110"/>
              <w:spacing w:after="0"/>
              <w:rPr>
                <w:sz w:val="20"/>
                <w:szCs w:val="20"/>
                <w:color w:val="auto"/>
              </w:rPr>
            </w:pPr>
            <w:r>
              <w:rPr>
                <w:rFonts w:ascii="Arial" w:cs="Arial" w:eastAsia="Arial" w:hAnsi="Arial"/>
                <w:sz w:val="16"/>
                <w:szCs w:val="16"/>
                <w:b w:val="1"/>
                <w:bCs w:val="1"/>
                <w:i w:val="1"/>
                <w:iCs w:val="1"/>
                <w:color w:val="auto"/>
              </w:rPr>
              <w:t>41</w:t>
            </w:r>
          </w:p>
        </w:tc>
      </w:tr>
    </w:tbl>
    <w:p>
      <w:pPr>
        <w:sectPr>
          <w:pgSz w:w="11900" w:h="16838" w:orient="portrait"/>
          <w:cols w:equalWidth="0" w:num="1">
            <w:col w:w="11320"/>
          </w:cols>
          <w:pgMar w:left="240" w:top="135" w:right="339" w:bottom="1440" w:gutter="0" w:footer="0" w:header="0"/>
        </w:sectPr>
      </w:pPr>
    </w:p>
    <w:bookmarkStart w:id="45" w:name="page46"/>
    <w:bookmarkEnd w:id="45"/>
    <w:p>
      <w:pPr>
        <w:jc w:val="center"/>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Appendix 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WINNEBAGO INDUSTRIES,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225" w:lineRule="exact"/>
        <w:rPr>
          <w:sz w:val="20"/>
          <w:szCs w:val="20"/>
          <w:color w:val="auto"/>
        </w:rPr>
      </w:pPr>
    </w:p>
    <w:p>
      <w:pPr>
        <w:jc w:val="both"/>
        <w:ind w:right="140"/>
        <w:spacing w:after="0" w:line="269" w:lineRule="auto"/>
        <w:rPr>
          <w:sz w:val="20"/>
          <w:szCs w:val="20"/>
          <w:color w:val="auto"/>
        </w:rPr>
      </w:pPr>
      <w:r>
        <w:rPr>
          <w:rFonts w:ascii="Arial" w:cs="Arial" w:eastAsia="Arial" w:hAnsi="Arial"/>
          <w:sz w:val="18"/>
          <w:szCs w:val="18"/>
          <w:b w:val="1"/>
          <w:bCs w:val="1"/>
          <w:i w:val="1"/>
          <w:iCs w:val="1"/>
          <w:color w:val="auto"/>
        </w:rPr>
        <w:t>The Nominating and Governance Committee (the “Committee ”) has adopted the following policy (the “Director Nomination Policy”) to assist it in fulfilling its duties and responsibilities as provided in its charter (the “Charter”). This Director Nomination Policy may be amended and/or restated from time to time by the Committee in accordance with the Charter and as provided herein.</w:t>
      </w:r>
    </w:p>
    <w:p>
      <w:pPr>
        <w:spacing w:after="0" w:line="19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1.</w:t>
        <w:tab/>
        <w:t>&amp;nbRECOMMENDED CANDIDATES. The Committee shall consider any and all candidates recommended as nominees for directors to the</w:t>
      </w:r>
    </w:p>
    <w:p>
      <w:pPr>
        <w:spacing w:after="0" w:line="9" w:lineRule="exact"/>
        <w:rPr>
          <w:sz w:val="20"/>
          <w:szCs w:val="20"/>
          <w:color w:val="auto"/>
        </w:rPr>
      </w:pPr>
    </w:p>
    <w:p>
      <w:pPr>
        <w:ind w:left="620" w:right="120" w:hanging="619"/>
        <w:spacing w:after="0" w:line="251" w:lineRule="auto"/>
        <w:tabs>
          <w:tab w:leader="none" w:pos="600" w:val="left"/>
        </w:tabs>
        <w:rPr>
          <w:sz w:val="20"/>
          <w:szCs w:val="20"/>
          <w:color w:val="auto"/>
        </w:rPr>
      </w:pPr>
      <w:r>
        <w:rPr>
          <w:rFonts w:ascii="Arial" w:cs="Arial" w:eastAsia="Arial" w:hAnsi="Arial"/>
          <w:sz w:val="18"/>
          <w:szCs w:val="18"/>
          <w:color w:val="auto"/>
        </w:rPr>
        <w:t>sp;</w:t>
      </w:r>
      <w:r>
        <w:rPr>
          <w:sz w:val="20"/>
          <w:szCs w:val="20"/>
          <w:color w:val="auto"/>
        </w:rPr>
        <w:tab/>
      </w:r>
      <w:r>
        <w:rPr>
          <w:rFonts w:ascii="Arial" w:cs="Arial" w:eastAsia="Arial" w:hAnsi="Arial"/>
          <w:sz w:val="18"/>
          <w:szCs w:val="18"/>
          <w:color w:val="auto"/>
        </w:rPr>
        <w:t>Committee by any directors, officers, shareholders of the Company, third-party search firms and other sources. Under the terms of our By-Laws, the Committee will consider director nominations from shareholders of record who provide timely written notice along with prescribed information to the Secretary of the Company. To be timely, the notice must be received by the Secretary at our principal executive offices not later than 90 or earlier than 120 days prior to the anniversary of the previous year’s annual meeting, except in the case of candidates recommended by shareholders of more than 5 percent of the Company’s Common Stock who may also submit nominations in accordance with the procedures in Section 2 under “5% SHAREHOLDER RECOMMENDATI ONS” and except as otherwise provided in our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our books together with the number of shares of the Company’s Common Stock which are owned beneficially and of record by the shareholder and any beneficial owner; and (3) a signed statement by the nominee agreeing that, if elected, such nominee will (a) represent all of our shareholders in accordance with applicable laws and By-Laws and (b) comply with our Code of Ethics.</w:t>
      </w:r>
    </w:p>
    <w:p>
      <w:pPr>
        <w:spacing w:after="0" w:line="211" w:lineRule="exact"/>
        <w:rPr>
          <w:sz w:val="20"/>
          <w:szCs w:val="20"/>
          <w:color w:val="auto"/>
        </w:rPr>
      </w:pPr>
    </w:p>
    <w:p>
      <w:pPr>
        <w:ind w:left="360" w:right="200" w:hanging="352"/>
        <w:spacing w:after="0" w:line="251"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5% SHAREHOLDER RECOMMENDATIONS. For purposes of facilitating disclosure required in the Proxy Statement, the Committee and the Corporate Secretary shall identify any candidates recommended by shareholders owning more than 5 percent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percent of the Company’s Common Stock fo r at least one year as of the date the recommendation was made, may recommend nominees for director to the Committee provided that (1) written notice from the shareholder(s) must be received by the Secretary of the Company at our principal executive offices not later than 120 days prior to the anniversary of the date our proxy statement was released to shareholders in connection with the previous year’s annual meeting, except as otherwise provided in our By-Laws; (2) such notice must contain the name and address of the shareholder(s) and any beneficial owner(s) giving the notice as they appear on our books, together with evidence regarding the number of shares of the Company’s Common Stock together with the holding period and the written consent of the recommended candidate and the shareholder(s) to being identified in our proxy statement; (3) such notice must contain all information relating to such director nominee that is required to be disclosed under federal securities laws in solicitation o f proxies for election of directors in an election contest; and (4) such notice must contain a signed statement by the nominee agreeing that, if elected, such nominee will (a) represent all our shareholders in accordance with applicable laws and our By-Laws and (b) comply with our Code of Ethics.</w:t>
      </w:r>
    </w:p>
    <w:p>
      <w:pPr>
        <w:spacing w:after="0" w:line="210" w:lineRule="exact"/>
        <w:rPr>
          <w:rFonts w:ascii="Arial" w:cs="Arial" w:eastAsia="Arial" w:hAnsi="Arial"/>
          <w:sz w:val="18"/>
          <w:szCs w:val="18"/>
          <w:color w:val="auto"/>
        </w:rPr>
      </w:pPr>
    </w:p>
    <w:p>
      <w:pPr>
        <w:ind w:left="360" w:right="280" w:hanging="352"/>
        <w:spacing w:after="0" w:line="254"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DESIRED QUALIFICATIONS, QUALITIES AND SKILLS. The Committee shall endeavor to find individuals of high integrity who have a solid record of accomplishment in their chosen fields and who possess the qualifications, qual ities and skills to effectively represent the best interests of all shareholders. Candidates will be selected for their ability to exercise good judgment and to provide practical insights and diverse perspectives.</w:t>
      </w:r>
    </w:p>
    <w:p>
      <w:pPr>
        <w:spacing w:after="0" w:line="182" w:lineRule="exact"/>
        <w:rPr>
          <w:sz w:val="20"/>
          <w:szCs w:val="20"/>
          <w:color w:val="auto"/>
        </w:rPr>
      </w:pPr>
    </w:p>
    <w:p>
      <w:pPr>
        <w:ind w:left="340" w:right="280"/>
        <w:spacing w:after="0" w:line="287" w:lineRule="auto"/>
        <w:rPr>
          <w:sz w:val="20"/>
          <w:szCs w:val="20"/>
          <w:color w:val="auto"/>
        </w:rPr>
      </w:pPr>
      <w:r>
        <w:rPr>
          <w:rFonts w:ascii="Arial" w:cs="Arial" w:eastAsia="Arial" w:hAnsi="Arial"/>
          <w:sz w:val="18"/>
          <w:szCs w:val="18"/>
          <w:b w:val="1"/>
          <w:bCs w:val="1"/>
          <w:i w:val="1"/>
          <w:iCs w:val="1"/>
          <w:color w:val="auto"/>
        </w:rPr>
        <w:t>The Committee considers the following qualifications at a minimum to be required of any Board members in recommending to the Board of Directors potential new Board members or the continued service of existing members:</w:t>
      </w:r>
    </w:p>
    <w:p>
      <w:pPr>
        <w:spacing w:after="0" w:line="12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auto"/>
        </w:rPr>
        <w:t>&amp;bul l;</w:t>
      </w:r>
      <w:r>
        <w:rPr>
          <w:sz w:val="20"/>
          <w:szCs w:val="20"/>
          <w:color w:val="auto"/>
        </w:rPr>
        <w:tab/>
      </w:r>
      <w:r>
        <w:rPr>
          <w:rFonts w:ascii="Arial" w:cs="Arial" w:eastAsia="Arial" w:hAnsi="Arial"/>
          <w:sz w:val="17"/>
          <w:szCs w:val="17"/>
          <w:color w:val="auto"/>
        </w:rPr>
        <w:t>ability to provide insights and practical wisdom based on their experience and expertise;</w:t>
      </w:r>
    </w:p>
    <w:p>
      <w:pPr>
        <w:spacing w:after="0" w:line="9"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sufficient time to effectively carry out their duties; their service on other boards of public companies should be limited to a reasonable number;</w:t>
      </w: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A-1</w:t>
      </w:r>
    </w:p>
    <w:p>
      <w:pPr>
        <w:sectPr>
          <w:pgSz w:w="11900" w:h="16838" w:orient="portrait"/>
          <w:cols w:equalWidth="0" w:num="1">
            <w:col w:w="11420"/>
          </w:cols>
          <w:pgMar w:left="240" w:top="135" w:right="239" w:bottom="1440" w:gutter="0" w:footer="0" w:header="0"/>
        </w:sectPr>
      </w:pPr>
    </w:p>
    <w:bookmarkStart w:id="46" w:name="page47"/>
    <w:bookmarkEnd w:id="46"/>
    <w:p>
      <w:pPr>
        <w:jc w:val="center"/>
        <w:ind w:right="-11"/>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16"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relationship with our senior management; and</w:t>
      </w:r>
    </w:p>
    <w:p>
      <w:pPr>
        <w:spacing w:after="0" w:line="31" w:lineRule="exact"/>
        <w:rPr>
          <w:sz w:val="20"/>
          <w:szCs w:val="20"/>
          <w:color w:val="auto"/>
        </w:rPr>
      </w:pPr>
    </w:p>
    <w:p>
      <w:pPr>
        <w:ind w:left="652" w:hanging="328"/>
        <w:spacing w:after="0"/>
        <w:tabs>
          <w:tab w:leader="none" w:pos="6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in this Director Nomination Policy.</w:t>
      </w:r>
    </w:p>
    <w:p>
      <w:pPr>
        <w:spacing w:after="0" w:line="203" w:lineRule="exact"/>
        <w:rPr>
          <w:sz w:val="20"/>
          <w:szCs w:val="20"/>
          <w:color w:val="auto"/>
        </w:rPr>
      </w:pPr>
    </w:p>
    <w:p>
      <w:pPr>
        <w:ind w:left="332" w:right="40"/>
        <w:spacing w:after="0" w:line="262" w:lineRule="auto"/>
        <w:rPr>
          <w:sz w:val="20"/>
          <w:szCs w:val="20"/>
          <w:color w:val="auto"/>
        </w:rPr>
      </w:pPr>
      <w:r>
        <w:rPr>
          <w:rFonts w:ascii="Arial" w:cs="Arial" w:eastAsia="Arial" w:hAnsi="Arial"/>
          <w:sz w:val="18"/>
          <w:szCs w:val="18"/>
          <w:b w:val="1"/>
          <w:bCs w:val="1"/>
          <w:i w:val="1"/>
          <w:iCs w:val="1"/>
          <w:color w:val="auto"/>
        </w:rPr>
        <w:t>Other than the foregoing, there are no stated minimum criteria for director nominees, although the Committee may also consider such other factors as it may deem are in our best interests and those of our shareholders. The Committee does, however, believe it appropriate for at least one member of the Board to meet the criteria for an “audit committee financial expert” as defined by Securities and Exchange Commission ru les.</w:t>
      </w:r>
    </w:p>
    <w:p>
      <w:pPr>
        <w:spacing w:after="0" w:line="199" w:lineRule="exact"/>
        <w:rPr>
          <w:sz w:val="20"/>
          <w:szCs w:val="20"/>
          <w:color w:val="auto"/>
        </w:rPr>
      </w:pPr>
    </w:p>
    <w:p>
      <w:pPr>
        <w:ind w:left="352" w:right="500" w:hanging="352"/>
        <w:spacing w:after="0" w:line="256" w:lineRule="auto"/>
        <w:tabs>
          <w:tab w:leader="none" w:pos="3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INDEPENDENCE. The Committee believes and it is our policy that a majority of the members of the Board meet the definition of “independent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180"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An independent director is one who:</w:t>
      </w:r>
    </w:p>
    <w:p>
      <w:pPr>
        <w:spacing w:after="0" w:line="193" w:lineRule="exact"/>
        <w:rPr>
          <w:sz w:val="20"/>
          <w:szCs w:val="20"/>
          <w:color w:val="auto"/>
        </w:rPr>
      </w:pPr>
    </w:p>
    <w:p>
      <w:pPr>
        <w:ind w:left="752" w:right="480" w:hanging="428"/>
        <w:spacing w:after="0" w:line="250" w:lineRule="auto"/>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ind w:left="752" w:hanging="428"/>
        <w:spacing w:after="0"/>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171" w:lineRule="exact"/>
        <w:rPr>
          <w:rFonts w:ascii="Arial" w:cs="Arial" w:eastAsia="Arial" w:hAnsi="Arial"/>
          <w:sz w:val="18"/>
          <w:szCs w:val="18"/>
          <w:color w:val="auto"/>
        </w:rPr>
      </w:pPr>
    </w:p>
    <w:p>
      <w:pPr>
        <w:ind w:left="752" w:hanging="428"/>
        <w:spacing w:after="0" w:line="262" w:lineRule="auto"/>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142" w:lineRule="exact"/>
        <w:rPr>
          <w:rFonts w:ascii="Arial" w:cs="Arial" w:eastAsia="Arial" w:hAnsi="Arial"/>
          <w:sz w:val="18"/>
          <w:szCs w:val="18"/>
          <w:color w:val="auto"/>
        </w:rPr>
      </w:pPr>
    </w:p>
    <w:p>
      <w:pPr>
        <w:ind w:left="752" w:right="340" w:hanging="428"/>
        <w:spacing w:after="0" w:line="262" w:lineRule="auto"/>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$120,000 per year in direct compensation from the Company in any capacity other than as a director during the past three years;</w:t>
      </w:r>
    </w:p>
    <w:p>
      <w:pPr>
        <w:spacing w:after="0" w:line="142" w:lineRule="exact"/>
        <w:rPr>
          <w:rFonts w:ascii="Arial" w:cs="Arial" w:eastAsia="Arial" w:hAnsi="Arial"/>
          <w:sz w:val="18"/>
          <w:szCs w:val="18"/>
          <w:color w:val="auto"/>
        </w:rPr>
      </w:pPr>
    </w:p>
    <w:p>
      <w:pPr>
        <w:ind w:left="752" w:right="120" w:hanging="428"/>
        <w:spacing w:after="0" w:line="253" w:lineRule="auto"/>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is not a current partner or employee of a firm that is the Company's internal or external auditor; (B) does not have an immediate family member who is a current partner of a firm that is the Company's internal or external auditor; (C) does not have an immediate family member who is a current employee of the Company's internal or external auditor and who personally works on the Company's audit; and (D) within the last three years was not and no member of his or her immediate family was a partner or employee of the Company's internal or external auditor and personally worked on the Company's audit within that tim e.</w:t>
      </w:r>
    </w:p>
    <w:p>
      <w:pPr>
        <w:spacing w:after="0" w:line="151" w:lineRule="exact"/>
        <w:rPr>
          <w:rFonts w:ascii="Arial" w:cs="Arial" w:eastAsia="Arial" w:hAnsi="Arial"/>
          <w:sz w:val="18"/>
          <w:szCs w:val="18"/>
          <w:color w:val="auto"/>
        </w:rPr>
      </w:pPr>
    </w:p>
    <w:p>
      <w:pPr>
        <w:ind w:left="752" w:right="160" w:hanging="428"/>
        <w:spacing w:after="0" w:line="256" w:lineRule="auto"/>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147" w:lineRule="exact"/>
        <w:rPr>
          <w:rFonts w:ascii="Arial" w:cs="Arial" w:eastAsia="Arial" w:hAnsi="Arial"/>
          <w:sz w:val="18"/>
          <w:szCs w:val="18"/>
          <w:color w:val="auto"/>
        </w:rPr>
      </w:pPr>
    </w:p>
    <w:p>
      <w:pPr>
        <w:ind w:left="752" w:right="120" w:hanging="428"/>
        <w:spacing w:after="0" w:line="278" w:lineRule="auto"/>
        <w:tabs>
          <w:tab w:leader="none" w:pos="752" w:val="left"/>
        </w:tabs>
        <w:numPr>
          <w:ilvl w:val="0"/>
          <w:numId w:val="69"/>
        </w:numPr>
        <w:rPr>
          <w:rFonts w:ascii="Arial" w:cs="Arial" w:eastAsia="Arial" w:hAnsi="Arial"/>
          <w:sz w:val="17"/>
          <w:szCs w:val="17"/>
          <w:color w:val="auto"/>
        </w:rPr>
      </w:pPr>
      <w:r>
        <w:rPr>
          <w:rFonts w:ascii="Arial" w:cs="Arial" w:eastAsia="Arial" w:hAnsi="Arial"/>
          <w:sz w:val="17"/>
          <w:szCs w:val="17"/>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percent of such other company's consolidated revenues during any of the past three years;</w:t>
      </w:r>
    </w:p>
    <w:p>
      <w:pPr>
        <w:spacing w:after="0" w:line="131" w:lineRule="exact"/>
        <w:rPr>
          <w:rFonts w:ascii="Arial" w:cs="Arial" w:eastAsia="Arial" w:hAnsi="Arial"/>
          <w:sz w:val="17"/>
          <w:szCs w:val="17"/>
          <w:color w:val="auto"/>
        </w:rPr>
      </w:pPr>
    </w:p>
    <w:p>
      <w:pPr>
        <w:ind w:left="752" w:right="180" w:hanging="428"/>
        <w:spacing w:after="0" w:line="262" w:lineRule="auto"/>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free of any relationships with the Company that may impair, or appear to impair, his or her ability to make independent judgments; and</w:t>
      </w:r>
    </w:p>
    <w:p>
      <w:pPr>
        <w:spacing w:after="0" w:line="142" w:lineRule="exact"/>
        <w:rPr>
          <w:rFonts w:ascii="Arial" w:cs="Arial" w:eastAsia="Arial" w:hAnsi="Arial"/>
          <w:sz w:val="18"/>
          <w:szCs w:val="18"/>
          <w:color w:val="auto"/>
        </w:rPr>
      </w:pPr>
    </w:p>
    <w:p>
      <w:pPr>
        <w:ind w:left="752" w:right="200" w:hanging="428"/>
        <w:spacing w:after="0" w:line="256" w:lineRule="auto"/>
        <w:tabs>
          <w:tab w:leader="none" w:pos="7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 rganization that receives contributions from the Company or a Company charitable trust, in an amount which exceeds the greater of $1 million or 2 percent of such charitable organization's total annual receipts.</w:t>
      </w:r>
    </w:p>
    <w:p>
      <w:pPr>
        <w:spacing w:after="0" w:line="180" w:lineRule="exact"/>
        <w:rPr>
          <w:sz w:val="20"/>
          <w:szCs w:val="20"/>
          <w:color w:val="auto"/>
        </w:rPr>
      </w:pPr>
    </w:p>
    <w:p>
      <w:pPr>
        <w:jc w:val="center"/>
        <w:ind w:left="580" w:right="320"/>
        <w:spacing w:after="0" w:line="287" w:lineRule="auto"/>
        <w:rPr>
          <w:sz w:val="20"/>
          <w:szCs w:val="20"/>
          <w:color w:val="auto"/>
        </w:rPr>
      </w:pPr>
      <w:r>
        <w:rPr>
          <w:rFonts w:ascii="Arial" w:cs="Arial" w:eastAsia="Arial" w:hAnsi="Arial"/>
          <w:sz w:val="18"/>
          <w:szCs w:val="18"/>
          <w:b w:val="1"/>
          <w:bCs w:val="1"/>
          <w:i w:val="1"/>
          <w:iCs w:val="1"/>
          <w:color w:val="auto"/>
        </w:rPr>
        <w:t>This policy may be modified temporarily if, due to unforeseen circumstances, strict adherence would be detrimental to the Board’s performance.</w:t>
      </w:r>
    </w:p>
    <w:p>
      <w:pPr>
        <w:spacing w:after="0" w:line="153"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For purposes of determining a “material relationship,” the Committee shall utilize the following standards:</w:t>
      </w:r>
    </w:p>
    <w:p>
      <w:pPr>
        <w:spacing w:after="0" w:line="247" w:lineRule="exact"/>
        <w:rPr>
          <w:sz w:val="20"/>
          <w:szCs w:val="20"/>
          <w:color w:val="auto"/>
        </w:rPr>
      </w:pPr>
    </w:p>
    <w:p>
      <w:pPr>
        <w:ind w:left="1072" w:hanging="424"/>
        <w:spacing w:after="0" w:line="256" w:lineRule="auto"/>
        <w:tabs>
          <w:tab w:leader="none" w:pos="10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w:t>
      </w:r>
    </w:p>
    <w:p>
      <w:pPr>
        <w:spacing w:after="0" w:line="200" w:lineRule="exact"/>
        <w:rPr>
          <w:sz w:val="20"/>
          <w:szCs w:val="20"/>
          <w:color w:val="auto"/>
        </w:rPr>
      </w:pPr>
    </w:p>
    <w:p>
      <w:pPr>
        <w:spacing w:after="0" w:line="201"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i w:val="1"/>
          <w:iCs w:val="1"/>
          <w:color w:val="auto"/>
        </w:rPr>
        <w:t>A-2</w:t>
      </w:r>
    </w:p>
    <w:p>
      <w:pPr>
        <w:sectPr>
          <w:pgSz w:w="11900" w:h="16838" w:orient="portrait"/>
          <w:cols w:equalWidth="0" w:num="1">
            <w:col w:w="11412"/>
          </w:cols>
          <w:pgMar w:left="248" w:top="135" w:right="239" w:bottom="1440" w:gutter="0" w:footer="0" w:header="0"/>
        </w:sectPr>
      </w:pPr>
    </w:p>
    <w:bookmarkStart w:id="47" w:name="page48"/>
    <w:bookmarkEnd w:id="47"/>
    <w:p>
      <w:pPr>
        <w:ind w:left="8"/>
        <w:spacing w:after="0"/>
        <w:rPr>
          <w:rFonts w:ascii="Arial" w:cs="Arial" w:eastAsia="Arial" w:hAnsi="Arial"/>
          <w:sz w:val="16"/>
          <w:szCs w:val="16"/>
          <w:b w:val="1"/>
          <w:bCs w:val="1"/>
          <w:i w:val="1"/>
          <w:iCs w:val="1"/>
          <w:u w:val="single" w:color="auto"/>
          <w:color w:val="0000FF"/>
        </w:rPr>
      </w:pPr>
      <w:hyperlink w:anchor="page2">
        <w:r>
          <w:rPr>
            <w:rFonts w:ascii="Arial" w:cs="Arial" w:eastAsia="Arial" w:hAnsi="Arial"/>
            <w:sz w:val="16"/>
            <w:szCs w:val="16"/>
            <w:b w:val="1"/>
            <w:bCs w:val="1"/>
            <w:i w:val="1"/>
            <w:iCs w:val="1"/>
            <w:u w:val="single" w:color="auto"/>
            <w:color w:val="0000FF"/>
          </w:rPr>
          <w:t>Table of Contents</w:t>
        </w:r>
      </w:hyperlink>
    </w:p>
    <w:p>
      <w:pPr>
        <w:spacing w:after="0" w:line="252" w:lineRule="exact"/>
        <w:rPr>
          <w:sz w:val="20"/>
          <w:szCs w:val="20"/>
          <w:color w:val="auto"/>
        </w:rPr>
      </w:pPr>
    </w:p>
    <w:p>
      <w:pPr>
        <w:ind w:left="748" w:hanging="424"/>
        <w:spacing w:after="0"/>
        <w:tabs>
          <w:tab w:leader="none" w:pos="7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percent of the Company's consolidated gross revenues.</w:t>
      </w:r>
    </w:p>
    <w:p>
      <w:pPr>
        <w:spacing w:after="0" w:line="203" w:lineRule="exact"/>
        <w:rPr>
          <w:sz w:val="20"/>
          <w:szCs w:val="20"/>
          <w:color w:val="auto"/>
        </w:rPr>
      </w:pPr>
    </w:p>
    <w:p>
      <w:pPr>
        <w:ind w:left="328"/>
        <w:spacing w:after="0" w:line="283" w:lineRule="auto"/>
        <w:rPr>
          <w:sz w:val="20"/>
          <w:szCs w:val="20"/>
          <w:color w:val="auto"/>
        </w:rPr>
      </w:pPr>
      <w:r>
        <w:rPr>
          <w:rFonts w:ascii="Arial" w:cs="Arial" w:eastAsia="Arial" w:hAnsi="Arial"/>
          <w:sz w:val="17"/>
          <w:szCs w:val="17"/>
          <w:b w:val="1"/>
          <w:bCs w:val="1"/>
          <w:i w:val="1"/>
          <w:iCs w:val="1"/>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percent equity interest.</w:t>
      </w:r>
    </w:p>
    <w:p>
      <w:pPr>
        <w:spacing w:after="0" w:line="180" w:lineRule="exact"/>
        <w:rPr>
          <w:sz w:val="20"/>
          <w:szCs w:val="20"/>
          <w:color w:val="auto"/>
        </w:rPr>
      </w:pPr>
    </w:p>
    <w:p>
      <w:pPr>
        <w:ind w:left="348" w:hanging="348"/>
        <w:spacing w:after="0" w:line="251" w:lineRule="auto"/>
        <w:tabs>
          <w:tab w:leader="none" w:pos="3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NOMINEE EVALUATION PROCESS. The Committee will consider as a candidate any director of the Company who has indicated to the Committee that he or she is willing to stand for re-election as well as any other person who is recommended by any shareholders of the Company in accordance with the procedures described under “RECOMMENDED CANDIDATES” in Section 1 and under “5% SHAREHOLDER RECOMMENDATIONS” i 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 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 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210" w:lineRule="exact"/>
        <w:rPr>
          <w:rFonts w:ascii="Arial" w:cs="Arial" w:eastAsia="Arial" w:hAnsi="Arial"/>
          <w:sz w:val="18"/>
          <w:szCs w:val="18"/>
          <w:color w:val="auto"/>
        </w:rPr>
      </w:pPr>
    </w:p>
    <w:p>
      <w:pPr>
        <w:ind w:left="348" w:right="80" w:hanging="348"/>
        <w:spacing w:after="0" w:line="254" w:lineRule="auto"/>
        <w:tabs>
          <w:tab w:leader="none" w:pos="3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CATEGORIZE RECOMMENDATIONS. For purposes of facilitating disclosure required in the Proxy Statement, the Committee and the Corporate Secretary shall identify and organize the 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28" w:lineRule="exact"/>
        <w:rPr>
          <w:rFonts w:ascii="Arial" w:cs="Arial" w:eastAsia="Arial" w:hAnsi="Arial"/>
          <w:sz w:val="18"/>
          <w:szCs w:val="18"/>
          <w:color w:val="auto"/>
        </w:rPr>
      </w:pPr>
    </w:p>
    <w:p>
      <w:pPr>
        <w:ind w:left="328" w:right="800" w:hanging="4"/>
        <w:spacing w:after="0" w:line="287" w:lineRule="auto"/>
        <w:tabs>
          <w:tab w:leader="none" w:pos="872" w:val="left"/>
        </w:tabs>
        <w:numPr>
          <w:ilvl w:val="1"/>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shareholder, a 5% shareholder, independent director, chief executive officer, or other executive officer of the Company;</w:t>
      </w:r>
    </w:p>
    <w:p>
      <w:pPr>
        <w:spacing w:after="0" w:line="99" w:lineRule="exact"/>
        <w:rPr>
          <w:rFonts w:ascii="Arial" w:cs="Arial" w:eastAsia="Arial" w:hAnsi="Arial"/>
          <w:sz w:val="18"/>
          <w:szCs w:val="18"/>
          <w:b w:val="1"/>
          <w:bCs w:val="1"/>
          <w:i w:val="1"/>
          <w:iCs w:val="1"/>
          <w:color w:val="auto"/>
        </w:rPr>
      </w:pPr>
    </w:p>
    <w:p>
      <w:pPr>
        <w:ind w:left="868" w:hanging="544"/>
        <w:spacing w:after="0"/>
        <w:tabs>
          <w:tab w:leader="none" w:pos="868" w:val="left"/>
        </w:tabs>
        <w:numPr>
          <w:ilvl w:val="1"/>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third-party search firm used by or on behalf of the Company; and</w:t>
      </w:r>
    </w:p>
    <w:p>
      <w:pPr>
        <w:spacing w:after="0" w:line="171" w:lineRule="exact"/>
        <w:rPr>
          <w:rFonts w:ascii="Arial" w:cs="Arial" w:eastAsia="Arial" w:hAnsi="Arial"/>
          <w:sz w:val="18"/>
          <w:szCs w:val="18"/>
          <w:b w:val="1"/>
          <w:bCs w:val="1"/>
          <w:i w:val="1"/>
          <w:iCs w:val="1"/>
          <w:color w:val="auto"/>
        </w:rPr>
      </w:pPr>
    </w:p>
    <w:p>
      <w:pPr>
        <w:ind w:left="868" w:hanging="544"/>
        <w:spacing w:after="0"/>
        <w:tabs>
          <w:tab w:leader="none" w:pos="868" w:val="left"/>
        </w:tabs>
        <w:numPr>
          <w:ilvl w:val="1"/>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any other specified source.</w:t>
      </w:r>
    </w:p>
    <w:p>
      <w:pPr>
        <w:spacing w:after="0" w:line="193" w:lineRule="exact"/>
        <w:rPr>
          <w:rFonts w:ascii="Arial" w:cs="Arial" w:eastAsia="Arial" w:hAnsi="Arial"/>
          <w:sz w:val="18"/>
          <w:szCs w:val="18"/>
          <w:b w:val="1"/>
          <w:bCs w:val="1"/>
          <w:i w:val="1"/>
          <w:iCs w:val="1"/>
          <w:color w:val="auto"/>
        </w:rPr>
      </w:pPr>
    </w:p>
    <w:p>
      <w:pPr>
        <w:ind w:left="348" w:right="80" w:hanging="348"/>
        <w:spacing w:after="0" w:line="256" w:lineRule="auto"/>
        <w:tabs>
          <w:tab w:leader="none" w:pos="3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MATERIAL CHANGES TO NOMINATION PROCEDURES. For purposes of facilitating disclosure required in Form 10-K and Form 10-Q, the Committee and the Corporate Secretary shall identify any material changes to the procedures for shareholder nominations of directors for the rep orting period in which such material changes occur.</w:t>
      </w:r>
    </w:p>
    <w:p>
      <w:pPr>
        <w:spacing w:after="0" w:line="147" w:lineRule="exact"/>
        <w:rPr>
          <w:rFonts w:ascii="Arial" w:cs="Arial" w:eastAsia="Arial" w:hAnsi="Arial"/>
          <w:sz w:val="18"/>
          <w:szCs w:val="18"/>
          <w:color w:val="auto"/>
        </w:rPr>
      </w:pPr>
    </w:p>
    <w:p>
      <w:pPr>
        <w:ind w:left="348" w:right="40" w:hanging="348"/>
        <w:spacing w:after="0" w:line="262" w:lineRule="auto"/>
        <w:tabs>
          <w:tab w:leader="none" w:pos="3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POSTING OF POLICY. This Director Nomination Policy shall be posted to the Company's Web Site in accordance with the Company's Corporate Governance Policy.</w:t>
      </w:r>
    </w:p>
    <w:p>
      <w:pPr>
        <w:spacing w:after="0" w:line="142" w:lineRule="exact"/>
        <w:rPr>
          <w:rFonts w:ascii="Arial" w:cs="Arial" w:eastAsia="Arial" w:hAnsi="Arial"/>
          <w:sz w:val="18"/>
          <w:szCs w:val="18"/>
          <w:color w:val="auto"/>
        </w:rPr>
      </w:pPr>
    </w:p>
    <w:p>
      <w:pPr>
        <w:ind w:left="348" w:right="480" w:hanging="348"/>
        <w:spacing w:after="0" w:line="262" w:lineRule="auto"/>
        <w:tabs>
          <w:tab w:leader="none" w:pos="3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AMENDMENTS TO THIS POLICY. Any amendments to this Director Nomination Policy must be approved by the Committee and ratified by the Board.</w:t>
      </w:r>
    </w:p>
    <w:p>
      <w:pPr>
        <w:spacing w:after="0" w:line="282" w:lineRule="exact"/>
        <w:rPr>
          <w:sz w:val="20"/>
          <w:szCs w:val="20"/>
          <w:color w:val="auto"/>
        </w:rPr>
      </w:pPr>
    </w:p>
    <w:p>
      <w:pPr>
        <w:ind w:left="8"/>
        <w:spacing w:after="0"/>
        <w:rPr>
          <w:sz w:val="20"/>
          <w:szCs w:val="20"/>
          <w:color w:val="auto"/>
        </w:rPr>
      </w:pPr>
      <w:r>
        <w:rPr>
          <w:rFonts w:ascii="Arial" w:cs="Arial" w:eastAsia="Arial" w:hAnsi="Arial"/>
          <w:sz w:val="18"/>
          <w:szCs w:val="18"/>
          <w:b w:val="1"/>
          <w:bCs w:val="1"/>
          <w:i w:val="1"/>
          <w:iCs w:val="1"/>
          <w:color w:val="auto"/>
        </w:rPr>
        <w:t>September 11, 2008</w:t>
      </w:r>
    </w:p>
    <w:p>
      <w:pPr>
        <w:spacing w:after="0" w:line="230"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i w:val="1"/>
          <w:iCs w:val="1"/>
          <w:color w:val="auto"/>
        </w:rPr>
        <w:t>A-3</w:t>
      </w:r>
    </w:p>
    <w:p>
      <w:pPr>
        <w:sectPr>
          <w:pgSz w:w="11900" w:h="16838" w:orient="portrait"/>
          <w:cols w:equalWidth="0" w:num="1">
            <w:col w:w="11068"/>
          </w:cols>
          <w:pgMar w:left="572" w:top="135" w:right="259" w:bottom="1440" w:gutter="0" w:footer="0" w:header="0"/>
        </w:sectPr>
      </w:pPr>
    </w:p>
    <w:bookmarkStart w:id="48" w:name="page49"/>
    <w:bookmarkEnd w:id="48"/>
    <w:p>
      <w:pPr>
        <w:ind w:left="1820"/>
        <w:spacing w:after="0"/>
        <w:rPr>
          <w:sz w:val="20"/>
          <w:szCs w:val="20"/>
          <w:color w:val="auto"/>
        </w:rPr>
      </w:pPr>
      <w:r>
        <w:rPr>
          <w:rFonts w:ascii="Arial" w:cs="Arial" w:eastAsia="Arial" w:hAnsi="Arial"/>
          <w:sz w:val="16"/>
          <w:szCs w:val="16"/>
          <w:color w:val="auto"/>
        </w:rPr>
        <w:t>Shareowner Services</w:t>
      </w:r>
      <w:r>
        <w:rPr>
          <w:rFonts w:ascii="Arial" w:cs="Arial" w:eastAsia="Arial" w:hAnsi="Arial"/>
          <w:sz w:val="21"/>
          <w:szCs w:val="21"/>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1029335" cy="3771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9335" cy="37719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6"/>
          <w:szCs w:val="16"/>
          <w:color w:val="auto"/>
        </w:rPr>
        <w:t>P.O. Box 64945</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121920</wp:posOffset>
            </wp:positionV>
            <wp:extent cx="211836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18360" cy="180340"/>
                    </a:xfrm>
                    <a:prstGeom prst="rect">
                      <a:avLst/>
                    </a:prstGeom>
                    <a:noFill/>
                  </pic:spPr>
                </pic:pic>
              </a:graphicData>
            </a:graphic>
          </wp:anchor>
        </w:drawing>
      </w:r>
    </w:p>
    <w:p>
      <w:pPr>
        <w:spacing w:after="0" w:line="181"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COMPANY #</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Three Ways to Appoint Your Proxy to Vote</w:t>
      </w:r>
    </w:p>
    <w:p>
      <w:pPr>
        <w:spacing w:after="0" w:line="69"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To appoint your proxy electronically by telephone:</w:t>
      </w:r>
    </w:p>
    <w:p>
      <w:pPr>
        <w:spacing w:after="0" w:line="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1-800-560-1965</w:t>
      </w:r>
    </w:p>
    <w:p>
      <w:pPr>
        <w:ind w:left="5580"/>
        <w:spacing w:after="0" w:line="237" w:lineRule="auto"/>
        <w:tabs>
          <w:tab w:leader="none" w:pos="578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Read the Proxy Statement and have the proxy card below at hand.</w:t>
      </w:r>
    </w:p>
    <w:p>
      <w:pPr>
        <w:ind w:left="5580"/>
        <w:spacing w:after="0" w:line="235" w:lineRule="auto"/>
        <w:tabs>
          <w:tab w:leader="none" w:pos="578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 xml:space="preserve">Call </w:t>
      </w:r>
      <w:r>
        <w:rPr>
          <w:rFonts w:ascii="Arial" w:cs="Arial" w:eastAsia="Arial" w:hAnsi="Arial"/>
          <w:sz w:val="12"/>
          <w:szCs w:val="12"/>
          <w:b w:val="1"/>
          <w:bCs w:val="1"/>
          <w:color w:val="auto"/>
        </w:rPr>
        <w:t>1-800-560-1965</w:t>
      </w:r>
      <w:r>
        <w:rPr>
          <w:rFonts w:ascii="Arial" w:cs="Arial" w:eastAsia="Arial" w:hAnsi="Arial"/>
          <w:sz w:val="12"/>
          <w:szCs w:val="12"/>
          <w:color w:val="auto"/>
        </w:rPr>
        <w:t>.</w:t>
      </w:r>
    </w:p>
    <w:p>
      <w:pPr>
        <w:ind w:left="5580"/>
        <w:spacing w:after="0"/>
        <w:tabs>
          <w:tab w:leader="none" w:pos="578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Follow the instructions.</w:t>
      </w:r>
    </w:p>
    <w:p>
      <w:pPr>
        <w:spacing w:after="0" w:line="37"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To appoint your proxy electronically via the Internet: www.eproxy.com/wgo/</w:t>
      </w:r>
    </w:p>
    <w:p>
      <w:pPr>
        <w:ind w:left="5560"/>
        <w:spacing w:after="0" w:line="219" w:lineRule="auto"/>
        <w:rPr>
          <w:sz w:val="20"/>
          <w:szCs w:val="20"/>
          <w:color w:val="auto"/>
        </w:rPr>
      </w:pPr>
      <w:r>
        <w:rPr>
          <w:rFonts w:ascii="Arial" w:cs="Arial" w:eastAsia="Arial" w:hAnsi="Arial"/>
          <w:sz w:val="13"/>
          <w:szCs w:val="13"/>
          <w:b w:val="1"/>
          <w:bCs w:val="1"/>
          <w:color w:val="auto"/>
        </w:rPr>
        <w:t>1) Read the Proxy Statement and have the proxy card below at hand.</w:t>
      </w:r>
    </w:p>
    <w:p>
      <w:pPr>
        <w:ind w:left="5560"/>
        <w:spacing w:after="0" w:line="217" w:lineRule="auto"/>
        <w:rPr>
          <w:sz w:val="20"/>
          <w:szCs w:val="20"/>
          <w:color w:val="auto"/>
        </w:rPr>
      </w:pPr>
      <w:r>
        <w:rPr>
          <w:rFonts w:ascii="Arial" w:cs="Arial" w:eastAsia="Arial" w:hAnsi="Arial"/>
          <w:sz w:val="13"/>
          <w:szCs w:val="13"/>
          <w:b w:val="1"/>
          <w:bCs w:val="1"/>
          <w:color w:val="auto"/>
        </w:rPr>
        <w:t>2) Go to website www.eproxy.com/wgo/.</w:t>
      </w:r>
    </w:p>
    <w:p>
      <w:pPr>
        <w:ind w:left="5560"/>
        <w:spacing w:after="0"/>
        <w:rPr>
          <w:sz w:val="20"/>
          <w:szCs w:val="20"/>
          <w:color w:val="auto"/>
        </w:rPr>
      </w:pPr>
      <w:r>
        <w:rPr>
          <w:rFonts w:ascii="Arial" w:cs="Arial" w:eastAsia="Arial" w:hAnsi="Arial"/>
          <w:sz w:val="13"/>
          <w:szCs w:val="13"/>
          <w:b w:val="1"/>
          <w:bCs w:val="1"/>
          <w:color w:val="auto"/>
        </w:rPr>
        <w:t>3) Follow the instructions provided on the website.</w:t>
      </w:r>
    </w:p>
    <w:p>
      <w:pPr>
        <w:spacing w:after="0" w:line="37"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To appoint your proxy by mail</w:t>
      </w:r>
    </w:p>
    <w:p>
      <w:pPr>
        <w:ind w:left="5560"/>
        <w:spacing w:after="0" w:line="219" w:lineRule="auto"/>
        <w:rPr>
          <w:sz w:val="20"/>
          <w:szCs w:val="20"/>
          <w:color w:val="auto"/>
        </w:rPr>
      </w:pPr>
      <w:r>
        <w:rPr>
          <w:rFonts w:ascii="Arial" w:cs="Arial" w:eastAsia="Arial" w:hAnsi="Arial"/>
          <w:sz w:val="13"/>
          <w:szCs w:val="13"/>
          <w:b w:val="1"/>
          <w:bCs w:val="1"/>
          <w:color w:val="auto"/>
        </w:rPr>
        <w:t>1) Read the Proxy Statement.</w:t>
      </w:r>
    </w:p>
    <w:p>
      <w:pPr>
        <w:ind w:left="5560"/>
        <w:spacing w:after="0" w:line="217" w:lineRule="auto"/>
        <w:rPr>
          <w:sz w:val="20"/>
          <w:szCs w:val="20"/>
          <w:color w:val="auto"/>
        </w:rPr>
      </w:pPr>
      <w:r>
        <w:rPr>
          <w:rFonts w:ascii="Arial" w:cs="Arial" w:eastAsia="Arial" w:hAnsi="Arial"/>
          <w:sz w:val="13"/>
          <w:szCs w:val="13"/>
          <w:b w:val="1"/>
          <w:bCs w:val="1"/>
          <w:color w:val="auto"/>
        </w:rPr>
        <w:t>2) Check the appropriate boxes on the proxy card below.</w:t>
      </w:r>
    </w:p>
    <w:p>
      <w:pPr>
        <w:ind w:left="5560"/>
        <w:spacing w:after="0" w:line="216" w:lineRule="auto"/>
        <w:rPr>
          <w:sz w:val="20"/>
          <w:szCs w:val="20"/>
          <w:color w:val="auto"/>
        </w:rPr>
      </w:pPr>
      <w:r>
        <w:rPr>
          <w:rFonts w:ascii="Arial" w:cs="Arial" w:eastAsia="Arial" w:hAnsi="Arial"/>
          <w:sz w:val="13"/>
          <w:szCs w:val="13"/>
          <w:b w:val="1"/>
          <w:bCs w:val="1"/>
          <w:color w:val="auto"/>
        </w:rPr>
        <w:t>3) Sign and date the proxy card.</w:t>
      </w:r>
    </w:p>
    <w:p>
      <w:pPr>
        <w:spacing w:after="0" w:line="1"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4) Return the proxy card in the envelope provided.</w:t>
      </w:r>
    </w:p>
    <w:p>
      <w:pPr>
        <w:spacing w:after="0" w:line="78"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The deadline for voting is 12:00 p.m. (CST) on Monday, December 13, 2010.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Your Vote is Important</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6830060</wp:posOffset>
            </wp:positionH>
            <wp:positionV relativeFrom="paragraph">
              <wp:posOffset>555625</wp:posOffset>
            </wp:positionV>
            <wp:extent cx="21463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555625</wp:posOffset>
            </wp:positionV>
            <wp:extent cx="20574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92075</wp:posOffset>
            </wp:positionV>
            <wp:extent cx="1543685" cy="111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685"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Board of Directors Recommends a Vote FOR Items 1 and 2.</w:t>
      </w: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440" w:type="dxa"/>
            <w:vAlign w:val="bottom"/>
          </w:tcPr>
          <w:p>
            <w:pPr>
              <w:ind w:left="120"/>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Election of Class II directors:</w:t>
            </w:r>
          </w:p>
        </w:tc>
        <w:tc>
          <w:tcPr>
            <w:tcW w:w="540" w:type="dxa"/>
            <w:vAlign w:val="bottom"/>
          </w:tcPr>
          <w:p>
            <w:pPr>
              <w:jc w:val="center"/>
              <w:ind w:left="108"/>
              <w:spacing w:after="0"/>
              <w:rPr>
                <w:sz w:val="20"/>
                <w:szCs w:val="20"/>
                <w:color w:val="auto"/>
              </w:rPr>
            </w:pPr>
            <w:r>
              <w:rPr>
                <w:rFonts w:ascii="Arial" w:cs="Arial" w:eastAsia="Arial" w:hAnsi="Arial"/>
                <w:sz w:val="14"/>
                <w:szCs w:val="14"/>
                <w:color w:val="auto"/>
              </w:rPr>
              <w:t>01</w:t>
            </w:r>
          </w:p>
        </w:tc>
        <w:tc>
          <w:tcPr>
            <w:tcW w:w="2680" w:type="dxa"/>
            <w:vAlign w:val="bottom"/>
          </w:tcPr>
          <w:p>
            <w:pPr>
              <w:ind w:left="80"/>
              <w:spacing w:after="0"/>
              <w:rPr>
                <w:sz w:val="20"/>
                <w:szCs w:val="20"/>
                <w:color w:val="auto"/>
              </w:rPr>
            </w:pPr>
            <w:r>
              <w:rPr>
                <w:rFonts w:ascii="Arial" w:cs="Arial" w:eastAsia="Arial" w:hAnsi="Arial"/>
                <w:sz w:val="14"/>
                <w:szCs w:val="14"/>
                <w:color w:val="auto"/>
              </w:rPr>
              <w:t>Robert N. Chiusano</w:t>
            </w:r>
          </w:p>
        </w:tc>
        <w:tc>
          <w:tcPr>
            <w:tcW w:w="380" w:type="dxa"/>
            <w:vAlign w:val="bottom"/>
          </w:tcPr>
          <w:p>
            <w:pPr>
              <w:ind w:left="140"/>
              <w:spacing w:after="0"/>
              <w:rPr>
                <w:sz w:val="20"/>
                <w:szCs w:val="20"/>
                <w:color w:val="auto"/>
              </w:rPr>
            </w:pPr>
            <w:r>
              <w:rPr>
                <w:rFonts w:ascii="Arial" w:cs="Arial" w:eastAsia="Arial" w:hAnsi="Arial"/>
                <w:sz w:val="16"/>
                <w:szCs w:val="16"/>
                <w:color w:val="auto"/>
              </w:rPr>
              <w:t>o</w:t>
            </w:r>
          </w:p>
        </w:tc>
        <w:tc>
          <w:tcPr>
            <w:tcW w:w="1420" w:type="dxa"/>
            <w:vAlign w:val="bottom"/>
          </w:tcPr>
          <w:p>
            <w:pPr>
              <w:ind w:left="120"/>
              <w:spacing w:after="0"/>
              <w:rPr>
                <w:sz w:val="20"/>
                <w:szCs w:val="20"/>
                <w:color w:val="auto"/>
              </w:rPr>
            </w:pPr>
            <w:r>
              <w:rPr>
                <w:rFonts w:ascii="Arial" w:cs="Arial" w:eastAsia="Arial" w:hAnsi="Arial"/>
                <w:sz w:val="14"/>
                <w:szCs w:val="14"/>
                <w:color w:val="auto"/>
              </w:rPr>
              <w:t>;Vote FOR</w:t>
            </w:r>
          </w:p>
        </w:tc>
        <w:tc>
          <w:tcPr>
            <w:tcW w:w="1000" w:type="dxa"/>
            <w:vAlign w:val="bottom"/>
          </w:tcPr>
          <w:p>
            <w:pPr>
              <w:ind w:left="840"/>
              <w:spacing w:after="0"/>
              <w:rPr>
                <w:sz w:val="20"/>
                <w:szCs w:val="20"/>
                <w:color w:val="auto"/>
              </w:rPr>
            </w:pPr>
            <w:r>
              <w:rPr>
                <w:rFonts w:ascii="Arial" w:cs="Arial" w:eastAsia="Arial" w:hAnsi="Arial"/>
                <w:sz w:val="16"/>
                <w:szCs w:val="16"/>
                <w:color w:val="auto"/>
              </w:rPr>
              <w:t>o</w:t>
            </w:r>
          </w:p>
        </w:tc>
        <w:tc>
          <w:tcPr>
            <w:tcW w:w="2080" w:type="dxa"/>
            <w:vAlign w:val="bottom"/>
          </w:tcPr>
          <w:p>
            <w:pPr>
              <w:ind w:left="80"/>
              <w:spacing w:after="0"/>
              <w:rPr>
                <w:sz w:val="20"/>
                <w:szCs w:val="20"/>
                <w:color w:val="auto"/>
              </w:rPr>
            </w:pPr>
            <w:r>
              <w:rPr>
                <w:rFonts w:ascii="Arial" w:cs="Arial" w:eastAsia="Arial" w:hAnsi="Arial"/>
                <w:sz w:val="14"/>
                <w:szCs w:val="14"/>
                <w:color w:val="auto"/>
              </w:rPr>
              <w:t>Vote WITHHELD</w:t>
            </w:r>
          </w:p>
        </w:tc>
        <w:tc>
          <w:tcPr>
            <w:tcW w:w="0" w:type="dxa"/>
            <w:vAlign w:val="bottom"/>
          </w:tcPr>
          <w:p>
            <w:pPr>
              <w:spacing w:after="0"/>
              <w:rPr>
                <w:sz w:val="1"/>
                <w:szCs w:val="1"/>
                <w:color w:val="auto"/>
              </w:rPr>
            </w:pPr>
          </w:p>
        </w:tc>
      </w:tr>
      <w:tr>
        <w:trPr>
          <w:trHeight w:val="240"/>
        </w:trPr>
        <w:tc>
          <w:tcPr>
            <w:tcW w:w="2440" w:type="dxa"/>
            <w:vAlign w:val="bottom"/>
          </w:tcPr>
          <w:p>
            <w:pPr>
              <w:spacing w:after="0"/>
              <w:rPr>
                <w:sz w:val="20"/>
                <w:szCs w:val="20"/>
                <w:color w:val="auto"/>
              </w:rPr>
            </w:pPr>
          </w:p>
        </w:tc>
        <w:tc>
          <w:tcPr>
            <w:tcW w:w="540" w:type="dxa"/>
            <w:vAlign w:val="bottom"/>
          </w:tcPr>
          <w:p>
            <w:pPr>
              <w:jc w:val="center"/>
              <w:ind w:left="108"/>
              <w:spacing w:after="0"/>
              <w:rPr>
                <w:sz w:val="20"/>
                <w:szCs w:val="20"/>
                <w:color w:val="auto"/>
              </w:rPr>
            </w:pPr>
            <w:r>
              <w:rPr>
                <w:rFonts w:ascii="Arial" w:cs="Arial" w:eastAsia="Arial" w:hAnsi="Arial"/>
                <w:sz w:val="14"/>
                <w:szCs w:val="14"/>
                <w:color w:val="auto"/>
              </w:rPr>
              <w:t>02</w:t>
            </w:r>
          </w:p>
        </w:tc>
        <w:tc>
          <w:tcPr>
            <w:tcW w:w="2680" w:type="dxa"/>
            <w:vAlign w:val="bottom"/>
          </w:tcPr>
          <w:p>
            <w:pPr>
              <w:ind w:left="80"/>
              <w:spacing w:after="0"/>
              <w:rPr>
                <w:sz w:val="20"/>
                <w:szCs w:val="20"/>
                <w:color w:val="auto"/>
              </w:rPr>
            </w:pPr>
            <w:r>
              <w:rPr>
                <w:rFonts w:ascii="Arial" w:cs="Arial" w:eastAsia="Arial" w:hAnsi="Arial"/>
                <w:sz w:val="14"/>
                <w:szCs w:val="14"/>
                <w:color w:val="auto"/>
              </w:rPr>
              <w:t>Jerry N. Currie</w:t>
            </w:r>
          </w:p>
        </w:tc>
        <w:tc>
          <w:tcPr>
            <w:tcW w:w="380" w:type="dxa"/>
            <w:vAlign w:val="bottom"/>
          </w:tcPr>
          <w:p>
            <w:pPr>
              <w:ind w:left="40"/>
              <w:spacing w:after="0"/>
              <w:rPr>
                <w:sz w:val="20"/>
                <w:szCs w:val="20"/>
                <w:color w:val="auto"/>
              </w:rPr>
            </w:pPr>
            <w:r>
              <w:rPr>
                <w:rFonts w:ascii="Arial" w:cs="Arial" w:eastAsia="Arial" w:hAnsi="Arial"/>
                <w:sz w:val="14"/>
                <w:szCs w:val="14"/>
                <w:color w:val="auto"/>
              </w:rPr>
              <w:t>&amp;n</w:t>
            </w:r>
          </w:p>
        </w:tc>
        <w:tc>
          <w:tcPr>
            <w:tcW w:w="1420" w:type="dxa"/>
            <w:vAlign w:val="bottom"/>
          </w:tcPr>
          <w:p>
            <w:pPr>
              <w:ind w:left="80"/>
              <w:spacing w:after="0"/>
              <w:rPr>
                <w:sz w:val="20"/>
                <w:szCs w:val="20"/>
                <w:color w:val="auto"/>
              </w:rPr>
            </w:pPr>
            <w:r>
              <w:rPr>
                <w:rFonts w:ascii="Arial" w:cs="Arial" w:eastAsia="Arial" w:hAnsi="Arial"/>
                <w:sz w:val="14"/>
                <w:szCs w:val="14"/>
                <w:color w:val="auto"/>
              </w:rPr>
              <w:t>all nominees</w:t>
            </w:r>
          </w:p>
        </w:tc>
        <w:tc>
          <w:tcPr>
            <w:tcW w:w="1000" w:type="dxa"/>
            <w:vAlign w:val="bottom"/>
          </w:tcPr>
          <w:p>
            <w:pPr>
              <w:spacing w:after="0"/>
              <w:rPr>
                <w:sz w:val="20"/>
                <w:szCs w:val="20"/>
                <w:color w:val="auto"/>
              </w:rPr>
            </w:pPr>
          </w:p>
        </w:tc>
        <w:tc>
          <w:tcPr>
            <w:tcW w:w="2080" w:type="dxa"/>
            <w:vAlign w:val="bottom"/>
          </w:tcPr>
          <w:p>
            <w:pPr>
              <w:ind w:left="80"/>
              <w:spacing w:after="0"/>
              <w:rPr>
                <w:sz w:val="20"/>
                <w:szCs w:val="20"/>
                <w:color w:val="auto"/>
              </w:rPr>
            </w:pPr>
            <w:r>
              <w:rPr>
                <w:rFonts w:ascii="Arial" w:cs="Arial" w:eastAsia="Arial" w:hAnsi="Arial"/>
                <w:sz w:val="14"/>
                <w:szCs w:val="14"/>
                <w:color w:val="auto"/>
              </w:rPr>
              <w:t>from all nominees</w:t>
            </w: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bsp;</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540" w:type="dxa"/>
            <w:vAlign w:val="bottom"/>
          </w:tcPr>
          <w:p>
            <w:pPr>
              <w:jc w:val="center"/>
              <w:ind w:left="108"/>
              <w:spacing w:after="0"/>
              <w:rPr>
                <w:sz w:val="20"/>
                <w:szCs w:val="20"/>
                <w:color w:val="auto"/>
              </w:rPr>
            </w:pPr>
            <w:r>
              <w:rPr>
                <w:rFonts w:ascii="Arial" w:cs="Arial" w:eastAsia="Arial" w:hAnsi="Arial"/>
                <w:sz w:val="14"/>
                <w:szCs w:val="14"/>
                <w:color w:val="auto"/>
              </w:rPr>
              <w:t>03</w:t>
            </w:r>
          </w:p>
        </w:tc>
        <w:tc>
          <w:tcPr>
            <w:tcW w:w="2680" w:type="dxa"/>
            <w:vAlign w:val="bottom"/>
          </w:tcPr>
          <w:p>
            <w:pPr>
              <w:ind w:left="80"/>
              <w:spacing w:after="0"/>
              <w:rPr>
                <w:sz w:val="20"/>
                <w:szCs w:val="20"/>
                <w:color w:val="auto"/>
              </w:rPr>
            </w:pPr>
            <w:r>
              <w:rPr>
                <w:rFonts w:ascii="Arial" w:cs="Arial" w:eastAsia="Arial" w:hAnsi="Arial"/>
                <w:sz w:val="14"/>
                <w:szCs w:val="14"/>
                <w:color w:val="auto"/>
              </w:rPr>
              <w:t>Lawrence A. Erickson</w:t>
            </w:r>
          </w:p>
        </w:tc>
        <w:tc>
          <w:tcPr>
            <w:tcW w:w="38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4"/>
                <w:szCs w:val="14"/>
                <w:color w:val="auto"/>
              </w:rPr>
              <w:t>(except as marked)</w:t>
            </w:r>
          </w:p>
        </w:tc>
        <w:tc>
          <w:tcPr>
            <w:tcW w:w="1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56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(Instructions: To withhold authority to vote any indicated nominee, write the numb</w:t>
            </w:r>
          </w:p>
        </w:tc>
        <w:tc>
          <w:tcPr>
            <w:tcW w:w="3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660" w:type="dxa"/>
            <w:vAlign w:val="bottom"/>
            <w:gridSpan w:val="3"/>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er(s) of the nominee(s) in the box provided to the right.)</w:t>
            </w:r>
          </w:p>
        </w:tc>
        <w:tc>
          <w:tcPr>
            <w:tcW w:w="38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5660" w:type="dxa"/>
            <w:vAlign w:val="bottom"/>
            <w:gridSpan w:val="3"/>
          </w:tcPr>
          <w:p>
            <w:pPr>
              <w:ind w:left="160"/>
              <w:spacing w:after="0"/>
              <w:rPr>
                <w:sz w:val="20"/>
                <w:szCs w:val="20"/>
                <w:color w:val="auto"/>
              </w:rPr>
            </w:pPr>
            <w:r>
              <w:rPr>
                <w:rFonts w:ascii="Arial" w:cs="Arial" w:eastAsia="Arial" w:hAnsi="Arial"/>
                <w:sz w:val="28"/>
                <w:szCs w:val="28"/>
                <w:b w:val="1"/>
                <w:bCs w:val="1"/>
                <w:color w:val="auto"/>
                <w:vertAlign w:val="superscript"/>
              </w:rPr>
              <w:t>2.</w:t>
            </w:r>
            <w:r>
              <w:rPr>
                <w:rFonts w:ascii="Arial" w:cs="Arial" w:eastAsia="Arial" w:hAnsi="Arial"/>
                <w:sz w:val="14"/>
                <w:szCs w:val="14"/>
                <w:color w:val="auto"/>
              </w:rPr>
              <w:t xml:space="preserve"> Ratification of the appointment of Deloitte &amp; Touche LLP as Winnebago Industries,</w:t>
            </w:r>
          </w:p>
        </w:tc>
        <w:tc>
          <w:tcPr>
            <w:tcW w:w="38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660" w:type="dxa"/>
            <w:vAlign w:val="bottom"/>
            <w:gridSpan w:val="3"/>
          </w:tcPr>
          <w:p>
            <w:pPr>
              <w:ind w:left="320"/>
              <w:spacing w:after="0"/>
              <w:rPr>
                <w:sz w:val="20"/>
                <w:szCs w:val="20"/>
                <w:color w:val="auto"/>
              </w:rPr>
            </w:pPr>
            <w:r>
              <w:rPr>
                <w:rFonts w:ascii="Arial" w:cs="Arial" w:eastAsia="Arial" w:hAnsi="Arial"/>
                <w:sz w:val="14"/>
                <w:szCs w:val="14"/>
                <w:color w:val="auto"/>
              </w:rPr>
              <w:t>Inc. Independent Registered Public Accountants for our fiscal year 2011.</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80" w:type="dxa"/>
            <w:vAlign w:val="bottom"/>
            <w:gridSpan w:val="4"/>
          </w:tcPr>
          <w:p>
            <w:pPr>
              <w:ind w:left="40"/>
              <w:spacing w:after="0"/>
              <w:rPr>
                <w:sz w:val="20"/>
                <w:szCs w:val="20"/>
                <w:color w:val="auto"/>
              </w:rPr>
            </w:pPr>
            <w:r>
              <w:rPr>
                <w:rFonts w:ascii="Arial" w:cs="Arial" w:eastAsia="Arial" w:hAnsi="Arial"/>
                <w:sz w:val="16"/>
                <w:szCs w:val="16"/>
                <w:color w:val="auto"/>
                <w:w w:val="98"/>
              </w:rPr>
              <w:t>o&lt;  font  style="font-family:Arial;font-size:8pt;text-align:justify;vertical-</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color w:val="auto"/>
              </w:rPr>
              <w:t>align:top;"&gt;  For</w:t>
            </w:r>
          </w:p>
        </w:tc>
        <w:tc>
          <w:tcPr>
            <w:tcW w:w="1000" w:type="dxa"/>
            <w:vAlign w:val="bottom"/>
          </w:tcPr>
          <w:p>
            <w:pPr>
              <w:ind w:left="10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Against</w:t>
            </w:r>
          </w:p>
        </w:tc>
        <w:tc>
          <w:tcPr>
            <w:tcW w:w="2080" w:type="dxa"/>
            <w:vAlign w:val="bottom"/>
          </w:tcPr>
          <w:p>
            <w:pPr>
              <w:ind w:left="48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4"/>
                <w:szCs w:val="14"/>
                <w:color w:val="auto"/>
              </w:rPr>
              <w:t>Abstain</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540" w:hanging="168"/>
        <w:spacing w:after="0"/>
        <w:tabs>
          <w:tab w:leader="none" w:pos="540" w:val="left"/>
        </w:tabs>
        <w:numPr>
          <w:ilvl w:val="0"/>
          <w:numId w:val="73"/>
        </w:numPr>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or any adjournment or adjournments thereof.</w:t>
      </w:r>
    </w:p>
    <w:p>
      <w:pPr>
        <w:spacing w:after="0" w:line="329" w:lineRule="exact"/>
        <w:rPr>
          <w:sz w:val="20"/>
          <w:szCs w:val="20"/>
          <w:color w:val="auto"/>
        </w:rPr>
      </w:pPr>
    </w:p>
    <w:p>
      <w:pPr>
        <w:ind w:left="220"/>
        <w:spacing w:after="0"/>
        <w:tabs>
          <w:tab w:leader="none" w:pos="1520" w:val="left"/>
          <w:tab w:leader="none" w:pos="2280" w:val="left"/>
          <w:tab w:leader="none" w:pos="2520" w:val="left"/>
          <w:tab w:leader="none" w:pos="8100" w:val="left"/>
        </w:tabs>
        <w:rPr>
          <w:sz w:val="20"/>
          <w:szCs w:val="20"/>
          <w:color w:val="auto"/>
        </w:rPr>
      </w:pPr>
      <w:r>
        <w:rPr>
          <w:rFonts w:ascii="Arial" w:cs="Arial" w:eastAsia="Arial" w:hAnsi="Arial"/>
          <w:sz w:val="14"/>
          <w:szCs w:val="14"/>
          <w:color w:val="auto"/>
        </w:rPr>
        <w:t>Address Change?</w:t>
        <w:tab/>
        <w:t>Mark Box</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Indicate changes below:</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192405</wp:posOffset>
            </wp:positionV>
            <wp:extent cx="2881630" cy="394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81630" cy="39433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20955</wp:posOffset>
            </wp:positionV>
            <wp:extent cx="1466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Signature(s) in Box</w:t>
      </w:r>
    </w:p>
    <w:p>
      <w:pPr>
        <w:spacing w:after="0" w:line="82"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Please sign exactly as your name(s) appears on the Proxy, If held in</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joint tenancy, all persons should sign. Trustees, administrators, etc.,</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should include title and authority. Corporations should provide full</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name of corporation and title of authorized officer 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6830060</wp:posOffset>
            </wp:positionH>
            <wp:positionV relativeFrom="paragraph">
              <wp:posOffset>14605</wp:posOffset>
            </wp:positionV>
            <wp:extent cx="21463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123825</wp:posOffset>
            </wp:positionH>
            <wp:positionV relativeFrom="paragraph">
              <wp:posOffset>14605</wp:posOffset>
            </wp:positionV>
            <wp:extent cx="20574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ectPr>
          <w:pgSz w:w="11900" w:h="16838" w:orient="portrait"/>
          <w:cols w:equalWidth="0" w:num="1">
            <w:col w:w="11080"/>
          </w:cols>
          <w:pgMar w:left="580" w:top="251" w:right="239" w:bottom="1440" w:gutter="0" w:footer="0" w:header="0"/>
        </w:sectPr>
      </w:pPr>
    </w:p>
    <w:bookmarkStart w:id="49" w:name="page50"/>
    <w:bookmarkEnd w:id="49"/>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1512570</wp:posOffset>
            </wp:positionH>
            <wp:positionV relativeFrom="page">
              <wp:posOffset>328930</wp:posOffset>
            </wp:positionV>
            <wp:extent cx="5651500" cy="4210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1500" cy="4210685"/>
                    </a:xfrm>
                    <a:prstGeom prst="rect">
                      <a:avLst/>
                    </a:prstGeom>
                    <a:noFill/>
                  </pic:spPr>
                </pic:pic>
              </a:graphicData>
            </a:graphic>
          </wp:anchor>
        </w:drawing>
      </w:r>
    </w:p>
    <w:p>
      <w:pPr>
        <w:ind w:left="1221"/>
        <w:spacing w:after="0"/>
        <w:rPr>
          <w:sz w:val="20"/>
          <w:szCs w:val="20"/>
          <w:color w:val="auto"/>
        </w:rPr>
      </w:pPr>
      <w:r>
        <w:rPr>
          <w:rFonts w:ascii="Arial" w:cs="Arial" w:eastAsia="Arial" w:hAnsi="Arial"/>
          <w:sz w:val="18"/>
          <w:szCs w:val="18"/>
          <w:b w:val="1"/>
          <w:bCs w:val="1"/>
          <w:color w:val="auto"/>
        </w:rPr>
        <w:t>ANNUAL MEETING OF SHAREHOLDERS</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Tuesday, December 14, 2010 4:00 p.m. Central Standard Time</w:t>
      </w:r>
    </w:p>
    <w:p>
      <w:pPr>
        <w:spacing w:after="0" w:line="194" w:lineRule="exact"/>
        <w:rPr>
          <w:sz w:val="20"/>
          <w:szCs w:val="20"/>
          <w:color w:val="auto"/>
        </w:rPr>
      </w:pPr>
    </w:p>
    <w:p>
      <w:pPr>
        <w:jc w:val="center"/>
        <w:ind w:right="5119"/>
        <w:spacing w:after="0"/>
        <w:rPr>
          <w:sz w:val="20"/>
          <w:szCs w:val="20"/>
          <w:color w:val="auto"/>
        </w:rPr>
      </w:pPr>
      <w:r>
        <w:rPr>
          <w:rFonts w:ascii="Arial" w:cs="Arial" w:eastAsia="Arial" w:hAnsi="Arial"/>
          <w:sz w:val="16"/>
          <w:szCs w:val="16"/>
          <w:b w:val="1"/>
          <w:bCs w:val="1"/>
          <w:color w:val="auto"/>
        </w:rPr>
        <w:t>Winnebago Industries' South Office Complex Theater,</w:t>
      </w:r>
    </w:p>
    <w:p>
      <w:pPr>
        <w:spacing w:after="0" w:line="25" w:lineRule="exact"/>
        <w:rPr>
          <w:sz w:val="20"/>
          <w:szCs w:val="20"/>
          <w:color w:val="auto"/>
        </w:rPr>
      </w:pPr>
    </w:p>
    <w:p>
      <w:pPr>
        <w:jc w:val="center"/>
        <w:ind w:right="5119"/>
        <w:spacing w:after="0"/>
        <w:rPr>
          <w:sz w:val="20"/>
          <w:szCs w:val="20"/>
          <w:color w:val="auto"/>
        </w:rPr>
      </w:pPr>
      <w:r>
        <w:rPr>
          <w:rFonts w:ascii="Arial" w:cs="Arial" w:eastAsia="Arial" w:hAnsi="Arial"/>
          <w:sz w:val="16"/>
          <w:szCs w:val="16"/>
          <w:b w:val="1"/>
          <w:bCs w:val="1"/>
          <w:color w:val="auto"/>
        </w:rPr>
        <w:t>605 W. Crystal Lake Road, Forest City, Iowa</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DIRECTIONS:</w:t>
      </w:r>
    </w:p>
    <w:p>
      <w:pPr>
        <w:spacing w:after="0" w:line="82" w:lineRule="exact"/>
        <w:rPr>
          <w:sz w:val="20"/>
          <w:szCs w:val="20"/>
          <w:color w:val="auto"/>
        </w:rPr>
      </w:pPr>
    </w:p>
    <w:p>
      <w:pPr>
        <w:ind w:left="201" w:hanging="201"/>
        <w:spacing w:after="0"/>
        <w:tabs>
          <w:tab w:leader="none" w:pos="201"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auto"/>
        </w:rPr>
        <w:t>From I-35</w:t>
      </w:r>
    </w:p>
    <w:p>
      <w:pPr>
        <w:spacing w:after="0" w:line="19" w:lineRule="exact"/>
        <w:rPr>
          <w:rFonts w:ascii="Arial" w:cs="Arial" w:eastAsia="Arial" w:hAnsi="Arial"/>
          <w:sz w:val="14"/>
          <w:szCs w:val="14"/>
          <w:b w:val="1"/>
          <w:bCs w:val="1"/>
          <w:color w:val="auto"/>
        </w:rPr>
      </w:pPr>
    </w:p>
    <w:p>
      <w:pPr>
        <w:ind w:left="161"/>
        <w:spacing w:after="0"/>
        <w:rPr>
          <w:rFonts w:ascii="Arial" w:cs="Arial" w:eastAsia="Arial" w:hAnsi="Arial"/>
          <w:sz w:val="14"/>
          <w:szCs w:val="14"/>
          <w:b w:val="1"/>
          <w:bCs w:val="1"/>
          <w:color w:val="auto"/>
        </w:rPr>
      </w:pPr>
      <w:r>
        <w:rPr>
          <w:rFonts w:ascii="Arial" w:cs="Arial" w:eastAsia="Arial" w:hAnsi="Arial"/>
          <w:sz w:val="14"/>
          <w:szCs w:val="14"/>
          <w:color w:val="auto"/>
        </w:rPr>
        <w:t>* From I-35, take exit number 203, and turn right (West) on IA-9 towards Forest City.</w:t>
      </w:r>
    </w:p>
    <w:p>
      <w:pPr>
        <w:spacing w:after="0" w:line="1" w:lineRule="exact"/>
        <w:rPr>
          <w:sz w:val="20"/>
          <w:szCs w:val="20"/>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1" w:lineRule="exact"/>
        <w:rPr>
          <w:rFonts w:ascii="Arial" w:cs="Arial" w:eastAsia="Arial" w:hAnsi="Arial"/>
          <w:sz w:val="14"/>
          <w:szCs w:val="14"/>
          <w:color w:val="auto"/>
        </w:rPr>
      </w:pPr>
    </w:p>
    <w:p>
      <w:pPr>
        <w:ind w:left="161" w:right="5160" w:firstLine="41"/>
        <w:spacing w:after="0" w:line="258" w:lineRule="auto"/>
        <w:tabs>
          <w:tab w:leader="none" w:pos="297" w:val="left"/>
        </w:tabs>
        <w:numPr>
          <w:ilvl w:val="1"/>
          <w:numId w:val="75"/>
        </w:numPr>
        <w:rPr>
          <w:rFonts w:ascii="Arial" w:cs="Arial" w:eastAsia="Arial" w:hAnsi="Arial"/>
          <w:sz w:val="14"/>
          <w:szCs w:val="14"/>
          <w:color w:val="auto"/>
        </w:rPr>
      </w:pPr>
      <w:r>
        <w:rPr>
          <w:rFonts w:ascii="Arial" w:cs="Arial" w:eastAsia="Arial" w:hAnsi="Arial"/>
          <w:sz w:val="14"/>
          <w:szCs w:val="14"/>
          <w:color w:val="auto"/>
        </w:rPr>
        <w:t>Turn right (North) into the cente r lane and Winnebago Industries Security will check you in and direct you to the Theater.</w:t>
      </w:r>
    </w:p>
    <w:p>
      <w:pPr>
        <w:spacing w:after="0" w:line="41" w:lineRule="exact"/>
        <w:rPr>
          <w:rFonts w:ascii="Arial" w:cs="Arial" w:eastAsia="Arial" w:hAnsi="Arial"/>
          <w:sz w:val="14"/>
          <w:szCs w:val="14"/>
          <w:color w:val="auto"/>
        </w:rPr>
      </w:pPr>
    </w:p>
    <w:p>
      <w:pPr>
        <w:ind w:left="201" w:hanging="201"/>
        <w:spacing w:after="0"/>
        <w:tabs>
          <w:tab w:leader="none" w:pos="201"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auto"/>
        </w:rPr>
        <w:t>From I-80</w:t>
      </w:r>
    </w:p>
    <w:p>
      <w:pPr>
        <w:spacing w:after="0" w:line="19" w:lineRule="exact"/>
        <w:rPr>
          <w:rFonts w:ascii="Arial" w:cs="Arial" w:eastAsia="Arial" w:hAnsi="Arial"/>
          <w:sz w:val="14"/>
          <w:szCs w:val="14"/>
          <w:b w:val="1"/>
          <w:bCs w:val="1"/>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From I-80, take exit number 137B, turning on to I-35 North towards Minneapolis.</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Take exit number 203, IA-9 West towards Forest City.</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1" w:lineRule="exact"/>
        <w:rPr>
          <w:rFonts w:ascii="Arial" w:cs="Arial" w:eastAsia="Arial" w:hAnsi="Arial"/>
          <w:sz w:val="14"/>
          <w:szCs w:val="14"/>
          <w:color w:val="auto"/>
        </w:rPr>
      </w:pPr>
    </w:p>
    <w:p>
      <w:pPr>
        <w:ind w:left="161" w:right="5200" w:firstLine="41"/>
        <w:spacing w:after="0" w:line="258" w:lineRule="auto"/>
        <w:tabs>
          <w:tab w:leader="none" w:pos="297" w:val="left"/>
        </w:tabs>
        <w:numPr>
          <w:ilvl w:val="1"/>
          <w:numId w:val="75"/>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pacing w:after="0" w:line="41" w:lineRule="exact"/>
        <w:rPr>
          <w:rFonts w:ascii="Arial" w:cs="Arial" w:eastAsia="Arial" w:hAnsi="Arial"/>
          <w:sz w:val="14"/>
          <w:szCs w:val="14"/>
          <w:color w:val="auto"/>
        </w:rPr>
      </w:pPr>
    </w:p>
    <w:p>
      <w:pPr>
        <w:ind w:left="201" w:hanging="201"/>
        <w:spacing w:after="0"/>
        <w:tabs>
          <w:tab w:leader="none" w:pos="201" w:val="left"/>
        </w:tabs>
        <w:numPr>
          <w:ilvl w:val="0"/>
          <w:numId w:val="75"/>
        </w:numPr>
        <w:rPr>
          <w:rFonts w:ascii="Arial" w:cs="Arial" w:eastAsia="Arial" w:hAnsi="Arial"/>
          <w:sz w:val="14"/>
          <w:szCs w:val="14"/>
          <w:color w:val="auto"/>
        </w:rPr>
      </w:pPr>
      <w:r>
        <w:rPr>
          <w:rFonts w:ascii="Arial" w:cs="Arial" w:eastAsia="Arial" w:hAnsi="Arial"/>
          <w:sz w:val="14"/>
          <w:szCs w:val="14"/>
          <w:b w:val="1"/>
          <w:bCs w:val="1"/>
          <w:color w:val="auto"/>
        </w:rPr>
        <w:t>From I-90</w:t>
      </w:r>
    </w:p>
    <w:p>
      <w:pPr>
        <w:spacing w:after="0" w:line="19"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From I-90, take exit number 159A, turning on to I-35 South towards Albert Lea.</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Exit I-35 on exit number 203, IA-9 right (West) towards Forest City.</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At Forest City turn left (South) on US-69 at the junction of IA-9 and US-69.</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Take US-69 South 1.4 miles to the junction of US-69 and County Road B14.</w:t>
      </w:r>
    </w:p>
    <w:p>
      <w:pPr>
        <w:spacing w:after="0" w:line="1" w:lineRule="exact"/>
        <w:rPr>
          <w:rFonts w:ascii="Arial" w:cs="Arial" w:eastAsia="Arial" w:hAnsi="Arial"/>
          <w:sz w:val="14"/>
          <w:szCs w:val="14"/>
          <w:color w:val="auto"/>
        </w:rPr>
      </w:pPr>
    </w:p>
    <w:p>
      <w:pPr>
        <w:ind w:left="301" w:hanging="99"/>
        <w:spacing w:after="0"/>
        <w:tabs>
          <w:tab w:leader="none" w:pos="301" w:val="left"/>
        </w:tabs>
        <w:numPr>
          <w:ilvl w:val="1"/>
          <w:numId w:val="75"/>
        </w:numPr>
        <w:rPr>
          <w:rFonts w:ascii="Arial" w:cs="Arial" w:eastAsia="Arial" w:hAnsi="Arial"/>
          <w:sz w:val="14"/>
          <w:szCs w:val="14"/>
          <w:color w:val="auto"/>
        </w:rPr>
      </w:pPr>
      <w:r>
        <w:rPr>
          <w:rFonts w:ascii="Arial" w:cs="Arial" w:eastAsia="Arial" w:hAnsi="Arial"/>
          <w:sz w:val="14"/>
          <w:szCs w:val="14"/>
          <w:color w:val="auto"/>
        </w:rPr>
        <w:t>Turn right (West) on B14 and continue approximately 1/2 mile to Gate #1.</w:t>
      </w:r>
    </w:p>
    <w:p>
      <w:pPr>
        <w:spacing w:after="0" w:line="1" w:lineRule="exact"/>
        <w:rPr>
          <w:rFonts w:ascii="Arial" w:cs="Arial" w:eastAsia="Arial" w:hAnsi="Arial"/>
          <w:sz w:val="14"/>
          <w:szCs w:val="14"/>
          <w:color w:val="auto"/>
        </w:rPr>
      </w:pPr>
    </w:p>
    <w:p>
      <w:pPr>
        <w:ind w:left="161" w:right="5200" w:firstLine="41"/>
        <w:spacing w:after="0" w:line="258" w:lineRule="auto"/>
        <w:tabs>
          <w:tab w:leader="none" w:pos="297" w:val="left"/>
        </w:tabs>
        <w:numPr>
          <w:ilvl w:val="1"/>
          <w:numId w:val="75"/>
        </w:numPr>
        <w:rPr>
          <w:rFonts w:ascii="Arial" w:cs="Arial" w:eastAsia="Arial" w:hAnsi="Arial"/>
          <w:sz w:val="14"/>
          <w:szCs w:val="14"/>
          <w:color w:val="auto"/>
        </w:rPr>
      </w:pPr>
      <w:r>
        <w:rPr>
          <w:rFonts w:ascii="Arial" w:cs="Arial" w:eastAsia="Arial" w:hAnsi="Arial"/>
          <w:sz w:val="14"/>
          <w:szCs w:val="14"/>
          <w:color w:val="auto"/>
        </w:rPr>
        <w:t>Turn right (North) into the center lane and Winnebago Industries Security will check you in and direct you to the Theater.</w:t>
      </w:r>
    </w:p>
    <w:p>
      <w:pPr>
        <w:sectPr>
          <w:pgSz w:w="11900" w:h="16838" w:orient="portrait"/>
          <w:cols w:equalWidth="0" w:num="1">
            <w:col w:w="11061"/>
          </w:cols>
          <w:pgMar w:left="599"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1"/>
        <w:spacing w:after="0"/>
        <w:rPr>
          <w:sz w:val="20"/>
          <w:szCs w:val="20"/>
          <w:color w:val="auto"/>
        </w:rPr>
      </w:pPr>
      <w:r>
        <w:rPr>
          <w:rFonts w:ascii="Arial" w:cs="Arial" w:eastAsia="Arial" w:hAnsi="Arial"/>
          <w:sz w:val="18"/>
          <w:szCs w:val="18"/>
          <w:b w:val="1"/>
          <w:bCs w:val="1"/>
          <w:color w:val="auto"/>
        </w:rPr>
        <w:t>Winnebago Industries, Inc.</w:t>
      </w:r>
    </w:p>
    <w:p>
      <w:pPr>
        <w:spacing w:after="0" w:line="18" w:lineRule="exact"/>
        <w:rPr>
          <w:sz w:val="20"/>
          <w:szCs w:val="20"/>
          <w:color w:val="auto"/>
        </w:rPr>
      </w:pPr>
    </w:p>
    <w:p>
      <w:pPr>
        <w:ind w:left="121"/>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68776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w:t>
      </w:r>
    </w:p>
    <w:p>
      <w:pPr>
        <w:spacing w:after="0" w:line="245" w:lineRule="exact"/>
        <w:rPr>
          <w:sz w:val="20"/>
          <w:szCs w:val="20"/>
          <w:color w:val="auto"/>
        </w:rPr>
      </w:pPr>
    </w:p>
    <w:p>
      <w:pPr>
        <w:sectPr>
          <w:pgSz w:w="11900" w:h="16838" w:orient="portrait"/>
          <w:cols w:equalWidth="0" w:num="2">
            <w:col w:w="9501" w:space="720"/>
            <w:col w:w="840"/>
          </w:cols>
          <w:pgMar w:left="599" w:top="1440" w:right="239" w:bottom="1440" w:gutter="0" w:footer="0" w:header="0"/>
          <w:type w:val="continuous"/>
        </w:sectPr>
      </w:pPr>
    </w:p>
    <w:p>
      <w:pPr>
        <w:ind w:left="141"/>
        <w:spacing w:after="0"/>
        <w:rPr>
          <w:sz w:val="20"/>
          <w:szCs w:val="20"/>
          <w:color w:val="auto"/>
        </w:rPr>
      </w:pPr>
      <w:r>
        <w:rPr>
          <w:rFonts w:ascii="Arial" w:cs="Arial" w:eastAsia="Arial" w:hAnsi="Arial"/>
          <w:sz w:val="18"/>
          <w:szCs w:val="18"/>
          <w:b w:val="1"/>
          <w:bCs w:val="1"/>
          <w:i w:val="1"/>
          <w:iCs w:val="1"/>
          <w:color w:val="auto"/>
        </w:rPr>
        <w:t>Proxy solicited on behalf of the Board of Directors of the Company for Annual Meeting on Decem ber 14, 2010.</w:t>
      </w:r>
    </w:p>
    <w:p>
      <w:pPr>
        <w:spacing w:after="0" w:line="166" w:lineRule="exact"/>
        <w:rPr>
          <w:sz w:val="20"/>
          <w:szCs w:val="20"/>
          <w:color w:val="auto"/>
        </w:rPr>
      </w:pPr>
    </w:p>
    <w:p>
      <w:pPr>
        <w:jc w:val="both"/>
        <w:ind w:left="141"/>
        <w:spacing w:after="0" w:line="246" w:lineRule="auto"/>
        <w:rPr>
          <w:sz w:val="20"/>
          <w:szCs w:val="20"/>
          <w:color w:val="auto"/>
        </w:rPr>
      </w:pPr>
      <w:r>
        <w:rPr>
          <w:rFonts w:ascii="Arial" w:cs="Arial" w:eastAsia="Arial" w:hAnsi="Arial"/>
          <w:sz w:val="20"/>
          <w:szCs w:val="20"/>
          <w:b w:val="1"/>
          <w:bCs w:val="1"/>
          <w:i w:val="1"/>
          <w:iCs w:val="1"/>
          <w:color w:val="auto"/>
        </w:rPr>
        <w:t>The undersigned hereby appoints Robert J. Olson and Raymond M. Beebe, or either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Winnebago Industries' South Office Complex Theater, 605 W. Crystal Lake Road, Forest City, Iowa on the 14th day of December, 2010, at 4:00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(Continued, and to be signed and dated, on the other side.)</w:t>
      </w:r>
    </w:p>
    <w:p>
      <w:pPr>
        <w:sectPr>
          <w:pgSz w:w="11900" w:h="16838" w:orient="portrait"/>
          <w:cols w:equalWidth="0" w:num="1">
            <w:col w:w="11061"/>
          </w:cols>
          <w:pgMar w:left="599" w:top="1440" w:right="239" w:bottom="1440" w:gutter="0" w:footer="0" w:header="0"/>
          <w:type w:val="continuous"/>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o"/>
      <w:numFmt w:val="bullet"/>
      <w:start w:val="1"/>
    </w:lvl>
  </w:abstractNum>
  <w:abstractNum w:abstractNumId="1">
    <w:nsid w:val="2463B9EA"/>
    <w:multiLevelType w:val="hybridMultilevel"/>
    <w:lvl w:ilvl="0">
      <w:lvlJc w:val="left"/>
      <w:lvlText w:val="x"/>
      <w:numFmt w:val="bullet"/>
      <w:start w:val="1"/>
    </w:lvl>
  </w:abstractNum>
  <w:abstractNum w:abstractNumId="2">
    <w:nsid w:val="5E884ADC"/>
    <w:multiLevelType w:val="hybridMultilevel"/>
    <w:lvl w:ilvl="0">
      <w:lvlJc w:val="left"/>
      <w:lvlText w:val="o"/>
      <w:numFmt w:val="bullet"/>
      <w:start w:val="1"/>
    </w:lvl>
    <w:lvl w:ilvl="1">
      <w:lvlJc w:val="left"/>
      <w:lvlText w:val="(%2)"/>
      <w:numFmt w:val="decimal"/>
      <w:start w:val="1"/>
    </w:lvl>
  </w:abstractNum>
  <w:abstractNum w:abstractNumId="3">
    <w:nsid w:val="51EAD36B"/>
    <w:multiLevelType w:val="hybridMultilevel"/>
    <w:lvl w:ilvl="0">
      <w:lvlJc w:val="left"/>
      <w:lvlText w:val="o"/>
      <w:numFmt w:val="bullet"/>
      <w:start w:val="1"/>
    </w:lvl>
    <w:lvl w:ilvl="1">
      <w:lvlJc w:val="left"/>
      <w:lvlText w:val="(%2)"/>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lowerRoman"/>
      <w:start w:val="4"/>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8"/>
    </w:lvl>
  </w:abstractNum>
  <w:abstractNum w:abstractNumId="8">
    <w:nsid w:val="70A64E2A"/>
    <w:multiLevelType w:val="hybridMultilevel"/>
    <w:lvl w:ilvl="0">
      <w:lvlJc w:val="left"/>
      <w:lvlText w:val="(%1)"/>
      <w:numFmt w:val="lowerRoman"/>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4"/>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lowerRoman"/>
      <w:start w:val="1"/>
    </w:lvl>
    <w:lvl w:ilvl="1">
      <w:lvlJc w:val="left"/>
      <w:lvlText w:val="(%2)"/>
      <w:numFmt w:val="lowerRoman"/>
      <w:start w:val="1"/>
    </w:lvl>
  </w:abstractNum>
  <w:abstractNum w:abstractNumId="17">
    <w:nsid w:val="542289EC"/>
    <w:multiLevelType w:val="hybridMultilevel"/>
    <w:lvl w:ilvl="0">
      <w:lvlJc w:val="left"/>
      <w:lvlText w:val="(%1)"/>
      <w:numFmt w:val="lowerRoman"/>
      <w:start w:val="2"/>
    </w:lvl>
    <w:lvl w:ilvl="1">
      <w:lvlJc w:val="left"/>
      <w:lvlText w:val="%2"/>
      <w:numFmt w:val="lowerRoman"/>
      <w:start w:val="1"/>
    </w:lvl>
  </w:abstractNum>
  <w:abstractNum w:abstractNumId="18">
    <w:nsid w:val="6DE91B18"/>
    <w:multiLevelType w:val="hybridMultilevel"/>
    <w:lvl w:ilvl="0">
      <w:lvlJc w:val="left"/>
      <w:lvlText w:val="(%1)"/>
      <w:numFmt w:val="decimal"/>
      <w:start w:val="5"/>
    </w:lvl>
  </w:abstractNum>
  <w:abstractNum w:abstractNumId="19">
    <w:nsid w:val="38437FDB"/>
    <w:multiLevelType w:val="hybridMultilevel"/>
    <w:lvl w:ilvl="0">
      <w:lvlJc w:val="left"/>
      <w:lvlText w:val="(%1)"/>
      <w:numFmt w:val="decimal"/>
      <w:start w:val="3"/>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2"/>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5"/>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4"/>
    </w:lvl>
  </w:abstractNum>
  <w:abstractNum w:abstractNumId="50">
    <w:nsid w:val="77AE35EB"/>
    <w:multiLevelType w:val="hybridMultilevel"/>
    <w:lvl w:ilvl="0">
      <w:lvlJc w:val="left"/>
      <w:lvlText w:val="(%1)"/>
      <w:numFmt w:val="lowerRoman"/>
      <w:start w:val="2"/>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lvl w:ilvl="1">
      <w:lvlJc w:val="left"/>
      <w:lvlText w:val="&lt;"/>
      <w:numFmt w:val="bullet"/>
      <w:start w:val="1"/>
    </w:lvl>
  </w:abstractNum>
  <w:abstractNum w:abstractNumId="62">
    <w:nsid w:val="6590700B"/>
    <w:multiLevelType w:val="hybridMultilevel"/>
    <w:lvl w:ilvl="0">
      <w:lvlJc w:val="left"/>
      <w:lvlText w:val="%1)"/>
      <w:numFmt w:val="upperLetter"/>
      <w:start w:val="19"/>
    </w:lvl>
  </w:abstractNum>
  <w:abstractNum w:abstractNumId="63">
    <w:nsid w:val="15014ACB"/>
    <w:multiLevelType w:val="hybridMultilevel"/>
    <w:lvl w:ilvl="0">
      <w:lvlJc w:val="left"/>
      <w:lvlText w:val="%1."/>
      <w:numFmt w:val="decimal"/>
      <w:start w:val="2"/>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4"/>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2"/>
    </w:lvl>
  </w:abstractNum>
  <w:abstractNum w:abstractNumId="71">
    <w:nsid w:val="661E3F1E"/>
    <w:multiLevelType w:val="hybridMultilevel"/>
    <w:lvl w:ilvl="0">
      <w:lvlJc w:val="left"/>
      <w:lvlText w:val="%1."/>
      <w:numFmt w:val="decimal"/>
      <w:start w:val="5"/>
    </w:lvl>
    <w:lvl w:ilvl="1">
      <w:lvlJc w:val="left"/>
      <w:lvlText w:val="(%2)"/>
      <w:numFmt w:val="decimal"/>
      <w:start w:val="1"/>
    </w:lvl>
  </w:abstractNum>
  <w:abstractNum w:abstractNumId="72">
    <w:nsid w:val="5DC79EA8"/>
    <w:multiLevelType w:val="hybridMultilevel"/>
    <w:lvl w:ilvl="0">
      <w:lvlJc w:val="left"/>
      <w:lvlText w:val="%1."/>
      <w:numFmt w:val="decimal"/>
      <w:start w:val="3"/>
    </w:lvl>
  </w:abstractNum>
  <w:abstractNum w:abstractNumId="73">
    <w:nsid w:val="540A471C"/>
    <w:multiLevelType w:val="hybridMultilevel"/>
    <w:lvl w:ilvl="0">
      <w:lvlJc w:val="left"/>
      <w:lvlText w:val="%1)"/>
      <w:numFmt w:val="decimal"/>
      <w:start w:val="1"/>
    </w:lvl>
    <w:lvl w:ilvl="1">
      <w:lvlJc w:val="left"/>
      <w:lvlText w:val="*"/>
      <w:numFmt w:val="bullet"/>
      <w:start w:val="1"/>
    </w:lvl>
  </w:abstractNum>
  <w:abstractNum w:abstractNumId="74">
    <w:nsid w:val="7BD3EE7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2019-12-10T03:41:20Z</dcterms:created>
  <dcterms:modified xsi:type="dcterms:W3CDTF">2019-12-10T03:41:20Z</dcterms:modified>
</cp:coreProperties>
</file>