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11,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692150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152400</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90" w:lineRule="exact"/>
        <w:rPr>
          <w:sz w:val="24"/>
          <w:szCs w:val="24"/>
          <w:color w:val="auto"/>
        </w:rPr>
      </w:pPr>
    </w:p>
    <w:tbl>
      <w:tblPr>
        <w:tblLayout w:type="fixed"/>
        <w:tblInd w:w="1100" w:type="dxa"/>
        <w:tblCellMar>
          <w:top w:w="0" w:type="dxa"/>
          <w:left w:w="0" w:type="dxa"/>
          <w:bottom w:w="0" w:type="dxa"/>
          <w:right w:w="0" w:type="dxa"/>
        </w:tblCellMar>
      </w:tblPr>
      <w:tr>
        <w:trPr>
          <w:trHeight w:val="228"/>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25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001-06403</w:t>
            </w:r>
          </w:p>
        </w:tc>
        <w:tc>
          <w:tcPr>
            <w:tcW w:w="326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42-0802678</w:t>
            </w:r>
          </w:p>
        </w:tc>
      </w:tr>
      <w:tr>
        <w:trPr>
          <w:trHeight w:val="218"/>
        </w:trPr>
        <w:tc>
          <w:tcPr>
            <w:tcW w:w="340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56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left="19"/>
              <w:spacing w:after="0"/>
              <w:rPr>
                <w:sz w:val="20"/>
                <w:szCs w:val="20"/>
                <w:color w:val="auto"/>
              </w:rPr>
            </w:pPr>
            <w:r>
              <w:rPr>
                <w:rFonts w:ascii="Arial" w:cs="Arial" w:eastAsia="Arial" w:hAnsi="Arial"/>
                <w:sz w:val="16"/>
                <w:szCs w:val="16"/>
                <w:color w:val="auto"/>
                <w:w w:val="99"/>
              </w:rPr>
              <w:t>(IRS Employer</w:t>
            </w:r>
          </w:p>
        </w:tc>
      </w:tr>
      <w:tr>
        <w:trPr>
          <w:trHeight w:val="195"/>
        </w:trPr>
        <w:tc>
          <w:tcPr>
            <w:tcW w:w="340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60" w:type="dxa"/>
            <w:vAlign w:val="bottom"/>
          </w:tcPr>
          <w:p>
            <w:pPr>
              <w:spacing w:after="0"/>
              <w:rPr>
                <w:sz w:val="16"/>
                <w:szCs w:val="16"/>
                <w:color w:val="auto"/>
              </w:rPr>
            </w:pPr>
          </w:p>
        </w:tc>
        <w:tc>
          <w:tcPr>
            <w:tcW w:w="3260" w:type="dxa"/>
            <w:vAlign w:val="bottom"/>
          </w:tcPr>
          <w:p>
            <w:pPr>
              <w:jc w:val="center"/>
              <w:spacing w:after="0"/>
              <w:rPr>
                <w:sz w:val="20"/>
                <w:szCs w:val="20"/>
                <w:color w:val="auto"/>
              </w:rPr>
            </w:pPr>
            <w:r>
              <w:rPr>
                <w:rFonts w:ascii="Arial" w:cs="Arial" w:eastAsia="Arial" w:hAnsi="Arial"/>
                <w:sz w:val="16"/>
                <w:szCs w:val="16"/>
                <w:color w:val="auto"/>
              </w:rPr>
              <w:t>Identification No.)</w:t>
            </w:r>
          </w:p>
        </w:tc>
      </w:tr>
      <w:tr>
        <w:trPr>
          <w:trHeight w:val="499"/>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P.O. Box 152, Forest City, Iowa</w:t>
            </w:r>
          </w:p>
        </w:tc>
        <w:tc>
          <w:tcPr>
            <w:tcW w:w="25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b w:val="1"/>
                <w:bCs w:val="1"/>
                <w:color w:val="auto"/>
              </w:rPr>
              <w:t>50436</w:t>
            </w:r>
          </w:p>
        </w:tc>
      </w:tr>
      <w:tr>
        <w:trPr>
          <w:trHeight w:val="224"/>
        </w:trPr>
        <w:tc>
          <w:tcPr>
            <w:tcW w:w="340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60" w:type="dxa"/>
            <w:vAlign w:val="bottom"/>
          </w:tcPr>
          <w:p>
            <w:pPr>
              <w:spacing w:after="0"/>
              <w:rPr>
                <w:sz w:val="19"/>
                <w:szCs w:val="19"/>
                <w:color w:val="auto"/>
              </w:rPr>
            </w:pPr>
          </w:p>
        </w:tc>
        <w:tc>
          <w:tcPr>
            <w:tcW w:w="3260" w:type="dxa"/>
            <w:vAlign w:val="bottom"/>
          </w:tcPr>
          <w:p>
            <w:pPr>
              <w:jc w:val="center"/>
              <w:ind w:left="19"/>
              <w:spacing w:after="0"/>
              <w:rPr>
                <w:sz w:val="20"/>
                <w:szCs w:val="20"/>
                <w:color w:val="auto"/>
              </w:rPr>
            </w:pPr>
            <w:r>
              <w:rPr>
                <w:rFonts w:ascii="Arial" w:cs="Arial" w:eastAsia="Arial" w:hAnsi="Arial"/>
                <w:sz w:val="16"/>
                <w:szCs w:val="16"/>
                <w:color w:val="auto"/>
              </w:rPr>
              <w:t>(Zip Code)</w:t>
            </w:r>
          </w:p>
        </w:tc>
      </w:tr>
      <w:tr>
        <w:trPr>
          <w:trHeight w:val="473"/>
        </w:trPr>
        <w:tc>
          <w:tcPr>
            <w:tcW w:w="5960" w:type="dxa"/>
            <w:vAlign w:val="bottom"/>
            <w:gridSpan w:val="2"/>
          </w:tcPr>
          <w:p>
            <w:pPr>
              <w:ind w:left="220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9"/>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w:t>
      </w:r>
      <w:r>
        <w:rPr>
          <w:rFonts w:ascii="Arial" w:cs="Arial" w:eastAsia="Arial" w:hAnsi="Arial"/>
          <w:sz w:val="18"/>
          <w:szCs w:val="18"/>
          <w:color w:val="auto"/>
        </w:rPr>
        <w:t>§</w:t>
      </w:r>
      <w:r>
        <w:rPr>
          <w:rFonts w:ascii="Arial" w:cs="Arial" w:eastAsia="Arial" w:hAnsi="Arial"/>
          <w:sz w:val="16"/>
          <w:szCs w:val="16"/>
          <w:color w:val="auto"/>
        </w:rPr>
        <w:t>230.405 of this chapter)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or Rule 12b-2 of the Exchange Act of 1934 (</w:t>
      </w:r>
      <w:r>
        <w:rPr>
          <w:rFonts w:ascii="Arial" w:cs="Arial" w:eastAsia="Arial" w:hAnsi="Arial"/>
          <w:sz w:val="18"/>
          <w:szCs w:val="18"/>
          <w:color w:val="auto"/>
        </w:rPr>
        <w:t>§</w:t>
      </w:r>
      <w:r>
        <w:rPr>
          <w:rFonts w:ascii="Arial" w:cs="Arial" w:eastAsia="Arial" w:hAnsi="Arial"/>
          <w:sz w:val="16"/>
          <w:szCs w:val="16"/>
          <w:color w:val="auto"/>
        </w:rPr>
        <w:t>240.12b-2 of this chapter).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210" w:lineRule="exact"/>
        <w:rPr>
          <w:sz w:val="24"/>
          <w:szCs w:val="24"/>
          <w:color w:val="auto"/>
        </w:rPr>
      </w:pPr>
    </w:p>
    <w:p>
      <w:pPr>
        <w:ind w:right="300"/>
        <w:spacing w:after="0" w:line="29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74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5.07 Submission of Matters to a Vote of Security Holders.</w:t>
      </w:r>
    </w:p>
    <w:p>
      <w:pPr>
        <w:spacing w:after="0" w:line="2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Industries, Inc. ("the Company") held its annual meeting of shareholders (the “Annual Meeting”) on December 11, 2018. At the Annual Meeting, the Company's shareholders were asked to vote on the following proposals: (1) the election of three Class I directors, (2) the advisory approval of executive compensation, (3) the approval of the Winnebago Industries, Inc. 2019 Omnibus Incentive Plan, and (4) the ratification of the appointment of Deloitte &amp; Touche LLP as the Company's independent registered public accountant for the fiscal year ending August 31, 2019. The results of the shareholder vote are set forth below.</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 Election of Directors.</w:t>
      </w:r>
    </w:p>
    <w:p>
      <w:pPr>
        <w:spacing w:after="0" w:line="21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Company shareholders elected the following nominees: Maria F. Blase, Christopher J. Braun, and David W. Miles as Class I directors to hold office until the annual meeting of shareholders to be held following the Company's Fiscal 2021 or until their respective successors are duly elected and qualified. Information as to the vote on each director standing for election is provided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8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Name</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For</w:t>
            </w:r>
          </w:p>
        </w:tc>
        <w:tc>
          <w:tcPr>
            <w:tcW w:w="12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Withheld</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57"/>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Maria F. Blase</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22,124,919</w:t>
            </w:r>
          </w:p>
        </w:tc>
        <w:tc>
          <w:tcPr>
            <w:tcW w:w="120" w:type="dxa"/>
            <w:vAlign w:val="bottom"/>
            <w:shd w:val="clear" w:color="auto" w:fill="CCEEFF"/>
          </w:tcPr>
          <w:p>
            <w:pPr>
              <w:spacing w:after="0"/>
              <w:rPr>
                <w:sz w:val="22"/>
                <w:szCs w:val="22"/>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368,443</w:t>
            </w:r>
          </w:p>
        </w:tc>
        <w:tc>
          <w:tcPr>
            <w:tcW w:w="100" w:type="dxa"/>
            <w:vAlign w:val="bottom"/>
            <w:shd w:val="clear" w:color="auto" w:fill="CCEEFF"/>
          </w:tcPr>
          <w:p>
            <w:pPr>
              <w:spacing w:after="0"/>
              <w:rPr>
                <w:sz w:val="22"/>
                <w:szCs w:val="22"/>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5,009,191</w:t>
            </w:r>
          </w:p>
        </w:tc>
      </w:tr>
      <w:tr>
        <w:trPr>
          <w:trHeight w:val="260"/>
        </w:trPr>
        <w:tc>
          <w:tcPr>
            <w:tcW w:w="2380" w:type="dxa"/>
            <w:vAlign w:val="bottom"/>
            <w:gridSpan w:val="2"/>
          </w:tcPr>
          <w:p>
            <w:pPr>
              <w:ind w:left="40"/>
              <w:spacing w:after="0"/>
              <w:rPr>
                <w:sz w:val="20"/>
                <w:szCs w:val="20"/>
                <w:color w:val="auto"/>
              </w:rPr>
            </w:pPr>
            <w:r>
              <w:rPr>
                <w:rFonts w:ascii="Arial" w:cs="Arial" w:eastAsia="Arial" w:hAnsi="Arial"/>
                <w:sz w:val="16"/>
                <w:szCs w:val="16"/>
                <w:color w:val="auto"/>
              </w:rPr>
              <w:t>Christopher J. Braun</w:t>
            </w:r>
          </w:p>
        </w:tc>
        <w:tc>
          <w:tcPr>
            <w:tcW w:w="2280" w:type="dxa"/>
            <w:vAlign w:val="bottom"/>
          </w:tcPr>
          <w:p>
            <w:pPr>
              <w:jc w:val="center"/>
              <w:spacing w:after="0"/>
              <w:rPr>
                <w:sz w:val="20"/>
                <w:szCs w:val="20"/>
                <w:color w:val="auto"/>
              </w:rPr>
            </w:pPr>
            <w:r>
              <w:rPr>
                <w:rFonts w:ascii="Arial" w:cs="Arial" w:eastAsia="Arial" w:hAnsi="Arial"/>
                <w:sz w:val="16"/>
                <w:szCs w:val="16"/>
                <w:color w:val="auto"/>
              </w:rPr>
              <w:t>21,933,752</w:t>
            </w:r>
          </w:p>
        </w:tc>
        <w:tc>
          <w:tcPr>
            <w:tcW w:w="120" w:type="dxa"/>
            <w:vAlign w:val="bottom"/>
          </w:tcPr>
          <w:p>
            <w:pPr>
              <w:spacing w:after="0"/>
              <w:rPr>
                <w:sz w:val="22"/>
                <w:szCs w:val="22"/>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rPr>
              <w:t>559,610</w:t>
            </w:r>
          </w:p>
        </w:tc>
        <w:tc>
          <w:tcPr>
            <w:tcW w:w="100" w:type="dxa"/>
            <w:vAlign w:val="bottom"/>
          </w:tcPr>
          <w:p>
            <w:pPr>
              <w:spacing w:after="0"/>
              <w:rPr>
                <w:sz w:val="22"/>
                <w:szCs w:val="22"/>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rPr>
              <w:t>5,009,191</w:t>
            </w:r>
          </w:p>
        </w:tc>
      </w:tr>
      <w:tr>
        <w:trPr>
          <w:trHeight w:val="280"/>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David W. Miles</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22,227,840</w:t>
            </w: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265,522</w:t>
            </w:r>
          </w:p>
        </w:tc>
        <w:tc>
          <w:tcPr>
            <w:tcW w:w="100" w:type="dxa"/>
            <w:vAlign w:val="bottom"/>
            <w:shd w:val="clear" w:color="auto" w:fill="CCEEFF"/>
          </w:tcPr>
          <w:p>
            <w:pPr>
              <w:spacing w:after="0"/>
              <w:rPr>
                <w:sz w:val="24"/>
                <w:szCs w:val="24"/>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5,009,191</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 Advisory Approval Vote on Executive Compensation (the “Say on Pay” Vote).</w:t>
      </w:r>
    </w:p>
    <w:p>
      <w:pPr>
        <w:spacing w:after="0" w:line="21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Company shareholders approved, on an advisory basis, the compensation of certain executives as disclosed in the Compensation Discussion and Analysis, the compensation tables, and other narrative executive compensation disclosures in the definitive proxy statement relating to the Annual Meeting, as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Votes For</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Votes Against</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Abstentions</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57"/>
        </w:trPr>
        <w:tc>
          <w:tcPr>
            <w:tcW w:w="228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22,123,253</w:t>
            </w:r>
          </w:p>
        </w:tc>
        <w:tc>
          <w:tcPr>
            <w:tcW w:w="100" w:type="dxa"/>
            <w:vAlign w:val="bottom"/>
            <w:tcBorders>
              <w:top w:val="single" w:sz="8" w:color="CCEEFF"/>
            </w:tcBorders>
            <w:shd w:val="clear" w:color="auto" w:fill="CCEEFF"/>
          </w:tcPr>
          <w:p>
            <w:pPr>
              <w:spacing w:after="0"/>
              <w:rPr>
                <w:sz w:val="22"/>
                <w:szCs w:val="22"/>
                <w:color w:val="auto"/>
              </w:rPr>
            </w:pPr>
          </w:p>
        </w:tc>
        <w:tc>
          <w:tcPr>
            <w:tcW w:w="228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307,954</w:t>
            </w:r>
          </w:p>
        </w:tc>
        <w:tc>
          <w:tcPr>
            <w:tcW w:w="120" w:type="dxa"/>
            <w:vAlign w:val="bottom"/>
            <w:tcBorders>
              <w:top w:val="single" w:sz="8" w:color="CCEEFF"/>
            </w:tcBorders>
            <w:shd w:val="clear" w:color="auto" w:fill="CCEEFF"/>
          </w:tcPr>
          <w:p>
            <w:pPr>
              <w:spacing w:after="0"/>
              <w:rPr>
                <w:sz w:val="22"/>
                <w:szCs w:val="22"/>
                <w:color w:val="auto"/>
              </w:rPr>
            </w:pPr>
          </w:p>
        </w:tc>
        <w:tc>
          <w:tcPr>
            <w:tcW w:w="228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62,155</w:t>
            </w:r>
          </w:p>
        </w:tc>
        <w:tc>
          <w:tcPr>
            <w:tcW w:w="100" w:type="dxa"/>
            <w:vAlign w:val="bottom"/>
            <w:tcBorders>
              <w:top w:val="single" w:sz="8" w:color="CCEEFF"/>
            </w:tcBorders>
            <w:shd w:val="clear" w:color="auto" w:fill="CCEEFF"/>
          </w:tcPr>
          <w:p>
            <w:pPr>
              <w:spacing w:after="0"/>
              <w:rPr>
                <w:sz w:val="22"/>
                <w:szCs w:val="22"/>
                <w:color w:val="auto"/>
              </w:rPr>
            </w:pPr>
          </w:p>
        </w:tc>
        <w:tc>
          <w:tcPr>
            <w:tcW w:w="22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5,009,191</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 Approval Vote on the Winnebago Industries, Inc. 2019 Omnibus Incentive Plan.</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Company shareholders approved the Winnebago Industries, Inc. 2019 Omnibus Incentive Plan as disclosed in the Appendix A in the definitive proxy statement relating to the Annual Meeting, as set forth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Votes For</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Votes Against</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Abstentions</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57"/>
        </w:trPr>
        <w:tc>
          <w:tcPr>
            <w:tcW w:w="228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21,689,468</w:t>
            </w:r>
          </w:p>
        </w:tc>
        <w:tc>
          <w:tcPr>
            <w:tcW w:w="100" w:type="dxa"/>
            <w:vAlign w:val="bottom"/>
            <w:tcBorders>
              <w:top w:val="single" w:sz="8" w:color="CCEEFF"/>
            </w:tcBorders>
            <w:shd w:val="clear" w:color="auto" w:fill="CCEEFF"/>
          </w:tcPr>
          <w:p>
            <w:pPr>
              <w:spacing w:after="0"/>
              <w:rPr>
                <w:sz w:val="22"/>
                <w:szCs w:val="22"/>
                <w:color w:val="auto"/>
              </w:rPr>
            </w:pPr>
          </w:p>
        </w:tc>
        <w:tc>
          <w:tcPr>
            <w:tcW w:w="228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754,137</w:t>
            </w:r>
          </w:p>
        </w:tc>
        <w:tc>
          <w:tcPr>
            <w:tcW w:w="120" w:type="dxa"/>
            <w:vAlign w:val="bottom"/>
            <w:tcBorders>
              <w:top w:val="single" w:sz="8" w:color="CCEEFF"/>
            </w:tcBorders>
            <w:shd w:val="clear" w:color="auto" w:fill="CCEEFF"/>
          </w:tcPr>
          <w:p>
            <w:pPr>
              <w:spacing w:after="0"/>
              <w:rPr>
                <w:sz w:val="22"/>
                <w:szCs w:val="22"/>
                <w:color w:val="auto"/>
              </w:rPr>
            </w:pPr>
          </w:p>
        </w:tc>
        <w:tc>
          <w:tcPr>
            <w:tcW w:w="228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49,757</w:t>
            </w:r>
          </w:p>
        </w:tc>
        <w:tc>
          <w:tcPr>
            <w:tcW w:w="100" w:type="dxa"/>
            <w:vAlign w:val="bottom"/>
            <w:tcBorders>
              <w:top w:val="single" w:sz="8" w:color="CCEEFF"/>
            </w:tcBorders>
            <w:shd w:val="clear" w:color="auto" w:fill="CCEEFF"/>
          </w:tcPr>
          <w:p>
            <w:pPr>
              <w:spacing w:after="0"/>
              <w:rPr>
                <w:sz w:val="22"/>
                <w:szCs w:val="22"/>
                <w:color w:val="auto"/>
              </w:rPr>
            </w:pPr>
          </w:p>
        </w:tc>
        <w:tc>
          <w:tcPr>
            <w:tcW w:w="22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5,009,191</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 Ratification of the Appointment of Independent Registered Public Accountants for the Fiscal Year Ending August 31, 2019.</w:t>
      </w:r>
    </w:p>
    <w:p>
      <w:pPr>
        <w:spacing w:after="0" w:line="214"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Company shareholders ratified the appointment of Deloitte &amp; Touche LLP as the Company's independent registered public accountants for the fiscal year ending August 31, 2019, as set forth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For</w:t>
            </w:r>
          </w:p>
        </w:tc>
        <w:tc>
          <w:tcPr>
            <w:tcW w:w="12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b w:val="1"/>
                <w:bCs w:val="1"/>
                <w:color w:val="auto"/>
              </w:rPr>
              <w:t>Votes Against</w:t>
            </w: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Abstentions</w:t>
            </w:r>
          </w:p>
        </w:tc>
      </w:tr>
      <w:tr>
        <w:trPr>
          <w:trHeight w:val="257"/>
        </w:trPr>
        <w:tc>
          <w:tcPr>
            <w:tcW w:w="304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27,249,192</w:t>
            </w:r>
          </w:p>
        </w:tc>
        <w:tc>
          <w:tcPr>
            <w:tcW w:w="120" w:type="dxa"/>
            <w:vAlign w:val="bottom"/>
            <w:shd w:val="clear" w:color="auto" w:fill="CCEEFF"/>
          </w:tcPr>
          <w:p>
            <w:pPr>
              <w:spacing w:after="0"/>
              <w:rPr>
                <w:sz w:val="22"/>
                <w:szCs w:val="22"/>
                <w:color w:val="auto"/>
              </w:rPr>
            </w:pPr>
          </w:p>
        </w:tc>
        <w:tc>
          <w:tcPr>
            <w:tcW w:w="22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188,829</w:t>
            </w:r>
          </w:p>
        </w:tc>
        <w:tc>
          <w:tcPr>
            <w:tcW w:w="3940" w:type="dxa"/>
            <w:vAlign w:val="bottom"/>
            <w:gridSpan w:val="3"/>
            <w:shd w:val="clear" w:color="auto" w:fill="CCEEFF"/>
          </w:tcPr>
          <w:p>
            <w:pPr>
              <w:jc w:val="right"/>
              <w:ind w:right="1199"/>
              <w:spacing w:after="0"/>
              <w:rPr>
                <w:sz w:val="20"/>
                <w:szCs w:val="20"/>
                <w:color w:val="auto"/>
              </w:rPr>
            </w:pPr>
            <w:r>
              <w:rPr>
                <w:rFonts w:ascii="Arial" w:cs="Arial" w:eastAsia="Arial" w:hAnsi="Arial"/>
                <w:sz w:val="16"/>
                <w:szCs w:val="16"/>
                <w:color w:val="auto"/>
              </w:rPr>
              <w:t>64,532</w:t>
            </w:r>
          </w:p>
        </w:tc>
      </w:tr>
      <w:tr>
        <w:trPr>
          <w:trHeight w:val="629"/>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60" w:type="dxa"/>
            <w:vAlign w:val="bottom"/>
          </w:tcPr>
          <w:p>
            <w:pPr>
              <w:jc w:val="right"/>
              <w:ind w:right="35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3060" w:type="dxa"/>
            <w:vAlign w:val="bottom"/>
          </w:tcPr>
          <w:p>
            <w:pPr>
              <w:spacing w:after="0"/>
              <w:rPr>
                <w:sz w:val="24"/>
                <w:szCs w:val="24"/>
                <w:color w:val="auto"/>
              </w:rPr>
            </w:pPr>
          </w:p>
        </w:tc>
      </w:tr>
    </w:tbl>
    <w:p>
      <w:pPr>
        <w:sectPr>
          <w:pgSz w:w="11900" w:h="16838" w:orient="portrait"/>
          <w:cols w:equalWidth="0" w:num="1">
            <w:col w:w="11380"/>
          </w:cols>
          <w:pgMar w:left="240" w:top="581" w:right="27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21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WINNEBAGO INDUSTRIES, INC.</w:t>
      </w:r>
    </w:p>
    <w:p>
      <w:pPr>
        <w:spacing w:after="0" w:line="327" w:lineRule="exact"/>
        <w:rPr>
          <w:sz w:val="20"/>
          <w:szCs w:val="20"/>
          <w:color w:val="auto"/>
        </w:rPr>
      </w:pPr>
    </w:p>
    <w:p>
      <w:pPr>
        <w:ind w:left="40"/>
        <w:spacing w:after="0"/>
        <w:tabs>
          <w:tab w:leader="none" w:pos="820" w:val="left"/>
          <w:tab w:leader="none" w:pos="4360" w:val="left"/>
          <w:tab w:leader="none" w:pos="51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13,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Stacy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29210</wp:posOffset>
            </wp:positionV>
            <wp:extent cx="3978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82" w:lineRule="exact"/>
        <w:rPr>
          <w:sz w:val="20"/>
          <w:szCs w:val="20"/>
          <w:color w:val="auto"/>
        </w:rPr>
      </w:pPr>
    </w:p>
    <w:p>
      <w:pPr>
        <w:ind w:left="4380"/>
        <w:spacing w:after="0"/>
        <w:tabs>
          <w:tab w:leader="none" w:pos="51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Stacy Bogart</w:t>
      </w:r>
    </w:p>
    <w:p>
      <w:pPr>
        <w:spacing w:after="0" w:line="86" w:lineRule="exact"/>
        <w:rPr>
          <w:sz w:val="20"/>
          <w:szCs w:val="20"/>
          <w:color w:val="auto"/>
        </w:rPr>
      </w:pPr>
    </w:p>
    <w:p>
      <w:pPr>
        <w:ind w:left="4380"/>
        <w:spacing w:after="0"/>
        <w:tabs>
          <w:tab w:leader="none" w:pos="51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Vice President, General Counsel and Corporate Secretary</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w:t>
      </w:r>
    </w:p>
    <w:sectPr>
      <w:pgSz w:w="11900" w:h="16838" w:orient="portrait"/>
      <w:cols w:equalWidth="0" w:num="1">
        <w:col w:w="11220"/>
      </w:cols>
      <w:pgMar w:left="240" w:top="57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2019-12-05T10:42:02Z</dcterms:created>
  <dcterms:modified xsi:type="dcterms:W3CDTF">2019-12-05T10:42:02Z</dcterms:modified>
</cp:coreProperties>
</file>