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50)*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OCTOBER 5, 2004</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w:t>
      </w:r>
    </w:p>
    <w:p>
      <w:pPr>
        <w:jc w:val="center"/>
        <w:ind w:right="1679"/>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2" w:lineRule="exact"/>
        <w:rPr>
          <w:sz w:val="24"/>
          <w:szCs w:val="24"/>
          <w:color w:val="auto"/>
        </w:rPr>
      </w:pPr>
    </w:p>
    <w:tbl>
      <w:tblPr>
        <w:tblLayout w:type="fixed"/>
        <w:tblInd w:w="960" w:type="dxa"/>
        <w:tblCellMar>
          <w:top w:w="0" w:type="dxa"/>
          <w:left w:w="0" w:type="dxa"/>
          <w:bottom w:w="0" w:type="dxa"/>
          <w:right w:w="0" w:type="dxa"/>
        </w:tblCellMar>
      </w:tblPr>
      <w:tr>
        <w:trPr>
          <w:trHeight w:val="204"/>
        </w:trPr>
        <w:tc>
          <w:tcPr>
            <w:tcW w:w="7260" w:type="dxa"/>
            <w:vAlign w:val="bottom"/>
            <w:gridSpan w:val="3"/>
          </w:tcPr>
          <w:p>
            <w:pPr>
              <w:spacing w:after="0"/>
              <w:rPr>
                <w:sz w:val="20"/>
                <w:szCs w:val="20"/>
                <w:color w:val="auto"/>
              </w:rPr>
            </w:pPr>
            <w:r>
              <w:rPr>
                <w:rFonts w:ascii="Courier New" w:cs="Courier New" w:eastAsia="Courier New" w:hAnsi="Courier New"/>
                <w:sz w:val="18"/>
                <w:szCs w:val="18"/>
                <w:color w:val="auto"/>
                <w:w w:val="97"/>
              </w:rPr>
              <w:t>Hanson Capital Partners, L.L.C.  I.R.S. Identification No. 52-2286575</w:t>
            </w:r>
          </w:p>
        </w:tc>
      </w:t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5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5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5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 ###-##-####</w:t>
            </w:r>
          </w:p>
        </w:tc>
      </w:tr>
    </w:tbl>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 w:leader="none" w:pos="7260" w:val="left"/>
          <w:tab w:leader="none" w:pos="81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[v]</w:t>
      </w:r>
    </w:p>
    <w:p>
      <w:pPr>
        <w:ind w:left="960"/>
        <w:spacing w:after="0"/>
        <w:tabs>
          <w:tab w:leader="none" w:pos="7260" w:val="left"/>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579"/>
        <w:spacing w:after="0" w:line="235" w:lineRule="auto"/>
        <w:rPr>
          <w:sz w:val="20"/>
          <w:szCs w:val="20"/>
          <w:color w:val="auto"/>
        </w:rPr>
      </w:pPr>
      <w:r>
        <w:rPr>
          <w:rFonts w:ascii="Courier New" w:cs="Courier New" w:eastAsia="Courier New" w:hAnsi="Courier New"/>
          <w:sz w:val="18"/>
          <w:szCs w:val="18"/>
          <w:color w:val="auto"/>
        </w:rPr>
        <w:t>- -------------------------------------------------------------------------------- (3) SEC Use Only</w:t>
      </w:r>
    </w:p>
    <w:p>
      <w:pPr>
        <w:sectPr>
          <w:pgSz w:w="11900" w:h="16838" w:orient="portrait"/>
          <w:cols w:equalWidth="0" w:num="1">
            <w:col w:w="10219"/>
          </w:cols>
          <w:pgMar w:left="240" w:top="244" w:right="1440" w:bottom="53"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both"/>
        <w:ind w:left="960" w:right="7679" w:hanging="952"/>
        <w:spacing w:after="0" w:line="558" w:lineRule="auto"/>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Not applicable.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w:t>
      </w:r>
    </w:p>
    <w:p>
      <w:pPr>
        <w:ind w:left="960"/>
        <w:spacing w:after="0"/>
        <w:tabs>
          <w:tab w:leader="none" w:pos="8100"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6" w:lineRule="exact"/>
        <w:rPr>
          <w:rFonts w:ascii="Courier New" w:cs="Courier New" w:eastAsia="Courier New" w:hAnsi="Courier New"/>
          <w:sz w:val="18"/>
          <w:szCs w:val="18"/>
          <w:color w:val="auto"/>
        </w:rPr>
      </w:pPr>
    </w:p>
    <w:p>
      <w:pPr>
        <w:ind w:left="96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8" w:lineRule="exact"/>
        <w:rPr>
          <w:rFonts w:ascii="Courier New" w:cs="Courier New" w:eastAsia="Courier New" w:hAnsi="Courier New"/>
          <w:sz w:val="18"/>
          <w:szCs w:val="18"/>
          <w:color w:val="auto"/>
        </w:rPr>
      </w:pPr>
    </w:p>
    <w:p>
      <w:pPr>
        <w:ind w:left="9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547"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2540" w:type="dxa"/>
            <w:vAlign w:val="bottom"/>
          </w:tcPr>
          <w:p>
            <w:pPr>
              <w:jc w:val="right"/>
              <w:ind w:right="570"/>
              <w:spacing w:after="0" w:line="203" w:lineRule="exact"/>
              <w:rPr>
                <w:sz w:val="20"/>
                <w:szCs w:val="20"/>
                <w:color w:val="auto"/>
              </w:rPr>
            </w:pPr>
            <w:r>
              <w:rPr>
                <w:rFonts w:ascii="Courier New" w:cs="Courier New" w:eastAsia="Courier New" w:hAnsi="Courier New"/>
                <w:sz w:val="18"/>
                <w:szCs w:val="18"/>
                <w:color w:val="auto"/>
              </w:rPr>
              <w:t>(7)</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42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42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2,026,112 shares (6.0%)</w:t>
            </w:r>
          </w:p>
        </w:tc>
      </w:tr>
      <w:tr>
        <w:trPr>
          <w:trHeight w:val="203"/>
        </w:trPr>
        <w:tc>
          <w:tcPr>
            <w:tcW w:w="25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44,260 (includes 200 shares</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owned by wife and 44,000 shares</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which John V. Hanson has a right</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acquire)*</w:t>
            </w:r>
          </w:p>
        </w:tc>
      </w:tr>
      <w:tr>
        <w:trPr>
          <w:trHeight w:val="203"/>
        </w:trPr>
        <w:tc>
          <w:tcPr>
            <w:tcW w:w="25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149,496 (includes 53,070 shares</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Boman, and 44,000 shares which</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Gerald E. Boman has the right to</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203"/>
        </w:trPr>
        <w:tc>
          <w:tcPr>
            <w:tcW w:w="25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25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*less than 1.0 percent.</w:t>
            </w:r>
          </w:p>
        </w:tc>
        <w:tc>
          <w:tcPr>
            <w:tcW w:w="3420" w:type="dxa"/>
            <w:vAlign w:val="bottom"/>
          </w:tcPr>
          <w:p>
            <w:pPr>
              <w:spacing w:after="0"/>
              <w:rPr>
                <w:sz w:val="17"/>
                <w:szCs w:val="17"/>
                <w:color w:val="auto"/>
              </w:rPr>
            </w:pPr>
          </w:p>
        </w:tc>
      </w:tr>
      <w:tr>
        <w:trPr>
          <w:trHeight w:val="405"/>
        </w:trPr>
        <w:tc>
          <w:tcPr>
            <w:tcW w:w="2540" w:type="dxa"/>
            <w:vAlign w:val="bottom"/>
          </w:tcPr>
          <w:p>
            <w:pPr>
              <w:jc w:val="right"/>
              <w:ind w:right="1310"/>
              <w:spacing w:after="0"/>
              <w:rPr>
                <w:sz w:val="20"/>
                <w:szCs w:val="20"/>
                <w:color w:val="auto"/>
              </w:rPr>
            </w:pPr>
            <w:r>
              <w:rPr>
                <w:rFonts w:ascii="Courier New" w:cs="Courier New" w:eastAsia="Courier New" w:hAnsi="Courier New"/>
                <w:sz w:val="18"/>
                <w:szCs w:val="18"/>
                <w:color w:val="auto"/>
              </w:rPr>
              <w:t>NUMBER OF</w:t>
            </w:r>
          </w:p>
        </w:tc>
        <w:tc>
          <w:tcPr>
            <w:tcW w:w="24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3"/>
        </w:trPr>
        <w:tc>
          <w:tcPr>
            <w:tcW w:w="502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73"/>
              </w:rPr>
              <w:t>SHARES</w:t>
            </w:r>
            <w:r>
              <w:rPr>
                <w:rFonts w:ascii="Courier New" w:cs="Courier New" w:eastAsia="Courier New" w:hAnsi="Courier New"/>
                <w:sz w:val="12"/>
                <w:szCs w:val="12"/>
                <w:color w:val="auto"/>
                <w:w w:val="73"/>
              </w:rPr>
              <w:t>-----------------------------------------------------------------</w:t>
            </w:r>
          </w:p>
        </w:tc>
        <w:tc>
          <w:tcPr>
            <w:tcW w:w="3420" w:type="dxa"/>
            <w:vAlign w:val="bottom"/>
          </w:tcPr>
          <w:p>
            <w:pPr>
              <w:spacing w:after="0"/>
              <w:rPr>
                <w:sz w:val="17"/>
                <w:szCs w:val="17"/>
                <w:color w:val="auto"/>
              </w:rPr>
            </w:pPr>
          </w:p>
        </w:tc>
      </w:tr>
      <w:tr>
        <w:trPr>
          <w:trHeight w:val="203"/>
        </w:trPr>
        <w:tc>
          <w:tcPr>
            <w:tcW w:w="2540" w:type="dxa"/>
            <w:vAlign w:val="bottom"/>
          </w:tcPr>
          <w:p>
            <w:pPr>
              <w:jc w:val="right"/>
              <w:ind w:right="570"/>
              <w:spacing w:after="0" w:line="203" w:lineRule="exact"/>
              <w:rPr>
                <w:sz w:val="20"/>
                <w:szCs w:val="20"/>
                <w:color w:val="auto"/>
              </w:rPr>
            </w:pPr>
            <w:r>
              <w:rPr>
                <w:rFonts w:ascii="Courier New" w:cs="Courier New" w:eastAsia="Courier New" w:hAnsi="Courier New"/>
                <w:sz w:val="18"/>
                <w:szCs w:val="18"/>
                <w:color w:val="auto"/>
                <w:w w:val="96"/>
              </w:rPr>
              <w:t>BENEFICIALLY   (8)</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420" w:type="dxa"/>
            <w:vAlign w:val="bottom"/>
          </w:tcPr>
          <w:p>
            <w:pPr>
              <w:spacing w:after="0"/>
              <w:rPr>
                <w:sz w:val="17"/>
                <w:szCs w:val="17"/>
                <w:color w:val="auto"/>
              </w:rPr>
            </w:pPr>
          </w:p>
        </w:tc>
      </w:tr>
      <w:tr>
        <w:trPr>
          <w:trHeight w:val="203"/>
        </w:trPr>
        <w:tc>
          <w:tcPr>
            <w:tcW w:w="2540" w:type="dxa"/>
            <w:vAlign w:val="bottom"/>
          </w:tcPr>
          <w:p>
            <w:pPr>
              <w:jc w:val="right"/>
              <w:ind w:right="1410"/>
              <w:spacing w:after="0" w:line="203" w:lineRule="exact"/>
              <w:rPr>
                <w:sz w:val="20"/>
                <w:szCs w:val="20"/>
                <w:color w:val="auto"/>
              </w:rPr>
            </w:pPr>
            <w:r>
              <w:rPr>
                <w:rFonts w:ascii="Courier New" w:cs="Courier New" w:eastAsia="Courier New" w:hAnsi="Courier New"/>
                <w:sz w:val="18"/>
                <w:szCs w:val="18"/>
                <w:color w:val="auto"/>
              </w:rPr>
              <w:t>OWNED BY</w:t>
            </w:r>
          </w:p>
        </w:tc>
        <w:tc>
          <w:tcPr>
            <w:tcW w:w="248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03"/>
        </w:trPr>
        <w:tc>
          <w:tcPr>
            <w:tcW w:w="2540" w:type="dxa"/>
            <w:vAlign w:val="bottom"/>
          </w:tcPr>
          <w:p>
            <w:pPr>
              <w:jc w:val="right"/>
              <w:ind w:right="1610"/>
              <w:spacing w:after="0" w:line="203" w:lineRule="exact"/>
              <w:rPr>
                <w:sz w:val="20"/>
                <w:szCs w:val="20"/>
                <w:color w:val="auto"/>
              </w:rPr>
            </w:pPr>
            <w:r>
              <w:rPr>
                <w:rFonts w:ascii="Courier New" w:cs="Courier New" w:eastAsia="Courier New" w:hAnsi="Courier New"/>
                <w:sz w:val="18"/>
                <w:szCs w:val="18"/>
                <w:color w:val="auto"/>
              </w:rPr>
              <w:t>EACH</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3420" w:type="dxa"/>
            <w:vAlign w:val="bottom"/>
          </w:tcPr>
          <w:p>
            <w:pPr>
              <w:spacing w:after="0"/>
              <w:rPr>
                <w:sz w:val="17"/>
                <w:szCs w:val="17"/>
                <w:color w:val="auto"/>
              </w:rPr>
            </w:pPr>
          </w:p>
        </w:tc>
      </w:tr>
      <w:tr>
        <w:trPr>
          <w:trHeight w:val="203"/>
        </w:trPr>
        <w:tc>
          <w:tcPr>
            <w:tcW w:w="2540" w:type="dxa"/>
            <w:vAlign w:val="bottom"/>
          </w:tcPr>
          <w:p>
            <w:pPr>
              <w:jc w:val="right"/>
              <w:ind w:right="1410"/>
              <w:spacing w:after="0" w:line="203" w:lineRule="exact"/>
              <w:rPr>
                <w:sz w:val="20"/>
                <w:szCs w:val="20"/>
                <w:color w:val="auto"/>
              </w:rPr>
            </w:pPr>
            <w:r>
              <w:rPr>
                <w:rFonts w:ascii="Courier New" w:cs="Courier New" w:eastAsia="Courier New" w:hAnsi="Courier New"/>
                <w:sz w:val="18"/>
                <w:szCs w:val="18"/>
                <w:color w:val="auto"/>
              </w:rPr>
              <w:t>REPORTING</w:t>
            </w:r>
          </w:p>
        </w:tc>
        <w:tc>
          <w:tcPr>
            <w:tcW w:w="248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03"/>
        </w:trPr>
        <w:tc>
          <w:tcPr>
            <w:tcW w:w="502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73"/>
              </w:rPr>
              <w:t>PERSON</w:t>
            </w:r>
            <w:r>
              <w:rPr>
                <w:rFonts w:ascii="Courier New" w:cs="Courier New" w:eastAsia="Courier New" w:hAnsi="Courier New"/>
                <w:sz w:val="12"/>
                <w:szCs w:val="12"/>
                <w:color w:val="auto"/>
                <w:w w:val="73"/>
              </w:rPr>
              <w:t>-----------------------------------------------------------------</w:t>
            </w:r>
          </w:p>
        </w:tc>
        <w:tc>
          <w:tcPr>
            <w:tcW w:w="3420" w:type="dxa"/>
            <w:vAlign w:val="bottom"/>
          </w:tcPr>
          <w:p>
            <w:pPr>
              <w:spacing w:after="0"/>
              <w:rPr>
                <w:sz w:val="17"/>
                <w:szCs w:val="17"/>
                <w:color w:val="auto"/>
              </w:rPr>
            </w:pPr>
          </w:p>
        </w:tc>
      </w:tr>
      <w:tr>
        <w:trPr>
          <w:trHeight w:val="203"/>
        </w:trPr>
        <w:tc>
          <w:tcPr>
            <w:tcW w:w="2540" w:type="dxa"/>
            <w:vAlign w:val="bottom"/>
          </w:tcPr>
          <w:p>
            <w:pPr>
              <w:jc w:val="right"/>
              <w:ind w:right="570"/>
              <w:spacing w:after="0" w:line="203" w:lineRule="exact"/>
              <w:rPr>
                <w:sz w:val="20"/>
                <w:szCs w:val="20"/>
                <w:color w:val="auto"/>
              </w:rPr>
            </w:pPr>
            <w:r>
              <w:rPr>
                <w:rFonts w:ascii="Courier New" w:cs="Courier New" w:eastAsia="Courier New" w:hAnsi="Courier New"/>
                <w:sz w:val="18"/>
                <w:szCs w:val="18"/>
                <w:color w:val="auto"/>
              </w:rPr>
              <w:t>(9)</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342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42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2,026,112 shares (6.0%)</w:t>
            </w:r>
          </w:p>
        </w:tc>
      </w:tr>
      <w:tr>
        <w:trPr>
          <w:trHeight w:val="203"/>
        </w:trPr>
        <w:tc>
          <w:tcPr>
            <w:tcW w:w="25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44,260 (includes 200 shares</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owned by wife and 44,000 shares</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which John V. Hanson has a right</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acquire)*</w:t>
            </w:r>
          </w:p>
        </w:tc>
      </w:tr>
      <w:tr>
        <w:trPr>
          <w:trHeight w:val="203"/>
        </w:trPr>
        <w:tc>
          <w:tcPr>
            <w:tcW w:w="25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149,496 (includes 53,070 shares</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Boman, and 44,000 shares which</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Gerald E. Boman has the right to</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203"/>
        </w:trPr>
        <w:tc>
          <w:tcPr>
            <w:tcW w:w="25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25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*less than 1.0 percent.</w:t>
            </w:r>
          </w:p>
        </w:tc>
        <w:tc>
          <w:tcPr>
            <w:tcW w:w="3420" w:type="dxa"/>
            <w:vAlign w:val="bottom"/>
          </w:tcPr>
          <w:p>
            <w:pPr>
              <w:spacing w:after="0"/>
              <w:rPr>
                <w:sz w:val="17"/>
                <w:szCs w:val="17"/>
                <w:color w:val="auto"/>
              </w:rPr>
            </w:pPr>
          </w:p>
        </w:tc>
      </w:tr>
    </w:tbl>
    <w:p>
      <w:pPr>
        <w:spacing w:after="0" w:line="201" w:lineRule="exact"/>
        <w:rPr>
          <w:sz w:val="20"/>
          <w:szCs w:val="20"/>
          <w:color w:val="auto"/>
        </w:rPr>
      </w:pPr>
    </w:p>
    <w:p>
      <w:pPr>
        <w:ind w:left="420"/>
        <w:spacing w:after="0"/>
        <w:tabs>
          <w:tab w:leader="none" w:pos="156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w:t>
      </w:r>
    </w:p>
    <w:p>
      <w:pPr>
        <w:spacing w:after="0" w:line="4" w:lineRule="exact"/>
        <w:rPr>
          <w:sz w:val="20"/>
          <w:szCs w:val="20"/>
          <w:color w:val="auto"/>
        </w:rPr>
      </w:pPr>
    </w:p>
    <w:p>
      <w:pPr>
        <w:ind w:left="2540" w:right="5159" w:hanging="952"/>
        <w:spacing w:after="0" w:line="470" w:lineRule="auto"/>
        <w:tabs>
          <w:tab w:leader="none" w:pos="2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(9) above.</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470"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208"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w:t>
      </w:r>
    </w:p>
    <w:p>
      <w:pPr>
        <w:ind w:left="9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10" w:lineRule="exact"/>
        <w:rPr>
          <w:sz w:val="20"/>
          <w:szCs w:val="20"/>
          <w:color w:val="auto"/>
        </w:rPr>
      </w:pPr>
    </w:p>
    <w:p>
      <w:pPr>
        <w:ind w:left="960" w:right="3999" w:hanging="952"/>
        <w:spacing w:after="0" w:line="470"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See (7) and (9) above.</w:t>
      </w:r>
    </w:p>
    <w:p>
      <w:pPr>
        <w:spacing w:after="0" w:line="21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 (See Instructions)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Hanson Capital Partners, L.L.C., CO.</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and John V. Hanson, Mary Joan Boman and Paul D. Hanson, each in their individual capacity. John V. Hanson, Mary Joan Boman and Paul D. Hanson are the Managing Members of HCP. The business address for HCP is c/o Mr. John V. Hanson, 7019 SE Harbor Circle, Stuart, Florida 34996. The business address for the QTIP Trust is c/o Ms. Linda K. Johnson, Manufacturers Bank and Trust Company, 245 East J Street, P.O. Box 450, Forest City, Iowa</w:t>
      </w:r>
    </w:p>
    <w:p>
      <w:pPr>
        <w:spacing w:after="0" w:line="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John V. Hanson, Mary Joan Boman, Paul D. Hanson and Bessemer Trust Company, N.A. are co-trustees under the Revocable Trust which has a 64.6% membership interest in HCP. John V. Hanson, Mary Joan Boman, Paul D. Hanson and Bessemer Trust Company, N.A. are co-trustees under the QTIP Trust which has a 34.8% membership interest in HCP. John V. Hanson, Mary Joan Boman and Paul D. Hanson each have, in their individual capacity, a .2% membership interest in HCP.</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None of HCP, John V. Hanson, Mary Joan Boman and Paul D. Hanson has, during the last five years, been convicted in a criminal proceeding (excluding traffic violations or similar misdemeanors). Further, none of HCP, John V. 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an aggregate of 61,300 shares of Common Stock as a result of the sale by HCP on October 1, 2004 of 6,000 shares of Common Stock through a broker pursuant to the Rule 10b5-1 Trading Plan (the "TRADING PLAN") with Bessemer Trust Company of Florida; the sale by HCP on October 4, 2004 of 5,300 shares of Common Stock through a broker pursuant to the Trading Plan; and the sale by HCP on October 5, 2004 of 50,000 shares of Common Stock through a broker pursuant to the Trading Plan. Reference is made to Item 4 for a description of the transactions.</w:t>
      </w:r>
    </w:p>
    <w:p>
      <w:pPr>
        <w:spacing w:after="0" w:line="200" w:lineRule="exact"/>
        <w:rPr>
          <w:sz w:val="20"/>
          <w:szCs w:val="20"/>
          <w:color w:val="auto"/>
        </w:rPr>
      </w:pPr>
    </w:p>
    <w:p>
      <w:pPr>
        <w:spacing w:after="0" w:line="21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October 1, 2004, HCP sold 6,000 shares of Common Stock through a</w:t>
      </w:r>
    </w:p>
    <w:p>
      <w:pPr>
        <w:spacing w:after="0" w:line="238" w:lineRule="auto"/>
        <w:rPr>
          <w:sz w:val="20"/>
          <w:szCs w:val="20"/>
          <w:color w:val="auto"/>
        </w:rPr>
      </w:pPr>
      <w:r>
        <w:rPr>
          <w:rFonts w:ascii="Courier New" w:cs="Courier New" w:eastAsia="Courier New" w:hAnsi="Courier New"/>
          <w:sz w:val="18"/>
          <w:szCs w:val="18"/>
          <w:color w:val="auto"/>
        </w:rPr>
        <w:t>broker pursuant to the Trading Plan for an approximate purchase price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$210,000 or an average price per share of $35.0000; on October 4, 2004, HCP sold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5,300 shares of Common Stock through a broker pursuant to the Trading Plan for</w:t>
      </w:r>
    </w:p>
    <w:p>
      <w:pPr>
        <w:spacing w:after="0" w:line="238" w:lineRule="auto"/>
        <w:rPr>
          <w:sz w:val="20"/>
          <w:szCs w:val="20"/>
          <w:color w:val="auto"/>
        </w:rPr>
      </w:pPr>
      <w:r>
        <w:rPr>
          <w:rFonts w:ascii="Courier New" w:cs="Courier New" w:eastAsia="Courier New" w:hAnsi="Courier New"/>
          <w:sz w:val="18"/>
          <w:szCs w:val="18"/>
          <w:color w:val="auto"/>
        </w:rPr>
        <w:t>an approximate purchase price of $185,686 or an average price per share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$35.0351; and on October 5, 2004, HCP sold 50,000 shares of Common Stock through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broker pursuant to the Trading Plan for an approximate purchase price of</w:t>
      </w:r>
    </w:p>
    <w:p>
      <w:pPr>
        <w:spacing w:after="0" w:line="238" w:lineRule="auto"/>
        <w:rPr>
          <w:sz w:val="20"/>
          <w:szCs w:val="20"/>
          <w:color w:val="auto"/>
        </w:rPr>
      </w:pPr>
      <w:r>
        <w:rPr>
          <w:rFonts w:ascii="Courier New" w:cs="Courier New" w:eastAsia="Courier New" w:hAnsi="Courier New"/>
          <w:sz w:val="18"/>
          <w:szCs w:val="18"/>
          <w:color w:val="auto"/>
        </w:rPr>
        <w:t>$1,707,522 or an average price per share of $34.1504.</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and John V. Hanson, Mary Joan Boman and Paul D. Hanson, each in their individual capacity, are the only members of HCP.</w:t>
      </w:r>
    </w:p>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72"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Rule 10b5-1 Trading Plan and after termination of such Plan from time to time when believed to be in the best interests of HCP's members;</w:t>
      </w:r>
    </w:p>
    <w:p>
      <w:pPr>
        <w:spacing w:after="0" w:line="185" w:lineRule="exact"/>
        <w:rPr>
          <w:rFonts w:ascii="Courier New" w:cs="Courier New" w:eastAsia="Courier New" w:hAnsi="Courier New"/>
          <w:sz w:val="16"/>
          <w:szCs w:val="16"/>
          <w:color w:val="auto"/>
        </w:rPr>
      </w:pPr>
    </w:p>
    <w:p>
      <w:pPr>
        <w:ind w:left="960" w:right="2519" w:hanging="952"/>
        <w:spacing w:after="0" w:line="236"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2,026,112 shares of Common Stock, which represent approximately 6.0%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64.6% membership interest in HCP.</w:t>
      </w:r>
    </w:p>
    <w:p>
      <w:pPr>
        <w:spacing w:after="0" w:line="211"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64.6% membership interest in HCP, a majority of the Individual Trustees together with the Corporate Trustee have sole voting power with</w:t>
      </w:r>
    </w:p>
    <w:p>
      <w:pPr>
        <w:sectPr>
          <w:pgSz w:w="11900" w:h="16838" w:orient="portrait"/>
          <w:cols w:equalWidth="0" w:num="1">
            <w:col w:w="10219"/>
          </w:cols>
          <w:pgMar w:left="240" w:top="919"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60" w:right="1879"/>
        <w:spacing w:after="0" w:line="272" w:lineRule="auto"/>
        <w:rPr>
          <w:sz w:val="20"/>
          <w:szCs w:val="20"/>
          <w:color w:val="auto"/>
        </w:rPr>
      </w:pPr>
      <w:r>
        <w:rPr>
          <w:rFonts w:ascii="Courier New" w:cs="Courier New" w:eastAsia="Courier New" w:hAnsi="Courier New"/>
          <w:sz w:val="16"/>
          <w:szCs w:val="16"/>
          <w:color w:val="auto"/>
        </w:rPr>
        <w:t>respect to 2,026,112 shares of Common Stock of which HCP is the beneficial owner. A majority of the Individual Trustees together with the Corporate Trustee have sole dispositive power with respect to the 2,026,112 shares of Common Stock of which HCP is the beneficial owner, except that disposition of all or substantially all of those shares requires the unanimous approval of all members of HCP.</w:t>
      </w:r>
    </w:p>
    <w:p>
      <w:pPr>
        <w:spacing w:after="0" w:line="186" w:lineRule="exact"/>
        <w:rPr>
          <w:sz w:val="20"/>
          <w:szCs w:val="20"/>
          <w:color w:val="auto"/>
        </w:rPr>
      </w:pPr>
    </w:p>
    <w:p>
      <w:pPr>
        <w:ind w:left="960" w:right="1999" w:hanging="952"/>
        <w:spacing w:after="0" w:line="268" w:lineRule="auto"/>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transactions described in Item 4, (ii) the sale of 31,000 shares of Common Stock by HCP on September 29, 2004, as reported on Schedule 13D (Amendment No. 49), (iii) the sale of an aggregate of 67,800 shares of Common Stock by HCP during the period from September 20, 2004 through September 22, 2004, as reported on Schedule 13D (Amendment No. 48), (iv) the sale of an aggregate of 40,000 shares of Common Stock by HCP during the period from September 14, 2004 through September 17, 2004, as reported on Schedule 13D (Amendment No. 47), (v) the sale of an aggregate of 70,000 shares of Common Stock by HCP during the period from September 9, 2004 through September 13, 2004, as reported on Schedule 13D (Amendment No. 46),</w:t>
      </w:r>
    </w:p>
    <w:p>
      <w:pPr>
        <w:spacing w:after="0" w:line="2" w:lineRule="exact"/>
        <w:rPr>
          <w:rFonts w:ascii="Courier New" w:cs="Courier New" w:eastAsia="Courier New" w:hAnsi="Courier New"/>
          <w:sz w:val="16"/>
          <w:szCs w:val="16"/>
          <w:color w:val="auto"/>
        </w:rPr>
      </w:pPr>
    </w:p>
    <w:p>
      <w:pPr>
        <w:ind w:left="960" w:right="1999" w:hanging="4"/>
        <w:spacing w:after="0" w:line="237" w:lineRule="auto"/>
        <w:tabs>
          <w:tab w:leader="none" w:pos="1487"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61,800 shares of Common Stock by HCP on September 7, 2004, as reported on Schedule 13D (Amendment No. 45), (vii) the sale of 30,000 shares of Common Stock by HCP on August 20, 2004, as reported on Schedule 13D (Amendment No. 44), (viii) the sale of an aggregate of 65,000 shares of Common Stock by HCP on August 17, 2004 and August 18, 2004, as reported on Schedule 13D (Amendment No. 43), and (ix) the sale of an aggregate of 43,200 shares of Common Stock by HCP on July 29, 2004 and July 30, 2004, as reported on Schedule 13D (Amendment No. 41); none of HCP, John V. Hanson, Mary Joan Boman or Paul D. Hanson has had any transactions in Common Stock during the past 60 days.</w:t>
      </w:r>
    </w:p>
    <w:p>
      <w:pPr>
        <w:spacing w:after="0" w:line="210"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357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August 12, 2004, HCP entered into the Trading Plan with Bessemer Trust Company. HCP intends to sell up to 450,000 shares of Common Stock at a minimum price of $30.00 per share pursuant to the Trading Plan. The Trading Plan terminates on July 31, 2005, unless terminated earlier in accordance with its terms. HCP entered into the Trading Plan as a continuing part of its investment portfolio diversification plan.</w:t>
      </w:r>
    </w:p>
    <w:p>
      <w:pPr>
        <w:sectPr>
          <w:pgSz w:w="11900" w:h="16838" w:orient="portrait"/>
          <w:cols w:equalWidth="0" w:num="1">
            <w:col w:w="10219"/>
          </w:cols>
          <w:pgMar w:left="240" w:top="919"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919"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17"/>
                <w:szCs w:val="17"/>
                <w:color w:val="auto"/>
              </w:rPr>
            </w:pPr>
          </w:p>
        </w:tc>
        <w:tc>
          <w:tcPr>
            <w:tcW w:w="4420" w:type="dxa"/>
            <w:vAlign w:val="bottom"/>
          </w:tcPr>
          <w:p>
            <w:pPr>
              <w:ind w:left="520"/>
              <w:spacing w:after="0"/>
              <w:rPr>
                <w:sz w:val="20"/>
                <w:szCs w:val="20"/>
                <w:color w:val="auto"/>
              </w:rPr>
            </w:pPr>
            <w:r>
              <w:rPr>
                <w:rFonts w:ascii="Courier New" w:cs="Courier New" w:eastAsia="Courier New" w:hAnsi="Courier New"/>
                <w:sz w:val="18"/>
                <w:szCs w:val="18"/>
                <w:color w:val="auto"/>
              </w:rPr>
              <w:t>HANSON CAPITAL PARTNERS, L.L.C.</w:t>
            </w:r>
          </w:p>
        </w:tc>
      </w:tr>
      <w:tr>
        <w:trPr>
          <w:trHeight w:val="810"/>
        </w:trPr>
        <w:tc>
          <w:tcPr>
            <w:tcW w:w="4020" w:type="dxa"/>
            <w:vAlign w:val="bottom"/>
          </w:tcPr>
          <w:p>
            <w:pPr>
              <w:jc w:val="right"/>
              <w:ind w:right="1612"/>
              <w:spacing w:after="0"/>
              <w:rPr>
                <w:sz w:val="20"/>
                <w:szCs w:val="20"/>
                <w:color w:val="auto"/>
              </w:rPr>
            </w:pPr>
            <w:r>
              <w:rPr>
                <w:rFonts w:ascii="Courier New" w:cs="Courier New" w:eastAsia="Courier New" w:hAnsi="Courier New"/>
                <w:sz w:val="18"/>
                <w:szCs w:val="18"/>
                <w:color w:val="auto"/>
              </w:rPr>
              <w:t>October 7, 2004</w:t>
            </w:r>
          </w:p>
        </w:tc>
        <w:tc>
          <w:tcPr>
            <w:tcW w:w="4420" w:type="dxa"/>
            <w:vAlign w:val="bottom"/>
          </w:tcPr>
          <w:p>
            <w:pPr>
              <w:ind w:left="520"/>
              <w:spacing w:after="0"/>
              <w:rPr>
                <w:sz w:val="20"/>
                <w:szCs w:val="20"/>
                <w:color w:val="auto"/>
              </w:rPr>
            </w:pPr>
            <w:r>
              <w:rPr>
                <w:rFonts w:ascii="Courier New" w:cs="Courier New" w:eastAsia="Courier New" w:hAnsi="Courier New"/>
                <w:sz w:val="18"/>
                <w:szCs w:val="18"/>
                <w:color w:val="auto"/>
              </w:rPr>
              <w:t>/s/ John V. Hanson</w:t>
            </w:r>
          </w:p>
        </w:tc>
      </w:tr>
      <w:tr>
        <w:trPr>
          <w:trHeight w:val="203"/>
        </w:trPr>
        <w:tc>
          <w:tcPr>
            <w:tcW w:w="40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7"/>
              </w:rPr>
              <w:t>- -------------------------------</w:t>
            </w:r>
          </w:p>
        </w:tc>
        <w:tc>
          <w:tcPr>
            <w:tcW w:w="442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jc w:val="right"/>
              <w:ind w:right="2132"/>
              <w:spacing w:after="0" w:line="203" w:lineRule="exact"/>
              <w:rPr>
                <w:sz w:val="20"/>
                <w:szCs w:val="20"/>
                <w:color w:val="auto"/>
              </w:rPr>
            </w:pPr>
            <w:r>
              <w:rPr>
                <w:rFonts w:ascii="Courier New" w:cs="Courier New" w:eastAsia="Courier New" w:hAnsi="Courier New"/>
                <w:sz w:val="18"/>
                <w:szCs w:val="18"/>
                <w:color w:val="auto"/>
              </w:rPr>
              <w:t>(Date)</w:t>
            </w:r>
          </w:p>
        </w:tc>
        <w:tc>
          <w:tcPr>
            <w:tcW w:w="4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John V. Hanson, as Managing Director</w:t>
            </w:r>
          </w:p>
        </w:tc>
      </w:tr>
      <w:tr>
        <w:trPr>
          <w:trHeight w:val="810"/>
        </w:trPr>
        <w:tc>
          <w:tcPr>
            <w:tcW w:w="4020" w:type="dxa"/>
            <w:vAlign w:val="bottom"/>
          </w:tcPr>
          <w:p>
            <w:pPr>
              <w:jc w:val="right"/>
              <w:ind w:right="1612"/>
              <w:spacing w:after="0"/>
              <w:rPr>
                <w:sz w:val="20"/>
                <w:szCs w:val="20"/>
                <w:color w:val="auto"/>
              </w:rPr>
            </w:pPr>
            <w:r>
              <w:rPr>
                <w:rFonts w:ascii="Courier New" w:cs="Courier New" w:eastAsia="Courier New" w:hAnsi="Courier New"/>
                <w:sz w:val="18"/>
                <w:szCs w:val="18"/>
                <w:color w:val="auto"/>
              </w:rPr>
              <w:t>October 7, 2004</w:t>
            </w:r>
          </w:p>
        </w:tc>
        <w:tc>
          <w:tcPr>
            <w:tcW w:w="4420" w:type="dxa"/>
            <w:vAlign w:val="bottom"/>
          </w:tcPr>
          <w:p>
            <w:pPr>
              <w:ind w:left="520"/>
              <w:spacing w:after="0"/>
              <w:rPr>
                <w:sz w:val="20"/>
                <w:szCs w:val="20"/>
                <w:color w:val="auto"/>
              </w:rPr>
            </w:pPr>
            <w:r>
              <w:rPr>
                <w:rFonts w:ascii="Courier New" w:cs="Courier New" w:eastAsia="Courier New" w:hAnsi="Courier New"/>
                <w:sz w:val="18"/>
                <w:szCs w:val="18"/>
                <w:color w:val="auto"/>
              </w:rPr>
              <w:t>/s/ Mary Joan Boman</w:t>
            </w:r>
          </w:p>
        </w:tc>
      </w:tr>
      <w:tr>
        <w:trPr>
          <w:trHeight w:val="203"/>
        </w:trPr>
        <w:tc>
          <w:tcPr>
            <w:tcW w:w="40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7"/>
              </w:rPr>
              <w:t>- -------------------------------</w:t>
            </w:r>
          </w:p>
        </w:tc>
        <w:tc>
          <w:tcPr>
            <w:tcW w:w="442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jc w:val="right"/>
              <w:ind w:right="2132"/>
              <w:spacing w:after="0" w:line="203" w:lineRule="exact"/>
              <w:rPr>
                <w:sz w:val="20"/>
                <w:szCs w:val="20"/>
                <w:color w:val="auto"/>
              </w:rPr>
            </w:pPr>
            <w:r>
              <w:rPr>
                <w:rFonts w:ascii="Courier New" w:cs="Courier New" w:eastAsia="Courier New" w:hAnsi="Courier New"/>
                <w:sz w:val="18"/>
                <w:szCs w:val="18"/>
                <w:color w:val="auto"/>
              </w:rPr>
              <w:t>(Date)</w:t>
            </w:r>
          </w:p>
        </w:tc>
        <w:tc>
          <w:tcPr>
            <w:tcW w:w="4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Mary Joan Boman, as Managing Director</w:t>
            </w:r>
          </w:p>
        </w:tc>
      </w:tr>
      <w:tr>
        <w:trPr>
          <w:trHeight w:val="810"/>
        </w:trPr>
        <w:tc>
          <w:tcPr>
            <w:tcW w:w="4020" w:type="dxa"/>
            <w:vAlign w:val="bottom"/>
          </w:tcPr>
          <w:p>
            <w:pPr>
              <w:jc w:val="right"/>
              <w:ind w:right="1612"/>
              <w:spacing w:after="0"/>
              <w:rPr>
                <w:sz w:val="20"/>
                <w:szCs w:val="20"/>
                <w:color w:val="auto"/>
              </w:rPr>
            </w:pPr>
            <w:r>
              <w:rPr>
                <w:rFonts w:ascii="Courier New" w:cs="Courier New" w:eastAsia="Courier New" w:hAnsi="Courier New"/>
                <w:sz w:val="18"/>
                <w:szCs w:val="18"/>
                <w:color w:val="auto"/>
              </w:rPr>
              <w:t>October 7, 2004</w:t>
            </w:r>
          </w:p>
        </w:tc>
        <w:tc>
          <w:tcPr>
            <w:tcW w:w="4420" w:type="dxa"/>
            <w:vAlign w:val="bottom"/>
          </w:tcPr>
          <w:p>
            <w:pPr>
              <w:ind w:left="520"/>
              <w:spacing w:after="0"/>
              <w:rPr>
                <w:sz w:val="20"/>
                <w:szCs w:val="20"/>
                <w:color w:val="auto"/>
              </w:rPr>
            </w:pPr>
            <w:r>
              <w:rPr>
                <w:rFonts w:ascii="Courier New" w:cs="Courier New" w:eastAsia="Courier New" w:hAnsi="Courier New"/>
                <w:sz w:val="18"/>
                <w:szCs w:val="18"/>
                <w:color w:val="auto"/>
              </w:rPr>
              <w:t>/s/ Paul D. Hanson</w:t>
            </w:r>
          </w:p>
        </w:tc>
      </w:tr>
      <w:tr>
        <w:trPr>
          <w:trHeight w:val="203"/>
        </w:trPr>
        <w:tc>
          <w:tcPr>
            <w:tcW w:w="40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7"/>
              </w:rPr>
              <w:t>- -------------------------------</w:t>
            </w:r>
          </w:p>
        </w:tc>
        <w:tc>
          <w:tcPr>
            <w:tcW w:w="442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jc w:val="right"/>
              <w:ind w:right="2132"/>
              <w:spacing w:after="0" w:line="203" w:lineRule="exact"/>
              <w:rPr>
                <w:sz w:val="20"/>
                <w:szCs w:val="20"/>
                <w:color w:val="auto"/>
              </w:rPr>
            </w:pPr>
            <w:r>
              <w:rPr>
                <w:rFonts w:ascii="Courier New" w:cs="Courier New" w:eastAsia="Courier New" w:hAnsi="Courier New"/>
                <w:sz w:val="18"/>
                <w:szCs w:val="18"/>
                <w:color w:val="auto"/>
              </w:rPr>
              <w:t>(Date)</w:t>
            </w:r>
          </w:p>
        </w:tc>
        <w:tc>
          <w:tcPr>
            <w:tcW w:w="4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Paul D. Hanson, as Managing Director</w:t>
            </w:r>
          </w:p>
        </w:tc>
      </w:tr>
    </w:tbl>
    <w:p>
      <w:pPr>
        <w:sectPr>
          <w:pgSz w:w="11900" w:h="16838" w:orient="portrait"/>
          <w:cols w:equalWidth="0" w:num="1">
            <w:col w:w="10219"/>
          </w:cols>
          <w:pgMar w:left="240" w:top="919" w:right="1440" w:bottom="1440" w:gutter="0" w:footer="0" w:header="0"/>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October 7,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820" w:space="720"/>
            <w:col w:w="5679"/>
          </w:cols>
          <w:pgMar w:left="240" w:top="919"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October 7,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820" w:space="720"/>
            <w:col w:w="5679"/>
          </w:cols>
          <w:pgMar w:left="240" w:top="919" w:right="1440" w:bottom="1440" w:gutter="0" w:footer="0" w:header="0"/>
          <w:type w:val="continuous"/>
        </w:sectPr>
      </w:pPr>
    </w:p>
    <w:bookmarkStart w:id="11" w:name="page12"/>
    <w:bookmarkEnd w:id="11"/>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October 7,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3820" w:space="720"/>
        <w:col w:w="567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4"/>
    </w:lvl>
  </w:abstractNum>
  <w:abstractNum w:abstractNumId="3">
    <w:nsid w:val="515F007C"/>
    <w:multiLevelType w:val="hybridMultilevel"/>
    <w:lvl w:ilvl="0">
      <w:lvlJc w:val="left"/>
      <w:lvlText w:val="(%1)"/>
      <w:numFmt w:val="decimal"/>
      <w:start w:val="5"/>
    </w:lvl>
  </w:abstractNum>
  <w:abstractNum w:abstractNumId="4">
    <w:nsid w:val="5BD062C2"/>
    <w:multiLevelType w:val="hybridMultilevel"/>
    <w:lvl w:ilvl="0">
      <w:lvlJc w:val="left"/>
      <w:lvlText w:val="(%1)"/>
      <w:numFmt w:val="decimal"/>
      <w:start w:val="6"/>
    </w:lvl>
  </w:abstractNum>
  <w:abstractNum w:abstractNumId="5">
    <w:nsid w:val="12200854"/>
    <w:multiLevelType w:val="hybridMultilevel"/>
    <w:lvl w:ilvl="0">
      <w:lvlJc w:val="left"/>
      <w:lvlText w:val="(%1)"/>
      <w:numFmt w:val="decimal"/>
      <w:start w:val="10"/>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1"/>
    </w:lvl>
  </w:abstractNum>
  <w:abstractNum w:abstractNumId="8">
    <w:nsid w:val="1F16E9E8"/>
    <w:multiLevelType w:val="hybridMultilevel"/>
    <w:lvl w:ilvl="0">
      <w:lvlJc w:val="left"/>
      <w:lvlText w:val="(%1)"/>
      <w:numFmt w:val="decimal"/>
      <w:start w:val="13"/>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2)"/>
      <w:numFmt w:val="lowerRoman"/>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2019-12-13T08:25:58Z</dcterms:created>
  <dcterms:modified xsi:type="dcterms:W3CDTF">2019-12-13T08:25:58Z</dcterms:modified>
</cp:coreProperties>
</file>