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791845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688975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2"/>
          <w:szCs w:val="22"/>
          <w:b w:val="1"/>
          <w:bCs w:val="1"/>
          <w:color w:val="auto"/>
        </w:rPr>
        <w:t>UNITED STATES</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229235</wp:posOffset>
            </wp:positionV>
            <wp:extent cx="1235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47"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45085</wp:posOffset>
            </wp:positionV>
            <wp:extent cx="1235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ind w:left="40"/>
        <w:spacing w:after="0"/>
        <w:rPr>
          <w:sz w:val="20"/>
          <w:szCs w:val="20"/>
          <w:color w:val="auto"/>
        </w:rPr>
      </w:pPr>
      <w:r>
        <w:rPr>
          <w:rFonts w:ascii="Arial" w:cs="Arial" w:eastAsia="Arial" w:hAnsi="Arial"/>
          <w:sz w:val="16"/>
          <w:szCs w:val="16"/>
          <w:color w:val="auto"/>
        </w:rPr>
        <w:t>(Mark One)</w:t>
      </w:r>
    </w:p>
    <w:p>
      <w:pPr>
        <w:spacing w:after="0" w:line="18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x</w:t>
      </w:r>
    </w:p>
    <w:p>
      <w:pPr>
        <w:spacing w:after="0" w:line="7" w:lineRule="exact"/>
        <w:rPr>
          <w:sz w:val="24"/>
          <w:szCs w:val="24"/>
          <w:color w:val="auto"/>
        </w:rPr>
      </w:pPr>
    </w:p>
    <w:p>
      <w:pPr>
        <w:ind w:left="500"/>
        <w:spacing w:after="0"/>
        <w:rPr>
          <w:sz w:val="20"/>
          <w:szCs w:val="20"/>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20" w:lineRule="exact"/>
        <w:rPr>
          <w:sz w:val="24"/>
          <w:szCs w:val="24"/>
          <w:color w:val="auto"/>
        </w:rPr>
      </w:pPr>
    </w:p>
    <w:p>
      <w:pPr>
        <w:ind w:left="3940"/>
        <w:spacing w:after="0"/>
        <w:rPr>
          <w:sz w:val="20"/>
          <w:szCs w:val="20"/>
          <w:color w:val="auto"/>
        </w:rPr>
      </w:pPr>
      <w:r>
        <w:rPr>
          <w:rFonts w:ascii="Arial" w:cs="Arial" w:eastAsia="Arial" w:hAnsi="Arial"/>
          <w:sz w:val="16"/>
          <w:szCs w:val="16"/>
          <w:color w:val="auto"/>
        </w:rPr>
        <w:t>For the quarterly period ended February 23, 2019</w:t>
      </w:r>
    </w:p>
    <w:p>
      <w:pPr>
        <w:spacing w:after="0" w:line="181"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or</w:t>
      </w:r>
    </w:p>
    <w:p>
      <w:pPr>
        <w:spacing w:after="0" w:line="206" w:lineRule="exact"/>
        <w:rPr>
          <w:sz w:val="24"/>
          <w:szCs w:val="24"/>
          <w:color w:val="auto"/>
        </w:rPr>
      </w:pPr>
    </w:p>
    <w:p>
      <w:pPr>
        <w:ind w:left="2960" w:right="2680" w:hanging="2925"/>
        <w:spacing w:after="0" w:line="509" w:lineRule="auto"/>
        <w:tabs>
          <w:tab w:leader="none" w:pos="387" w:val="left"/>
        </w:tabs>
        <w:numPr>
          <w:ilvl w:val="0"/>
          <w:numId w:val="1"/>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 to _________________</w:t>
      </w:r>
    </w:p>
    <w:p>
      <w:pPr>
        <w:spacing w:after="0" w:line="1" w:lineRule="exact"/>
        <w:rPr>
          <w:rFonts w:ascii="Times New Roman" w:cs="Times New Roman" w:eastAsia="Times New Roman" w:hAnsi="Times New Roman"/>
          <w:sz w:val="16"/>
          <w:szCs w:val="16"/>
          <w:color w:val="auto"/>
        </w:rPr>
      </w:pPr>
    </w:p>
    <w:p>
      <w:pPr>
        <w:ind w:left="4320"/>
        <w:spacing w:after="0"/>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2114550</wp:posOffset>
            </wp:positionH>
            <wp:positionV relativeFrom="paragraph">
              <wp:posOffset>144780</wp:posOffset>
            </wp:positionV>
            <wp:extent cx="3027045" cy="420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2704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WINNEBAGO INDUSTRIES, INC.</w:t>
      </w:r>
    </w:p>
    <w:p>
      <w:pPr>
        <w:spacing w:after="0" w:line="91"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(Exact name of registrant as specified in its charter)</w:t>
      </w:r>
    </w:p>
    <w:p>
      <w:pPr>
        <w:spacing w:after="0" w:line="216" w:lineRule="exact"/>
        <w:rPr>
          <w:sz w:val="24"/>
          <w:szCs w:val="24"/>
          <w:color w:val="auto"/>
        </w:rPr>
      </w:pPr>
    </w:p>
    <w:tbl>
      <w:tblPr>
        <w:tblLayout w:type="fixed"/>
        <w:tblInd w:w="1020" w:type="dxa"/>
        <w:tblCellMar>
          <w:top w:w="0" w:type="dxa"/>
          <w:left w:w="0" w:type="dxa"/>
          <w:bottom w:w="0" w:type="dxa"/>
          <w:right w:w="0" w:type="dxa"/>
        </w:tblCellMar>
      </w:tblPr>
      <w:tr>
        <w:trPr>
          <w:trHeight w:val="232"/>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760" w:type="dxa"/>
            <w:vAlign w:val="bottom"/>
          </w:tcPr>
          <w:p>
            <w:pPr>
              <w:spacing w:after="0"/>
              <w:rPr>
                <w:sz w:val="20"/>
                <w:szCs w:val="20"/>
                <w:color w:val="auto"/>
              </w:rPr>
            </w:pPr>
          </w:p>
        </w:tc>
        <w:tc>
          <w:tcPr>
            <w:tcW w:w="4340" w:type="dxa"/>
            <w:vAlign w:val="bottom"/>
            <w:tcBorders>
              <w:bottom w:val="single" w:sz="8" w:color="auto"/>
            </w:tcBorders>
          </w:tcPr>
          <w:p>
            <w:pPr>
              <w:jc w:val="right"/>
              <w:ind w:right="1659"/>
              <w:spacing w:after="0"/>
              <w:rPr>
                <w:sz w:val="20"/>
                <w:szCs w:val="20"/>
                <w:color w:val="auto"/>
              </w:rPr>
            </w:pPr>
            <w:r>
              <w:rPr>
                <w:rFonts w:ascii="Arial" w:cs="Arial" w:eastAsia="Arial" w:hAnsi="Arial"/>
                <w:sz w:val="16"/>
                <w:szCs w:val="16"/>
                <w:b w:val="1"/>
                <w:bCs w:val="1"/>
                <w:color w:val="auto"/>
              </w:rPr>
              <w:t>42-0802678</w:t>
            </w:r>
          </w:p>
        </w:tc>
      </w:tr>
      <w:tr>
        <w:trPr>
          <w:trHeight w:val="238"/>
        </w:trPr>
        <w:tc>
          <w:tcPr>
            <w:tcW w:w="5060" w:type="dxa"/>
            <w:vAlign w:val="bottom"/>
            <w:gridSpan w:val="2"/>
          </w:tcPr>
          <w:p>
            <w:pPr>
              <w:ind w:left="20"/>
              <w:spacing w:after="0"/>
              <w:rPr>
                <w:sz w:val="20"/>
                <w:szCs w:val="20"/>
                <w:color w:val="auto"/>
              </w:rPr>
            </w:pPr>
            <w:r>
              <w:rPr>
                <w:rFonts w:ascii="Arial" w:cs="Arial" w:eastAsia="Arial" w:hAnsi="Arial"/>
                <w:sz w:val="16"/>
                <w:szCs w:val="16"/>
                <w:color w:val="auto"/>
              </w:rPr>
              <w:t>(State or other jurisdiction of incorporation or organization)</w:t>
            </w:r>
          </w:p>
        </w:tc>
        <w:tc>
          <w:tcPr>
            <w:tcW w:w="434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579"/>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 O. Box 152, Forest City, Iowa</w:t>
            </w:r>
          </w:p>
        </w:tc>
        <w:tc>
          <w:tcPr>
            <w:tcW w:w="760" w:type="dxa"/>
            <w:vAlign w:val="bottom"/>
          </w:tcPr>
          <w:p>
            <w:pPr>
              <w:spacing w:after="0"/>
              <w:rPr>
                <w:sz w:val="24"/>
                <w:szCs w:val="24"/>
                <w:color w:val="auto"/>
              </w:rPr>
            </w:pPr>
          </w:p>
        </w:tc>
        <w:tc>
          <w:tcPr>
            <w:tcW w:w="4340" w:type="dxa"/>
            <w:vAlign w:val="bottom"/>
            <w:tcBorders>
              <w:bottom w:val="single" w:sz="8" w:color="auto"/>
            </w:tcBorders>
          </w:tcPr>
          <w:p>
            <w:pPr>
              <w:jc w:val="right"/>
              <w:ind w:right="1879"/>
              <w:spacing w:after="0"/>
              <w:rPr>
                <w:sz w:val="20"/>
                <w:szCs w:val="20"/>
                <w:color w:val="auto"/>
              </w:rPr>
            </w:pPr>
            <w:r>
              <w:rPr>
                <w:rFonts w:ascii="Arial" w:cs="Arial" w:eastAsia="Arial" w:hAnsi="Arial"/>
                <w:sz w:val="16"/>
                <w:szCs w:val="16"/>
                <w:b w:val="1"/>
                <w:bCs w:val="1"/>
                <w:color w:val="auto"/>
              </w:rPr>
              <w:t>50436</w:t>
            </w:r>
          </w:p>
        </w:tc>
      </w:tr>
      <w:tr>
        <w:trPr>
          <w:trHeight w:val="238"/>
        </w:trPr>
        <w:tc>
          <w:tcPr>
            <w:tcW w:w="5060" w:type="dxa"/>
            <w:vAlign w:val="bottom"/>
            <w:gridSpan w:val="2"/>
          </w:tcPr>
          <w:p>
            <w:pPr>
              <w:jc w:val="center"/>
              <w:ind w:right="760"/>
              <w:spacing w:after="0"/>
              <w:rPr>
                <w:sz w:val="20"/>
                <w:szCs w:val="20"/>
                <w:color w:val="auto"/>
              </w:rPr>
            </w:pPr>
            <w:r>
              <w:rPr>
                <w:rFonts w:ascii="Arial" w:cs="Arial" w:eastAsia="Arial" w:hAnsi="Arial"/>
                <w:sz w:val="16"/>
                <w:szCs w:val="16"/>
                <w:color w:val="auto"/>
              </w:rPr>
              <w:t>(Address of principal executive offices)</w:t>
            </w:r>
          </w:p>
        </w:tc>
        <w:tc>
          <w:tcPr>
            <w:tcW w:w="434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20"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(641) 585-3535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33020</wp:posOffset>
            </wp:positionV>
            <wp:extent cx="2418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pacing w:after="0" w:line="35" w:lineRule="exact"/>
        <w:rPr>
          <w:sz w:val="24"/>
          <w:szCs w:val="24"/>
          <w:color w:val="auto"/>
        </w:rPr>
      </w:pPr>
    </w:p>
    <w:p>
      <w:pPr>
        <w:jc w:val="both"/>
        <w:ind w:right="100"/>
        <w:spacing w:after="0" w:line="267"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cs="Times New Roman" w:eastAsia="Times New Roman" w:hAnsi="Times New Roman"/>
          <w:sz w:val="16"/>
          <w:szCs w:val="16"/>
          <w:color w:val="auto"/>
        </w:rPr>
        <w:t>x</w:t>
      </w:r>
      <w:r>
        <w:rPr>
          <w:rFonts w:ascii="Arial" w:cs="Arial" w:eastAsia="Arial" w:hAnsi="Arial"/>
          <w:sz w:val="16"/>
          <w:szCs w:val="16"/>
          <w:color w:val="auto"/>
        </w:rPr>
        <w:t xml:space="preserve"> No </w:t>
      </w:r>
      <w:r>
        <w:rPr>
          <w:rFonts w:ascii="Times New Roman" w:cs="Times New Roman" w:eastAsia="Times New Roman" w:hAnsi="Times New Roman"/>
          <w:sz w:val="16"/>
          <w:szCs w:val="16"/>
          <w:color w:val="auto"/>
        </w:rPr>
        <w:t>o</w:t>
      </w: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Times New Roman" w:cs="Times New Roman" w:eastAsia="Times New Roman" w:hAnsi="Times New Roman"/>
          <w:sz w:val="16"/>
          <w:szCs w:val="16"/>
          <w:color w:val="auto"/>
        </w:rPr>
        <w:t xml:space="preserve">x </w:t>
      </w:r>
      <w:r>
        <w:rPr>
          <w:rFonts w:ascii="Arial" w:cs="Arial" w:eastAsia="Arial" w:hAnsi="Arial"/>
          <w:sz w:val="16"/>
          <w:szCs w:val="16"/>
          <w:color w:val="auto"/>
        </w:rPr>
        <w:t>No</w:t>
      </w:r>
      <w:r>
        <w:rPr>
          <w:rFonts w:ascii="Times New Roman" w:cs="Times New Roman" w:eastAsia="Times New Roman" w:hAnsi="Times New Roman"/>
          <w:sz w:val="16"/>
          <w:szCs w:val="16"/>
          <w:color w:val="auto"/>
        </w:rPr>
        <w:t xml:space="preserve"> o</w:t>
      </w:r>
    </w:p>
    <w:p>
      <w:pPr>
        <w:spacing w:after="0" w:line="219" w:lineRule="exact"/>
        <w:rPr>
          <w:sz w:val="24"/>
          <w:szCs w:val="24"/>
          <w:color w:val="auto"/>
        </w:rPr>
      </w:pPr>
    </w:p>
    <w:p>
      <w:pPr>
        <w:ind w:right="16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4" w:lineRule="exact"/>
        <w:rPr>
          <w:sz w:val="24"/>
          <w:szCs w:val="24"/>
          <w:color w:val="auto"/>
        </w:rPr>
      </w:pPr>
    </w:p>
    <w:tbl>
      <w:tblPr>
        <w:tblLayout w:type="fixed"/>
        <w:tblInd w:w="40" w:type="dxa"/>
        <w:tblCellMar>
          <w:top w:w="0" w:type="dxa"/>
          <w:left w:w="0" w:type="dxa"/>
          <w:bottom w:w="0" w:type="dxa"/>
          <w:right w:w="0" w:type="dxa"/>
        </w:tblCellMar>
      </w:tblPr>
      <w:tr>
        <w:trPr>
          <w:trHeight w:val="248"/>
        </w:trPr>
        <w:tc>
          <w:tcPr>
            <w:tcW w:w="2640" w:type="dxa"/>
            <w:vAlign w:val="bottom"/>
          </w:tcPr>
          <w:p>
            <w:pPr>
              <w:spacing w:after="0"/>
              <w:rPr>
                <w:sz w:val="20"/>
                <w:szCs w:val="20"/>
                <w:color w:val="auto"/>
              </w:rPr>
            </w:pPr>
            <w:r>
              <w:rPr>
                <w:rFonts w:ascii="Arial" w:cs="Arial" w:eastAsia="Arial" w:hAnsi="Arial"/>
                <w:sz w:val="16"/>
                <w:szCs w:val="16"/>
                <w:color w:val="auto"/>
              </w:rPr>
              <w:t xml:space="preserve">Large accelerated filer </w:t>
            </w:r>
            <w:r>
              <w:rPr>
                <w:rFonts w:ascii="Times New Roman" w:cs="Times New Roman" w:eastAsia="Times New Roman" w:hAnsi="Times New Roman"/>
                <w:sz w:val="18"/>
                <w:szCs w:val="18"/>
                <w:color w:val="auto"/>
              </w:rPr>
              <w:t>x</w:t>
            </w:r>
          </w:p>
        </w:tc>
        <w:tc>
          <w:tcPr>
            <w:tcW w:w="3360" w:type="dxa"/>
            <w:vAlign w:val="bottom"/>
          </w:tcPr>
          <w:p>
            <w:pPr>
              <w:ind w:left="560"/>
              <w:spacing w:after="0"/>
              <w:rPr>
                <w:sz w:val="20"/>
                <w:szCs w:val="20"/>
                <w:color w:val="auto"/>
              </w:rPr>
            </w:pPr>
            <w:r>
              <w:rPr>
                <w:rFonts w:ascii="Arial" w:cs="Arial" w:eastAsia="Arial" w:hAnsi="Arial"/>
                <w:sz w:val="16"/>
                <w:szCs w:val="16"/>
                <w:color w:val="auto"/>
              </w:rPr>
              <w:t xml:space="preserve">Accelerated filer </w:t>
            </w:r>
            <w:r>
              <w:rPr>
                <w:rFonts w:ascii="Times New Roman" w:cs="Times New Roman" w:eastAsia="Times New Roman" w:hAnsi="Times New Roman"/>
                <w:sz w:val="18"/>
                <w:szCs w:val="18"/>
                <w:color w:val="auto"/>
              </w:rPr>
              <w:t>o</w:t>
            </w:r>
          </w:p>
        </w:tc>
        <w:tc>
          <w:tcPr>
            <w:tcW w:w="2380" w:type="dxa"/>
            <w:vAlign w:val="bottom"/>
          </w:tcPr>
          <w:p>
            <w:pPr>
              <w:ind w:left="720"/>
              <w:spacing w:after="0"/>
              <w:rPr>
                <w:sz w:val="20"/>
                <w:szCs w:val="20"/>
                <w:color w:val="auto"/>
              </w:rPr>
            </w:pPr>
            <w:r>
              <w:rPr>
                <w:rFonts w:ascii="Arial" w:cs="Arial" w:eastAsia="Arial" w:hAnsi="Arial"/>
                <w:sz w:val="16"/>
                <w:szCs w:val="16"/>
                <w:color w:val="auto"/>
              </w:rPr>
              <w:t xml:space="preserve">Non-accelerated filer </w:t>
            </w:r>
            <w:r>
              <w:rPr>
                <w:rFonts w:ascii="Times New Roman" w:cs="Times New Roman" w:eastAsia="Times New Roman" w:hAnsi="Times New Roman"/>
                <w:sz w:val="18"/>
                <w:szCs w:val="18"/>
                <w:color w:val="auto"/>
              </w:rPr>
              <w:t>o</w:t>
            </w:r>
          </w:p>
        </w:tc>
      </w:tr>
      <w:tr>
        <w:trPr>
          <w:trHeight w:val="297"/>
        </w:trPr>
        <w:tc>
          <w:tcPr>
            <w:tcW w:w="2640" w:type="dxa"/>
            <w:vAlign w:val="bottom"/>
          </w:tcPr>
          <w:p>
            <w:pPr>
              <w:spacing w:after="0"/>
              <w:rPr>
                <w:sz w:val="20"/>
                <w:szCs w:val="20"/>
                <w:color w:val="auto"/>
              </w:rPr>
            </w:pPr>
            <w:r>
              <w:rPr>
                <w:rFonts w:ascii="Arial" w:cs="Arial" w:eastAsia="Arial" w:hAnsi="Arial"/>
                <w:sz w:val="16"/>
                <w:szCs w:val="16"/>
                <w:color w:val="auto"/>
              </w:rPr>
              <w:t xml:space="preserve">Smaller reporting company </w:t>
            </w:r>
            <w:r>
              <w:rPr>
                <w:rFonts w:ascii="Times New Roman" w:cs="Times New Roman" w:eastAsia="Times New Roman" w:hAnsi="Times New Roman"/>
                <w:sz w:val="18"/>
                <w:szCs w:val="18"/>
                <w:color w:val="auto"/>
              </w:rPr>
              <w:t>o</w:t>
            </w:r>
          </w:p>
        </w:tc>
        <w:tc>
          <w:tcPr>
            <w:tcW w:w="3360" w:type="dxa"/>
            <w:vAlign w:val="bottom"/>
          </w:tcPr>
          <w:p>
            <w:pPr>
              <w:ind w:left="560"/>
              <w:spacing w:after="0"/>
              <w:rPr>
                <w:sz w:val="20"/>
                <w:szCs w:val="20"/>
                <w:color w:val="auto"/>
              </w:rPr>
            </w:pPr>
            <w:r>
              <w:rPr>
                <w:rFonts w:ascii="Arial" w:cs="Arial" w:eastAsia="Arial" w:hAnsi="Arial"/>
                <w:sz w:val="16"/>
                <w:szCs w:val="16"/>
                <w:color w:val="auto"/>
              </w:rPr>
              <w:t xml:space="preserve">Emerging growth company </w:t>
            </w:r>
            <w:r>
              <w:rPr>
                <w:rFonts w:ascii="Times New Roman" w:cs="Times New Roman" w:eastAsia="Times New Roman" w:hAnsi="Times New Roman"/>
                <w:sz w:val="18"/>
                <w:szCs w:val="18"/>
                <w:color w:val="auto"/>
              </w:rPr>
              <w:t>o</w:t>
            </w:r>
          </w:p>
        </w:tc>
        <w:tc>
          <w:tcPr>
            <w:tcW w:w="2380" w:type="dxa"/>
            <w:vAlign w:val="bottom"/>
          </w:tcPr>
          <w:p>
            <w:pPr>
              <w:spacing w:after="0"/>
              <w:rPr>
                <w:sz w:val="24"/>
                <w:szCs w:val="24"/>
                <w:color w:val="auto"/>
              </w:rPr>
            </w:pPr>
          </w:p>
        </w:tc>
      </w:tr>
    </w:tbl>
    <w:p>
      <w:pPr>
        <w:spacing w:after="0" w:line="117" w:lineRule="exact"/>
        <w:rPr>
          <w:sz w:val="24"/>
          <w:szCs w:val="24"/>
          <w:color w:val="auto"/>
        </w:rPr>
      </w:pPr>
    </w:p>
    <w:p>
      <w:pPr>
        <w:ind w:right="260"/>
        <w:spacing w:after="0" w:line="290"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cs="Times New Roman" w:eastAsia="Times New Roman" w:hAnsi="Times New Roman"/>
          <w:sz w:val="16"/>
          <w:szCs w:val="16"/>
          <w:color w:val="auto"/>
        </w:rPr>
        <w:t>o</w:t>
      </w:r>
    </w:p>
    <w:p>
      <w:pPr>
        <w:spacing w:after="0" w:line="95" w:lineRule="exact"/>
        <w:rPr>
          <w:sz w:val="24"/>
          <w:szCs w:val="24"/>
          <w:color w:val="auto"/>
        </w:rPr>
      </w:pPr>
    </w:p>
    <w:p>
      <w:pPr>
        <w:ind w:right="2460"/>
        <w:spacing w:after="0" w:line="502" w:lineRule="auto"/>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Times New Roman" w:cs="Times New Roman" w:eastAsia="Times New Roman" w:hAnsi="Times New Roman"/>
          <w:sz w:val="16"/>
          <w:szCs w:val="16"/>
          <w:color w:val="auto"/>
        </w:rPr>
        <w:t>o</w:t>
      </w:r>
      <w:r>
        <w:rPr>
          <w:rFonts w:ascii="Arial" w:cs="Arial" w:eastAsia="Arial" w:hAnsi="Arial"/>
          <w:sz w:val="16"/>
          <w:szCs w:val="16"/>
          <w:color w:val="auto"/>
        </w:rPr>
        <w:t xml:space="preserve"> No </w:t>
      </w:r>
      <w:r>
        <w:rPr>
          <w:rFonts w:ascii="Times New Roman" w:cs="Times New Roman" w:eastAsia="Times New Roman" w:hAnsi="Times New Roman"/>
          <w:sz w:val="16"/>
          <w:szCs w:val="16"/>
          <w:color w:val="auto"/>
        </w:rPr>
        <w:t>x</w:t>
      </w:r>
      <w:r>
        <w:rPr>
          <w:rFonts w:ascii="Arial" w:cs="Arial" w:eastAsia="Arial" w:hAnsi="Arial"/>
          <w:sz w:val="16"/>
          <w:szCs w:val="16"/>
          <w:color w:val="auto"/>
        </w:rPr>
        <w:t xml:space="preserve"> The number of shares of common stock, par value $0.50 per share, outstanding on March 20, 2019 was 31,873,494.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22"/>
          <w:szCs w:val="22"/>
          <w:b w:val="1"/>
          <w:bCs w:val="1"/>
          <w:color w:val="auto"/>
        </w:rPr>
        <w:t>Winnebago Industries, Inc.</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Table of Contents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 w:type="dxa"/>
            <w:vAlign w:val="bottom"/>
          </w:tcPr>
          <w:p>
            <w:pPr>
              <w:spacing w:after="0"/>
              <w:rPr>
                <w:rFonts w:ascii="Arial" w:cs="Arial" w:eastAsia="Arial" w:hAnsi="Arial"/>
                <w:sz w:val="16"/>
                <w:szCs w:val="16"/>
                <w:b w:val="1"/>
                <w:bCs w:val="1"/>
                <w:color w:val="0000EE"/>
                <w:w w:val="80"/>
              </w:rPr>
            </w:pPr>
            <w:hyperlink w:anchor="page3">
              <w:r>
                <w:rPr>
                  <w:rFonts w:ascii="Arial" w:cs="Arial" w:eastAsia="Arial" w:hAnsi="Arial"/>
                  <w:sz w:val="16"/>
                  <w:szCs w:val="16"/>
                  <w:b w:val="1"/>
                  <w:bCs w:val="1"/>
                  <w:color w:val="0000EE"/>
                  <w:w w:val="80"/>
                </w:rPr>
                <w:t>PART I.</w:t>
              </w:r>
            </w:hyperlink>
          </w:p>
        </w:tc>
        <w:tc>
          <w:tcPr>
            <w:tcW w:w="240" w:type="dxa"/>
            <w:vAlign w:val="bottom"/>
          </w:tcPr>
          <w:p>
            <w:pPr>
              <w:spacing w:after="0"/>
              <w:rPr>
                <w:sz w:val="16"/>
                <w:szCs w:val="16"/>
                <w:color w:val="auto"/>
              </w:rPr>
            </w:pPr>
          </w:p>
        </w:tc>
        <w:tc>
          <w:tcPr>
            <w:tcW w:w="6600" w:type="dxa"/>
            <w:vAlign w:val="bottom"/>
            <w:gridSpan w:val="12"/>
          </w:tcPr>
          <w:p>
            <w:pPr>
              <w:ind w:left="180"/>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FINANCIAL INFORMATION.</w:t>
              </w:r>
            </w:hyperlink>
          </w:p>
        </w:tc>
        <w:tc>
          <w:tcPr>
            <w:tcW w:w="4020" w:type="dxa"/>
            <w:vAlign w:val="bottom"/>
            <w:gridSpan w:val="3"/>
          </w:tcPr>
          <w:p>
            <w:pPr>
              <w:jc w:val="right"/>
              <w:spacing w:after="0"/>
              <w:rPr>
                <w:rFonts w:ascii="Arial" w:cs="Arial" w:eastAsia="Arial" w:hAnsi="Arial"/>
                <w:sz w:val="16"/>
                <w:szCs w:val="16"/>
                <w:color w:val="0000EE"/>
              </w:rPr>
            </w:pPr>
            <w:hyperlink w:anchor="page3">
              <w:r>
                <w:rPr>
                  <w:rFonts w:ascii="Arial" w:cs="Arial" w:eastAsia="Arial" w:hAnsi="Arial"/>
                  <w:sz w:val="16"/>
                  <w:szCs w:val="16"/>
                  <w:color w:val="0000EE"/>
                </w:rPr>
                <w:t>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23"/>
        </w:trPr>
        <w:tc>
          <w:tcPr>
            <w:tcW w:w="500" w:type="dxa"/>
            <w:vAlign w:val="bottom"/>
          </w:tcPr>
          <w:p>
            <w:pPr>
              <w:spacing w:after="0"/>
              <w:rPr>
                <w:rFonts w:ascii="Arial" w:cs="Arial" w:eastAsia="Arial" w:hAnsi="Arial"/>
                <w:sz w:val="16"/>
                <w:szCs w:val="16"/>
                <w:color w:val="0000EE"/>
                <w:w w:val="93"/>
              </w:rPr>
            </w:pPr>
            <w:hyperlink w:anchor="page3">
              <w:r>
                <w:rPr>
                  <w:rFonts w:ascii="Arial" w:cs="Arial" w:eastAsia="Arial" w:hAnsi="Arial"/>
                  <w:sz w:val="16"/>
                  <w:szCs w:val="16"/>
                  <w:color w:val="0000EE"/>
                  <w:w w:val="93"/>
                </w:rPr>
                <w:t>Item 1.</w:t>
              </w:r>
            </w:hyperlink>
          </w:p>
        </w:tc>
        <w:tc>
          <w:tcPr>
            <w:tcW w:w="240" w:type="dxa"/>
            <w:vAlign w:val="bottom"/>
          </w:tcPr>
          <w:p>
            <w:pPr>
              <w:spacing w:after="0"/>
              <w:rPr>
                <w:sz w:val="19"/>
                <w:szCs w:val="19"/>
                <w:color w:val="auto"/>
              </w:rPr>
            </w:pPr>
          </w:p>
        </w:tc>
        <w:tc>
          <w:tcPr>
            <w:tcW w:w="6600" w:type="dxa"/>
            <w:vAlign w:val="bottom"/>
            <w:gridSpan w:val="12"/>
          </w:tcPr>
          <w:p>
            <w:pPr>
              <w:ind w:left="180"/>
              <w:spacing w:after="0"/>
              <w:rPr>
                <w:rFonts w:ascii="Arial" w:cs="Arial" w:eastAsia="Arial" w:hAnsi="Arial"/>
                <w:sz w:val="16"/>
                <w:szCs w:val="16"/>
                <w:color w:val="0000EE"/>
              </w:rPr>
            </w:pPr>
            <w:hyperlink w:anchor="page3">
              <w:r>
                <w:rPr>
                  <w:rFonts w:ascii="Arial" w:cs="Arial" w:eastAsia="Arial" w:hAnsi="Arial"/>
                  <w:sz w:val="16"/>
                  <w:szCs w:val="16"/>
                  <w:color w:val="0000EE"/>
                </w:rPr>
                <w:t>Condensed Consolidated Financial Statements.</w:t>
              </w:r>
            </w:hyperlink>
          </w:p>
        </w:tc>
        <w:tc>
          <w:tcPr>
            <w:tcW w:w="4020" w:type="dxa"/>
            <w:vAlign w:val="bottom"/>
            <w:gridSpan w:val="3"/>
          </w:tcPr>
          <w:p>
            <w:pPr>
              <w:jc w:val="right"/>
              <w:spacing w:after="0"/>
              <w:rPr>
                <w:rFonts w:ascii="Arial" w:cs="Arial" w:eastAsia="Arial" w:hAnsi="Arial"/>
                <w:sz w:val="16"/>
                <w:szCs w:val="16"/>
                <w:color w:val="0000EE"/>
              </w:rPr>
            </w:pPr>
            <w:hyperlink w:anchor="page3">
              <w:r>
                <w:rPr>
                  <w:rFonts w:ascii="Arial" w:cs="Arial" w:eastAsia="Arial" w:hAnsi="Arial"/>
                  <w:sz w:val="16"/>
                  <w:szCs w:val="16"/>
                  <w:color w:val="0000EE"/>
                </w:rPr>
                <w:t>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23"/>
        </w:trPr>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180" w:type="dxa"/>
            <w:vAlign w:val="bottom"/>
            <w:gridSpan w:val="10"/>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Condensed Consolidated Statements of Income and Comprehensive Income</w:t>
              </w:r>
            </w:hyperlink>
          </w:p>
        </w:tc>
        <w:tc>
          <w:tcPr>
            <w:tcW w:w="4020" w:type="dxa"/>
            <w:vAlign w:val="bottom"/>
            <w:gridSpan w:val="3"/>
          </w:tcPr>
          <w:p>
            <w:pPr>
              <w:jc w:val="right"/>
              <w:spacing w:after="0"/>
              <w:rPr>
                <w:rFonts w:ascii="Arial" w:cs="Arial" w:eastAsia="Arial" w:hAnsi="Arial"/>
                <w:sz w:val="16"/>
                <w:szCs w:val="16"/>
                <w:color w:val="0000EE"/>
              </w:rPr>
            </w:pPr>
            <w:hyperlink w:anchor="page3">
              <w:r>
                <w:rPr>
                  <w:rFonts w:ascii="Arial" w:cs="Arial" w:eastAsia="Arial" w:hAnsi="Arial"/>
                  <w:sz w:val="16"/>
                  <w:szCs w:val="16"/>
                  <w:color w:val="0000EE"/>
                </w:rPr>
                <w:t>3</w:t>
              </w:r>
            </w:hyperlink>
          </w:p>
        </w:tc>
      </w:tr>
      <w:tr>
        <w:trPr>
          <w:trHeight w:val="250"/>
        </w:trPr>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0" w:type="dxa"/>
            <w:vAlign w:val="bottom"/>
            <w:tcBorders>
              <w:top w:val="single" w:sz="8" w:color="0000EE"/>
              <w:bottom w:val="single" w:sz="8" w:color="0000EE"/>
            </w:tcBorders>
            <w:gridSpan w:val="3"/>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Condensed Consolidated Balance Sheets</w:t>
              </w:r>
            </w:hyperlink>
          </w:p>
        </w:tc>
        <w:tc>
          <w:tcPr>
            <w:tcW w:w="2500" w:type="dxa"/>
            <w:vAlign w:val="bottom"/>
            <w:tcBorders>
              <w:top w:val="single" w:sz="8" w:color="0000EE"/>
            </w:tcBorders>
            <w:gridSpan w:val="6"/>
          </w:tcPr>
          <w:p>
            <w:pPr>
              <w:spacing w:after="0"/>
              <w:rPr>
                <w:sz w:val="21"/>
                <w:szCs w:val="21"/>
                <w:color w:val="auto"/>
              </w:rPr>
            </w:pPr>
          </w:p>
        </w:tc>
        <w:tc>
          <w:tcPr>
            <w:tcW w:w="680" w:type="dxa"/>
            <w:vAlign w:val="bottom"/>
          </w:tcPr>
          <w:p>
            <w:pPr>
              <w:spacing w:after="0"/>
              <w:rPr>
                <w:sz w:val="21"/>
                <w:szCs w:val="21"/>
                <w:color w:val="auto"/>
              </w:rPr>
            </w:pPr>
          </w:p>
        </w:tc>
        <w:tc>
          <w:tcPr>
            <w:tcW w:w="392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4</w:t>
              </w:r>
            </w:hyperlink>
          </w:p>
        </w:tc>
      </w:tr>
      <w:tr>
        <w:trPr>
          <w:trHeight w:val="250"/>
        </w:trPr>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760" w:type="dxa"/>
            <w:vAlign w:val="bottom"/>
            <w:tcBorders>
              <w:bottom w:val="single" w:sz="8" w:color="0000EE"/>
            </w:tcBorders>
            <w:gridSpan w:val="5"/>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Condensed Consolidated Statements of Cash Flows</w:t>
              </w:r>
            </w:hyperlink>
          </w:p>
        </w:tc>
        <w:tc>
          <w:tcPr>
            <w:tcW w:w="2420" w:type="dxa"/>
            <w:vAlign w:val="bottom"/>
            <w:gridSpan w:val="5"/>
          </w:tcPr>
          <w:p>
            <w:pPr>
              <w:spacing w:after="0"/>
              <w:rPr>
                <w:sz w:val="21"/>
                <w:szCs w:val="21"/>
                <w:color w:val="auto"/>
              </w:rPr>
            </w:pPr>
          </w:p>
        </w:tc>
        <w:tc>
          <w:tcPr>
            <w:tcW w:w="39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5">
              <w:r>
                <w:rPr>
                  <w:rFonts w:ascii="Arial" w:cs="Arial" w:eastAsia="Arial" w:hAnsi="Arial"/>
                  <w:sz w:val="16"/>
                  <w:szCs w:val="16"/>
                  <w:color w:val="0000EE"/>
                  <w:w w:val="89"/>
                </w:rPr>
                <w:t>5</w:t>
              </w:r>
            </w:hyperlink>
          </w:p>
        </w:tc>
      </w:tr>
      <w:tr>
        <w:trPr>
          <w:trHeight w:val="250"/>
        </w:trPr>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40" w:type="dxa"/>
            <w:vAlign w:val="bottom"/>
            <w:tcBorders>
              <w:bottom w:val="single" w:sz="8" w:color="0000EE"/>
            </w:tcBorders>
            <w:gridSpan w:val="8"/>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Condensed Consolidated Statements of Changes in Stockholders' Equity</w:t>
              </w:r>
            </w:hyperlink>
          </w:p>
        </w:tc>
        <w:tc>
          <w:tcPr>
            <w:tcW w:w="940" w:type="dxa"/>
            <w:vAlign w:val="bottom"/>
            <w:gridSpan w:val="2"/>
          </w:tcPr>
          <w:p>
            <w:pPr>
              <w:spacing w:after="0"/>
              <w:rPr>
                <w:sz w:val="21"/>
                <w:szCs w:val="21"/>
                <w:color w:val="auto"/>
              </w:rPr>
            </w:pPr>
          </w:p>
        </w:tc>
        <w:tc>
          <w:tcPr>
            <w:tcW w:w="39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6">
              <w:r>
                <w:rPr>
                  <w:rFonts w:ascii="Arial" w:cs="Arial" w:eastAsia="Arial" w:hAnsi="Arial"/>
                  <w:sz w:val="16"/>
                  <w:szCs w:val="16"/>
                  <w:color w:val="0000EE"/>
                  <w:w w:val="89"/>
                </w:rPr>
                <w:t>6</w:t>
              </w:r>
            </w:hyperlink>
          </w:p>
        </w:tc>
      </w:tr>
      <w:tr>
        <w:trPr>
          <w:trHeight w:val="250"/>
        </w:trPr>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180" w:type="dxa"/>
            <w:vAlign w:val="bottom"/>
            <w:gridSpan w:val="10"/>
          </w:tcPr>
          <w:p>
            <w:pPr>
              <w:spacing w:after="0"/>
              <w:rPr>
                <w:rFonts w:ascii="Arial" w:cs="Arial" w:eastAsia="Arial" w:hAnsi="Arial"/>
                <w:sz w:val="16"/>
                <w:szCs w:val="16"/>
                <w:color w:val="0000EE"/>
              </w:rPr>
            </w:pPr>
            <w:hyperlink w:anchor="page8">
              <w:r>
                <w:rPr>
                  <w:rFonts w:ascii="Arial" w:cs="Arial" w:eastAsia="Arial" w:hAnsi="Arial"/>
                  <w:sz w:val="16"/>
                  <w:szCs w:val="16"/>
                  <w:color w:val="0000EE"/>
                </w:rPr>
                <w:t>Notes to Condensed Consolidated Financial Statements</w:t>
              </w:r>
            </w:hyperlink>
          </w:p>
        </w:tc>
        <w:tc>
          <w:tcPr>
            <w:tcW w:w="4020" w:type="dxa"/>
            <w:vAlign w:val="bottom"/>
            <w:gridSpan w:val="3"/>
          </w:tcPr>
          <w:p>
            <w:pPr>
              <w:jc w:val="right"/>
              <w:spacing w:after="0"/>
              <w:rPr>
                <w:rFonts w:ascii="Arial" w:cs="Arial" w:eastAsia="Arial" w:hAnsi="Arial"/>
                <w:sz w:val="16"/>
                <w:szCs w:val="16"/>
                <w:color w:val="0000EE"/>
              </w:rPr>
            </w:pPr>
            <w:hyperlink w:anchor="page8">
              <w:r>
                <w:rPr>
                  <w:rFonts w:ascii="Arial" w:cs="Arial" w:eastAsia="Arial" w:hAnsi="Arial"/>
                  <w:sz w:val="16"/>
                  <w:szCs w:val="16"/>
                  <w:color w:val="0000EE"/>
                </w:rPr>
                <w:t>8</w:t>
              </w:r>
            </w:hyperlink>
          </w:p>
        </w:tc>
      </w:tr>
      <w:tr>
        <w:trPr>
          <w:trHeight w:val="20"/>
        </w:trPr>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42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6"/>
                <w:szCs w:val="16"/>
                <w:color w:val="0000EE"/>
                <w:w w:val="93"/>
              </w:rPr>
            </w:pPr>
            <w:hyperlink w:anchor="page20">
              <w:r>
                <w:rPr>
                  <w:rFonts w:ascii="Arial" w:cs="Arial" w:eastAsia="Arial" w:hAnsi="Arial"/>
                  <w:sz w:val="16"/>
                  <w:szCs w:val="16"/>
                  <w:color w:val="0000EE"/>
                  <w:w w:val="93"/>
                </w:rPr>
                <w:t>Item 2.</w:t>
              </w:r>
            </w:hyperlink>
          </w:p>
        </w:tc>
        <w:tc>
          <w:tcPr>
            <w:tcW w:w="240" w:type="dxa"/>
            <w:vAlign w:val="bottom"/>
          </w:tcPr>
          <w:p>
            <w:pPr>
              <w:spacing w:after="0"/>
              <w:rPr>
                <w:sz w:val="21"/>
                <w:szCs w:val="21"/>
                <w:color w:val="auto"/>
              </w:rPr>
            </w:pPr>
          </w:p>
        </w:tc>
        <w:tc>
          <w:tcPr>
            <w:tcW w:w="6600" w:type="dxa"/>
            <w:vAlign w:val="bottom"/>
            <w:gridSpan w:val="12"/>
          </w:tcPr>
          <w:p>
            <w:pPr>
              <w:ind w:left="180"/>
              <w:spacing w:after="0"/>
              <w:rPr>
                <w:rFonts w:ascii="Arial" w:cs="Arial" w:eastAsia="Arial" w:hAnsi="Arial"/>
                <w:sz w:val="16"/>
                <w:szCs w:val="16"/>
                <w:color w:val="0000EE"/>
              </w:rPr>
            </w:pPr>
            <w:hyperlink w:anchor="page20">
              <w:r>
                <w:rPr>
                  <w:rFonts w:ascii="Arial" w:cs="Arial" w:eastAsia="Arial" w:hAnsi="Arial"/>
                  <w:sz w:val="16"/>
                  <w:szCs w:val="16"/>
                  <w:color w:val="0000EE"/>
                </w:rPr>
                <w:t>Management's Discussion and Analysis of Financial Condition and Results of Operations.</w:t>
              </w:r>
            </w:hyperlink>
          </w:p>
        </w:tc>
        <w:tc>
          <w:tcPr>
            <w:tcW w:w="4020" w:type="dxa"/>
            <w:vAlign w:val="bottom"/>
            <w:gridSpan w:val="3"/>
          </w:tcPr>
          <w:p>
            <w:pPr>
              <w:jc w:val="right"/>
              <w:spacing w:after="0"/>
              <w:rPr>
                <w:rFonts w:ascii="Arial" w:cs="Arial" w:eastAsia="Arial" w:hAnsi="Arial"/>
                <w:sz w:val="16"/>
                <w:szCs w:val="16"/>
                <w:color w:val="0000EE"/>
              </w:rPr>
            </w:pPr>
            <w:hyperlink w:anchor="page20">
              <w:r>
                <w:rPr>
                  <w:rFonts w:ascii="Arial" w:cs="Arial" w:eastAsia="Arial" w:hAnsi="Arial"/>
                  <w:sz w:val="16"/>
                  <w:szCs w:val="16"/>
                  <w:color w:val="0000EE"/>
                </w:rPr>
                <w:t>20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2440" w:type="dxa"/>
            <w:vAlign w:val="bottom"/>
            <w:gridSpan w:val="6"/>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23"/>
        </w:trPr>
        <w:tc>
          <w:tcPr>
            <w:tcW w:w="500" w:type="dxa"/>
            <w:vAlign w:val="bottom"/>
          </w:tcPr>
          <w:p>
            <w:pPr>
              <w:spacing w:after="0"/>
              <w:rPr>
                <w:rFonts w:ascii="Arial" w:cs="Arial" w:eastAsia="Arial" w:hAnsi="Arial"/>
                <w:sz w:val="16"/>
                <w:szCs w:val="16"/>
                <w:color w:val="0000EE"/>
                <w:w w:val="93"/>
              </w:rPr>
            </w:pPr>
            <w:hyperlink w:anchor="page31">
              <w:r>
                <w:rPr>
                  <w:rFonts w:ascii="Arial" w:cs="Arial" w:eastAsia="Arial" w:hAnsi="Arial"/>
                  <w:sz w:val="16"/>
                  <w:szCs w:val="16"/>
                  <w:color w:val="0000EE"/>
                  <w:w w:val="93"/>
                </w:rPr>
                <w:t>Item 3.</w:t>
              </w:r>
            </w:hyperlink>
          </w:p>
        </w:tc>
        <w:tc>
          <w:tcPr>
            <w:tcW w:w="240" w:type="dxa"/>
            <w:vAlign w:val="bottom"/>
          </w:tcPr>
          <w:p>
            <w:pPr>
              <w:spacing w:after="0"/>
              <w:rPr>
                <w:sz w:val="19"/>
                <w:szCs w:val="19"/>
                <w:color w:val="auto"/>
              </w:rPr>
            </w:pPr>
          </w:p>
        </w:tc>
        <w:tc>
          <w:tcPr>
            <w:tcW w:w="6600" w:type="dxa"/>
            <w:vAlign w:val="bottom"/>
            <w:gridSpan w:val="12"/>
          </w:tcPr>
          <w:p>
            <w:pPr>
              <w:ind w:left="180"/>
              <w:spacing w:after="0"/>
              <w:rPr>
                <w:rFonts w:ascii="Arial" w:cs="Arial" w:eastAsia="Arial" w:hAnsi="Arial"/>
                <w:sz w:val="16"/>
                <w:szCs w:val="16"/>
                <w:color w:val="0000EE"/>
              </w:rPr>
            </w:pPr>
            <w:hyperlink w:anchor="page31">
              <w:r>
                <w:rPr>
                  <w:rFonts w:ascii="Arial" w:cs="Arial" w:eastAsia="Arial" w:hAnsi="Arial"/>
                  <w:sz w:val="16"/>
                  <w:szCs w:val="16"/>
                  <w:color w:val="0000EE"/>
                </w:rPr>
                <w:t>Quantitative and Qualitative Disclosures About Market Risk.</w:t>
              </w:r>
            </w:hyperlink>
          </w:p>
        </w:tc>
        <w:tc>
          <w:tcPr>
            <w:tcW w:w="4020" w:type="dxa"/>
            <w:vAlign w:val="bottom"/>
            <w:gridSpan w:val="3"/>
          </w:tcPr>
          <w:p>
            <w:pPr>
              <w:jc w:val="right"/>
              <w:spacing w:after="0"/>
              <w:rPr>
                <w:rFonts w:ascii="Arial" w:cs="Arial" w:eastAsia="Arial" w:hAnsi="Arial"/>
                <w:sz w:val="16"/>
                <w:szCs w:val="16"/>
                <w:color w:val="0000EE"/>
              </w:rPr>
            </w:pPr>
            <w:hyperlink w:anchor="page31">
              <w:r>
                <w:rPr>
                  <w:rFonts w:ascii="Arial" w:cs="Arial" w:eastAsia="Arial" w:hAnsi="Arial"/>
                  <w:sz w:val="16"/>
                  <w:szCs w:val="16"/>
                  <w:color w:val="0000EE"/>
                </w:rPr>
                <w:t>31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2440" w:type="dxa"/>
            <w:vAlign w:val="bottom"/>
            <w:gridSpan w:val="6"/>
            <w:shd w:val="clear" w:color="auto" w:fill="0000EE"/>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23"/>
        </w:trPr>
        <w:tc>
          <w:tcPr>
            <w:tcW w:w="500" w:type="dxa"/>
            <w:vAlign w:val="bottom"/>
          </w:tcPr>
          <w:p>
            <w:pPr>
              <w:spacing w:after="0"/>
              <w:rPr>
                <w:rFonts w:ascii="Arial" w:cs="Arial" w:eastAsia="Arial" w:hAnsi="Arial"/>
                <w:sz w:val="16"/>
                <w:szCs w:val="16"/>
                <w:color w:val="0000EE"/>
                <w:w w:val="93"/>
              </w:rPr>
            </w:pPr>
            <w:hyperlink w:anchor="page31">
              <w:r>
                <w:rPr>
                  <w:rFonts w:ascii="Arial" w:cs="Arial" w:eastAsia="Arial" w:hAnsi="Arial"/>
                  <w:sz w:val="16"/>
                  <w:szCs w:val="16"/>
                  <w:color w:val="0000EE"/>
                  <w:w w:val="93"/>
                </w:rPr>
                <w:t>Item 4.</w:t>
              </w:r>
            </w:hyperlink>
          </w:p>
        </w:tc>
        <w:tc>
          <w:tcPr>
            <w:tcW w:w="240" w:type="dxa"/>
            <w:vAlign w:val="bottom"/>
          </w:tcPr>
          <w:p>
            <w:pPr>
              <w:spacing w:after="0"/>
              <w:rPr>
                <w:sz w:val="19"/>
                <w:szCs w:val="19"/>
                <w:color w:val="auto"/>
              </w:rPr>
            </w:pPr>
          </w:p>
        </w:tc>
        <w:tc>
          <w:tcPr>
            <w:tcW w:w="6600" w:type="dxa"/>
            <w:vAlign w:val="bottom"/>
            <w:gridSpan w:val="12"/>
          </w:tcPr>
          <w:p>
            <w:pPr>
              <w:ind w:left="180"/>
              <w:spacing w:after="0"/>
              <w:rPr>
                <w:rFonts w:ascii="Arial" w:cs="Arial" w:eastAsia="Arial" w:hAnsi="Arial"/>
                <w:sz w:val="16"/>
                <w:szCs w:val="16"/>
                <w:color w:val="0000EE"/>
              </w:rPr>
            </w:pPr>
            <w:hyperlink w:anchor="page31">
              <w:r>
                <w:rPr>
                  <w:rFonts w:ascii="Arial" w:cs="Arial" w:eastAsia="Arial" w:hAnsi="Arial"/>
                  <w:sz w:val="16"/>
                  <w:szCs w:val="16"/>
                  <w:color w:val="0000EE"/>
                </w:rPr>
                <w:t>Controls and Procedures.</w:t>
              </w:r>
            </w:hyperlink>
          </w:p>
        </w:tc>
        <w:tc>
          <w:tcPr>
            <w:tcW w:w="4020" w:type="dxa"/>
            <w:vAlign w:val="bottom"/>
            <w:gridSpan w:val="3"/>
          </w:tcPr>
          <w:p>
            <w:pPr>
              <w:jc w:val="right"/>
              <w:spacing w:after="0"/>
              <w:rPr>
                <w:rFonts w:ascii="Arial" w:cs="Arial" w:eastAsia="Arial" w:hAnsi="Arial"/>
                <w:sz w:val="16"/>
                <w:szCs w:val="16"/>
                <w:color w:val="0000EE"/>
              </w:rPr>
            </w:pPr>
            <w:hyperlink w:anchor="page31">
              <w:r>
                <w:rPr>
                  <w:rFonts w:ascii="Arial" w:cs="Arial" w:eastAsia="Arial" w:hAnsi="Arial"/>
                  <w:sz w:val="16"/>
                  <w:szCs w:val="16"/>
                  <w:color w:val="0000EE"/>
                </w:rPr>
                <w:t>31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0" w:type="dxa"/>
            <w:vAlign w:val="bottom"/>
            <w:gridSpan w:val="2"/>
          </w:tcPr>
          <w:p>
            <w:pPr>
              <w:spacing w:after="0"/>
              <w:rPr>
                <w:rFonts w:ascii="Arial" w:cs="Arial" w:eastAsia="Arial" w:hAnsi="Arial"/>
                <w:sz w:val="16"/>
                <w:szCs w:val="16"/>
                <w:b w:val="1"/>
                <w:bCs w:val="1"/>
                <w:color w:val="0000EE"/>
                <w:w w:val="91"/>
              </w:rPr>
            </w:pPr>
            <w:hyperlink w:anchor="page32">
              <w:r>
                <w:rPr>
                  <w:rFonts w:ascii="Arial" w:cs="Arial" w:eastAsia="Arial" w:hAnsi="Arial"/>
                  <w:sz w:val="16"/>
                  <w:szCs w:val="16"/>
                  <w:b w:val="1"/>
                  <w:bCs w:val="1"/>
                  <w:color w:val="0000EE"/>
                  <w:w w:val="91"/>
                </w:rPr>
                <w:t>PART II.</w:t>
              </w:r>
            </w:hyperlink>
          </w:p>
        </w:tc>
        <w:tc>
          <w:tcPr>
            <w:tcW w:w="160" w:type="dxa"/>
            <w:vAlign w:val="bottom"/>
          </w:tcPr>
          <w:p>
            <w:pPr>
              <w:spacing w:after="0"/>
              <w:rPr>
                <w:sz w:val="16"/>
                <w:szCs w:val="16"/>
                <w:color w:val="auto"/>
              </w:rPr>
            </w:pPr>
          </w:p>
        </w:tc>
        <w:tc>
          <w:tcPr>
            <w:tcW w:w="4560" w:type="dxa"/>
            <w:vAlign w:val="bottom"/>
            <w:gridSpan w:val="7"/>
          </w:tcPr>
          <w:p>
            <w:pPr>
              <w:ind w:left="160"/>
              <w:spacing w:after="0"/>
              <w:rPr>
                <w:rFonts w:ascii="Arial" w:cs="Arial" w:eastAsia="Arial" w:hAnsi="Arial"/>
                <w:sz w:val="16"/>
                <w:szCs w:val="16"/>
                <w:b w:val="1"/>
                <w:bCs w:val="1"/>
                <w:color w:val="0000EE"/>
              </w:rPr>
            </w:pPr>
            <w:hyperlink w:anchor="page32">
              <w:r>
                <w:rPr>
                  <w:rFonts w:ascii="Arial" w:cs="Arial" w:eastAsia="Arial" w:hAnsi="Arial"/>
                  <w:sz w:val="16"/>
                  <w:szCs w:val="16"/>
                  <w:b w:val="1"/>
                  <w:bCs w:val="1"/>
                  <w:color w:val="0000EE"/>
                </w:rPr>
                <w:t>OTHER INFORMATION.</w:t>
              </w:r>
            </w:hyperlink>
          </w:p>
        </w:tc>
        <w:tc>
          <w:tcPr>
            <w:tcW w:w="58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6"/>
                <w:szCs w:val="16"/>
                <w:color w:val="0000EE"/>
                <w:w w:val="98"/>
              </w:rPr>
            </w:pPr>
            <w:hyperlink w:anchor="page32">
              <w:r>
                <w:rPr>
                  <w:rFonts w:ascii="Arial" w:cs="Arial" w:eastAsia="Arial" w:hAnsi="Arial"/>
                  <w:sz w:val="16"/>
                  <w:szCs w:val="16"/>
                  <w:color w:val="0000EE"/>
                  <w:w w:val="98"/>
                </w:rPr>
                <w:t>Item 1.</w:t>
              </w:r>
            </w:hyperlink>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560" w:type="dxa"/>
            <w:vAlign w:val="bottom"/>
            <w:gridSpan w:val="7"/>
          </w:tcPr>
          <w:p>
            <w:pPr>
              <w:ind w:left="160"/>
              <w:spacing w:after="0"/>
              <w:rPr>
                <w:rFonts w:ascii="Arial" w:cs="Arial" w:eastAsia="Arial" w:hAnsi="Arial"/>
                <w:sz w:val="16"/>
                <w:szCs w:val="16"/>
                <w:color w:val="0000EE"/>
              </w:rPr>
            </w:pPr>
            <w:hyperlink w:anchor="page32">
              <w:r>
                <w:rPr>
                  <w:rFonts w:ascii="Arial" w:cs="Arial" w:eastAsia="Arial" w:hAnsi="Arial"/>
                  <w:sz w:val="16"/>
                  <w:szCs w:val="16"/>
                  <w:color w:val="0000EE"/>
                </w:rPr>
                <w:t>Legal Proceedings.</w:t>
              </w:r>
            </w:hyperlink>
          </w:p>
        </w:tc>
        <w:tc>
          <w:tcPr>
            <w:tcW w:w="6040" w:type="dxa"/>
            <w:vAlign w:val="bottom"/>
            <w:gridSpan w:val="2"/>
          </w:tcPr>
          <w:p>
            <w:pPr>
              <w:jc w:val="right"/>
              <w:spacing w:after="0"/>
              <w:rPr>
                <w:rFonts w:ascii="Arial" w:cs="Arial" w:eastAsia="Arial" w:hAnsi="Arial"/>
                <w:sz w:val="16"/>
                <w:szCs w:val="16"/>
                <w:color w:val="0000EE"/>
              </w:rPr>
            </w:pPr>
            <w:hyperlink w:anchor="page32">
              <w:r>
                <w:rPr>
                  <w:rFonts w:ascii="Arial" w:cs="Arial" w:eastAsia="Arial" w:hAnsi="Arial"/>
                  <w:sz w:val="16"/>
                  <w:szCs w:val="16"/>
                  <w:color w:val="0000EE"/>
                </w:rPr>
                <w:t>32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23"/>
        </w:trPr>
        <w:tc>
          <w:tcPr>
            <w:tcW w:w="600" w:type="dxa"/>
            <w:vAlign w:val="bottom"/>
            <w:gridSpan w:val="2"/>
          </w:tcPr>
          <w:p>
            <w:pPr>
              <w:spacing w:after="0"/>
              <w:rPr>
                <w:rFonts w:ascii="Arial" w:cs="Arial" w:eastAsia="Arial" w:hAnsi="Arial"/>
                <w:sz w:val="16"/>
                <w:szCs w:val="16"/>
                <w:color w:val="0000EE"/>
                <w:w w:val="93"/>
              </w:rPr>
            </w:pPr>
            <w:hyperlink w:anchor="page32">
              <w:r>
                <w:rPr>
                  <w:rFonts w:ascii="Arial" w:cs="Arial" w:eastAsia="Arial" w:hAnsi="Arial"/>
                  <w:sz w:val="16"/>
                  <w:szCs w:val="16"/>
                  <w:color w:val="0000EE"/>
                  <w:w w:val="93"/>
                </w:rPr>
                <w:t>Item 1A.</w:t>
              </w:r>
            </w:hyperlink>
          </w:p>
        </w:tc>
        <w:tc>
          <w:tcPr>
            <w:tcW w:w="160" w:type="dxa"/>
            <w:vAlign w:val="bottom"/>
          </w:tcPr>
          <w:p>
            <w:pPr>
              <w:spacing w:after="0"/>
              <w:rPr>
                <w:sz w:val="19"/>
                <w:szCs w:val="19"/>
                <w:color w:val="auto"/>
              </w:rPr>
            </w:pPr>
          </w:p>
        </w:tc>
        <w:tc>
          <w:tcPr>
            <w:tcW w:w="4560" w:type="dxa"/>
            <w:vAlign w:val="bottom"/>
            <w:gridSpan w:val="7"/>
          </w:tcPr>
          <w:p>
            <w:pPr>
              <w:ind w:left="160"/>
              <w:spacing w:after="0"/>
              <w:rPr>
                <w:rFonts w:ascii="Arial" w:cs="Arial" w:eastAsia="Arial" w:hAnsi="Arial"/>
                <w:sz w:val="16"/>
                <w:szCs w:val="16"/>
                <w:color w:val="0000EE"/>
              </w:rPr>
            </w:pPr>
            <w:hyperlink w:anchor="page32">
              <w:r>
                <w:rPr>
                  <w:rFonts w:ascii="Arial" w:cs="Arial" w:eastAsia="Arial" w:hAnsi="Arial"/>
                  <w:sz w:val="16"/>
                  <w:szCs w:val="16"/>
                  <w:color w:val="0000EE"/>
                </w:rPr>
                <w:t>Risk Factors.</w:t>
              </w:r>
            </w:hyperlink>
          </w:p>
        </w:tc>
        <w:tc>
          <w:tcPr>
            <w:tcW w:w="6040" w:type="dxa"/>
            <w:vAlign w:val="bottom"/>
            <w:gridSpan w:val="2"/>
          </w:tcPr>
          <w:p>
            <w:pPr>
              <w:jc w:val="right"/>
              <w:spacing w:after="0"/>
              <w:rPr>
                <w:rFonts w:ascii="Arial" w:cs="Arial" w:eastAsia="Arial" w:hAnsi="Arial"/>
                <w:sz w:val="16"/>
                <w:szCs w:val="16"/>
                <w:color w:val="0000EE"/>
              </w:rPr>
            </w:pPr>
            <w:hyperlink w:anchor="page32">
              <w:r>
                <w:rPr>
                  <w:rFonts w:ascii="Arial" w:cs="Arial" w:eastAsia="Arial" w:hAnsi="Arial"/>
                  <w:sz w:val="16"/>
                  <w:szCs w:val="16"/>
                  <w:color w:val="0000EE"/>
                </w:rPr>
                <w:t>32</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23"/>
        </w:trPr>
        <w:tc>
          <w:tcPr>
            <w:tcW w:w="500" w:type="dxa"/>
            <w:vAlign w:val="bottom"/>
          </w:tcPr>
          <w:p>
            <w:pPr>
              <w:spacing w:after="0"/>
              <w:rPr>
                <w:rFonts w:ascii="Arial" w:cs="Arial" w:eastAsia="Arial" w:hAnsi="Arial"/>
                <w:sz w:val="16"/>
                <w:szCs w:val="16"/>
                <w:color w:val="0000EE"/>
                <w:w w:val="98"/>
              </w:rPr>
            </w:pPr>
            <w:hyperlink w:anchor="page32">
              <w:r>
                <w:rPr>
                  <w:rFonts w:ascii="Arial" w:cs="Arial" w:eastAsia="Arial" w:hAnsi="Arial"/>
                  <w:sz w:val="16"/>
                  <w:szCs w:val="16"/>
                  <w:color w:val="0000EE"/>
                  <w:w w:val="98"/>
                </w:rPr>
                <w:t>Item 2.</w:t>
              </w:r>
            </w:hyperlink>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560" w:type="dxa"/>
            <w:vAlign w:val="bottom"/>
            <w:gridSpan w:val="7"/>
          </w:tcPr>
          <w:p>
            <w:pPr>
              <w:ind w:left="160"/>
              <w:spacing w:after="0"/>
              <w:rPr>
                <w:rFonts w:ascii="Arial" w:cs="Arial" w:eastAsia="Arial" w:hAnsi="Arial"/>
                <w:sz w:val="16"/>
                <w:szCs w:val="16"/>
                <w:color w:val="0000EE"/>
              </w:rPr>
            </w:pPr>
            <w:hyperlink w:anchor="page32">
              <w:r>
                <w:rPr>
                  <w:rFonts w:ascii="Arial" w:cs="Arial" w:eastAsia="Arial" w:hAnsi="Arial"/>
                  <w:sz w:val="16"/>
                  <w:szCs w:val="16"/>
                  <w:color w:val="0000EE"/>
                </w:rPr>
                <w:t>Unregistered Sales of Equity Securities and Use of Proceeds.</w:t>
              </w:r>
            </w:hyperlink>
          </w:p>
        </w:tc>
        <w:tc>
          <w:tcPr>
            <w:tcW w:w="6040" w:type="dxa"/>
            <w:vAlign w:val="bottom"/>
            <w:gridSpan w:val="2"/>
          </w:tcPr>
          <w:p>
            <w:pPr>
              <w:jc w:val="right"/>
              <w:spacing w:after="0"/>
              <w:rPr>
                <w:rFonts w:ascii="Arial" w:cs="Arial" w:eastAsia="Arial" w:hAnsi="Arial"/>
                <w:sz w:val="16"/>
                <w:szCs w:val="16"/>
                <w:color w:val="0000EE"/>
              </w:rPr>
            </w:pPr>
            <w:hyperlink w:anchor="page32">
              <w:r>
                <w:rPr>
                  <w:rFonts w:ascii="Arial" w:cs="Arial" w:eastAsia="Arial" w:hAnsi="Arial"/>
                  <w:sz w:val="16"/>
                  <w:szCs w:val="16"/>
                  <w:color w:val="0000EE"/>
                </w:rPr>
                <w:t>32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0" w:type="dxa"/>
            <w:vAlign w:val="bottom"/>
            <w:gridSpan w:val="4"/>
            <w:shd w:val="clear" w:color="auto" w:fill="0000EE"/>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23"/>
        </w:trPr>
        <w:tc>
          <w:tcPr>
            <w:tcW w:w="500" w:type="dxa"/>
            <w:vAlign w:val="bottom"/>
          </w:tcPr>
          <w:p>
            <w:pPr>
              <w:spacing w:after="0"/>
              <w:rPr>
                <w:rFonts w:ascii="Arial" w:cs="Arial" w:eastAsia="Arial" w:hAnsi="Arial"/>
                <w:sz w:val="16"/>
                <w:szCs w:val="16"/>
                <w:color w:val="0000EE"/>
                <w:w w:val="98"/>
              </w:rPr>
            </w:pPr>
            <w:hyperlink w:anchor="page33">
              <w:r>
                <w:rPr>
                  <w:rFonts w:ascii="Arial" w:cs="Arial" w:eastAsia="Arial" w:hAnsi="Arial"/>
                  <w:sz w:val="16"/>
                  <w:szCs w:val="16"/>
                  <w:color w:val="0000EE"/>
                  <w:w w:val="98"/>
                </w:rPr>
                <w:t>Item 6.</w:t>
              </w:r>
            </w:hyperlink>
          </w:p>
        </w:tc>
        <w:tc>
          <w:tcPr>
            <w:tcW w:w="260" w:type="dxa"/>
            <w:vAlign w:val="bottom"/>
            <w:gridSpan w:val="2"/>
          </w:tcPr>
          <w:p>
            <w:pPr>
              <w:spacing w:after="0"/>
              <w:rPr>
                <w:sz w:val="19"/>
                <w:szCs w:val="19"/>
                <w:color w:val="auto"/>
              </w:rPr>
            </w:pPr>
          </w:p>
        </w:tc>
        <w:tc>
          <w:tcPr>
            <w:tcW w:w="4560" w:type="dxa"/>
            <w:vAlign w:val="bottom"/>
            <w:gridSpan w:val="7"/>
          </w:tcPr>
          <w:p>
            <w:pPr>
              <w:ind w:left="160"/>
              <w:spacing w:after="0"/>
              <w:rPr>
                <w:rFonts w:ascii="Arial" w:cs="Arial" w:eastAsia="Arial" w:hAnsi="Arial"/>
                <w:sz w:val="16"/>
                <w:szCs w:val="16"/>
                <w:color w:val="0000EE"/>
              </w:rPr>
            </w:pPr>
            <w:hyperlink w:anchor="page33">
              <w:r>
                <w:rPr>
                  <w:rFonts w:ascii="Arial" w:cs="Arial" w:eastAsia="Arial" w:hAnsi="Arial"/>
                  <w:sz w:val="16"/>
                  <w:szCs w:val="16"/>
                  <w:color w:val="0000EE"/>
                </w:rPr>
                <w:t>Exhibits.</w:t>
              </w:r>
            </w:hyperlink>
          </w:p>
        </w:tc>
        <w:tc>
          <w:tcPr>
            <w:tcW w:w="6040" w:type="dxa"/>
            <w:vAlign w:val="bottom"/>
            <w:gridSpan w:val="2"/>
          </w:tcPr>
          <w:p>
            <w:pPr>
              <w:jc w:val="right"/>
              <w:spacing w:after="0"/>
              <w:rPr>
                <w:rFonts w:ascii="Arial" w:cs="Arial" w:eastAsia="Arial" w:hAnsi="Arial"/>
                <w:sz w:val="16"/>
                <w:szCs w:val="16"/>
                <w:color w:val="0000EE"/>
              </w:rPr>
            </w:pPr>
            <w:hyperlink w:anchor="page33">
              <w:r>
                <w:rPr>
                  <w:rFonts w:ascii="Arial" w:cs="Arial" w:eastAsia="Arial" w:hAnsi="Arial"/>
                  <w:sz w:val="16"/>
                  <w:szCs w:val="16"/>
                  <w:color w:val="0000EE"/>
                </w:rPr>
                <w:t>33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520"/>
        </w:trPr>
        <w:tc>
          <w:tcPr>
            <w:tcW w:w="5320" w:type="dxa"/>
            <w:vAlign w:val="bottom"/>
            <w:gridSpan w:val="10"/>
          </w:tcPr>
          <w:p>
            <w:pPr>
              <w:spacing w:after="0"/>
              <w:rPr>
                <w:rFonts w:ascii="Arial" w:cs="Arial" w:eastAsia="Arial" w:hAnsi="Arial"/>
                <w:sz w:val="16"/>
                <w:szCs w:val="16"/>
                <w:b w:val="1"/>
                <w:bCs w:val="1"/>
                <w:color w:val="0000EE"/>
              </w:rPr>
            </w:pPr>
            <w:hyperlink w:anchor="page34">
              <w:r>
                <w:rPr>
                  <w:rFonts w:ascii="Arial" w:cs="Arial" w:eastAsia="Arial" w:hAnsi="Arial"/>
                  <w:sz w:val="16"/>
                  <w:szCs w:val="16"/>
                  <w:b w:val="1"/>
                  <w:bCs w:val="1"/>
                  <w:color w:val="0000EE"/>
                </w:rPr>
                <w:t>SIGNATURES</w:t>
              </w:r>
            </w:hyperlink>
          </w:p>
        </w:tc>
        <w:tc>
          <w:tcPr>
            <w:tcW w:w="6040" w:type="dxa"/>
            <w:vAlign w:val="bottom"/>
            <w:gridSpan w:val="2"/>
          </w:tcPr>
          <w:p>
            <w:pPr>
              <w:jc w:val="right"/>
              <w:spacing w:after="0"/>
              <w:rPr>
                <w:rFonts w:ascii="Arial" w:cs="Arial" w:eastAsia="Arial" w:hAnsi="Arial"/>
                <w:sz w:val="16"/>
                <w:szCs w:val="16"/>
                <w:color w:val="0000EE"/>
              </w:rPr>
            </w:pPr>
            <w:hyperlink w:anchor="page34">
              <w:r>
                <w:rPr>
                  <w:rFonts w:ascii="Arial" w:cs="Arial" w:eastAsia="Arial" w:hAnsi="Arial"/>
                  <w:sz w:val="16"/>
                  <w:szCs w:val="16"/>
                  <w:color w:val="0000EE"/>
                </w:rPr>
                <w:t>34</w:t>
              </w:r>
            </w:hyperlink>
          </w:p>
        </w:tc>
      </w:tr>
      <w:tr>
        <w:trPr>
          <w:trHeight w:val="694"/>
        </w:trPr>
        <w:tc>
          <w:tcPr>
            <w:tcW w:w="5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860" w:type="dxa"/>
            <w:vAlign w:val="bottom"/>
          </w:tcPr>
          <w:p>
            <w:pPr>
              <w:jc w:val="right"/>
              <w:ind w:right="5379"/>
              <w:spacing w:after="0"/>
              <w:rPr>
                <w:sz w:val="20"/>
                <w:szCs w:val="20"/>
                <w:color w:val="auto"/>
              </w:rPr>
            </w:pPr>
            <w:r>
              <w:rPr>
                <w:rFonts w:ascii="Arial" w:cs="Arial" w:eastAsia="Arial" w:hAnsi="Arial"/>
                <w:sz w:val="16"/>
                <w:szCs w:val="16"/>
                <w:color w:val="auto"/>
              </w:rPr>
              <w:t>2</w:t>
            </w:r>
          </w:p>
        </w:tc>
        <w:tc>
          <w:tcPr>
            <w:tcW w:w="180" w:type="dxa"/>
            <w:vAlign w:val="bottom"/>
            <w:tcBorders>
              <w:top w:val="single" w:sz="8" w:color="0000EE"/>
            </w:tcBorders>
          </w:tcPr>
          <w:p>
            <w:pPr>
              <w:spacing w:after="0"/>
              <w:rPr>
                <w:sz w:val="24"/>
                <w:szCs w:val="24"/>
                <w:color w:val="auto"/>
              </w:rPr>
            </w:pPr>
          </w:p>
        </w:tc>
      </w:tr>
    </w:tbl>
    <w:p>
      <w:pPr>
        <w:sectPr>
          <w:pgSz w:w="11900" w:h="16838" w:orient="portrait"/>
          <w:cols w:equalWidth="0" w:num="1">
            <w:col w:w="11360"/>
          </w:cols>
          <w:pgMar w:left="280" w:top="360" w:right="25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FINANCIAL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7" w:lineRule="exact"/>
        <w:rPr>
          <w:sz w:val="20"/>
          <w:szCs w:val="20"/>
          <w:color w:val="auto"/>
        </w:rPr>
      </w:pPr>
    </w:p>
    <w:p>
      <w:pPr>
        <w:ind w:right="5520"/>
        <w:spacing w:after="0" w:line="276" w:lineRule="auto"/>
        <w:rPr>
          <w:sz w:val="20"/>
          <w:szCs w:val="20"/>
          <w:color w:val="auto"/>
        </w:rPr>
      </w:pPr>
      <w:r>
        <w:rPr>
          <w:rFonts w:ascii="Arial" w:cs="Arial" w:eastAsia="Arial" w:hAnsi="Arial"/>
          <w:sz w:val="16"/>
          <w:szCs w:val="16"/>
          <w:b w:val="1"/>
          <w:bCs w:val="1"/>
          <w:color w:val="auto"/>
        </w:rPr>
        <w:t>Condensed Consolidated Statements of Income and Comprehensive Income (Unaudited)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93"/>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23,</w:t>
            </w:r>
          </w:p>
        </w:tc>
        <w:tc>
          <w:tcPr>
            <w:tcW w:w="20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24,</w:t>
            </w:r>
          </w:p>
        </w:tc>
        <w:tc>
          <w:tcPr>
            <w:tcW w:w="20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23,</w:t>
            </w:r>
          </w:p>
        </w:tc>
        <w:tc>
          <w:tcPr>
            <w:tcW w:w="220" w:type="dxa"/>
            <w:vAlign w:val="bottom"/>
          </w:tcPr>
          <w:p>
            <w:pPr>
              <w:spacing w:after="0"/>
              <w:rPr>
                <w:sz w:val="16"/>
                <w:szCs w:val="16"/>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rPr>
              <w:t>February 24,</w:t>
            </w:r>
          </w:p>
        </w:tc>
        <w:tc>
          <w:tcPr>
            <w:tcW w:w="0" w:type="dxa"/>
            <w:vAlign w:val="bottom"/>
          </w:tcPr>
          <w:p>
            <w:pPr>
              <w:spacing w:after="0"/>
              <w:rPr>
                <w:sz w:val="1"/>
                <w:szCs w:val="1"/>
                <w:color w:val="auto"/>
              </w:rPr>
            </w:pPr>
          </w:p>
        </w:tc>
      </w:tr>
      <w:tr>
        <w:trPr>
          <w:trHeight w:val="232"/>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4"/>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432,690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468,359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926,338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918,380</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366,261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400,698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788,913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787,888</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66,429</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67,661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137,425</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130,492</w:t>
            </w:r>
          </w:p>
        </w:tc>
        <w:tc>
          <w:tcPr>
            <w:tcW w:w="0" w:type="dxa"/>
            <w:vAlign w:val="bottom"/>
          </w:tcPr>
          <w:p>
            <w:pPr>
              <w:spacing w:after="0"/>
              <w:rPr>
                <w:sz w:val="1"/>
                <w:szCs w:val="1"/>
                <w:color w:val="auto"/>
              </w:rPr>
            </w:pPr>
          </w:p>
        </w:tc>
      </w:tr>
      <w:tr>
        <w:trPr>
          <w:trHeight w:val="249"/>
        </w:trPr>
        <w:tc>
          <w:tcPr>
            <w:tcW w:w="470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00" w:type="dxa"/>
            <w:vAlign w:val="bottom"/>
          </w:tcPr>
          <w:p>
            <w:pPr>
              <w:spacing w:after="0"/>
              <w:rPr>
                <w:sz w:val="21"/>
                <w:szCs w:val="21"/>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35,259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30,477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70,971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60,077</w:t>
            </w:r>
          </w:p>
        </w:tc>
        <w:tc>
          <w:tcPr>
            <w:tcW w:w="0" w:type="dxa"/>
            <w:vAlign w:val="bottom"/>
          </w:tcPr>
          <w:p>
            <w:pPr>
              <w:spacing w:after="0"/>
              <w:rPr>
                <w:sz w:val="1"/>
                <w:szCs w:val="1"/>
                <w:color w:val="auto"/>
              </w:rPr>
            </w:pPr>
          </w:p>
        </w:tc>
      </w:tr>
      <w:tr>
        <w:trPr>
          <w:trHeight w:val="271"/>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2,267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1,933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4,926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3,988</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37,526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32,410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75,897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64,065</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28,903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35,251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61,528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66,427</w:t>
            </w:r>
          </w:p>
        </w:tc>
        <w:tc>
          <w:tcPr>
            <w:tcW w:w="0" w:type="dxa"/>
            <w:vAlign w:val="bottom"/>
          </w:tcPr>
          <w:p>
            <w:pPr>
              <w:spacing w:after="0"/>
              <w:rPr>
                <w:sz w:val="1"/>
                <w:szCs w:val="1"/>
                <w:color w:val="auto"/>
              </w:rPr>
            </w:pPr>
          </w:p>
        </w:tc>
      </w:tr>
      <w:tr>
        <w:trPr>
          <w:trHeight w:val="262"/>
        </w:trPr>
        <w:tc>
          <w:tcPr>
            <w:tcW w:w="470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2"/>
                <w:szCs w:val="22"/>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4,346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4,918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8,847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9,699</w:t>
            </w:r>
          </w:p>
        </w:tc>
        <w:tc>
          <w:tcPr>
            <w:tcW w:w="0" w:type="dxa"/>
            <w:vAlign w:val="bottom"/>
          </w:tcPr>
          <w:p>
            <w:pPr>
              <w:spacing w:after="0"/>
              <w:rPr>
                <w:sz w:val="1"/>
                <w:szCs w:val="1"/>
                <w:color w:val="auto"/>
              </w:rPr>
            </w:pPr>
          </w:p>
        </w:tc>
      </w:tr>
      <w:tr>
        <w:trPr>
          <w:trHeight w:val="271"/>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 expense</w:t>
            </w:r>
          </w:p>
        </w:tc>
        <w:tc>
          <w:tcPr>
            <w:tcW w:w="2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49"/>
        </w:trPr>
        <w:tc>
          <w:tcPr>
            <w:tcW w:w="470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200" w:type="dxa"/>
            <w:vAlign w:val="bottom"/>
          </w:tcPr>
          <w:p>
            <w:pPr>
              <w:spacing w:after="0"/>
              <w:rPr>
                <w:sz w:val="21"/>
                <w:szCs w:val="21"/>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24,764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30,322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53,651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56,840</w:t>
            </w:r>
          </w:p>
        </w:tc>
        <w:tc>
          <w:tcPr>
            <w:tcW w:w="0" w:type="dxa"/>
            <w:vAlign w:val="bottom"/>
          </w:tcPr>
          <w:p>
            <w:pPr>
              <w:spacing w:after="0"/>
              <w:rPr>
                <w:sz w:val="1"/>
                <w:szCs w:val="1"/>
                <w:color w:val="auto"/>
              </w:rPr>
            </w:pPr>
          </w:p>
        </w:tc>
      </w:tr>
      <w:tr>
        <w:trPr>
          <w:trHeight w:val="271"/>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3,166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8,234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9,892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16,794</w:t>
            </w:r>
          </w:p>
        </w:tc>
        <w:tc>
          <w:tcPr>
            <w:tcW w:w="0" w:type="dxa"/>
            <w:vAlign w:val="bottom"/>
          </w:tcPr>
          <w:p>
            <w:pPr>
              <w:spacing w:after="0"/>
              <w:rPr>
                <w:sz w:val="1"/>
                <w:szCs w:val="1"/>
                <w:color w:val="auto"/>
              </w:rPr>
            </w:pPr>
          </w:p>
        </w:tc>
      </w:tr>
      <w:tr>
        <w:trPr>
          <w:trHeight w:val="282"/>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21,598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22,088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43,759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40,046</w:t>
            </w:r>
          </w:p>
        </w:tc>
        <w:tc>
          <w:tcPr>
            <w:tcW w:w="0" w:type="dxa"/>
            <w:vAlign w:val="bottom"/>
          </w:tcPr>
          <w:p>
            <w:pPr>
              <w:spacing w:after="0"/>
              <w:rPr>
                <w:sz w:val="1"/>
                <w:szCs w:val="1"/>
                <w:color w:val="auto"/>
              </w:rPr>
            </w:pPr>
          </w:p>
        </w:tc>
      </w:tr>
      <w:tr>
        <w:trPr>
          <w:trHeight w:val="279"/>
        </w:trPr>
        <w:tc>
          <w:tcPr>
            <w:tcW w:w="4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700" w:type="dxa"/>
            <w:vAlign w:val="bottom"/>
          </w:tcPr>
          <w:p>
            <w:pPr>
              <w:ind w:left="40"/>
              <w:spacing w:after="0"/>
              <w:rPr>
                <w:sz w:val="20"/>
                <w:szCs w:val="20"/>
                <w:color w:val="auto"/>
              </w:rPr>
            </w:pPr>
            <w:r>
              <w:rPr>
                <w:rFonts w:ascii="Arial" w:cs="Arial" w:eastAsia="Arial" w:hAnsi="Arial"/>
                <w:sz w:val="16"/>
                <w:szCs w:val="16"/>
                <w:color w:val="auto"/>
              </w:rPr>
              <w:t>Income per common share:</w:t>
            </w: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0.68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0.70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62"/>
        </w:trPr>
        <w:tc>
          <w:tcPr>
            <w:tcW w:w="4700" w:type="dxa"/>
            <w:vAlign w:val="bottom"/>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0.68</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0.69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305"/>
        </w:trPr>
        <w:tc>
          <w:tcPr>
            <w:tcW w:w="4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700" w:type="dxa"/>
            <w:vAlign w:val="bottom"/>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31,577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31,654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31,572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31,634</w:t>
            </w:r>
          </w:p>
        </w:tc>
        <w:tc>
          <w:tcPr>
            <w:tcW w:w="0" w:type="dxa"/>
            <w:vAlign w:val="bottom"/>
          </w:tcPr>
          <w:p>
            <w:pPr>
              <w:spacing w:after="0"/>
              <w:rPr>
                <w:sz w:val="1"/>
                <w:szCs w:val="1"/>
                <w:color w:val="auto"/>
              </w:rPr>
            </w:pPr>
          </w:p>
        </w:tc>
      </w:tr>
      <w:tr>
        <w:trPr>
          <w:trHeight w:val="262"/>
        </w:trPr>
        <w:tc>
          <w:tcPr>
            <w:tcW w:w="4700" w:type="dxa"/>
            <w:vAlign w:val="bottom"/>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Pr>
          <w:p>
            <w:pPr>
              <w:spacing w:after="0"/>
              <w:rPr>
                <w:sz w:val="22"/>
                <w:szCs w:val="22"/>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31,724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31,854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31,755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31,852</w:t>
            </w:r>
          </w:p>
        </w:tc>
        <w:tc>
          <w:tcPr>
            <w:tcW w:w="0" w:type="dxa"/>
            <w:vAlign w:val="bottom"/>
          </w:tcPr>
          <w:p>
            <w:pPr>
              <w:spacing w:after="0"/>
              <w:rPr>
                <w:sz w:val="1"/>
                <w:szCs w:val="1"/>
                <w:color w:val="auto"/>
              </w:rPr>
            </w:pPr>
          </w:p>
        </w:tc>
      </w:tr>
      <w:tr>
        <w:trPr>
          <w:trHeight w:val="305"/>
        </w:trPr>
        <w:tc>
          <w:tcPr>
            <w:tcW w:w="4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7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21,598</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22,088</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43,759</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40,046</w:t>
            </w:r>
          </w:p>
        </w:tc>
        <w:tc>
          <w:tcPr>
            <w:tcW w:w="0" w:type="dxa"/>
            <w:vAlign w:val="bottom"/>
          </w:tcPr>
          <w:p>
            <w:pPr>
              <w:spacing w:after="0"/>
              <w:rPr>
                <w:sz w:val="1"/>
                <w:szCs w:val="1"/>
                <w:color w:val="auto"/>
              </w:rPr>
            </w:pPr>
          </w:p>
        </w:tc>
      </w:tr>
      <w:tr>
        <w:trPr>
          <w:trHeight w:val="278"/>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700" w:type="dxa"/>
            <w:vAlign w:val="bottom"/>
          </w:tcPr>
          <w:p>
            <w:pPr>
              <w:ind w:left="280"/>
              <w:spacing w:after="0"/>
              <w:rPr>
                <w:sz w:val="20"/>
                <w:szCs w:val="20"/>
                <w:color w:val="auto"/>
              </w:rPr>
            </w:pPr>
            <w:r>
              <w:rPr>
                <w:rFonts w:ascii="Arial" w:cs="Arial" w:eastAsia="Arial" w:hAnsi="Arial"/>
                <w:sz w:val="16"/>
                <w:szCs w:val="16"/>
                <w:color w:val="auto"/>
              </w:rPr>
              <w:t>Amortization of net actuarial loss (net of tax of $2, $2, $5,</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700" w:type="dxa"/>
            <w:vAlign w:val="bottom"/>
          </w:tcPr>
          <w:p>
            <w:pPr>
              <w:ind w:left="280"/>
              <w:spacing w:after="0"/>
              <w:rPr>
                <w:sz w:val="20"/>
                <w:szCs w:val="20"/>
                <w:color w:val="auto"/>
              </w:rPr>
            </w:pPr>
            <w:r>
              <w:rPr>
                <w:rFonts w:ascii="Arial" w:cs="Arial" w:eastAsia="Arial" w:hAnsi="Arial"/>
                <w:sz w:val="16"/>
                <w:szCs w:val="16"/>
                <w:color w:val="auto"/>
              </w:rPr>
              <w:t>and $6)</w:t>
            </w:r>
          </w:p>
        </w:tc>
        <w:tc>
          <w:tcPr>
            <w:tcW w:w="20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6"/>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Change in fair value of interest rate swap (net of tax of $206,</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$448, $213, and $835)</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1,283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1,917</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other comprehensive income (loss)</w:t>
            </w: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1,290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1,930</w:t>
            </w:r>
          </w:p>
        </w:tc>
        <w:tc>
          <w:tcPr>
            <w:tcW w:w="0" w:type="dxa"/>
            <w:vAlign w:val="bottom"/>
          </w:tcPr>
          <w:p>
            <w:pPr>
              <w:spacing w:after="0"/>
              <w:rPr>
                <w:sz w:val="1"/>
                <w:szCs w:val="1"/>
                <w:color w:val="auto"/>
              </w:rPr>
            </w:pPr>
          </w:p>
        </w:tc>
      </w:tr>
      <w:tr>
        <w:trPr>
          <w:trHeight w:val="242"/>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20,972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23,378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43,119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41,976</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6"/>
                <w:szCs w:val="16"/>
                <w:color w:val="auto"/>
              </w:rPr>
              <w:t>See Notes to Condensed Consolidated Financial Statements.</w:t>
            </w: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47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2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Balance Sheets</w:t>
            </w: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126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23,</w:t>
            </w:r>
          </w:p>
        </w:tc>
        <w:tc>
          <w:tcPr>
            <w:tcW w:w="240" w:type="dxa"/>
            <w:vAlign w:val="bottom"/>
          </w:tcPr>
          <w:p>
            <w:pPr>
              <w:spacing w:after="0"/>
              <w:rPr>
                <w:sz w:val="24"/>
                <w:szCs w:val="24"/>
                <w:color w:val="auto"/>
              </w:rPr>
            </w:pPr>
          </w:p>
        </w:tc>
        <w:tc>
          <w:tcPr>
            <w:tcW w:w="136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25,</w:t>
            </w:r>
          </w:p>
        </w:tc>
        <w:tc>
          <w:tcPr>
            <w:tcW w:w="0" w:type="dxa"/>
            <w:vAlign w:val="bottom"/>
          </w:tcPr>
          <w:p>
            <w:pPr>
              <w:spacing w:after="0"/>
              <w:rPr>
                <w:sz w:val="1"/>
                <w:szCs w:val="1"/>
                <w:color w:val="auto"/>
              </w:rPr>
            </w:pPr>
          </w:p>
        </w:tc>
      </w:tr>
      <w:tr>
        <w:trPr>
          <w:trHeight w:val="232"/>
        </w:trPr>
        <w:tc>
          <w:tcPr>
            <w:tcW w:w="81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67"/>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3,017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2,342</w:t>
            </w:r>
          </w:p>
        </w:tc>
        <w:tc>
          <w:tcPr>
            <w:tcW w:w="0" w:type="dxa"/>
            <w:vAlign w:val="bottom"/>
          </w:tcPr>
          <w:p>
            <w:pPr>
              <w:spacing w:after="0"/>
              <w:rPr>
                <w:sz w:val="1"/>
                <w:szCs w:val="1"/>
                <w:color w:val="auto"/>
              </w:rPr>
            </w:pPr>
          </w:p>
        </w:tc>
      </w:tr>
      <w:tr>
        <w:trPr>
          <w:trHeight w:val="262"/>
        </w:trPr>
        <w:tc>
          <w:tcPr>
            <w:tcW w:w="8120" w:type="dxa"/>
            <w:vAlign w:val="bottom"/>
            <w:gridSpan w:val="2"/>
          </w:tcPr>
          <w:p>
            <w:pPr>
              <w:ind w:left="180"/>
              <w:spacing w:after="0"/>
              <w:rPr>
                <w:sz w:val="20"/>
                <w:szCs w:val="20"/>
                <w:color w:val="auto"/>
              </w:rPr>
            </w:pPr>
            <w:r>
              <w:rPr>
                <w:rFonts w:ascii="Arial" w:cs="Arial" w:eastAsia="Arial" w:hAnsi="Arial"/>
                <w:sz w:val="16"/>
                <w:szCs w:val="16"/>
                <w:color w:val="auto"/>
              </w:rPr>
              <w:t>Receivables, less allowance for doubtful accounts ($163 and $197, respectively)</w:t>
            </w: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179,940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164,585</w:t>
            </w:r>
          </w:p>
        </w:tc>
        <w:tc>
          <w:tcPr>
            <w:tcW w:w="0" w:type="dxa"/>
            <w:vAlign w:val="bottom"/>
          </w:tcPr>
          <w:p>
            <w:pPr>
              <w:spacing w:after="0"/>
              <w:rPr>
                <w:sz w:val="1"/>
                <w:szCs w:val="1"/>
                <w:color w:val="auto"/>
              </w:rPr>
            </w:pPr>
          </w:p>
        </w:tc>
      </w:tr>
      <w:tr>
        <w:trPr>
          <w:trHeight w:val="278"/>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Inventories, net</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189,611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195,128</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15,217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9,883</w:t>
            </w:r>
          </w:p>
        </w:tc>
        <w:tc>
          <w:tcPr>
            <w:tcW w:w="0" w:type="dxa"/>
            <w:vAlign w:val="bottom"/>
          </w:tcPr>
          <w:p>
            <w:pPr>
              <w:spacing w:after="0"/>
              <w:rPr>
                <w:sz w:val="1"/>
                <w:szCs w:val="1"/>
                <w:color w:val="auto"/>
              </w:rPr>
            </w:pPr>
          </w:p>
        </w:tc>
      </w:tr>
      <w:tr>
        <w:trPr>
          <w:trHeight w:val="250"/>
        </w:trPr>
        <w:tc>
          <w:tcPr>
            <w:tcW w:w="81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387,785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371,938</w:t>
            </w:r>
          </w:p>
        </w:tc>
        <w:tc>
          <w:tcPr>
            <w:tcW w:w="0" w:type="dxa"/>
            <w:vAlign w:val="bottom"/>
          </w:tcPr>
          <w:p>
            <w:pPr>
              <w:spacing w:after="0"/>
              <w:rPr>
                <w:sz w:val="1"/>
                <w:szCs w:val="1"/>
                <w:color w:val="auto"/>
              </w:rPr>
            </w:pPr>
          </w:p>
        </w:tc>
      </w:tr>
      <w:tr>
        <w:trPr>
          <w:trHeight w:val="249"/>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Pr>
          <w:p>
            <w:pPr>
              <w:spacing w:after="0"/>
              <w:rPr>
                <w:sz w:val="21"/>
                <w:szCs w:val="21"/>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117,761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101,193</w:t>
            </w:r>
          </w:p>
        </w:tc>
        <w:tc>
          <w:tcPr>
            <w:tcW w:w="0" w:type="dxa"/>
            <w:vAlign w:val="bottom"/>
          </w:tcPr>
          <w:p>
            <w:pPr>
              <w:spacing w:after="0"/>
              <w:rPr>
                <w:sz w:val="1"/>
                <w:szCs w:val="1"/>
                <w:color w:val="auto"/>
              </w:rPr>
            </w:pPr>
          </w:p>
        </w:tc>
      </w:tr>
      <w:tr>
        <w:trPr>
          <w:trHeight w:val="278"/>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8120" w:type="dxa"/>
            <w:vAlign w:val="bottom"/>
            <w:gridSpan w:val="2"/>
          </w:tcPr>
          <w:p>
            <w:pPr>
              <w:ind w:left="18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275,072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274,370</w:t>
            </w:r>
          </w:p>
        </w:tc>
        <w:tc>
          <w:tcPr>
            <w:tcW w:w="0" w:type="dxa"/>
            <w:vAlign w:val="bottom"/>
          </w:tcPr>
          <w:p>
            <w:pPr>
              <w:spacing w:after="0"/>
              <w:rPr>
                <w:sz w:val="1"/>
                <w:szCs w:val="1"/>
                <w:color w:val="auto"/>
              </w:rPr>
            </w:pPr>
          </w:p>
        </w:tc>
      </w:tr>
      <w:tr>
        <w:trPr>
          <w:trHeight w:val="278"/>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 intangible assets, net</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260,791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265,717</w:t>
            </w:r>
          </w:p>
        </w:tc>
        <w:tc>
          <w:tcPr>
            <w:tcW w:w="0" w:type="dxa"/>
            <w:vAlign w:val="bottom"/>
          </w:tcPr>
          <w:p>
            <w:pPr>
              <w:spacing w:after="0"/>
              <w:rPr>
                <w:sz w:val="1"/>
                <w:szCs w:val="1"/>
                <w:color w:val="auto"/>
              </w:rPr>
            </w:pPr>
          </w:p>
        </w:tc>
      </w:tr>
      <w:tr>
        <w:trPr>
          <w:trHeight w:val="262"/>
        </w:trPr>
        <w:tc>
          <w:tcPr>
            <w:tcW w:w="8120" w:type="dxa"/>
            <w:vAlign w:val="bottom"/>
            <w:gridSpan w:val="2"/>
          </w:tcPr>
          <w:p>
            <w:pPr>
              <w:ind w:left="180"/>
              <w:spacing w:after="0"/>
              <w:rPr>
                <w:sz w:val="20"/>
                <w:szCs w:val="20"/>
                <w:color w:val="auto"/>
              </w:rPr>
            </w:pPr>
            <w:r>
              <w:rPr>
                <w:rFonts w:ascii="Arial" w:cs="Arial" w:eastAsia="Arial" w:hAnsi="Arial"/>
                <w:sz w:val="16"/>
                <w:szCs w:val="16"/>
                <w:color w:val="auto"/>
              </w:rPr>
              <w:t>Investment in life insurance</w:t>
            </w: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26,963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28,297</w:t>
            </w:r>
          </w:p>
        </w:tc>
        <w:tc>
          <w:tcPr>
            <w:tcW w:w="0" w:type="dxa"/>
            <w:vAlign w:val="bottom"/>
          </w:tcPr>
          <w:p>
            <w:pPr>
              <w:spacing w:after="0"/>
              <w:rPr>
                <w:sz w:val="1"/>
                <w:szCs w:val="1"/>
                <w:color w:val="auto"/>
              </w:rPr>
            </w:pPr>
          </w:p>
        </w:tc>
      </w:tr>
      <w:tr>
        <w:trPr>
          <w:trHeight w:val="271"/>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9,764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10,290</w:t>
            </w:r>
          </w:p>
        </w:tc>
        <w:tc>
          <w:tcPr>
            <w:tcW w:w="0" w:type="dxa"/>
            <w:vAlign w:val="bottom"/>
          </w:tcPr>
          <w:p>
            <w:pPr>
              <w:spacing w:after="0"/>
              <w:rPr>
                <w:sz w:val="1"/>
                <w:szCs w:val="1"/>
                <w:color w:val="auto"/>
              </w:rPr>
            </w:pPr>
          </w:p>
        </w:tc>
      </w:tr>
      <w:tr>
        <w:trPr>
          <w:trHeight w:val="282"/>
        </w:trPr>
        <w:tc>
          <w:tcPr>
            <w:tcW w:w="81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1,078,136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1,051,805</w:t>
            </w:r>
          </w:p>
        </w:tc>
        <w:tc>
          <w:tcPr>
            <w:tcW w:w="0" w:type="dxa"/>
            <w:vAlign w:val="bottom"/>
          </w:tcPr>
          <w:p>
            <w:pPr>
              <w:spacing w:after="0"/>
              <w:rPr>
                <w:sz w:val="1"/>
                <w:szCs w:val="1"/>
                <w:color w:val="auto"/>
              </w:rPr>
            </w:pPr>
          </w:p>
        </w:tc>
      </w:tr>
      <w:tr>
        <w:trPr>
          <w:trHeight w:val="265"/>
        </w:trPr>
        <w:tc>
          <w:tcPr>
            <w:tcW w:w="1260" w:type="dxa"/>
            <w:vAlign w:val="bottom"/>
            <w:shd w:val="clear" w:color="auto" w:fill="CCEEFF"/>
          </w:tcPr>
          <w:p>
            <w:pPr>
              <w:spacing w:after="0"/>
              <w:rPr>
                <w:sz w:val="23"/>
                <w:szCs w:val="23"/>
                <w:color w:val="auto"/>
              </w:rPr>
            </w:pPr>
          </w:p>
        </w:tc>
        <w:tc>
          <w:tcPr>
            <w:tcW w:w="68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8120" w:type="dxa"/>
            <w:vAlign w:val="bottom"/>
            <w:gridSpan w:val="2"/>
          </w:tcPr>
          <w:p>
            <w:pPr>
              <w:ind w:left="18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92,592</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81,039</w:t>
            </w:r>
          </w:p>
        </w:tc>
        <w:tc>
          <w:tcPr>
            <w:tcW w:w="0" w:type="dxa"/>
            <w:vAlign w:val="bottom"/>
          </w:tcPr>
          <w:p>
            <w:pPr>
              <w:spacing w:after="0"/>
              <w:rPr>
                <w:sz w:val="1"/>
                <w:szCs w:val="1"/>
                <w:color w:val="auto"/>
              </w:rPr>
            </w:pPr>
          </w:p>
        </w:tc>
      </w:tr>
      <w:tr>
        <w:trPr>
          <w:trHeight w:val="278"/>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Income taxes payable</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15,655</w:t>
            </w:r>
          </w:p>
        </w:tc>
        <w:tc>
          <w:tcPr>
            <w:tcW w:w="0" w:type="dxa"/>
            <w:vAlign w:val="bottom"/>
          </w:tcPr>
          <w:p>
            <w:pPr>
              <w:spacing w:after="0"/>
              <w:rPr>
                <w:sz w:val="1"/>
                <w:szCs w:val="1"/>
                <w:color w:val="auto"/>
              </w:rPr>
            </w:pPr>
          </w:p>
        </w:tc>
      </w:tr>
      <w:tr>
        <w:trPr>
          <w:trHeight w:val="262"/>
        </w:trPr>
        <w:tc>
          <w:tcPr>
            <w:tcW w:w="8120" w:type="dxa"/>
            <w:vAlign w:val="bottom"/>
            <w:gridSpan w:val="2"/>
          </w:tcPr>
          <w:p>
            <w:pPr>
              <w:ind w:left="180"/>
              <w:spacing w:after="0"/>
              <w:rPr>
                <w:sz w:val="20"/>
                <w:szCs w:val="20"/>
                <w:color w:val="auto"/>
              </w:rPr>
            </w:pPr>
            <w:r>
              <w:rPr>
                <w:rFonts w:ascii="Arial" w:cs="Arial" w:eastAsia="Arial" w:hAnsi="Arial"/>
                <w:sz w:val="16"/>
                <w:szCs w:val="16"/>
                <w:color w:val="auto"/>
              </w:rPr>
              <w:t>Accrued expenses:</w:t>
            </w: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81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Accrued compensation</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25,112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29,350</w:t>
            </w:r>
          </w:p>
        </w:tc>
        <w:tc>
          <w:tcPr>
            <w:tcW w:w="0" w:type="dxa"/>
            <w:vAlign w:val="bottom"/>
          </w:tcPr>
          <w:p>
            <w:pPr>
              <w:spacing w:after="0"/>
              <w:rPr>
                <w:sz w:val="1"/>
                <w:szCs w:val="1"/>
                <w:color w:val="auto"/>
              </w:rPr>
            </w:pPr>
          </w:p>
        </w:tc>
      </w:tr>
      <w:tr>
        <w:trPr>
          <w:trHeight w:val="262"/>
        </w:trPr>
        <w:tc>
          <w:tcPr>
            <w:tcW w:w="8120" w:type="dxa"/>
            <w:vAlign w:val="bottom"/>
            <w:gridSpan w:val="2"/>
          </w:tcPr>
          <w:p>
            <w:pPr>
              <w:ind w:left="280"/>
              <w:spacing w:after="0"/>
              <w:rPr>
                <w:sz w:val="20"/>
                <w:szCs w:val="20"/>
                <w:color w:val="auto"/>
              </w:rPr>
            </w:pPr>
            <w:r>
              <w:rPr>
                <w:rFonts w:ascii="Arial" w:cs="Arial" w:eastAsia="Arial" w:hAnsi="Arial"/>
                <w:sz w:val="16"/>
                <w:szCs w:val="16"/>
                <w:color w:val="auto"/>
              </w:rPr>
              <w:t>Product warranties</w:t>
            </w: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40,305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40,498</w:t>
            </w:r>
          </w:p>
        </w:tc>
        <w:tc>
          <w:tcPr>
            <w:tcW w:w="0" w:type="dxa"/>
            <w:vAlign w:val="bottom"/>
          </w:tcPr>
          <w:p>
            <w:pPr>
              <w:spacing w:after="0"/>
              <w:rPr>
                <w:sz w:val="1"/>
                <w:szCs w:val="1"/>
                <w:color w:val="auto"/>
              </w:rPr>
            </w:pPr>
          </w:p>
        </w:tc>
      </w:tr>
      <w:tr>
        <w:trPr>
          <w:trHeight w:val="278"/>
        </w:trPr>
        <w:tc>
          <w:tcPr>
            <w:tcW w:w="81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Self-insurance</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14,488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12,262</w:t>
            </w:r>
          </w:p>
        </w:tc>
        <w:tc>
          <w:tcPr>
            <w:tcW w:w="0" w:type="dxa"/>
            <w:vAlign w:val="bottom"/>
          </w:tcPr>
          <w:p>
            <w:pPr>
              <w:spacing w:after="0"/>
              <w:rPr>
                <w:sz w:val="1"/>
                <w:szCs w:val="1"/>
                <w:color w:val="auto"/>
              </w:rPr>
            </w:pPr>
          </w:p>
        </w:tc>
      </w:tr>
      <w:tr>
        <w:trPr>
          <w:trHeight w:val="262"/>
        </w:trPr>
        <w:tc>
          <w:tcPr>
            <w:tcW w:w="8120" w:type="dxa"/>
            <w:vAlign w:val="bottom"/>
            <w:gridSpan w:val="2"/>
          </w:tcPr>
          <w:p>
            <w:pPr>
              <w:ind w:left="280"/>
              <w:spacing w:after="0"/>
              <w:rPr>
                <w:sz w:val="20"/>
                <w:szCs w:val="20"/>
                <w:color w:val="auto"/>
              </w:rPr>
            </w:pPr>
            <w:r>
              <w:rPr>
                <w:rFonts w:ascii="Arial" w:cs="Arial" w:eastAsia="Arial" w:hAnsi="Arial"/>
                <w:sz w:val="16"/>
                <w:szCs w:val="16"/>
                <w:color w:val="auto"/>
              </w:rPr>
              <w:t>Promotional</w:t>
            </w: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21,333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11,017</w:t>
            </w:r>
          </w:p>
        </w:tc>
        <w:tc>
          <w:tcPr>
            <w:tcW w:w="0" w:type="dxa"/>
            <w:vAlign w:val="bottom"/>
          </w:tcPr>
          <w:p>
            <w:pPr>
              <w:spacing w:after="0"/>
              <w:rPr>
                <w:sz w:val="1"/>
                <w:szCs w:val="1"/>
                <w:color w:val="auto"/>
              </w:rPr>
            </w:pPr>
          </w:p>
        </w:tc>
      </w:tr>
      <w:tr>
        <w:trPr>
          <w:trHeight w:val="278"/>
        </w:trPr>
        <w:tc>
          <w:tcPr>
            <w:tcW w:w="81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Accrued interest</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3,002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3,095</w:t>
            </w:r>
          </w:p>
        </w:tc>
        <w:tc>
          <w:tcPr>
            <w:tcW w:w="0" w:type="dxa"/>
            <w:vAlign w:val="bottom"/>
          </w:tcPr>
          <w:p>
            <w:pPr>
              <w:spacing w:after="0"/>
              <w:rPr>
                <w:sz w:val="1"/>
                <w:szCs w:val="1"/>
                <w:color w:val="auto"/>
              </w:rPr>
            </w:pPr>
          </w:p>
        </w:tc>
      </w:tr>
      <w:tr>
        <w:trPr>
          <w:trHeight w:val="262"/>
        </w:trPr>
        <w:tc>
          <w:tcPr>
            <w:tcW w:w="8120" w:type="dxa"/>
            <w:vAlign w:val="bottom"/>
            <w:gridSpan w:val="2"/>
          </w:tcPr>
          <w:p>
            <w:pPr>
              <w:ind w:left="28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12,463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11,269</w:t>
            </w:r>
          </w:p>
        </w:tc>
        <w:tc>
          <w:tcPr>
            <w:tcW w:w="0" w:type="dxa"/>
            <w:vAlign w:val="bottom"/>
          </w:tcPr>
          <w:p>
            <w:pPr>
              <w:spacing w:after="0"/>
              <w:rPr>
                <w:sz w:val="1"/>
                <w:szCs w:val="1"/>
                <w:color w:val="auto"/>
              </w:rPr>
            </w:pPr>
          </w:p>
        </w:tc>
      </w:tr>
      <w:tr>
        <w:trPr>
          <w:trHeight w:val="271"/>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Current maturities of long-term debt</w:t>
            </w: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2,750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212,517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204,185</w:t>
            </w:r>
          </w:p>
        </w:tc>
        <w:tc>
          <w:tcPr>
            <w:tcW w:w="0" w:type="dxa"/>
            <w:vAlign w:val="bottom"/>
          </w:tcPr>
          <w:p>
            <w:pPr>
              <w:spacing w:after="0"/>
              <w:rPr>
                <w:sz w:val="1"/>
                <w:szCs w:val="1"/>
                <w:color w:val="auto"/>
              </w:rPr>
            </w:pPr>
          </w:p>
        </w:tc>
      </w:tr>
      <w:tr>
        <w:trPr>
          <w:trHeight w:val="27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Non-current liabilities:</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8120" w:type="dxa"/>
            <w:vAlign w:val="bottom"/>
            <w:gridSpan w:val="2"/>
          </w:tcPr>
          <w:p>
            <w:pPr>
              <w:ind w:left="180"/>
              <w:spacing w:after="0"/>
              <w:rPr>
                <w:sz w:val="20"/>
                <w:szCs w:val="20"/>
                <w:color w:val="auto"/>
              </w:rPr>
            </w:pPr>
            <w:r>
              <w:rPr>
                <w:rFonts w:ascii="Arial" w:cs="Arial" w:eastAsia="Arial" w:hAnsi="Arial"/>
                <w:sz w:val="16"/>
                <w:szCs w:val="16"/>
                <w:color w:val="auto"/>
              </w:rPr>
              <w:t>Long-term debt, less current maturities</w:t>
            </w: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274,168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291,441</w:t>
            </w:r>
          </w:p>
        </w:tc>
        <w:tc>
          <w:tcPr>
            <w:tcW w:w="0" w:type="dxa"/>
            <w:vAlign w:val="bottom"/>
          </w:tcPr>
          <w:p>
            <w:pPr>
              <w:spacing w:after="0"/>
              <w:rPr>
                <w:sz w:val="1"/>
                <w:szCs w:val="1"/>
                <w:color w:val="auto"/>
              </w:rPr>
            </w:pPr>
          </w:p>
        </w:tc>
      </w:tr>
      <w:tr>
        <w:trPr>
          <w:trHeight w:val="278"/>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4,595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4,457</w:t>
            </w:r>
          </w:p>
        </w:tc>
        <w:tc>
          <w:tcPr>
            <w:tcW w:w="0" w:type="dxa"/>
            <w:vAlign w:val="bottom"/>
          </w:tcPr>
          <w:p>
            <w:pPr>
              <w:spacing w:after="0"/>
              <w:rPr>
                <w:sz w:val="1"/>
                <w:szCs w:val="1"/>
                <w:color w:val="auto"/>
              </w:rPr>
            </w:pPr>
          </w:p>
        </w:tc>
      </w:tr>
      <w:tr>
        <w:trPr>
          <w:trHeight w:val="262"/>
        </w:trPr>
        <w:tc>
          <w:tcPr>
            <w:tcW w:w="8120" w:type="dxa"/>
            <w:vAlign w:val="bottom"/>
            <w:gridSpan w:val="2"/>
          </w:tcPr>
          <w:p>
            <w:pPr>
              <w:ind w:left="180"/>
              <w:spacing w:after="0"/>
              <w:rPr>
                <w:sz w:val="20"/>
                <w:szCs w:val="20"/>
                <w:color w:val="auto"/>
              </w:rPr>
            </w:pPr>
            <w:r>
              <w:rPr>
                <w:rFonts w:ascii="Arial" w:cs="Arial" w:eastAsia="Arial" w:hAnsi="Arial"/>
                <w:sz w:val="16"/>
                <w:szCs w:val="16"/>
                <w:color w:val="auto"/>
              </w:rPr>
              <w:t>Unrecognized tax benefits</w:t>
            </w: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1,712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1,745</w:t>
            </w:r>
          </w:p>
        </w:tc>
        <w:tc>
          <w:tcPr>
            <w:tcW w:w="0" w:type="dxa"/>
            <w:vAlign w:val="bottom"/>
          </w:tcPr>
          <w:p>
            <w:pPr>
              <w:spacing w:after="0"/>
              <w:rPr>
                <w:sz w:val="1"/>
                <w:szCs w:val="1"/>
                <w:color w:val="auto"/>
              </w:rPr>
            </w:pPr>
          </w:p>
        </w:tc>
      </w:tr>
      <w:tr>
        <w:trPr>
          <w:trHeight w:val="278"/>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Deferred compensation benefits, net of current portion</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14,228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15,282</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57"/>
        </w:trPr>
        <w:tc>
          <w:tcPr>
            <w:tcW w:w="81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Total non-current liabilities</w:t>
            </w: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294,953</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313,175</w:t>
            </w:r>
          </w:p>
        </w:tc>
        <w:tc>
          <w:tcPr>
            <w:tcW w:w="0" w:type="dxa"/>
            <w:vAlign w:val="bottom"/>
          </w:tcPr>
          <w:p>
            <w:pPr>
              <w:spacing w:after="0"/>
              <w:rPr>
                <w:sz w:val="1"/>
                <w:szCs w:val="1"/>
                <w:color w:val="auto"/>
              </w:rPr>
            </w:pPr>
          </w:p>
        </w:tc>
      </w:tr>
      <w:tr>
        <w:trPr>
          <w:trHeight w:val="256"/>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Contingent liabilities and commitments (Note 11)</w:t>
            </w: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8120" w:type="dxa"/>
            <w:vAlign w:val="bottom"/>
            <w:gridSpan w:val="2"/>
          </w:tcPr>
          <w:p>
            <w:pPr>
              <w:ind w:left="180"/>
              <w:spacing w:after="0"/>
              <w:rPr>
                <w:sz w:val="20"/>
                <w:szCs w:val="20"/>
                <w:color w:val="auto"/>
              </w:rPr>
            </w:pPr>
            <w:r>
              <w:rPr>
                <w:rFonts w:ascii="Arial" w:cs="Arial" w:eastAsia="Arial" w:hAnsi="Arial"/>
                <w:sz w:val="16"/>
                <w:szCs w:val="16"/>
                <w:color w:val="auto"/>
              </w:rPr>
              <w:t>Preferred stock, par value $0.01: Authorized-10,000 shares; Issued-none</w:t>
            </w:r>
          </w:p>
        </w:tc>
        <w:tc>
          <w:tcPr>
            <w:tcW w:w="200" w:type="dxa"/>
            <w:vAlign w:val="bottom"/>
          </w:tcPr>
          <w:p>
            <w:pPr>
              <w:spacing w:after="0"/>
              <w:rPr>
                <w:sz w:val="22"/>
                <w:szCs w:val="22"/>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8"/>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Common stock, par value $0.50: Authorized-60,000 shares; Issued-51,776 shares</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25,888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25,888</w:t>
            </w:r>
          </w:p>
        </w:tc>
        <w:tc>
          <w:tcPr>
            <w:tcW w:w="0" w:type="dxa"/>
            <w:vAlign w:val="bottom"/>
          </w:tcPr>
          <w:p>
            <w:pPr>
              <w:spacing w:after="0"/>
              <w:rPr>
                <w:sz w:val="1"/>
                <w:szCs w:val="1"/>
                <w:color w:val="auto"/>
              </w:rPr>
            </w:pPr>
          </w:p>
        </w:tc>
      </w:tr>
      <w:tr>
        <w:trPr>
          <w:trHeight w:val="262"/>
        </w:trPr>
        <w:tc>
          <w:tcPr>
            <w:tcW w:w="8120" w:type="dxa"/>
            <w:vAlign w:val="bottom"/>
            <w:gridSpan w:val="2"/>
          </w:tcPr>
          <w:p>
            <w:pPr>
              <w:ind w:left="18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89,682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86,223</w:t>
            </w:r>
          </w:p>
        </w:tc>
        <w:tc>
          <w:tcPr>
            <w:tcW w:w="0" w:type="dxa"/>
            <w:vAlign w:val="bottom"/>
          </w:tcPr>
          <w:p>
            <w:pPr>
              <w:spacing w:after="0"/>
              <w:rPr>
                <w:sz w:val="1"/>
                <w:szCs w:val="1"/>
                <w:color w:val="auto"/>
              </w:rPr>
            </w:pPr>
          </w:p>
        </w:tc>
      </w:tr>
      <w:tr>
        <w:trPr>
          <w:trHeight w:val="278"/>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Retained earnings</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805,851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768,816</w:t>
            </w:r>
          </w:p>
        </w:tc>
        <w:tc>
          <w:tcPr>
            <w:tcW w:w="0" w:type="dxa"/>
            <w:vAlign w:val="bottom"/>
          </w:tcPr>
          <w:p>
            <w:pPr>
              <w:spacing w:after="0"/>
              <w:rPr>
                <w:sz w:val="1"/>
                <w:szCs w:val="1"/>
                <w:color w:val="auto"/>
              </w:rPr>
            </w:pPr>
          </w:p>
        </w:tc>
      </w:tr>
      <w:tr>
        <w:trPr>
          <w:trHeight w:val="262"/>
        </w:trPr>
        <w:tc>
          <w:tcPr>
            <w:tcW w:w="8120" w:type="dxa"/>
            <w:vAlign w:val="bottom"/>
            <w:gridSpan w:val="2"/>
          </w:tcPr>
          <w:p>
            <w:pPr>
              <w:ind w:left="180"/>
              <w:spacing w:after="0"/>
              <w:rPr>
                <w:sz w:val="20"/>
                <w:szCs w:val="20"/>
                <w:color w:val="auto"/>
              </w:rPr>
            </w:pPr>
            <w:r>
              <w:rPr>
                <w:rFonts w:ascii="Arial" w:cs="Arial" w:eastAsia="Arial" w:hAnsi="Arial"/>
                <w:sz w:val="16"/>
                <w:szCs w:val="16"/>
                <w:color w:val="auto"/>
              </w:rPr>
              <w:t>Accumulated other comprehensive income</w:t>
            </w: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892</w:t>
            </w:r>
          </w:p>
        </w:tc>
        <w:tc>
          <w:tcPr>
            <w:tcW w:w="0" w:type="dxa"/>
            <w:vAlign w:val="bottom"/>
          </w:tcPr>
          <w:p>
            <w:pPr>
              <w:spacing w:after="0"/>
              <w:rPr>
                <w:sz w:val="1"/>
                <w:szCs w:val="1"/>
                <w:color w:val="auto"/>
              </w:rPr>
            </w:pPr>
          </w:p>
        </w:tc>
      </w:tr>
      <w:tr>
        <w:trPr>
          <w:trHeight w:val="271"/>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Treasury stock, at cost: 20,292 and 20,243 shares, respectively</w:t>
            </w: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(351,007)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(347,374)</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570,666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534,445</w:t>
            </w:r>
          </w:p>
        </w:tc>
        <w:tc>
          <w:tcPr>
            <w:tcW w:w="0" w:type="dxa"/>
            <w:vAlign w:val="bottom"/>
          </w:tcPr>
          <w:p>
            <w:pPr>
              <w:spacing w:after="0"/>
              <w:rPr>
                <w:sz w:val="1"/>
                <w:szCs w:val="1"/>
                <w:color w:val="auto"/>
              </w:rPr>
            </w:pPr>
          </w:p>
        </w:tc>
      </w:tr>
      <w:tr>
        <w:trPr>
          <w:trHeight w:val="242"/>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1,078,136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1,051,805</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6"/>
                <w:szCs w:val="16"/>
                <w:color w:val="auto"/>
              </w:rPr>
              <w:t>See Notes to Condensed Consolidated Financial Statements.</w:t>
            </w: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12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118"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812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19"/>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89"/>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Statements of Cash Flows</w:t>
            </w: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29"/>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82"/>
        </w:trPr>
        <w:tc>
          <w:tcPr>
            <w:tcW w:w="126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Six Months Ended</w:t>
            </w:r>
          </w:p>
        </w:tc>
      </w:tr>
      <w:tr>
        <w:trPr>
          <w:trHeight w:val="193"/>
        </w:trPr>
        <w:tc>
          <w:tcPr>
            <w:tcW w:w="126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23,</w:t>
            </w:r>
          </w:p>
        </w:tc>
        <w:tc>
          <w:tcPr>
            <w:tcW w:w="220" w:type="dxa"/>
            <w:vAlign w:val="bottom"/>
          </w:tcPr>
          <w:p>
            <w:pPr>
              <w:spacing w:after="0"/>
              <w:rPr>
                <w:sz w:val="16"/>
                <w:szCs w:val="16"/>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rPr>
              <w:t>February 24,</w:t>
            </w:r>
          </w:p>
        </w:tc>
      </w:tr>
      <w:tr>
        <w:trPr>
          <w:trHeight w:val="232"/>
        </w:trPr>
        <w:tc>
          <w:tcPr>
            <w:tcW w:w="81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267"/>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2"/>
        </w:trPr>
        <w:tc>
          <w:tcPr>
            <w:tcW w:w="8120" w:type="dxa"/>
            <w:vAlign w:val="bottom"/>
            <w:gridSpan w:val="2"/>
          </w:tcPr>
          <w:p>
            <w:pPr>
              <w:ind w:left="18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43,759</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40,046</w:t>
            </w:r>
          </w:p>
        </w:tc>
      </w:tr>
      <w:tr>
        <w:trPr>
          <w:trHeight w:val="278"/>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62"/>
        </w:trPr>
        <w:tc>
          <w:tcPr>
            <w:tcW w:w="8120" w:type="dxa"/>
            <w:vAlign w:val="bottom"/>
            <w:gridSpan w:val="2"/>
          </w:tcPr>
          <w:p>
            <w:pPr>
              <w:ind w:left="280"/>
              <w:spacing w:after="0"/>
              <w:rPr>
                <w:sz w:val="20"/>
                <w:szCs w:val="20"/>
                <w:color w:val="auto"/>
              </w:rPr>
            </w:pPr>
            <w:r>
              <w:rPr>
                <w:rFonts w:ascii="Arial" w:cs="Arial" w:eastAsia="Arial" w:hAnsi="Arial"/>
                <w:sz w:val="16"/>
                <w:szCs w:val="16"/>
                <w:color w:val="auto"/>
              </w:rPr>
              <w:t>Depreciation</w:t>
            </w: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6,268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4,328</w:t>
            </w:r>
          </w:p>
        </w:tc>
      </w:tr>
      <w:tr>
        <w:trPr>
          <w:trHeight w:val="278"/>
        </w:trPr>
        <w:tc>
          <w:tcPr>
            <w:tcW w:w="81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4,926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3,988</w:t>
            </w:r>
          </w:p>
        </w:tc>
      </w:tr>
      <w:tr>
        <w:trPr>
          <w:trHeight w:val="262"/>
        </w:trPr>
        <w:tc>
          <w:tcPr>
            <w:tcW w:w="8120" w:type="dxa"/>
            <w:vAlign w:val="bottom"/>
            <w:gridSpan w:val="2"/>
          </w:tcPr>
          <w:p>
            <w:pPr>
              <w:ind w:left="280"/>
              <w:spacing w:after="0"/>
              <w:rPr>
                <w:sz w:val="20"/>
                <w:szCs w:val="20"/>
                <w:color w:val="auto"/>
              </w:rPr>
            </w:pPr>
            <w:r>
              <w:rPr>
                <w:rFonts w:ascii="Arial" w:cs="Arial" w:eastAsia="Arial" w:hAnsi="Arial"/>
                <w:sz w:val="16"/>
                <w:szCs w:val="16"/>
                <w:color w:val="auto"/>
              </w:rPr>
              <w:t>Amortization of debt issuance costs</w:t>
            </w: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790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826</w:t>
            </w:r>
          </w:p>
        </w:tc>
      </w:tr>
      <w:tr>
        <w:trPr>
          <w:trHeight w:val="278"/>
        </w:trPr>
        <w:tc>
          <w:tcPr>
            <w:tcW w:w="81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Last in, first-out expense</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598</w:t>
            </w:r>
          </w:p>
        </w:tc>
      </w:tr>
      <w:tr>
        <w:trPr>
          <w:trHeight w:val="262"/>
        </w:trPr>
        <w:tc>
          <w:tcPr>
            <w:tcW w:w="8120" w:type="dxa"/>
            <w:vAlign w:val="bottom"/>
            <w:gridSpan w:val="2"/>
          </w:tcPr>
          <w:p>
            <w:pPr>
              <w:ind w:left="280"/>
              <w:spacing w:after="0"/>
              <w:rPr>
                <w:sz w:val="20"/>
                <w:szCs w:val="20"/>
                <w:color w:val="auto"/>
              </w:rPr>
            </w:pPr>
            <w:r>
              <w:rPr>
                <w:rFonts w:ascii="Arial" w:cs="Arial" w:eastAsia="Arial" w:hAnsi="Arial"/>
                <w:sz w:val="16"/>
                <w:szCs w:val="16"/>
                <w:color w:val="auto"/>
              </w:rPr>
              <w:t>Stock-based compensation</w:t>
            </w: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4,605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3,553</w:t>
            </w:r>
          </w:p>
        </w:tc>
      </w:tr>
      <w:tr>
        <w:trPr>
          <w:trHeight w:val="278"/>
        </w:trPr>
        <w:tc>
          <w:tcPr>
            <w:tcW w:w="81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2,080</w:t>
            </w:r>
          </w:p>
        </w:tc>
      </w:tr>
      <w:tr>
        <w:trPr>
          <w:trHeight w:val="262"/>
        </w:trPr>
        <w:tc>
          <w:tcPr>
            <w:tcW w:w="8120" w:type="dxa"/>
            <w:vAlign w:val="bottom"/>
            <w:gridSpan w:val="2"/>
          </w:tcPr>
          <w:p>
            <w:pPr>
              <w:ind w:left="280"/>
              <w:spacing w:after="0"/>
              <w:rPr>
                <w:sz w:val="20"/>
                <w:szCs w:val="20"/>
                <w:color w:val="auto"/>
              </w:rPr>
            </w:pPr>
            <w:r>
              <w:rPr>
                <w:rFonts w:ascii="Arial" w:cs="Arial" w:eastAsia="Arial" w:hAnsi="Arial"/>
                <w:sz w:val="16"/>
                <w:szCs w:val="16"/>
                <w:color w:val="auto"/>
              </w:rPr>
              <w:t>Other, net</w:t>
            </w: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80</w:t>
            </w:r>
          </w:p>
        </w:tc>
      </w:tr>
      <w:tr>
        <w:trPr>
          <w:trHeight w:val="278"/>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Change in assets and liabilities:</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62"/>
        </w:trPr>
        <w:tc>
          <w:tcPr>
            <w:tcW w:w="8120" w:type="dxa"/>
            <w:vAlign w:val="bottom"/>
            <w:gridSpan w:val="2"/>
          </w:tcPr>
          <w:p>
            <w:pPr>
              <w:ind w:left="280"/>
              <w:spacing w:after="0"/>
              <w:rPr>
                <w:sz w:val="20"/>
                <w:szCs w:val="20"/>
                <w:color w:val="auto"/>
              </w:rPr>
            </w:pPr>
            <w:r>
              <w:rPr>
                <w:rFonts w:ascii="Arial" w:cs="Arial" w:eastAsia="Arial" w:hAnsi="Arial"/>
                <w:sz w:val="16"/>
                <w:szCs w:val="16"/>
                <w:color w:val="auto"/>
              </w:rPr>
              <w:t>Receivables</w:t>
            </w: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(15,355)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(33,017)</w:t>
            </w:r>
          </w:p>
        </w:tc>
      </w:tr>
      <w:tr>
        <w:trPr>
          <w:trHeight w:val="278"/>
        </w:trPr>
        <w:tc>
          <w:tcPr>
            <w:tcW w:w="81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4,488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(36,379)</w:t>
            </w:r>
          </w:p>
        </w:tc>
      </w:tr>
      <w:tr>
        <w:trPr>
          <w:trHeight w:val="262"/>
        </w:trPr>
        <w:tc>
          <w:tcPr>
            <w:tcW w:w="8120" w:type="dxa"/>
            <w:vAlign w:val="bottom"/>
            <w:gridSpan w:val="2"/>
          </w:tcPr>
          <w:p>
            <w:pPr>
              <w:ind w:left="280"/>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(4,926)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1,921</w:t>
            </w:r>
          </w:p>
        </w:tc>
      </w:tr>
      <w:tr>
        <w:trPr>
          <w:trHeight w:val="278"/>
        </w:trPr>
        <w:tc>
          <w:tcPr>
            <w:tcW w:w="81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11,992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20,542</w:t>
            </w:r>
          </w:p>
        </w:tc>
      </w:tr>
      <w:tr>
        <w:trPr>
          <w:trHeight w:val="262"/>
        </w:trPr>
        <w:tc>
          <w:tcPr>
            <w:tcW w:w="8120" w:type="dxa"/>
            <w:vAlign w:val="bottom"/>
            <w:gridSpan w:val="2"/>
          </w:tcPr>
          <w:p>
            <w:pPr>
              <w:ind w:left="280"/>
              <w:spacing w:after="0"/>
              <w:rPr>
                <w:sz w:val="20"/>
                <w:szCs w:val="20"/>
                <w:color w:val="auto"/>
              </w:rPr>
            </w:pPr>
            <w:r>
              <w:rPr>
                <w:rFonts w:ascii="Arial" w:cs="Arial" w:eastAsia="Arial" w:hAnsi="Arial"/>
                <w:sz w:val="16"/>
                <w:szCs w:val="16"/>
                <w:color w:val="auto"/>
              </w:rPr>
              <w:t>Income taxes and unrecognized tax benefits</w:t>
            </w: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(15,216)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(4,510)</w:t>
            </w:r>
          </w:p>
        </w:tc>
      </w:tr>
      <w:tr>
        <w:trPr>
          <w:trHeight w:val="271"/>
        </w:trPr>
        <w:tc>
          <w:tcPr>
            <w:tcW w:w="81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Accrued expenses and other liabilities</w:t>
            </w: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9,402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10,989</w:t>
            </w:r>
          </w:p>
        </w:tc>
      </w:tr>
      <w:tr>
        <w:trPr>
          <w:trHeight w:val="250"/>
        </w:trPr>
        <w:tc>
          <w:tcPr>
            <w:tcW w:w="81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51,938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15,045</w:t>
            </w:r>
          </w:p>
        </w:tc>
      </w:tr>
      <w:tr>
        <w:trPr>
          <w:trHeight w:val="230"/>
        </w:trPr>
        <w:tc>
          <w:tcPr>
            <w:tcW w:w="1260" w:type="dxa"/>
            <w:vAlign w:val="bottom"/>
            <w:shd w:val="clear" w:color="auto" w:fill="CCEEFF"/>
          </w:tcPr>
          <w:p>
            <w:pPr>
              <w:spacing w:after="0"/>
              <w:rPr>
                <w:sz w:val="19"/>
                <w:szCs w:val="19"/>
                <w:color w:val="auto"/>
              </w:rPr>
            </w:pPr>
          </w:p>
        </w:tc>
        <w:tc>
          <w:tcPr>
            <w:tcW w:w="6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66"/>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74"/>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Purchases of property and equipment</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(23,366)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(11,675)</w:t>
            </w:r>
          </w:p>
        </w:tc>
      </w:tr>
      <w:tr>
        <w:trPr>
          <w:trHeight w:val="262"/>
        </w:trPr>
        <w:tc>
          <w:tcPr>
            <w:tcW w:w="8120" w:type="dxa"/>
            <w:vAlign w:val="bottom"/>
            <w:gridSpan w:val="2"/>
          </w:tcPr>
          <w:p>
            <w:pPr>
              <w:ind w:left="180"/>
              <w:spacing w:after="0"/>
              <w:rPr>
                <w:sz w:val="20"/>
                <w:szCs w:val="20"/>
                <w:color w:val="auto"/>
              </w:rPr>
            </w:pPr>
            <w:r>
              <w:rPr>
                <w:rFonts w:ascii="Arial" w:cs="Arial" w:eastAsia="Arial" w:hAnsi="Arial"/>
                <w:sz w:val="16"/>
                <w:szCs w:val="16"/>
                <w:color w:val="auto"/>
              </w:rPr>
              <w:t>Acquisition of business, net of cash acquired</w:t>
            </w: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(702)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8"/>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Proceeds from the sale of property</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299</w:t>
            </w:r>
          </w:p>
        </w:tc>
      </w:tr>
      <w:tr>
        <w:trPr>
          <w:trHeight w:val="264"/>
        </w:trPr>
        <w:tc>
          <w:tcPr>
            <w:tcW w:w="812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Other, net</w:t>
            </w: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5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(23,024)</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(11,394)</w:t>
            </w:r>
          </w:p>
        </w:tc>
      </w:tr>
      <w:tr>
        <w:trPr>
          <w:trHeight w:val="230"/>
        </w:trPr>
        <w:tc>
          <w:tcPr>
            <w:tcW w:w="126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7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2"/>
        </w:trPr>
        <w:tc>
          <w:tcPr>
            <w:tcW w:w="8120" w:type="dxa"/>
            <w:vAlign w:val="bottom"/>
            <w:gridSpan w:val="2"/>
          </w:tcPr>
          <w:p>
            <w:pPr>
              <w:ind w:left="180"/>
              <w:spacing w:after="0"/>
              <w:rPr>
                <w:sz w:val="20"/>
                <w:szCs w:val="20"/>
                <w:color w:val="auto"/>
              </w:rPr>
            </w:pPr>
            <w:r>
              <w:rPr>
                <w:rFonts w:ascii="Arial" w:cs="Arial" w:eastAsia="Arial" w:hAnsi="Arial"/>
                <w:sz w:val="16"/>
                <w:szCs w:val="16"/>
                <w:color w:val="auto"/>
              </w:rPr>
              <w:t>Borrowings on credit agreement</w:t>
            </w: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218,720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19,700</w:t>
            </w:r>
          </w:p>
        </w:tc>
      </w:tr>
      <w:tr>
        <w:trPr>
          <w:trHeight w:val="278"/>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Repayments of credit agreement</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(233,922)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(24,000)</w:t>
            </w:r>
          </w:p>
        </w:tc>
      </w:tr>
      <w:tr>
        <w:trPr>
          <w:trHeight w:val="262"/>
        </w:trPr>
        <w:tc>
          <w:tcPr>
            <w:tcW w:w="8120" w:type="dxa"/>
            <w:vAlign w:val="bottom"/>
            <w:gridSpan w:val="2"/>
          </w:tcPr>
          <w:p>
            <w:pPr>
              <w:ind w:left="180"/>
              <w:spacing w:after="0"/>
              <w:rPr>
                <w:sz w:val="20"/>
                <w:szCs w:val="20"/>
                <w:color w:val="auto"/>
              </w:rPr>
            </w:pPr>
            <w:r>
              <w:rPr>
                <w:rFonts w:ascii="Arial" w:cs="Arial" w:eastAsia="Arial" w:hAnsi="Arial"/>
                <w:sz w:val="16"/>
                <w:szCs w:val="16"/>
                <w:color w:val="auto"/>
              </w:rPr>
              <w:t>Payments of cash dividends</w:t>
            </w: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(6,713)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(6,375)</w:t>
            </w:r>
          </w:p>
        </w:tc>
      </w:tr>
      <w:tr>
        <w:trPr>
          <w:trHeight w:val="278"/>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Payments for repurchases of common stock</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(1,478)</w:t>
            </w:r>
          </w:p>
        </w:tc>
      </w:tr>
      <w:tr>
        <w:trPr>
          <w:trHeight w:val="264"/>
        </w:trPr>
        <w:tc>
          <w:tcPr>
            <w:tcW w:w="812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Other, net</w:t>
            </w: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2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(28,239)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(12,153)</w:t>
            </w:r>
          </w:p>
        </w:tc>
      </w:tr>
      <w:tr>
        <w:trPr>
          <w:trHeight w:val="230"/>
        </w:trPr>
        <w:tc>
          <w:tcPr>
            <w:tcW w:w="126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7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(8,502)</w:t>
            </w:r>
          </w:p>
        </w:tc>
      </w:tr>
      <w:tr>
        <w:trPr>
          <w:trHeight w:val="264"/>
        </w:trPr>
        <w:tc>
          <w:tcPr>
            <w:tcW w:w="81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2,342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35,945</w:t>
            </w:r>
          </w:p>
        </w:tc>
      </w:tr>
      <w:tr>
        <w:trPr>
          <w:trHeight w:val="242"/>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year</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27,443</w:t>
            </w:r>
          </w:p>
        </w:tc>
      </w:tr>
      <w:tr>
        <w:trPr>
          <w:trHeight w:val="20"/>
        </w:trPr>
        <w:tc>
          <w:tcPr>
            <w:tcW w:w="12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11"/>
        </w:trPr>
        <w:tc>
          <w:tcPr>
            <w:tcW w:w="126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70"/>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Supplement cash flow disclosure:</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2"/>
        </w:trPr>
        <w:tc>
          <w:tcPr>
            <w:tcW w:w="8120" w:type="dxa"/>
            <w:vAlign w:val="bottom"/>
            <w:gridSpan w:val="2"/>
          </w:tcPr>
          <w:p>
            <w:pPr>
              <w:ind w:left="180"/>
              <w:spacing w:after="0"/>
              <w:rPr>
                <w:sz w:val="20"/>
                <w:szCs w:val="20"/>
                <w:color w:val="auto"/>
              </w:rPr>
            </w:pPr>
            <w:r>
              <w:rPr>
                <w:rFonts w:ascii="Arial" w:cs="Arial" w:eastAsia="Arial" w:hAnsi="Arial"/>
                <w:sz w:val="16"/>
                <w:szCs w:val="16"/>
                <w:color w:val="auto"/>
              </w:rPr>
              <w:t>Income taxes paid, net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30,262</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19,290</w:t>
            </w:r>
          </w:p>
        </w:tc>
      </w:tr>
      <w:tr>
        <w:trPr>
          <w:trHeight w:val="278"/>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Interest paid</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7,469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8,906</w:t>
            </w:r>
          </w:p>
        </w:tc>
      </w:tr>
      <w:tr>
        <w:trPr>
          <w:trHeight w:val="266"/>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Non-cash transactions:</w:t>
            </w: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74"/>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Capital expenditures in accounts payable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1,012</w:t>
            </w:r>
          </w:p>
        </w:tc>
      </w:tr>
      <w:tr>
        <w:trPr>
          <w:trHeight w:val="255"/>
        </w:trPr>
        <w:tc>
          <w:tcPr>
            <w:tcW w:w="8120" w:type="dxa"/>
            <w:vAlign w:val="bottom"/>
            <w:gridSpan w:val="2"/>
          </w:tcPr>
          <w:p>
            <w:pPr>
              <w:spacing w:after="0"/>
              <w:rPr>
                <w:sz w:val="20"/>
                <w:szCs w:val="20"/>
                <w:color w:val="auto"/>
              </w:rPr>
            </w:pPr>
            <w:r>
              <w:rPr>
                <w:rFonts w:ascii="Arial" w:cs="Arial" w:eastAsia="Arial" w:hAnsi="Arial"/>
                <w:sz w:val="16"/>
                <w:szCs w:val="16"/>
                <w:color w:val="auto"/>
              </w:rPr>
              <w:t>See Notes to Condensed Consolidated Financial Statements.</w:t>
            </w: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118" w:right="239" w:bottom="1440" w:gutter="0" w:footer="0" w:header="0"/>
          <w:type w:val="continuous"/>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Changes in Stockholders' Equity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5"/>
          </w:tcPr>
          <w:p>
            <w:pPr>
              <w:jc w:val="center"/>
              <w:ind w:right="328"/>
              <w:spacing w:after="0"/>
              <w:rPr>
                <w:sz w:val="20"/>
                <w:szCs w:val="20"/>
                <w:color w:val="auto"/>
              </w:rPr>
            </w:pPr>
            <w:r>
              <w:rPr>
                <w:rFonts w:ascii="Arial" w:cs="Arial" w:eastAsia="Arial" w:hAnsi="Arial"/>
                <w:sz w:val="14"/>
                <w:szCs w:val="14"/>
                <w:b w:val="1"/>
                <w:bCs w:val="1"/>
                <w:color w:val="auto"/>
              </w:rPr>
              <w:t>Three Months Ended February 23, 2019</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740" w:type="dxa"/>
            <w:vAlign w:val="bottom"/>
          </w:tcPr>
          <w:p>
            <w:pPr>
              <w:spacing w:after="0"/>
              <w:rPr>
                <w:sz w:val="17"/>
                <w:szCs w:val="17"/>
                <w:color w:val="auto"/>
              </w:rPr>
            </w:pPr>
          </w:p>
        </w:tc>
        <w:tc>
          <w:tcPr>
            <w:tcW w:w="1880" w:type="dxa"/>
            <w:vAlign w:val="bottom"/>
            <w:gridSpan w:val="3"/>
          </w:tcPr>
          <w:p>
            <w:pPr>
              <w:jc w:val="right"/>
              <w:ind w:right="288"/>
              <w:spacing w:after="0"/>
              <w:rPr>
                <w:sz w:val="20"/>
                <w:szCs w:val="20"/>
                <w:color w:val="auto"/>
              </w:rPr>
            </w:pPr>
            <w:r>
              <w:rPr>
                <w:rFonts w:ascii="Arial" w:cs="Arial" w:eastAsia="Arial" w:hAnsi="Arial"/>
                <w:sz w:val="14"/>
                <w:szCs w:val="14"/>
                <w:b w:val="1"/>
                <w:bCs w:val="1"/>
                <w:color w:val="auto"/>
              </w:rPr>
              <w:t>Common Shares</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800" w:type="dxa"/>
            <w:vAlign w:val="bottom"/>
            <w:gridSpan w:val="3"/>
          </w:tcPr>
          <w:p>
            <w:pPr>
              <w:jc w:val="right"/>
              <w:ind w:right="28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740" w:type="dxa"/>
            <w:vAlign w:val="bottom"/>
            <w:vMerge w:val="restart"/>
          </w:tcPr>
          <w:p>
            <w:pPr>
              <w:ind w:left="40"/>
              <w:spacing w:after="0" w:line="133" w:lineRule="exact"/>
              <w:rPr>
                <w:sz w:val="20"/>
                <w:szCs w:val="20"/>
                <w:color w:val="auto"/>
              </w:rPr>
            </w:pPr>
            <w:r>
              <w:rPr>
                <w:rFonts w:ascii="Arial" w:cs="Arial" w:eastAsia="Arial" w:hAnsi="Arial"/>
                <w:sz w:val="14"/>
                <w:szCs w:val="14"/>
                <w:b w:val="1"/>
                <w:bCs w:val="1"/>
                <w:color w:val="auto"/>
              </w:rPr>
              <w:t>(in thousands,</w:t>
            </w: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restart"/>
          </w:tcPr>
          <w:p>
            <w:pPr>
              <w:jc w:val="right"/>
              <w:ind w:right="88"/>
              <w:spacing w:after="0" w:line="133" w:lineRule="exact"/>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4"/>
                <w:szCs w:val="4"/>
                <w:color w:val="auto"/>
              </w:rPr>
            </w:pPr>
          </w:p>
        </w:tc>
        <w:tc>
          <w:tcPr>
            <w:tcW w:w="880" w:type="dxa"/>
            <w:vAlign w:val="bottom"/>
            <w:vMerge w:val="restart"/>
          </w:tcPr>
          <w:p>
            <w:pPr>
              <w:jc w:val="right"/>
              <w:ind w:right="128"/>
              <w:spacing w:after="0" w:line="133"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4"/>
                <w:szCs w:val="4"/>
                <w:color w:val="auto"/>
              </w:rPr>
            </w:pPr>
          </w:p>
        </w:tc>
        <w:tc>
          <w:tcPr>
            <w:tcW w:w="1300" w:type="dxa"/>
            <w:vAlign w:val="bottom"/>
            <w:vMerge w:val="restart"/>
          </w:tcPr>
          <w:p>
            <w:pPr>
              <w:jc w:val="center"/>
              <w:ind w:right="68"/>
              <w:spacing w:after="0" w:line="133" w:lineRule="exact"/>
              <w:rPr>
                <w:sz w:val="20"/>
                <w:szCs w:val="20"/>
                <w:color w:val="auto"/>
              </w:rPr>
            </w:pPr>
            <w:r>
              <w:rPr>
                <w:rFonts w:ascii="Arial" w:cs="Arial" w:eastAsia="Arial" w:hAnsi="Arial"/>
                <w:sz w:val="14"/>
                <w:szCs w:val="14"/>
                <w:b w:val="1"/>
                <w:bCs w:val="1"/>
                <w:color w:val="auto"/>
              </w:rPr>
              <w:t>Comprehensive</w:t>
            </w:r>
          </w:p>
        </w:tc>
        <w:tc>
          <w:tcPr>
            <w:tcW w:w="7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60" w:type="dxa"/>
            <w:vAlign w:val="bottom"/>
            <w:gridSpan w:val="2"/>
            <w:vMerge w:val="restart"/>
          </w:tcPr>
          <w:p>
            <w:pPr>
              <w:jc w:val="center"/>
              <w:spacing w:after="0" w:line="133" w:lineRule="exact"/>
              <w:rPr>
                <w:sz w:val="20"/>
                <w:szCs w:val="20"/>
                <w:color w:val="auto"/>
              </w:rPr>
            </w:pPr>
            <w:r>
              <w:rPr>
                <w:rFonts w:ascii="Arial" w:cs="Arial" w:eastAsia="Arial" w:hAnsi="Arial"/>
                <w:sz w:val="14"/>
                <w:szCs w:val="14"/>
                <w:b w:val="1"/>
                <w:bCs w:val="1"/>
                <w:color w:val="auto"/>
              </w:rPr>
              <w:t>Total Stockholders'</w:t>
            </w:r>
          </w:p>
        </w:tc>
        <w:tc>
          <w:tcPr>
            <w:tcW w:w="0" w:type="dxa"/>
            <w:vAlign w:val="bottom"/>
          </w:tcPr>
          <w:p>
            <w:pPr>
              <w:spacing w:after="0"/>
              <w:rPr>
                <w:sz w:val="1"/>
                <w:szCs w:val="1"/>
                <w:color w:val="auto"/>
              </w:rPr>
            </w:pPr>
          </w:p>
        </w:tc>
      </w:tr>
      <w:tr>
        <w:trPr>
          <w:trHeight w:val="59"/>
        </w:trPr>
        <w:tc>
          <w:tcPr>
            <w:tcW w:w="27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except per share data)</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Number</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Amount</w:t>
            </w: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Paid-In Capital</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Income (Loss)</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1"/>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Balances at November 24, 2018</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51,776</w:t>
            </w:r>
          </w:p>
        </w:tc>
        <w:tc>
          <w:tcPr>
            <w:tcW w:w="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25,888</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88,288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787,794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878</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(20,178)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(346,370)</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556,478</w:t>
            </w:r>
          </w:p>
        </w:tc>
        <w:tc>
          <w:tcPr>
            <w:tcW w:w="0" w:type="dxa"/>
            <w:vAlign w:val="bottom"/>
          </w:tcPr>
          <w:p>
            <w:pPr>
              <w:spacing w:after="0"/>
              <w:rPr>
                <w:sz w:val="1"/>
                <w:szCs w:val="1"/>
                <w:color w:val="auto"/>
              </w:rPr>
            </w:pPr>
          </w:p>
        </w:tc>
      </w:tr>
      <w:tr>
        <w:trPr>
          <w:trHeight w:val="212"/>
        </w:trPr>
        <w:tc>
          <w:tcPr>
            <w:tcW w:w="274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2,117</w:t>
            </w:r>
          </w:p>
        </w:tc>
        <w:tc>
          <w:tcPr>
            <w:tcW w:w="1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30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2,133</w:t>
            </w:r>
          </w:p>
        </w:tc>
        <w:tc>
          <w:tcPr>
            <w:tcW w:w="0" w:type="dxa"/>
            <w:vAlign w:val="bottom"/>
          </w:tcPr>
          <w:p>
            <w:pPr>
              <w:spacing w:after="0"/>
              <w:rPr>
                <w:sz w:val="1"/>
                <w:szCs w:val="1"/>
                <w:color w:val="auto"/>
              </w:rPr>
            </w:pPr>
          </w:p>
        </w:tc>
      </w:tr>
      <w:tr>
        <w:trPr>
          <w:trHeight w:val="22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restricted stock</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(769)</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769</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2740" w:type="dxa"/>
            <w:vAlign w:val="bottom"/>
          </w:tcPr>
          <w:p>
            <w:pPr>
              <w:ind w:left="180"/>
              <w:spacing w:after="0"/>
              <w:rPr>
                <w:sz w:val="20"/>
                <w:szCs w:val="20"/>
                <w:color w:val="auto"/>
              </w:rPr>
            </w:pPr>
            <w:r>
              <w:rPr>
                <w:rFonts w:ascii="Arial" w:cs="Arial" w:eastAsia="Arial" w:hAnsi="Arial"/>
                <w:sz w:val="14"/>
                <w:szCs w:val="14"/>
                <w:color w:val="auto"/>
              </w:rPr>
              <w:t>Issuance of stock under ESPP</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1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8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250</w:t>
            </w:r>
          </w:p>
        </w:tc>
        <w:tc>
          <w:tcPr>
            <w:tcW w:w="30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22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 of common stock</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(5,672)</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(5,672)</w:t>
            </w:r>
          </w:p>
        </w:tc>
        <w:tc>
          <w:tcPr>
            <w:tcW w:w="0" w:type="dxa"/>
            <w:vAlign w:val="bottom"/>
          </w:tcPr>
          <w:p>
            <w:pPr>
              <w:spacing w:after="0"/>
              <w:rPr>
                <w:sz w:val="1"/>
                <w:szCs w:val="1"/>
                <w:color w:val="auto"/>
              </w:rPr>
            </w:pPr>
          </w:p>
        </w:tc>
      </w:tr>
      <w:tr>
        <w:trPr>
          <w:trHeight w:val="176"/>
        </w:trPr>
        <w:tc>
          <w:tcPr>
            <w:tcW w:w="2740" w:type="dxa"/>
            <w:vAlign w:val="bottom"/>
          </w:tcPr>
          <w:p>
            <w:pPr>
              <w:ind w:left="180"/>
              <w:spacing w:after="0"/>
              <w:rPr>
                <w:sz w:val="20"/>
                <w:szCs w:val="20"/>
                <w:color w:val="auto"/>
              </w:rPr>
            </w:pPr>
            <w:r>
              <w:rPr>
                <w:rFonts w:ascii="Arial" w:cs="Arial" w:eastAsia="Arial" w:hAnsi="Arial"/>
                <w:sz w:val="14"/>
                <w:szCs w:val="14"/>
                <w:color w:val="auto"/>
              </w:rPr>
              <w:t>Common stock dividends; $0.11 per</w:t>
            </w: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180"/>
              <w:spacing w:after="0"/>
              <w:rPr>
                <w:sz w:val="20"/>
                <w:szCs w:val="20"/>
                <w:color w:val="auto"/>
              </w:rPr>
            </w:pPr>
            <w:r>
              <w:rPr>
                <w:rFonts w:ascii="Arial" w:cs="Arial" w:eastAsia="Arial" w:hAnsi="Arial"/>
                <w:sz w:val="14"/>
                <w:szCs w:val="14"/>
                <w:color w:val="auto"/>
              </w:rPr>
              <w:t>share</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(3,541)</w:t>
            </w:r>
          </w:p>
        </w:tc>
        <w:tc>
          <w:tcPr>
            <w:tcW w:w="160" w:type="dxa"/>
            <w:vAlign w:val="bottom"/>
          </w:tcPr>
          <w:p>
            <w:pPr>
              <w:spacing w:after="0"/>
              <w:rPr>
                <w:sz w:val="17"/>
                <w:szCs w:val="17"/>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(3,541)</w:t>
            </w:r>
          </w:p>
        </w:tc>
        <w:tc>
          <w:tcPr>
            <w:tcW w:w="0" w:type="dxa"/>
            <w:vAlign w:val="bottom"/>
          </w:tcPr>
          <w:p>
            <w:pPr>
              <w:spacing w:after="0"/>
              <w:rPr>
                <w:sz w:val="1"/>
                <w:szCs w:val="1"/>
                <w:color w:val="auto"/>
              </w:rPr>
            </w:pPr>
          </w:p>
        </w:tc>
      </w:tr>
      <w:tr>
        <w:trPr>
          <w:trHeight w:val="22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Actuarial loss, net of tax</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6"/>
        </w:trPr>
        <w:tc>
          <w:tcPr>
            <w:tcW w:w="2740" w:type="dxa"/>
            <w:vAlign w:val="bottom"/>
          </w:tcPr>
          <w:p>
            <w:pPr>
              <w:ind w:left="180"/>
              <w:spacing w:after="0"/>
              <w:rPr>
                <w:sz w:val="20"/>
                <w:szCs w:val="20"/>
                <w:color w:val="auto"/>
              </w:rPr>
            </w:pPr>
            <w:r>
              <w:rPr>
                <w:rFonts w:ascii="Arial" w:cs="Arial" w:eastAsia="Arial" w:hAnsi="Arial"/>
                <w:sz w:val="14"/>
                <w:szCs w:val="14"/>
                <w:color w:val="auto"/>
              </w:rPr>
              <w:t>Change in fair value of interest rate</w:t>
            </w: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180"/>
              <w:spacing w:after="0"/>
              <w:rPr>
                <w:sz w:val="20"/>
                <w:szCs w:val="20"/>
                <w:color w:val="auto"/>
              </w:rPr>
            </w:pPr>
            <w:r>
              <w:rPr>
                <w:rFonts w:ascii="Arial" w:cs="Arial" w:eastAsia="Arial" w:hAnsi="Arial"/>
                <w:sz w:val="14"/>
                <w:szCs w:val="14"/>
                <w:color w:val="auto"/>
              </w:rPr>
              <w:t>swap, net of tax</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(634)</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(634)</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21,598</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21,598</w:t>
            </w:r>
          </w:p>
        </w:tc>
        <w:tc>
          <w:tcPr>
            <w:tcW w:w="0" w:type="dxa"/>
            <w:vAlign w:val="bottom"/>
          </w:tcPr>
          <w:p>
            <w:pPr>
              <w:spacing w:after="0"/>
              <w:rPr>
                <w:sz w:val="1"/>
                <w:szCs w:val="1"/>
                <w:color w:val="auto"/>
              </w:rPr>
            </w:pPr>
          </w:p>
        </w:tc>
      </w:tr>
      <w:tr>
        <w:trPr>
          <w:trHeight w:val="214"/>
        </w:trPr>
        <w:tc>
          <w:tcPr>
            <w:tcW w:w="2740" w:type="dxa"/>
            <w:vAlign w:val="bottom"/>
          </w:tcPr>
          <w:p>
            <w:pPr>
              <w:ind w:left="40"/>
              <w:spacing w:after="0"/>
              <w:rPr>
                <w:sz w:val="20"/>
                <w:szCs w:val="20"/>
                <w:color w:val="auto"/>
              </w:rPr>
            </w:pPr>
            <w:r>
              <w:rPr>
                <w:rFonts w:ascii="Arial" w:cs="Arial" w:eastAsia="Arial" w:hAnsi="Arial"/>
                <w:sz w:val="14"/>
                <w:szCs w:val="14"/>
                <w:color w:val="auto"/>
              </w:rPr>
              <w:t>Balances at February 23, 2019</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51,776</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25,888</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89,682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805,851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(20,292)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(351,007)</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570,666</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gridSpan w:val="4"/>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7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center"/>
              <w:ind w:right="508"/>
              <w:spacing w:after="0"/>
              <w:rPr>
                <w:sz w:val="20"/>
                <w:szCs w:val="20"/>
                <w:color w:val="auto"/>
              </w:rPr>
            </w:pPr>
            <w:r>
              <w:rPr>
                <w:rFonts w:ascii="Arial" w:cs="Arial" w:eastAsia="Arial" w:hAnsi="Arial"/>
                <w:sz w:val="14"/>
                <w:szCs w:val="14"/>
                <w:b w:val="1"/>
                <w:bCs w:val="1"/>
                <w:color w:val="auto"/>
              </w:rPr>
              <w:t>Six Months Ended February 23, 2019</w:t>
            </w: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740" w:type="dxa"/>
            <w:vAlign w:val="bottom"/>
          </w:tcPr>
          <w:p>
            <w:pPr>
              <w:spacing w:after="0"/>
              <w:rPr>
                <w:sz w:val="17"/>
                <w:szCs w:val="17"/>
                <w:color w:val="auto"/>
              </w:rPr>
            </w:pPr>
          </w:p>
        </w:tc>
        <w:tc>
          <w:tcPr>
            <w:tcW w:w="1880" w:type="dxa"/>
            <w:vAlign w:val="bottom"/>
            <w:gridSpan w:val="3"/>
          </w:tcPr>
          <w:p>
            <w:pPr>
              <w:jc w:val="right"/>
              <w:ind w:right="288"/>
              <w:spacing w:after="0"/>
              <w:rPr>
                <w:sz w:val="20"/>
                <w:szCs w:val="20"/>
                <w:color w:val="auto"/>
              </w:rPr>
            </w:pPr>
            <w:r>
              <w:rPr>
                <w:rFonts w:ascii="Arial" w:cs="Arial" w:eastAsia="Arial" w:hAnsi="Arial"/>
                <w:sz w:val="14"/>
                <w:szCs w:val="14"/>
                <w:b w:val="1"/>
                <w:bCs w:val="1"/>
                <w:color w:val="auto"/>
              </w:rPr>
              <w:t>Common Shares</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800" w:type="dxa"/>
            <w:vAlign w:val="bottom"/>
            <w:gridSpan w:val="3"/>
          </w:tcPr>
          <w:p>
            <w:pPr>
              <w:jc w:val="right"/>
              <w:ind w:right="28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740" w:type="dxa"/>
            <w:vAlign w:val="bottom"/>
            <w:vMerge w:val="restart"/>
          </w:tcPr>
          <w:p>
            <w:pPr>
              <w:ind w:left="40"/>
              <w:spacing w:after="0" w:line="133" w:lineRule="exact"/>
              <w:rPr>
                <w:sz w:val="20"/>
                <w:szCs w:val="20"/>
                <w:color w:val="auto"/>
              </w:rPr>
            </w:pPr>
            <w:r>
              <w:rPr>
                <w:rFonts w:ascii="Arial" w:cs="Arial" w:eastAsia="Arial" w:hAnsi="Arial"/>
                <w:sz w:val="14"/>
                <w:szCs w:val="14"/>
                <w:b w:val="1"/>
                <w:bCs w:val="1"/>
                <w:color w:val="auto"/>
              </w:rPr>
              <w:t>(in thousands,</w:t>
            </w: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restart"/>
          </w:tcPr>
          <w:p>
            <w:pPr>
              <w:jc w:val="right"/>
              <w:ind w:right="88"/>
              <w:spacing w:after="0" w:line="133" w:lineRule="exact"/>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4"/>
                <w:szCs w:val="4"/>
                <w:color w:val="auto"/>
              </w:rPr>
            </w:pPr>
          </w:p>
        </w:tc>
        <w:tc>
          <w:tcPr>
            <w:tcW w:w="880" w:type="dxa"/>
            <w:vAlign w:val="bottom"/>
            <w:vMerge w:val="restart"/>
          </w:tcPr>
          <w:p>
            <w:pPr>
              <w:jc w:val="right"/>
              <w:ind w:right="128"/>
              <w:spacing w:after="0" w:line="133"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4"/>
                <w:szCs w:val="4"/>
                <w:color w:val="auto"/>
              </w:rPr>
            </w:pPr>
          </w:p>
        </w:tc>
        <w:tc>
          <w:tcPr>
            <w:tcW w:w="1300" w:type="dxa"/>
            <w:vAlign w:val="bottom"/>
            <w:vMerge w:val="restart"/>
          </w:tcPr>
          <w:p>
            <w:pPr>
              <w:jc w:val="center"/>
              <w:ind w:right="68"/>
              <w:spacing w:after="0" w:line="133" w:lineRule="exact"/>
              <w:rPr>
                <w:sz w:val="20"/>
                <w:szCs w:val="20"/>
                <w:color w:val="auto"/>
              </w:rPr>
            </w:pPr>
            <w:r>
              <w:rPr>
                <w:rFonts w:ascii="Arial" w:cs="Arial" w:eastAsia="Arial" w:hAnsi="Arial"/>
                <w:sz w:val="14"/>
                <w:szCs w:val="14"/>
                <w:b w:val="1"/>
                <w:bCs w:val="1"/>
                <w:color w:val="auto"/>
              </w:rPr>
              <w:t>Comprehensive</w:t>
            </w:r>
          </w:p>
        </w:tc>
        <w:tc>
          <w:tcPr>
            <w:tcW w:w="7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60" w:type="dxa"/>
            <w:vAlign w:val="bottom"/>
            <w:gridSpan w:val="2"/>
            <w:vMerge w:val="restart"/>
          </w:tcPr>
          <w:p>
            <w:pPr>
              <w:jc w:val="center"/>
              <w:spacing w:after="0" w:line="133" w:lineRule="exact"/>
              <w:rPr>
                <w:sz w:val="20"/>
                <w:szCs w:val="20"/>
                <w:color w:val="auto"/>
              </w:rPr>
            </w:pPr>
            <w:r>
              <w:rPr>
                <w:rFonts w:ascii="Arial" w:cs="Arial" w:eastAsia="Arial" w:hAnsi="Arial"/>
                <w:sz w:val="14"/>
                <w:szCs w:val="14"/>
                <w:b w:val="1"/>
                <w:bCs w:val="1"/>
                <w:color w:val="auto"/>
              </w:rPr>
              <w:t>Total Stockholders'</w:t>
            </w:r>
          </w:p>
        </w:tc>
        <w:tc>
          <w:tcPr>
            <w:tcW w:w="0" w:type="dxa"/>
            <w:vAlign w:val="bottom"/>
          </w:tcPr>
          <w:p>
            <w:pPr>
              <w:spacing w:after="0"/>
              <w:rPr>
                <w:sz w:val="1"/>
                <w:szCs w:val="1"/>
                <w:color w:val="auto"/>
              </w:rPr>
            </w:pPr>
          </w:p>
        </w:tc>
      </w:tr>
      <w:tr>
        <w:trPr>
          <w:trHeight w:val="59"/>
        </w:trPr>
        <w:tc>
          <w:tcPr>
            <w:tcW w:w="27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except per share data)</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Number</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Amount</w:t>
            </w: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Paid-In Capital</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Income (Loss)</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1"/>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Balances at August 25, 2018</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51,776</w:t>
            </w:r>
          </w:p>
        </w:tc>
        <w:tc>
          <w:tcPr>
            <w:tcW w:w="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25,888</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86,223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768,816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892</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(20,243)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(347,374)</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534,445</w:t>
            </w:r>
          </w:p>
        </w:tc>
        <w:tc>
          <w:tcPr>
            <w:tcW w:w="0" w:type="dxa"/>
            <w:vAlign w:val="bottom"/>
          </w:tcPr>
          <w:p>
            <w:pPr>
              <w:spacing w:after="0"/>
              <w:rPr>
                <w:sz w:val="1"/>
                <w:szCs w:val="1"/>
                <w:color w:val="auto"/>
              </w:rPr>
            </w:pPr>
          </w:p>
        </w:tc>
      </w:tr>
      <w:tr>
        <w:trPr>
          <w:trHeight w:val="212"/>
        </w:trPr>
        <w:tc>
          <w:tcPr>
            <w:tcW w:w="274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4,565</w:t>
            </w:r>
          </w:p>
        </w:tc>
        <w:tc>
          <w:tcPr>
            <w:tcW w:w="1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57</w:t>
            </w:r>
          </w:p>
        </w:tc>
        <w:tc>
          <w:tcPr>
            <w:tcW w:w="30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4,622</w:t>
            </w:r>
          </w:p>
        </w:tc>
        <w:tc>
          <w:tcPr>
            <w:tcW w:w="0" w:type="dxa"/>
            <w:vAlign w:val="bottom"/>
          </w:tcPr>
          <w:p>
            <w:pPr>
              <w:spacing w:after="0"/>
              <w:rPr>
                <w:sz w:val="1"/>
                <w:szCs w:val="1"/>
                <w:color w:val="auto"/>
              </w:rPr>
            </w:pPr>
          </w:p>
        </w:tc>
      </w:tr>
      <w:tr>
        <w:trPr>
          <w:trHeight w:val="22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restricted stock</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(1,152)</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2,680</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1,528</w:t>
            </w:r>
          </w:p>
        </w:tc>
        <w:tc>
          <w:tcPr>
            <w:tcW w:w="0" w:type="dxa"/>
            <w:vAlign w:val="bottom"/>
          </w:tcPr>
          <w:p>
            <w:pPr>
              <w:spacing w:after="0"/>
              <w:rPr>
                <w:sz w:val="1"/>
                <w:szCs w:val="1"/>
                <w:color w:val="auto"/>
              </w:rPr>
            </w:pPr>
          </w:p>
        </w:tc>
      </w:tr>
      <w:tr>
        <w:trPr>
          <w:trHeight w:val="212"/>
        </w:trPr>
        <w:tc>
          <w:tcPr>
            <w:tcW w:w="2740" w:type="dxa"/>
            <w:vAlign w:val="bottom"/>
          </w:tcPr>
          <w:p>
            <w:pPr>
              <w:ind w:left="180"/>
              <w:spacing w:after="0"/>
              <w:rPr>
                <w:sz w:val="20"/>
                <w:szCs w:val="20"/>
                <w:color w:val="auto"/>
              </w:rPr>
            </w:pPr>
            <w:r>
              <w:rPr>
                <w:rFonts w:ascii="Arial" w:cs="Arial" w:eastAsia="Arial" w:hAnsi="Arial"/>
                <w:sz w:val="14"/>
                <w:szCs w:val="14"/>
                <w:color w:val="auto"/>
              </w:rPr>
              <w:t>Issuance of stock under ESPP</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1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8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250</w:t>
            </w:r>
          </w:p>
        </w:tc>
        <w:tc>
          <w:tcPr>
            <w:tcW w:w="30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22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 of common stock</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(6,620)</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(6,620)</w:t>
            </w:r>
          </w:p>
        </w:tc>
        <w:tc>
          <w:tcPr>
            <w:tcW w:w="0" w:type="dxa"/>
            <w:vAlign w:val="bottom"/>
          </w:tcPr>
          <w:p>
            <w:pPr>
              <w:spacing w:after="0"/>
              <w:rPr>
                <w:sz w:val="1"/>
                <w:szCs w:val="1"/>
                <w:color w:val="auto"/>
              </w:rPr>
            </w:pPr>
          </w:p>
        </w:tc>
      </w:tr>
      <w:tr>
        <w:trPr>
          <w:trHeight w:val="176"/>
        </w:trPr>
        <w:tc>
          <w:tcPr>
            <w:tcW w:w="2740" w:type="dxa"/>
            <w:vAlign w:val="bottom"/>
          </w:tcPr>
          <w:p>
            <w:pPr>
              <w:ind w:left="180"/>
              <w:spacing w:after="0"/>
              <w:rPr>
                <w:sz w:val="20"/>
                <w:szCs w:val="20"/>
                <w:color w:val="auto"/>
              </w:rPr>
            </w:pPr>
            <w:r>
              <w:rPr>
                <w:rFonts w:ascii="Arial" w:cs="Arial" w:eastAsia="Arial" w:hAnsi="Arial"/>
                <w:sz w:val="14"/>
                <w:szCs w:val="14"/>
                <w:color w:val="auto"/>
              </w:rPr>
              <w:t>Common stock dividends; $0.21 per</w:t>
            </w: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180"/>
              <w:spacing w:after="0"/>
              <w:rPr>
                <w:sz w:val="20"/>
                <w:szCs w:val="20"/>
                <w:color w:val="auto"/>
              </w:rPr>
            </w:pPr>
            <w:r>
              <w:rPr>
                <w:rFonts w:ascii="Arial" w:cs="Arial" w:eastAsia="Arial" w:hAnsi="Arial"/>
                <w:sz w:val="14"/>
                <w:szCs w:val="14"/>
                <w:color w:val="auto"/>
              </w:rPr>
              <w:t>share</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(6,724)</w:t>
            </w:r>
          </w:p>
        </w:tc>
        <w:tc>
          <w:tcPr>
            <w:tcW w:w="160" w:type="dxa"/>
            <w:vAlign w:val="bottom"/>
          </w:tcPr>
          <w:p>
            <w:pPr>
              <w:spacing w:after="0"/>
              <w:rPr>
                <w:sz w:val="17"/>
                <w:szCs w:val="17"/>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(6,724)</w:t>
            </w:r>
          </w:p>
        </w:tc>
        <w:tc>
          <w:tcPr>
            <w:tcW w:w="0" w:type="dxa"/>
            <w:vAlign w:val="bottom"/>
          </w:tcPr>
          <w:p>
            <w:pPr>
              <w:spacing w:after="0"/>
              <w:rPr>
                <w:sz w:val="1"/>
                <w:szCs w:val="1"/>
                <w:color w:val="auto"/>
              </w:rPr>
            </w:pPr>
          </w:p>
        </w:tc>
      </w:tr>
      <w:tr>
        <w:trPr>
          <w:trHeight w:val="22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Actuarial loss, net of tax</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76"/>
        </w:trPr>
        <w:tc>
          <w:tcPr>
            <w:tcW w:w="2740" w:type="dxa"/>
            <w:vAlign w:val="bottom"/>
          </w:tcPr>
          <w:p>
            <w:pPr>
              <w:ind w:left="180"/>
              <w:spacing w:after="0"/>
              <w:rPr>
                <w:sz w:val="20"/>
                <w:szCs w:val="20"/>
                <w:color w:val="auto"/>
              </w:rPr>
            </w:pPr>
            <w:r>
              <w:rPr>
                <w:rFonts w:ascii="Arial" w:cs="Arial" w:eastAsia="Arial" w:hAnsi="Arial"/>
                <w:sz w:val="14"/>
                <w:szCs w:val="14"/>
                <w:color w:val="auto"/>
              </w:rPr>
              <w:t>Change in fair value of interest rate</w:t>
            </w: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180"/>
              <w:spacing w:after="0"/>
              <w:rPr>
                <w:sz w:val="20"/>
                <w:szCs w:val="20"/>
                <w:color w:val="auto"/>
              </w:rPr>
            </w:pPr>
            <w:r>
              <w:rPr>
                <w:rFonts w:ascii="Arial" w:cs="Arial" w:eastAsia="Arial" w:hAnsi="Arial"/>
                <w:sz w:val="14"/>
                <w:szCs w:val="14"/>
                <w:color w:val="auto"/>
              </w:rPr>
              <w:t>swap, net of tax</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(656)</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(656)</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43,759</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43,759</w:t>
            </w:r>
          </w:p>
        </w:tc>
        <w:tc>
          <w:tcPr>
            <w:tcW w:w="0" w:type="dxa"/>
            <w:vAlign w:val="bottom"/>
          </w:tcPr>
          <w:p>
            <w:pPr>
              <w:spacing w:after="0"/>
              <w:rPr>
                <w:sz w:val="1"/>
                <w:szCs w:val="1"/>
                <w:color w:val="auto"/>
              </w:rPr>
            </w:pPr>
          </w:p>
        </w:tc>
      </w:tr>
      <w:tr>
        <w:trPr>
          <w:trHeight w:val="214"/>
        </w:trPr>
        <w:tc>
          <w:tcPr>
            <w:tcW w:w="2740" w:type="dxa"/>
            <w:vAlign w:val="bottom"/>
          </w:tcPr>
          <w:p>
            <w:pPr>
              <w:ind w:left="40"/>
              <w:spacing w:after="0"/>
              <w:rPr>
                <w:sz w:val="20"/>
                <w:szCs w:val="20"/>
                <w:color w:val="auto"/>
              </w:rPr>
            </w:pPr>
            <w:r>
              <w:rPr>
                <w:rFonts w:ascii="Arial" w:cs="Arial" w:eastAsia="Arial" w:hAnsi="Arial"/>
                <w:sz w:val="14"/>
                <w:szCs w:val="14"/>
                <w:color w:val="auto"/>
              </w:rPr>
              <w:t>Balances at February 23, 2019</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51,776</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25,888</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89,682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805,851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(20,292)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(351,007)</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570,666</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gridSpan w:val="5"/>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7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5"/>
          </w:tcPr>
          <w:p>
            <w:pPr>
              <w:jc w:val="center"/>
              <w:ind w:right="328"/>
              <w:spacing w:after="0"/>
              <w:rPr>
                <w:sz w:val="20"/>
                <w:szCs w:val="20"/>
                <w:color w:val="auto"/>
              </w:rPr>
            </w:pPr>
            <w:r>
              <w:rPr>
                <w:rFonts w:ascii="Arial" w:cs="Arial" w:eastAsia="Arial" w:hAnsi="Arial"/>
                <w:sz w:val="14"/>
                <w:szCs w:val="14"/>
                <w:b w:val="1"/>
                <w:bCs w:val="1"/>
                <w:color w:val="auto"/>
              </w:rPr>
              <w:t>Three Months Ended February 24, 2018</w:t>
            </w: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740" w:type="dxa"/>
            <w:vAlign w:val="bottom"/>
          </w:tcPr>
          <w:p>
            <w:pPr>
              <w:spacing w:after="0"/>
              <w:rPr>
                <w:sz w:val="17"/>
                <w:szCs w:val="17"/>
                <w:color w:val="auto"/>
              </w:rPr>
            </w:pPr>
          </w:p>
        </w:tc>
        <w:tc>
          <w:tcPr>
            <w:tcW w:w="1880" w:type="dxa"/>
            <w:vAlign w:val="bottom"/>
            <w:gridSpan w:val="3"/>
          </w:tcPr>
          <w:p>
            <w:pPr>
              <w:jc w:val="right"/>
              <w:ind w:right="288"/>
              <w:spacing w:after="0"/>
              <w:rPr>
                <w:sz w:val="20"/>
                <w:szCs w:val="20"/>
                <w:color w:val="auto"/>
              </w:rPr>
            </w:pPr>
            <w:r>
              <w:rPr>
                <w:rFonts w:ascii="Arial" w:cs="Arial" w:eastAsia="Arial" w:hAnsi="Arial"/>
                <w:sz w:val="14"/>
                <w:szCs w:val="14"/>
                <w:b w:val="1"/>
                <w:bCs w:val="1"/>
                <w:color w:val="auto"/>
              </w:rPr>
              <w:t>Common Shares</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800" w:type="dxa"/>
            <w:vAlign w:val="bottom"/>
            <w:gridSpan w:val="3"/>
          </w:tcPr>
          <w:p>
            <w:pPr>
              <w:jc w:val="right"/>
              <w:ind w:right="28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740" w:type="dxa"/>
            <w:vAlign w:val="bottom"/>
            <w:vMerge w:val="restart"/>
          </w:tcPr>
          <w:p>
            <w:pPr>
              <w:ind w:left="40"/>
              <w:spacing w:after="0" w:line="133" w:lineRule="exact"/>
              <w:rPr>
                <w:sz w:val="20"/>
                <w:szCs w:val="20"/>
                <w:color w:val="auto"/>
              </w:rPr>
            </w:pPr>
            <w:r>
              <w:rPr>
                <w:rFonts w:ascii="Arial" w:cs="Arial" w:eastAsia="Arial" w:hAnsi="Arial"/>
                <w:sz w:val="14"/>
                <w:szCs w:val="14"/>
                <w:b w:val="1"/>
                <w:bCs w:val="1"/>
                <w:color w:val="auto"/>
              </w:rPr>
              <w:t>(in thousands,</w:t>
            </w: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restart"/>
          </w:tcPr>
          <w:p>
            <w:pPr>
              <w:jc w:val="right"/>
              <w:ind w:right="88"/>
              <w:spacing w:after="0" w:line="133" w:lineRule="exact"/>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4"/>
                <w:szCs w:val="4"/>
                <w:color w:val="auto"/>
              </w:rPr>
            </w:pPr>
          </w:p>
        </w:tc>
        <w:tc>
          <w:tcPr>
            <w:tcW w:w="880" w:type="dxa"/>
            <w:vAlign w:val="bottom"/>
            <w:vMerge w:val="restart"/>
          </w:tcPr>
          <w:p>
            <w:pPr>
              <w:jc w:val="right"/>
              <w:ind w:right="128"/>
              <w:spacing w:after="0" w:line="133"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4"/>
                <w:szCs w:val="4"/>
                <w:color w:val="auto"/>
              </w:rPr>
            </w:pPr>
          </w:p>
        </w:tc>
        <w:tc>
          <w:tcPr>
            <w:tcW w:w="1300" w:type="dxa"/>
            <w:vAlign w:val="bottom"/>
            <w:vMerge w:val="restart"/>
          </w:tcPr>
          <w:p>
            <w:pPr>
              <w:jc w:val="center"/>
              <w:ind w:right="68"/>
              <w:spacing w:after="0" w:line="133" w:lineRule="exact"/>
              <w:rPr>
                <w:sz w:val="20"/>
                <w:szCs w:val="20"/>
                <w:color w:val="auto"/>
              </w:rPr>
            </w:pPr>
            <w:r>
              <w:rPr>
                <w:rFonts w:ascii="Arial" w:cs="Arial" w:eastAsia="Arial" w:hAnsi="Arial"/>
                <w:sz w:val="14"/>
                <w:szCs w:val="14"/>
                <w:b w:val="1"/>
                <w:bCs w:val="1"/>
                <w:color w:val="auto"/>
              </w:rPr>
              <w:t>Comprehensive</w:t>
            </w:r>
          </w:p>
        </w:tc>
        <w:tc>
          <w:tcPr>
            <w:tcW w:w="7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60" w:type="dxa"/>
            <w:vAlign w:val="bottom"/>
            <w:gridSpan w:val="2"/>
            <w:vMerge w:val="restart"/>
          </w:tcPr>
          <w:p>
            <w:pPr>
              <w:jc w:val="center"/>
              <w:spacing w:after="0" w:line="133" w:lineRule="exact"/>
              <w:rPr>
                <w:sz w:val="20"/>
                <w:szCs w:val="20"/>
                <w:color w:val="auto"/>
              </w:rPr>
            </w:pPr>
            <w:r>
              <w:rPr>
                <w:rFonts w:ascii="Arial" w:cs="Arial" w:eastAsia="Arial" w:hAnsi="Arial"/>
                <w:sz w:val="14"/>
                <w:szCs w:val="14"/>
                <w:b w:val="1"/>
                <w:bCs w:val="1"/>
                <w:color w:val="auto"/>
              </w:rPr>
              <w:t>Total Stockholders'</w:t>
            </w:r>
          </w:p>
        </w:tc>
        <w:tc>
          <w:tcPr>
            <w:tcW w:w="0" w:type="dxa"/>
            <w:vAlign w:val="bottom"/>
          </w:tcPr>
          <w:p>
            <w:pPr>
              <w:spacing w:after="0"/>
              <w:rPr>
                <w:sz w:val="1"/>
                <w:szCs w:val="1"/>
                <w:color w:val="auto"/>
              </w:rPr>
            </w:pPr>
          </w:p>
        </w:tc>
      </w:tr>
      <w:tr>
        <w:trPr>
          <w:trHeight w:val="59"/>
        </w:trPr>
        <w:tc>
          <w:tcPr>
            <w:tcW w:w="27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except per share data)</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Number</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Amount</w:t>
            </w: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Paid-In Capital</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Income (Loss)</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1"/>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Balances at November 25, 2017</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51,776</w:t>
            </w:r>
          </w:p>
        </w:tc>
        <w:tc>
          <w:tcPr>
            <w:tcW w:w="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25,888</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80,040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693,909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(20,140)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(342,823)</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456,631</w:t>
            </w:r>
          </w:p>
        </w:tc>
        <w:tc>
          <w:tcPr>
            <w:tcW w:w="0" w:type="dxa"/>
            <w:vAlign w:val="bottom"/>
          </w:tcPr>
          <w:p>
            <w:pPr>
              <w:spacing w:after="0"/>
              <w:rPr>
                <w:sz w:val="1"/>
                <w:szCs w:val="1"/>
                <w:color w:val="auto"/>
              </w:rPr>
            </w:pPr>
          </w:p>
        </w:tc>
      </w:tr>
      <w:tr>
        <w:trPr>
          <w:trHeight w:val="212"/>
        </w:trPr>
        <w:tc>
          <w:tcPr>
            <w:tcW w:w="274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1,084</w:t>
            </w:r>
          </w:p>
        </w:tc>
        <w:tc>
          <w:tcPr>
            <w:tcW w:w="1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30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1,103</w:t>
            </w:r>
          </w:p>
        </w:tc>
        <w:tc>
          <w:tcPr>
            <w:tcW w:w="0" w:type="dxa"/>
            <w:vAlign w:val="bottom"/>
          </w:tcPr>
          <w:p>
            <w:pPr>
              <w:spacing w:after="0"/>
              <w:rPr>
                <w:sz w:val="1"/>
                <w:szCs w:val="1"/>
                <w:color w:val="auto"/>
              </w:rPr>
            </w:pPr>
          </w:p>
        </w:tc>
      </w:tr>
      <w:tr>
        <w:trPr>
          <w:trHeight w:val="22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restricted stock</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403</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2740" w:type="dxa"/>
            <w:vAlign w:val="bottom"/>
          </w:tcPr>
          <w:p>
            <w:pPr>
              <w:ind w:left="180"/>
              <w:spacing w:after="0"/>
              <w:rPr>
                <w:sz w:val="20"/>
                <w:szCs w:val="20"/>
                <w:color w:val="auto"/>
              </w:rPr>
            </w:pPr>
            <w:r>
              <w:rPr>
                <w:rFonts w:ascii="Arial" w:cs="Arial" w:eastAsia="Arial" w:hAnsi="Arial"/>
                <w:sz w:val="14"/>
                <w:szCs w:val="14"/>
                <w:color w:val="auto"/>
              </w:rPr>
              <w:t>Repurchase of common stock</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(115)</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stock dividends; $0.10 per</w:t>
            </w: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(3,188)</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(3,188)</w:t>
            </w:r>
          </w:p>
        </w:tc>
        <w:tc>
          <w:tcPr>
            <w:tcW w:w="0" w:type="dxa"/>
            <w:vAlign w:val="bottom"/>
          </w:tcPr>
          <w:p>
            <w:pPr>
              <w:spacing w:after="0"/>
              <w:rPr>
                <w:sz w:val="1"/>
                <w:szCs w:val="1"/>
                <w:color w:val="auto"/>
              </w:rPr>
            </w:pPr>
          </w:p>
        </w:tc>
      </w:tr>
      <w:tr>
        <w:trPr>
          <w:trHeight w:val="212"/>
        </w:trPr>
        <w:tc>
          <w:tcPr>
            <w:tcW w:w="2740" w:type="dxa"/>
            <w:vAlign w:val="bottom"/>
          </w:tcPr>
          <w:p>
            <w:pPr>
              <w:ind w:left="180"/>
              <w:spacing w:after="0"/>
              <w:rPr>
                <w:sz w:val="20"/>
                <w:szCs w:val="20"/>
                <w:color w:val="auto"/>
              </w:rPr>
            </w:pPr>
            <w:r>
              <w:rPr>
                <w:rFonts w:ascii="Arial" w:cs="Arial" w:eastAsia="Arial" w:hAnsi="Arial"/>
                <w:sz w:val="14"/>
                <w:szCs w:val="14"/>
                <w:color w:val="auto"/>
              </w:rPr>
              <w:t>Actuarial loss, net of tax</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fair value of interest rate</w:t>
            </w: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swap, net of tax</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1,283</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1,283</w:t>
            </w:r>
          </w:p>
        </w:tc>
        <w:tc>
          <w:tcPr>
            <w:tcW w:w="0" w:type="dxa"/>
            <w:vAlign w:val="bottom"/>
          </w:tcPr>
          <w:p>
            <w:pPr>
              <w:spacing w:after="0"/>
              <w:rPr>
                <w:sz w:val="1"/>
                <w:szCs w:val="1"/>
                <w:color w:val="auto"/>
              </w:rPr>
            </w:pPr>
          </w:p>
        </w:tc>
      </w:tr>
      <w:tr>
        <w:trPr>
          <w:trHeight w:val="212"/>
        </w:trPr>
        <w:tc>
          <w:tcPr>
            <w:tcW w:w="27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Net income</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22,088</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22,088</w:t>
            </w:r>
          </w:p>
        </w:tc>
        <w:tc>
          <w:tcPr>
            <w:tcW w:w="0" w:type="dxa"/>
            <w:vAlign w:val="bottom"/>
          </w:tcPr>
          <w:p>
            <w:pPr>
              <w:spacing w:after="0"/>
              <w:rPr>
                <w:sz w:val="1"/>
                <w:szCs w:val="1"/>
                <w:color w:val="auto"/>
              </w:rPr>
            </w:pPr>
          </w:p>
        </w:tc>
      </w:tr>
      <w:tr>
        <w:trPr>
          <w:trHeight w:val="21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Balances at February 24, 2018</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51,776</w:t>
            </w:r>
          </w:p>
        </w:tc>
        <w:tc>
          <w:tcPr>
            <w:tcW w:w="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25,888</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80,721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712,809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907</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(20,117)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(342,516)</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477,809</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Changes in Stockholders' Equity (continued)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258"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27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Six Months Ended February 24, 2018</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700" w:type="dxa"/>
            <w:vAlign w:val="bottom"/>
          </w:tcPr>
          <w:p>
            <w:pPr>
              <w:spacing w:after="0"/>
              <w:rPr>
                <w:sz w:val="17"/>
                <w:szCs w:val="17"/>
                <w:color w:val="auto"/>
              </w:rPr>
            </w:pPr>
          </w:p>
        </w:tc>
        <w:tc>
          <w:tcPr>
            <w:tcW w:w="1820" w:type="dxa"/>
            <w:vAlign w:val="bottom"/>
            <w:gridSpan w:val="3"/>
          </w:tcPr>
          <w:p>
            <w:pPr>
              <w:jc w:val="right"/>
              <w:ind w:right="248"/>
              <w:spacing w:after="0"/>
              <w:rPr>
                <w:sz w:val="20"/>
                <w:szCs w:val="20"/>
                <w:color w:val="auto"/>
              </w:rPr>
            </w:pPr>
            <w:r>
              <w:rPr>
                <w:rFonts w:ascii="Arial" w:cs="Arial" w:eastAsia="Arial" w:hAnsi="Arial"/>
                <w:sz w:val="14"/>
                <w:szCs w:val="14"/>
                <w:b w:val="1"/>
                <w:bCs w:val="1"/>
                <w:color w:val="auto"/>
              </w:rPr>
              <w:t>Common Shares</w:t>
            </w:r>
          </w:p>
        </w:tc>
        <w:tc>
          <w:tcPr>
            <w:tcW w:w="14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780" w:type="dxa"/>
            <w:vAlign w:val="bottom"/>
            <w:gridSpan w:val="3"/>
          </w:tcPr>
          <w:p>
            <w:pPr>
              <w:jc w:val="right"/>
              <w:ind w:right="28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700" w:type="dxa"/>
            <w:vAlign w:val="bottom"/>
            <w:vMerge w:val="restart"/>
          </w:tcPr>
          <w:p>
            <w:pPr>
              <w:ind w:left="20"/>
              <w:spacing w:after="0" w:line="133" w:lineRule="exact"/>
              <w:rPr>
                <w:sz w:val="20"/>
                <w:szCs w:val="20"/>
                <w:color w:val="auto"/>
              </w:rPr>
            </w:pPr>
            <w:r>
              <w:rPr>
                <w:rFonts w:ascii="Arial" w:cs="Arial" w:eastAsia="Arial" w:hAnsi="Arial"/>
                <w:sz w:val="14"/>
                <w:szCs w:val="14"/>
                <w:b w:val="1"/>
                <w:bCs w:val="1"/>
                <w:color w:val="auto"/>
              </w:rPr>
              <w:t>(in thousands,</w:t>
            </w: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vMerge w:val="restart"/>
          </w:tcPr>
          <w:p>
            <w:pPr>
              <w:jc w:val="right"/>
              <w:ind w:right="188"/>
              <w:spacing w:after="0" w:line="133"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4"/>
                <w:szCs w:val="4"/>
                <w:color w:val="auto"/>
              </w:rPr>
            </w:pPr>
          </w:p>
        </w:tc>
        <w:tc>
          <w:tcPr>
            <w:tcW w:w="860" w:type="dxa"/>
            <w:vAlign w:val="bottom"/>
            <w:vMerge w:val="restart"/>
          </w:tcPr>
          <w:p>
            <w:pPr>
              <w:jc w:val="right"/>
              <w:ind w:right="108"/>
              <w:spacing w:after="0" w:line="133"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4"/>
                <w:szCs w:val="4"/>
                <w:color w:val="auto"/>
              </w:rPr>
            </w:pPr>
          </w:p>
        </w:tc>
        <w:tc>
          <w:tcPr>
            <w:tcW w:w="1300" w:type="dxa"/>
            <w:vAlign w:val="bottom"/>
            <w:vMerge w:val="restart"/>
          </w:tcPr>
          <w:p>
            <w:pPr>
              <w:jc w:val="center"/>
              <w:ind w:right="68"/>
              <w:spacing w:after="0" w:line="133" w:lineRule="exact"/>
              <w:rPr>
                <w:sz w:val="20"/>
                <w:szCs w:val="20"/>
                <w:color w:val="auto"/>
              </w:rPr>
            </w:pPr>
            <w:r>
              <w:rPr>
                <w:rFonts w:ascii="Arial" w:cs="Arial" w:eastAsia="Arial" w:hAnsi="Arial"/>
                <w:sz w:val="14"/>
                <w:szCs w:val="14"/>
                <w:b w:val="1"/>
                <w:bCs w:val="1"/>
                <w:color w:val="auto"/>
              </w:rPr>
              <w:t>Comprehensive</w:t>
            </w:r>
          </w:p>
        </w:tc>
        <w:tc>
          <w:tcPr>
            <w:tcW w:w="7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40" w:type="dxa"/>
            <w:vAlign w:val="bottom"/>
            <w:gridSpan w:val="2"/>
            <w:vMerge w:val="restart"/>
          </w:tcPr>
          <w:p>
            <w:pPr>
              <w:jc w:val="right"/>
              <w:spacing w:after="0" w:line="133" w:lineRule="exact"/>
              <w:rPr>
                <w:sz w:val="20"/>
                <w:szCs w:val="20"/>
                <w:color w:val="auto"/>
              </w:rPr>
            </w:pPr>
            <w:r>
              <w:rPr>
                <w:rFonts w:ascii="Arial" w:cs="Arial" w:eastAsia="Arial" w:hAnsi="Arial"/>
                <w:sz w:val="14"/>
                <w:szCs w:val="14"/>
                <w:b w:val="1"/>
                <w:bCs w:val="1"/>
                <w:color w:val="auto"/>
              </w:rPr>
              <w:t>Total Stockholders'</w:t>
            </w:r>
          </w:p>
        </w:tc>
        <w:tc>
          <w:tcPr>
            <w:tcW w:w="0" w:type="dxa"/>
            <w:vAlign w:val="bottom"/>
          </w:tcPr>
          <w:p>
            <w:pPr>
              <w:spacing w:after="0"/>
              <w:rPr>
                <w:sz w:val="1"/>
                <w:szCs w:val="1"/>
                <w:color w:val="auto"/>
              </w:rPr>
            </w:pPr>
          </w:p>
        </w:tc>
      </w:tr>
      <w:tr>
        <w:trPr>
          <w:trHeight w:val="59"/>
        </w:trPr>
        <w:tc>
          <w:tcPr>
            <w:tcW w:w="2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except per share data)</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Number</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Capital</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Income (Loss)</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Number</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1"/>
        </w:trPr>
        <w:tc>
          <w:tcPr>
            <w:tcW w:w="2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August 26, 2017</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51,776</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25,888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80,401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679,138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(1,023)</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(20,183)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(342,730)</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441,674</w:t>
            </w:r>
          </w:p>
        </w:tc>
        <w:tc>
          <w:tcPr>
            <w:tcW w:w="0" w:type="dxa"/>
            <w:vAlign w:val="bottom"/>
          </w:tcPr>
          <w:p>
            <w:pPr>
              <w:spacing w:after="0"/>
              <w:rPr>
                <w:sz w:val="1"/>
                <w:szCs w:val="1"/>
                <w:color w:val="auto"/>
              </w:rPr>
            </w:pPr>
          </w:p>
        </w:tc>
      </w:tr>
      <w:tr>
        <w:trPr>
          <w:trHeight w:val="212"/>
        </w:trPr>
        <w:tc>
          <w:tcPr>
            <w:tcW w:w="2700" w:type="dxa"/>
            <w:vAlign w:val="bottom"/>
          </w:tcPr>
          <w:p>
            <w:pPr>
              <w:ind w:left="160"/>
              <w:spacing w:after="0"/>
              <w:rPr>
                <w:sz w:val="20"/>
                <w:szCs w:val="20"/>
                <w:color w:val="auto"/>
              </w:rPr>
            </w:pPr>
            <w:r>
              <w:rPr>
                <w:rFonts w:ascii="Arial" w:cs="Arial" w:eastAsia="Arial" w:hAnsi="Arial"/>
                <w:sz w:val="14"/>
                <w:szCs w:val="14"/>
                <w:color w:val="auto"/>
              </w:rPr>
              <w:t>Stock-based compensation</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1,888</w:t>
            </w:r>
          </w:p>
        </w:tc>
        <w:tc>
          <w:tcPr>
            <w:tcW w:w="16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8"/>
                <w:szCs w:val="18"/>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30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1,926</w:t>
            </w:r>
          </w:p>
        </w:tc>
        <w:tc>
          <w:tcPr>
            <w:tcW w:w="0" w:type="dxa"/>
            <w:vAlign w:val="bottom"/>
          </w:tcPr>
          <w:p>
            <w:pPr>
              <w:spacing w:after="0"/>
              <w:rPr>
                <w:sz w:val="1"/>
                <w:szCs w:val="1"/>
                <w:color w:val="auto"/>
              </w:rPr>
            </w:pPr>
          </w:p>
        </w:tc>
      </w:tr>
      <w:tr>
        <w:trPr>
          <w:trHeight w:val="220"/>
        </w:trPr>
        <w:tc>
          <w:tcPr>
            <w:tcW w:w="2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Issuance of restricted stock</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(1,568)</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1,654</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12"/>
        </w:trPr>
        <w:tc>
          <w:tcPr>
            <w:tcW w:w="2700" w:type="dxa"/>
            <w:vAlign w:val="bottom"/>
          </w:tcPr>
          <w:p>
            <w:pPr>
              <w:ind w:left="160"/>
              <w:spacing w:after="0"/>
              <w:rPr>
                <w:sz w:val="20"/>
                <w:szCs w:val="20"/>
                <w:color w:val="auto"/>
              </w:rPr>
            </w:pPr>
            <w:r>
              <w:rPr>
                <w:rFonts w:ascii="Arial" w:cs="Arial" w:eastAsia="Arial" w:hAnsi="Arial"/>
                <w:sz w:val="14"/>
                <w:szCs w:val="14"/>
                <w:color w:val="auto"/>
              </w:rPr>
              <w:t>Repurchase of common stock</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(33)</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(1,478)</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(1,478)</w:t>
            </w:r>
          </w:p>
        </w:tc>
        <w:tc>
          <w:tcPr>
            <w:tcW w:w="0" w:type="dxa"/>
            <w:vAlign w:val="bottom"/>
          </w:tcPr>
          <w:p>
            <w:pPr>
              <w:spacing w:after="0"/>
              <w:rPr>
                <w:sz w:val="1"/>
                <w:szCs w:val="1"/>
                <w:color w:val="auto"/>
              </w:rPr>
            </w:pPr>
          </w:p>
        </w:tc>
      </w:tr>
      <w:tr>
        <w:trPr>
          <w:trHeight w:val="180"/>
        </w:trPr>
        <w:tc>
          <w:tcPr>
            <w:tcW w:w="2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Common stock dividends; $0.20 per</w:t>
            </w: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share</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(6,375)</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(6,375)</w:t>
            </w:r>
          </w:p>
        </w:tc>
        <w:tc>
          <w:tcPr>
            <w:tcW w:w="0" w:type="dxa"/>
            <w:vAlign w:val="bottom"/>
          </w:tcPr>
          <w:p>
            <w:pPr>
              <w:spacing w:after="0"/>
              <w:rPr>
                <w:sz w:val="1"/>
                <w:szCs w:val="1"/>
                <w:color w:val="auto"/>
              </w:rPr>
            </w:pPr>
          </w:p>
        </w:tc>
      </w:tr>
      <w:tr>
        <w:trPr>
          <w:trHeight w:val="212"/>
        </w:trPr>
        <w:tc>
          <w:tcPr>
            <w:tcW w:w="2700" w:type="dxa"/>
            <w:vAlign w:val="bottom"/>
          </w:tcPr>
          <w:p>
            <w:pPr>
              <w:ind w:left="160"/>
              <w:spacing w:after="0"/>
              <w:rPr>
                <w:sz w:val="20"/>
                <w:szCs w:val="20"/>
                <w:color w:val="auto"/>
              </w:rPr>
            </w:pPr>
            <w:r>
              <w:rPr>
                <w:rFonts w:ascii="Arial" w:cs="Arial" w:eastAsia="Arial" w:hAnsi="Arial"/>
                <w:sz w:val="14"/>
                <w:szCs w:val="14"/>
                <w:color w:val="auto"/>
              </w:rPr>
              <w:t>Actuarial loss, net of tax</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0"/>
        </w:trPr>
        <w:tc>
          <w:tcPr>
            <w:tcW w:w="2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Change in fair value of interest rate</w:t>
            </w: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swap, net of tax</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1,917</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1,917</w:t>
            </w:r>
          </w:p>
        </w:tc>
        <w:tc>
          <w:tcPr>
            <w:tcW w:w="0" w:type="dxa"/>
            <w:vAlign w:val="bottom"/>
          </w:tcPr>
          <w:p>
            <w:pPr>
              <w:spacing w:after="0"/>
              <w:rPr>
                <w:sz w:val="1"/>
                <w:szCs w:val="1"/>
                <w:color w:val="auto"/>
              </w:rPr>
            </w:pPr>
          </w:p>
        </w:tc>
      </w:tr>
      <w:tr>
        <w:trPr>
          <w:trHeight w:val="212"/>
        </w:trPr>
        <w:tc>
          <w:tcPr>
            <w:tcW w:w="27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Net income</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40,046</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40,046</w:t>
            </w:r>
          </w:p>
        </w:tc>
        <w:tc>
          <w:tcPr>
            <w:tcW w:w="0" w:type="dxa"/>
            <w:vAlign w:val="bottom"/>
          </w:tcPr>
          <w:p>
            <w:pPr>
              <w:spacing w:after="0"/>
              <w:rPr>
                <w:sz w:val="1"/>
                <w:szCs w:val="1"/>
                <w:color w:val="auto"/>
              </w:rPr>
            </w:pPr>
          </w:p>
        </w:tc>
      </w:tr>
      <w:tr>
        <w:trPr>
          <w:trHeight w:val="214"/>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February 24, 2018</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51,776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25,888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80,721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712,809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907</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(20,117)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(342,516)</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477,809</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Basis of Presentation</w:t>
      </w:r>
    </w:p>
    <w:p>
      <w:pPr>
        <w:spacing w:after="0" w:line="19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Unless the context otherwise requires, the use of the terms "Winnebago Industries," "WGO," "we," "us," and "our" in these Notes to Condensed Consolidated Financial Statements refers to Winnebago Industries, Inc. and its wholly-owned subsidiaries.</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In the opinion of management, the accompanying Condensed Consolidated Financial Statements contain all adjustments necessary for a fair presentation as prescribed by accounting principles generally accepted in the United States (“GAAP”). All adjustments were comprised of normal recurring adjustments, except as noted in these Notes to Condensed Consolidated Financial Statements.</w:t>
      </w:r>
    </w:p>
    <w:p>
      <w:pPr>
        <w:spacing w:after="0" w:line="138"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Interim results are not necessarily indicative of the results to be expected for the full year. The interim Condensed Consolidated Financial Statements included in this Quarterly Report on Form 10-Q should be read in conjunction with the audited Consolidated Financial Statements included in our Annual Report on Form 10-K for the fiscal year ended August 25, 2018.</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Period</w:t>
      </w:r>
    </w:p>
    <w:p>
      <w:pPr>
        <w:spacing w:after="0" w:line="1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follow a 52-/53-week fiscal year, ending the last Saturday in August. Fiscal 2019 is a 53-week year, while Fiscal 2018 was a 52-week year. The extra (53rd) week in Fiscal 2019 will be recognized in our fourth quarter.</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Events</w:t>
      </w:r>
    </w:p>
    <w:p>
      <w:pPr>
        <w:spacing w:after="0" w:line="196" w:lineRule="exact"/>
        <w:rPr>
          <w:sz w:val="20"/>
          <w:szCs w:val="20"/>
          <w:color w:val="auto"/>
        </w:rPr>
      </w:pPr>
    </w:p>
    <w:p>
      <w:pPr>
        <w:ind w:right="500"/>
        <w:spacing w:after="0" w:line="291" w:lineRule="auto"/>
        <w:rPr>
          <w:sz w:val="20"/>
          <w:szCs w:val="20"/>
          <w:color w:val="auto"/>
        </w:rPr>
      </w:pPr>
      <w:r>
        <w:rPr>
          <w:rFonts w:ascii="Arial" w:cs="Arial" w:eastAsia="Arial" w:hAnsi="Arial"/>
          <w:sz w:val="16"/>
          <w:szCs w:val="16"/>
          <w:color w:val="auto"/>
        </w:rPr>
        <w:t>In preparing the accompanying unaudited Condensed Consolidated Financial Statements, we evaluated subsequent events for potential recognition and disclosure through the date of this filing. There were no material subsequent events.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196"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 xml:space="preserve">In February 2016, the Financial Accounting Standards Board ("FASB") issued Accounting Standard Update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requires an entity to recognize both assets and liabilities arising from financing and operating leases, along with additional qualitative and quantitative disclosures. This ASU and the related amendments must be adopted on a modified retrospective basis to either each prior reporting period presented or as of the beginning of the period of adoption. Based on the effective dates, we expect to adopt the new guidance in the first quarter of Fiscal 2020 using the modified retrospective basis as of the beginning of the period of adoption. We have established an implementation plan and are in the process of surveying our businesses, assessing our lease population, and compiling information on our active leases. In addition, we are determining needed changes to our policies, business processes, internal controls, and disclosures. While we continue to make progress on our implementation, we are still evaluating the impact of the adoption on our consolidated financial statements.</w:t>
      </w:r>
    </w:p>
    <w:p>
      <w:pPr>
        <w:spacing w:after="0" w:line="150"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 xml:space="preserve">In August 2017, the FASB issued ASU 2017-12, </w:t>
      </w:r>
      <w:r>
        <w:rPr>
          <w:rFonts w:ascii="Arial" w:cs="Arial" w:eastAsia="Arial" w:hAnsi="Arial"/>
          <w:sz w:val="16"/>
          <w:szCs w:val="16"/>
          <w:i w:val="1"/>
          <w:iCs w:val="1"/>
          <w:color w:val="auto"/>
        </w:rPr>
        <w:t>Derivatives and Hedging (Topic 815)</w:t>
      </w:r>
      <w:r>
        <w:rPr>
          <w:rFonts w:ascii="Arial" w:cs="Arial" w:eastAsia="Arial" w:hAnsi="Arial"/>
          <w:sz w:val="16"/>
          <w:szCs w:val="16"/>
          <w:color w:val="auto"/>
        </w:rPr>
        <w:t>, which improves the financial reporting of hedging relationships to better portray the economic results of an entity's risk management activities in its financial statements. ASU 2017-12 is effective for annual reporting periods beginning after December 15, 2018 (our Fiscal 2020), including interim periods within those annual reporting periods. Early adoption is permitted. We are currently evaluating the impact of adopting this ASU on our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Adopted Accounting Pronouncements</w:t>
      </w:r>
    </w:p>
    <w:p>
      <w:pPr>
        <w:spacing w:after="0" w:line="196"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 xml:space="preserve">In the first quarter of Fiscal 2019, we adopted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which establishes a comprehensive five-step model for the recognition of revenue from contracts with customers. This model is based on the core principle that revenue should be recognized to depict the transfer of promised goods or services to customers in an amount that reflects the consideration to which the entity expects to be entitled in exchange for those goods or services. We elected the modified retrospective method of adoption, which we applied to contracts not completed as of the initial date of adoption. Application of the transition requirements had no material impact on operations or beginning retained earnings. While changes to certain control processes and procedures were updated for this adoption, the changes did not have a material impact to our internal control financial reporting framework.</w:t>
      </w:r>
    </w:p>
    <w:p>
      <w:pPr>
        <w:spacing w:after="0" w:line="151"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 xml:space="preserve">Also in the first quarter of Fiscal 2019, we retrospectively adopted ASU 2016-15, </w:t>
      </w:r>
      <w:r>
        <w:rPr>
          <w:rFonts w:ascii="Arial" w:cs="Arial" w:eastAsia="Arial" w:hAnsi="Arial"/>
          <w:sz w:val="16"/>
          <w:szCs w:val="16"/>
          <w:i w:val="1"/>
          <w:iCs w:val="1"/>
          <w:color w:val="auto"/>
        </w:rPr>
        <w:t>Classification of Certain Cash Receipts and Cash Payments (Topic 230)</w:t>
      </w:r>
      <w:r>
        <w:rPr>
          <w:rFonts w:ascii="Arial" w:cs="Arial" w:eastAsia="Arial" w:hAnsi="Arial"/>
          <w:sz w:val="16"/>
          <w:szCs w:val="16"/>
          <w:color w:val="auto"/>
        </w:rPr>
        <w:t>, which provides guidance for eight specific cash flow issues with the objective of reducing the existing diversity in practice. The adoption of this standard did not materially impact our statements of cash flows, and no cash flow reclassifications were required for the prior period.</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Business Segments</w:t>
      </w:r>
    </w:p>
    <w:p>
      <w:pPr>
        <w:spacing w:after="0" w:line="196" w:lineRule="exact"/>
        <w:rPr>
          <w:sz w:val="20"/>
          <w:szCs w:val="20"/>
          <w:color w:val="auto"/>
        </w:rPr>
      </w:pPr>
    </w:p>
    <w:p>
      <w:pPr>
        <w:ind w:right="500"/>
        <w:spacing w:after="0" w:line="269" w:lineRule="auto"/>
        <w:rPr>
          <w:sz w:val="20"/>
          <w:szCs w:val="20"/>
          <w:color w:val="auto"/>
        </w:rPr>
      </w:pPr>
      <w:r>
        <w:rPr>
          <w:rFonts w:ascii="Arial" w:cs="Arial" w:eastAsia="Arial" w:hAnsi="Arial"/>
          <w:sz w:val="16"/>
          <w:szCs w:val="16"/>
          <w:color w:val="auto"/>
        </w:rPr>
        <w:t>In the fourth quarter of Fiscal 2018, we revised our segment presentation. We have five operating segments: 1) Winnebago motorhomes, 2) Winnebago towables, 3) Grand Design towables, 4) Winnebago specialty vehicles, and 5) Chris-Craft marine. We evaluate performance based on each operating segment's Adjusted EBITDA, as defined below, which excludes certain corporate administration expenses and non-operating income and expense.</w:t>
      </w:r>
    </w:p>
    <w:p>
      <w:pPr>
        <w:spacing w:after="0" w:line="138"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color w:val="auto"/>
        </w:rPr>
        <w:t>Our two reportable segments include: 1) Motorhome (comprised of products that include a motorized chassis as well as other related manufactured products and services) and 2) Towable (comprised of products which are not motorized and are generally towed by another vehicle as well as other related manufactured products and services), which is an aggregation of the Winnebago towables and Grand Design towables operating segments.</w:t>
      </w:r>
    </w:p>
    <w:p>
      <w:pPr>
        <w:spacing w:after="0" w:line="138" w:lineRule="exact"/>
        <w:rPr>
          <w:sz w:val="20"/>
          <w:szCs w:val="20"/>
          <w:color w:val="auto"/>
        </w:rPr>
      </w:pPr>
    </w:p>
    <w:p>
      <w:pPr>
        <w:ind w:right="160"/>
        <w:spacing w:after="0" w:line="269" w:lineRule="auto"/>
        <w:rPr>
          <w:sz w:val="20"/>
          <w:szCs w:val="20"/>
          <w:color w:val="auto"/>
        </w:rPr>
      </w:pPr>
      <w:r>
        <w:rPr>
          <w:rFonts w:ascii="Arial" w:cs="Arial" w:eastAsia="Arial" w:hAnsi="Arial"/>
          <w:sz w:val="16"/>
          <w:szCs w:val="16"/>
          <w:color w:val="auto"/>
        </w:rPr>
        <w:t>The Corporate / All Other category includes the Winnebago specialty vehicles and Chris-Craft marine operating segments as well as expenses related to certain corporate administration expenses for the oversight of the enterprise. These expenses include items such as corporate leadership and administration costs. Previously, these expenses were allocated to each operating segment.</w:t>
      </w:r>
    </w:p>
    <w:p>
      <w:pPr>
        <w:spacing w:after="0" w:line="138"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Identifiable assets of the reportable segments exclude general corporate assets, which principally consist of cash and cash equivalents and certain deferred tax balances. The general corporate assets are included in the Corporate / All Other category.</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Prior period segment information has been reclassified to conform to the current reportable segment presentation. The reclassifications included removing the corporate administration expenses from both the Motorhome and Towable reportable segments and removing Winnebago specialty vehicles from the Motorhome reportable segment, as we began to dedicate leadership and focus on these operations separately from our Winnebago motorhomes operations.</w:t>
      </w:r>
    </w:p>
    <w:p>
      <w:pPr>
        <w:spacing w:after="0" w:line="138"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 xml:space="preserve">Our chief operating decision maker ("CODM") is our Chief Executive Officer. Our CODM relies on internal management reporting that analyzes consolidated results to the net earnings level and operating segment's Adjusted EBITDA. Our CODM has ultimate responsibility for enterprise decisions. Our CODM determines, in particular, resource allocation for, and monitors the performance of, the consolidated enterprise, the Motorhome segment, and the Towable segment. The operating segments' management have responsibility for operating decisions, allocating resources, and assessing performance within their respective segments. The accounting policies of both reportable segments are the same and are described in Note 1, </w:t>
      </w:r>
      <w:r>
        <w:rPr>
          <w:rFonts w:ascii="Arial" w:cs="Arial" w:eastAsia="Arial" w:hAnsi="Arial"/>
          <w:sz w:val="16"/>
          <w:szCs w:val="16"/>
          <w:i w:val="1"/>
          <w:iCs w:val="1"/>
          <w:color w:val="auto"/>
        </w:rPr>
        <w:t>Summary of Significant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Policies</w:t>
      </w:r>
      <w:r>
        <w:rPr>
          <w:rFonts w:ascii="Arial" w:cs="Arial" w:eastAsia="Arial" w:hAnsi="Arial"/>
          <w:sz w:val="16"/>
          <w:szCs w:val="16"/>
          <w:color w:val="auto"/>
        </w:rPr>
        <w:t>, of the Notes to Consolidated Financial Statements included in our Annual Report on Form 10-K for the fiscal year ended August 25, 2018.</w:t>
      </w:r>
    </w:p>
    <w:p>
      <w:pPr>
        <w:spacing w:after="0" w:line="151"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evaluate the performance of our reportable segments based on Adjusted EBITDA. EBITDA is defined as net income before interest expense, provision for income taxes, and depreciation and amortization expense. Adjusted EBITDA is defined as net income before interest expense, provision for income taxes, depreciation and amortization expense, and other adjustments made in order to present comparable results from period to period. Examples of items excluded from Adjusted EBITDA include acquisition-related costs, restructuring expenses, and non-operating income.</w:t>
      </w: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360"/>
          </w:cols>
          <w:pgMar w:left="240" w:top="121" w:right="2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4"/>
        </w:trPr>
        <w:tc>
          <w:tcPr>
            <w:tcW w:w="470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700" w:type="dxa"/>
            <w:vAlign w:val="bottom"/>
            <w:gridSpan w:val="2"/>
          </w:tcPr>
          <w:p>
            <w:pPr>
              <w:spacing w:after="0"/>
              <w:rPr>
                <w:sz w:val="20"/>
                <w:szCs w:val="20"/>
                <w:color w:val="auto"/>
              </w:rPr>
            </w:pPr>
            <w:r>
              <w:rPr>
                <w:rFonts w:ascii="Arial" w:cs="Arial" w:eastAsia="Arial" w:hAnsi="Arial"/>
                <w:sz w:val="16"/>
                <w:szCs w:val="16"/>
                <w:color w:val="auto"/>
              </w:rPr>
              <w:t>The following table shows information by reportable segment:</w:t>
            </w: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12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93"/>
        </w:trPr>
        <w:tc>
          <w:tcPr>
            <w:tcW w:w="12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February 23,</w:t>
            </w:r>
          </w:p>
        </w:tc>
        <w:tc>
          <w:tcPr>
            <w:tcW w:w="20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February 24,</w:t>
            </w:r>
          </w:p>
        </w:tc>
        <w:tc>
          <w:tcPr>
            <w:tcW w:w="20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February 23,</w:t>
            </w:r>
          </w:p>
        </w:tc>
        <w:tc>
          <w:tcPr>
            <w:tcW w:w="220" w:type="dxa"/>
            <w:vAlign w:val="bottom"/>
          </w:tcPr>
          <w:p>
            <w:pPr>
              <w:spacing w:after="0"/>
              <w:rPr>
                <w:sz w:val="16"/>
                <w:szCs w:val="16"/>
                <w:color w:val="auto"/>
              </w:rPr>
            </w:pPr>
          </w:p>
        </w:tc>
        <w:tc>
          <w:tcPr>
            <w:tcW w:w="1380" w:type="dxa"/>
            <w:vAlign w:val="bottom"/>
          </w:tcPr>
          <w:p>
            <w:pPr>
              <w:jc w:val="center"/>
              <w:ind w:right="179"/>
              <w:spacing w:after="0"/>
              <w:rPr>
                <w:sz w:val="20"/>
                <w:szCs w:val="20"/>
                <w:color w:val="auto"/>
              </w:rPr>
            </w:pPr>
            <w:r>
              <w:rPr>
                <w:rFonts w:ascii="Arial" w:cs="Arial" w:eastAsia="Arial" w:hAnsi="Arial"/>
                <w:sz w:val="16"/>
                <w:szCs w:val="16"/>
                <w:b w:val="1"/>
                <w:bCs w:val="1"/>
                <w:color w:val="auto"/>
              </w:rPr>
              <w:t>February 24,</w:t>
            </w:r>
          </w:p>
        </w:tc>
        <w:tc>
          <w:tcPr>
            <w:tcW w:w="0" w:type="dxa"/>
            <w:vAlign w:val="bottom"/>
          </w:tcPr>
          <w:p>
            <w:pPr>
              <w:spacing w:after="0"/>
              <w:rPr>
                <w:sz w:val="1"/>
                <w:szCs w:val="1"/>
                <w:color w:val="auto"/>
              </w:rPr>
            </w:pPr>
          </w:p>
        </w:tc>
      </w:tr>
      <w:tr>
        <w:trPr>
          <w:trHeight w:val="232"/>
        </w:trPr>
        <w:tc>
          <w:tcPr>
            <w:tcW w:w="47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6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Net Revenues</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Motorhome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164,662</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199,081</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345,990</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387,278</w:t>
            </w:r>
          </w:p>
        </w:tc>
        <w:tc>
          <w:tcPr>
            <w:tcW w:w="0" w:type="dxa"/>
            <w:vAlign w:val="bottom"/>
          </w:tcPr>
          <w:p>
            <w:pPr>
              <w:spacing w:after="0"/>
              <w:rPr>
                <w:sz w:val="1"/>
                <w:szCs w:val="1"/>
                <w:color w:val="auto"/>
              </w:rPr>
            </w:pPr>
          </w:p>
        </w:tc>
      </w:tr>
      <w:tr>
        <w:trPr>
          <w:trHeight w:val="278"/>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250,691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266,358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543,524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526,023</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Corporate / All Other</w:t>
            </w: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17,337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2,920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36,824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5,079</w:t>
            </w:r>
          </w:p>
        </w:tc>
        <w:tc>
          <w:tcPr>
            <w:tcW w:w="0" w:type="dxa"/>
            <w:vAlign w:val="bottom"/>
          </w:tcPr>
          <w:p>
            <w:pPr>
              <w:spacing w:after="0"/>
              <w:rPr>
                <w:sz w:val="1"/>
                <w:szCs w:val="1"/>
                <w:color w:val="auto"/>
              </w:rPr>
            </w:pPr>
          </w:p>
        </w:tc>
      </w:tr>
      <w:tr>
        <w:trPr>
          <w:trHeight w:val="242"/>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Consolidated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432,690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468,359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926,338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918,380</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12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Adjusted EBITDA</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Motorhome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4,359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5,687</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16,335</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10,587</w:t>
            </w:r>
          </w:p>
        </w:tc>
        <w:tc>
          <w:tcPr>
            <w:tcW w:w="0" w:type="dxa"/>
            <w:vAlign w:val="bottom"/>
          </w:tcPr>
          <w:p>
            <w:pPr>
              <w:spacing w:after="0"/>
              <w:rPr>
                <w:sz w:val="1"/>
                <w:szCs w:val="1"/>
                <w:color w:val="auto"/>
              </w:rPr>
            </w:pPr>
          </w:p>
        </w:tc>
      </w:tr>
      <w:tr>
        <w:trPr>
          <w:trHeight w:val="278"/>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33,638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36,296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64,466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69,688</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Corporate / All Other</w:t>
            </w: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(5,482)</w:t>
            </w:r>
          </w:p>
        </w:tc>
        <w:tc>
          <w:tcPr>
            <w:tcW w:w="0" w:type="dxa"/>
            <w:vAlign w:val="bottom"/>
          </w:tcPr>
          <w:p>
            <w:pPr>
              <w:spacing w:after="0"/>
              <w:rPr>
                <w:sz w:val="1"/>
                <w:szCs w:val="1"/>
                <w:color w:val="auto"/>
              </w:rPr>
            </w:pPr>
          </w:p>
        </w:tc>
      </w:tr>
      <w:tr>
        <w:trPr>
          <w:trHeight w:val="242"/>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Consolidated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34,488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39,382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72,941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74,793</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12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Capital Expenditures</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Motorhome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2,198</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1,633</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5,390</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4,740</w:t>
            </w:r>
          </w:p>
        </w:tc>
        <w:tc>
          <w:tcPr>
            <w:tcW w:w="0" w:type="dxa"/>
            <w:vAlign w:val="bottom"/>
          </w:tcPr>
          <w:p>
            <w:pPr>
              <w:spacing w:after="0"/>
              <w:rPr>
                <w:sz w:val="1"/>
                <w:szCs w:val="1"/>
                <w:color w:val="auto"/>
              </w:rPr>
            </w:pPr>
          </w:p>
        </w:tc>
      </w:tr>
      <w:tr>
        <w:trPr>
          <w:trHeight w:val="278"/>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7,648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4,685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16,525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6,935</w:t>
            </w:r>
          </w:p>
        </w:tc>
        <w:tc>
          <w:tcPr>
            <w:tcW w:w="0" w:type="dxa"/>
            <w:vAlign w:val="bottom"/>
          </w:tcPr>
          <w:p>
            <w:pPr>
              <w:spacing w:after="0"/>
              <w:rPr>
                <w:sz w:val="1"/>
                <w:szCs w:val="1"/>
                <w:color w:val="auto"/>
              </w:rPr>
            </w:pP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Corporate / All Other</w:t>
            </w:r>
          </w:p>
        </w:tc>
        <w:tc>
          <w:tcPr>
            <w:tcW w:w="120" w:type="dxa"/>
            <w:vAlign w:val="bottom"/>
          </w:tcPr>
          <w:p>
            <w:pPr>
              <w:spacing w:after="0"/>
              <w:rPr>
                <w:sz w:val="22"/>
                <w:szCs w:val="22"/>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749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1,451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47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Consolidated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10,595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6,318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23,366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11,675</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12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February 23,</w:t>
            </w:r>
          </w:p>
        </w:tc>
        <w:tc>
          <w:tcPr>
            <w:tcW w:w="220" w:type="dxa"/>
            <w:vAlign w:val="bottom"/>
          </w:tcPr>
          <w:p>
            <w:pPr>
              <w:spacing w:after="0"/>
              <w:rPr>
                <w:sz w:val="24"/>
                <w:szCs w:val="24"/>
                <w:color w:val="auto"/>
              </w:rPr>
            </w:pPr>
          </w:p>
        </w:tc>
        <w:tc>
          <w:tcPr>
            <w:tcW w:w="1380" w:type="dxa"/>
            <w:vAlign w:val="bottom"/>
          </w:tcPr>
          <w:p>
            <w:pPr>
              <w:jc w:val="center"/>
              <w:ind w:right="179"/>
              <w:spacing w:after="0"/>
              <w:rPr>
                <w:sz w:val="20"/>
                <w:szCs w:val="20"/>
                <w:color w:val="auto"/>
              </w:rPr>
            </w:pPr>
            <w:r>
              <w:rPr>
                <w:rFonts w:ascii="Arial" w:cs="Arial" w:eastAsia="Arial" w:hAnsi="Arial"/>
                <w:sz w:val="16"/>
                <w:szCs w:val="16"/>
                <w:b w:val="1"/>
                <w:bCs w:val="1"/>
                <w:color w:val="auto"/>
              </w:rPr>
              <w:t>August 25,</w:t>
            </w:r>
          </w:p>
        </w:tc>
        <w:tc>
          <w:tcPr>
            <w:tcW w:w="0" w:type="dxa"/>
            <w:vAlign w:val="bottom"/>
          </w:tcPr>
          <w:p>
            <w:pPr>
              <w:spacing w:after="0"/>
              <w:rPr>
                <w:sz w:val="1"/>
                <w:szCs w:val="1"/>
                <w:color w:val="auto"/>
              </w:rPr>
            </w:pPr>
          </w:p>
        </w:tc>
      </w:tr>
      <w:tr>
        <w:trPr>
          <w:trHeight w:val="232"/>
        </w:trPr>
        <w:tc>
          <w:tcPr>
            <w:tcW w:w="47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6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Motorhome</w:t>
            </w: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324,627</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322,048</w:t>
            </w:r>
          </w:p>
        </w:tc>
        <w:tc>
          <w:tcPr>
            <w:tcW w:w="0" w:type="dxa"/>
            <w:vAlign w:val="bottom"/>
          </w:tcPr>
          <w:p>
            <w:pPr>
              <w:spacing w:after="0"/>
              <w:rPr>
                <w:sz w:val="1"/>
                <w:szCs w:val="1"/>
                <w:color w:val="auto"/>
              </w:rPr>
            </w:pPr>
          </w:p>
        </w:tc>
      </w:tr>
      <w:tr>
        <w:trPr>
          <w:trHeight w:val="278"/>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647,504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626,588</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Corporate / All Other</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106,005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103,169</w:t>
            </w:r>
          </w:p>
        </w:tc>
        <w:tc>
          <w:tcPr>
            <w:tcW w:w="0" w:type="dxa"/>
            <w:vAlign w:val="bottom"/>
          </w:tcPr>
          <w:p>
            <w:pPr>
              <w:spacing w:after="0"/>
              <w:rPr>
                <w:sz w:val="1"/>
                <w:szCs w:val="1"/>
                <w:color w:val="auto"/>
              </w:rPr>
            </w:pPr>
          </w:p>
        </w:tc>
      </w:tr>
      <w:tr>
        <w:trPr>
          <w:trHeight w:val="242"/>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Consolidated</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1,078,136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1,051,805</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6"/>
                <w:szCs w:val="16"/>
                <w:color w:val="auto"/>
              </w:rPr>
              <w:t>Reconciliation of net income to consolidated Adjusted EBITDA:</w:t>
            </w: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47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12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64"/>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22"/>
                <w:szCs w:val="22"/>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February 23, 2019</w:t>
            </w:r>
          </w:p>
        </w:tc>
        <w:tc>
          <w:tcPr>
            <w:tcW w:w="17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February 24, 2018</w:t>
            </w:r>
          </w:p>
        </w:tc>
        <w:tc>
          <w:tcPr>
            <w:tcW w:w="17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February 23, 2019</w:t>
            </w: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rPr>
              <w:t>February 24, 2018</w:t>
            </w:r>
          </w:p>
        </w:tc>
        <w:tc>
          <w:tcPr>
            <w:tcW w:w="0" w:type="dxa"/>
            <w:vAlign w:val="bottom"/>
          </w:tcPr>
          <w:p>
            <w:pPr>
              <w:spacing w:after="0"/>
              <w:rPr>
                <w:sz w:val="1"/>
                <w:szCs w:val="1"/>
                <w:color w:val="auto"/>
              </w:rPr>
            </w:pPr>
          </w:p>
        </w:tc>
      </w:tr>
      <w:tr>
        <w:trPr>
          <w:trHeight w:val="254"/>
        </w:trPr>
        <w:tc>
          <w:tcPr>
            <w:tcW w:w="470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21,598</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22,088</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43,759</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40,046</w:t>
            </w:r>
          </w:p>
        </w:tc>
        <w:tc>
          <w:tcPr>
            <w:tcW w:w="0" w:type="dxa"/>
            <w:vAlign w:val="bottom"/>
          </w:tcPr>
          <w:p>
            <w:pPr>
              <w:spacing w:after="0"/>
              <w:rPr>
                <w:sz w:val="1"/>
                <w:szCs w:val="1"/>
                <w:color w:val="auto"/>
              </w:rPr>
            </w:pPr>
          </w:p>
        </w:tc>
      </w:tr>
      <w:tr>
        <w:trPr>
          <w:trHeight w:val="262"/>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22"/>
                <w:szCs w:val="22"/>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4,346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4,918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8,847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9,699</w:t>
            </w:r>
          </w:p>
        </w:tc>
        <w:tc>
          <w:tcPr>
            <w:tcW w:w="0" w:type="dxa"/>
            <w:vAlign w:val="bottom"/>
          </w:tcPr>
          <w:p>
            <w:pPr>
              <w:spacing w:after="0"/>
              <w:rPr>
                <w:sz w:val="1"/>
                <w:szCs w:val="1"/>
                <w:color w:val="auto"/>
              </w:rPr>
            </w:pPr>
          </w:p>
        </w:tc>
      </w:tr>
      <w:tr>
        <w:trPr>
          <w:trHeight w:val="278"/>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3,166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8,234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9,892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16,794</w:t>
            </w:r>
          </w:p>
        </w:tc>
        <w:tc>
          <w:tcPr>
            <w:tcW w:w="0" w:type="dxa"/>
            <w:vAlign w:val="bottom"/>
          </w:tcPr>
          <w:p>
            <w:pPr>
              <w:spacing w:after="0"/>
              <w:rPr>
                <w:sz w:val="1"/>
                <w:szCs w:val="1"/>
                <w:color w:val="auto"/>
              </w:rPr>
            </w:pPr>
          </w:p>
        </w:tc>
      </w:tr>
      <w:tr>
        <w:trPr>
          <w:trHeight w:val="262"/>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Depreciation</w:t>
            </w:r>
          </w:p>
        </w:tc>
        <w:tc>
          <w:tcPr>
            <w:tcW w:w="120" w:type="dxa"/>
            <w:vAlign w:val="bottom"/>
          </w:tcPr>
          <w:p>
            <w:pPr>
              <w:spacing w:after="0"/>
              <w:rPr>
                <w:sz w:val="22"/>
                <w:szCs w:val="22"/>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3,099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2,198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6,268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4,328</w:t>
            </w:r>
          </w:p>
        </w:tc>
        <w:tc>
          <w:tcPr>
            <w:tcW w:w="0" w:type="dxa"/>
            <w:vAlign w:val="bottom"/>
          </w:tcPr>
          <w:p>
            <w:pPr>
              <w:spacing w:after="0"/>
              <w:rPr>
                <w:sz w:val="1"/>
                <w:szCs w:val="1"/>
                <w:color w:val="auto"/>
              </w:rPr>
            </w:pPr>
          </w:p>
        </w:tc>
      </w:tr>
      <w:tr>
        <w:trPr>
          <w:trHeight w:val="271"/>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1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2,267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1,933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4,926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3,988</w:t>
            </w:r>
          </w:p>
        </w:tc>
        <w:tc>
          <w:tcPr>
            <w:tcW w:w="0" w:type="dxa"/>
            <w:vAlign w:val="bottom"/>
          </w:tcPr>
          <w:p>
            <w:pPr>
              <w:spacing w:after="0"/>
              <w:rPr>
                <w:sz w:val="1"/>
                <w:szCs w:val="1"/>
                <w:color w:val="auto"/>
              </w:rPr>
            </w:pPr>
          </w:p>
        </w:tc>
      </w:tr>
      <w:tr>
        <w:trPr>
          <w:trHeight w:val="249"/>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EBITDA</w:t>
            </w:r>
          </w:p>
        </w:tc>
        <w:tc>
          <w:tcPr>
            <w:tcW w:w="120" w:type="dxa"/>
            <w:vAlign w:val="bottom"/>
          </w:tcPr>
          <w:p>
            <w:pPr>
              <w:spacing w:after="0"/>
              <w:rPr>
                <w:sz w:val="21"/>
                <w:szCs w:val="21"/>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34,476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39,371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73,692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74,855</w:t>
            </w:r>
          </w:p>
        </w:tc>
        <w:tc>
          <w:tcPr>
            <w:tcW w:w="0" w:type="dxa"/>
            <w:vAlign w:val="bottom"/>
          </w:tcPr>
          <w:p>
            <w:pPr>
              <w:spacing w:after="0"/>
              <w:rPr>
                <w:sz w:val="1"/>
                <w:szCs w:val="1"/>
                <w:color w:val="auto"/>
              </w:rPr>
            </w:pPr>
          </w:p>
        </w:tc>
      </w:tr>
      <w:tr>
        <w:trPr>
          <w:trHeight w:val="278"/>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Acquisition-related costs</w:t>
            </w:r>
          </w:p>
        </w:tc>
        <w:tc>
          <w:tcPr>
            <w:tcW w:w="12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62"/>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Restructuring expenses</w:t>
            </w:r>
          </w:p>
        </w:tc>
        <w:tc>
          <w:tcPr>
            <w:tcW w:w="120" w:type="dxa"/>
            <w:vAlign w:val="bottom"/>
          </w:tcPr>
          <w:p>
            <w:pPr>
              <w:spacing w:after="0"/>
              <w:rPr>
                <w:sz w:val="22"/>
                <w:szCs w:val="22"/>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1"/>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Non-operating (income) expense</w:t>
            </w:r>
          </w:p>
        </w:tc>
        <w:tc>
          <w:tcPr>
            <w:tcW w:w="1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42"/>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34,488</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39,382</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72,941</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74,793</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12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jc w:val="right"/>
              <w:ind w:right="4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w:t>
      </w:r>
      <w:r>
        <w:rPr>
          <w:rFonts w:ascii="Times New Roman" w:cs="Times New Roman" w:eastAsia="Times New Roman" w:hAnsi="Times New Roman"/>
          <w:sz w:val="18"/>
          <w:szCs w:val="18"/>
          <w:b w:val="1"/>
          <w:bCs w:val="1"/>
          <w:color w:val="auto"/>
        </w:rPr>
        <w:t>:</w:t>
      </w:r>
      <w:r>
        <w:rPr>
          <w:rFonts w:ascii="Arial" w:cs="Arial" w:eastAsia="Arial" w:hAnsi="Arial"/>
          <w:sz w:val="16"/>
          <w:szCs w:val="16"/>
          <w:b w:val="1"/>
          <w:bCs w:val="1"/>
          <w:color w:val="auto"/>
        </w:rPr>
        <w:t xml:space="preserve"> Revenue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disaggregates revenue by reportable segment and product category: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Six Months Ended</w:t>
            </w:r>
          </w:p>
        </w:tc>
      </w:tr>
      <w:tr>
        <w:trPr>
          <w:trHeight w:val="193"/>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23,</w:t>
            </w:r>
          </w:p>
        </w:tc>
        <w:tc>
          <w:tcPr>
            <w:tcW w:w="20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24,</w:t>
            </w:r>
          </w:p>
        </w:tc>
        <w:tc>
          <w:tcPr>
            <w:tcW w:w="20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23,</w:t>
            </w:r>
          </w:p>
        </w:tc>
        <w:tc>
          <w:tcPr>
            <w:tcW w:w="220" w:type="dxa"/>
            <w:vAlign w:val="bottom"/>
          </w:tcPr>
          <w:p>
            <w:pPr>
              <w:spacing w:after="0"/>
              <w:rPr>
                <w:sz w:val="16"/>
                <w:szCs w:val="16"/>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rPr>
              <w:t>February 24,</w:t>
            </w:r>
          </w:p>
        </w:tc>
      </w:tr>
      <w:tr>
        <w:trPr>
          <w:trHeight w:val="232"/>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267"/>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Revenues</w:t>
            </w:r>
          </w:p>
        </w:tc>
        <w:tc>
          <w:tcPr>
            <w:tcW w:w="2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2"/>
        </w:trPr>
        <w:tc>
          <w:tcPr>
            <w:tcW w:w="4700" w:type="dxa"/>
            <w:vAlign w:val="bottom"/>
          </w:tcPr>
          <w:p>
            <w:pPr>
              <w:ind w:left="40"/>
              <w:spacing w:after="0"/>
              <w:rPr>
                <w:sz w:val="20"/>
                <w:szCs w:val="20"/>
                <w:color w:val="auto"/>
              </w:rPr>
            </w:pPr>
            <w:r>
              <w:rPr>
                <w:rFonts w:ascii="Arial" w:cs="Arial" w:eastAsia="Arial" w:hAnsi="Arial"/>
                <w:sz w:val="16"/>
                <w:szCs w:val="16"/>
                <w:color w:val="auto"/>
              </w:rPr>
              <w:t>Motorhome:</w:t>
            </w: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8"/>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A</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55,000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87,382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103,678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161,587</w:t>
            </w:r>
          </w:p>
        </w:tc>
      </w:tr>
      <w:tr>
        <w:trPr>
          <w:trHeight w:val="262"/>
        </w:trPr>
        <w:tc>
          <w:tcPr>
            <w:tcW w:w="4700" w:type="dxa"/>
            <w:vAlign w:val="bottom"/>
          </w:tcPr>
          <w:p>
            <w:pPr>
              <w:ind w:left="180"/>
              <w:spacing w:after="0"/>
              <w:rPr>
                <w:sz w:val="20"/>
                <w:szCs w:val="20"/>
                <w:color w:val="auto"/>
              </w:rPr>
            </w:pPr>
            <w:r>
              <w:rPr>
                <w:rFonts w:ascii="Arial" w:cs="Arial" w:eastAsia="Arial" w:hAnsi="Arial"/>
                <w:sz w:val="16"/>
                <w:szCs w:val="16"/>
                <w:color w:val="auto"/>
              </w:rPr>
              <w:t>Class B</w:t>
            </w:r>
          </w:p>
        </w:tc>
        <w:tc>
          <w:tcPr>
            <w:tcW w:w="200" w:type="dxa"/>
            <w:vAlign w:val="bottom"/>
          </w:tcPr>
          <w:p>
            <w:pPr>
              <w:spacing w:after="0"/>
              <w:rPr>
                <w:sz w:val="22"/>
                <w:szCs w:val="22"/>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52,260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33,457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120,980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62,577</w:t>
            </w:r>
          </w:p>
        </w:tc>
      </w:tr>
      <w:tr>
        <w:trPr>
          <w:trHeight w:val="278"/>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C</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52,243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72,685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108,385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149,460</w:t>
            </w:r>
          </w:p>
        </w:tc>
      </w:tr>
      <w:tr>
        <w:trPr>
          <w:trHeight w:val="270"/>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5,159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5,557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12,947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13,654</w:t>
            </w:r>
          </w:p>
        </w:tc>
      </w:tr>
      <w:tr>
        <w:trPr>
          <w:trHeight w:val="25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Motorhome</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164,662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199,081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345,990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387,278</w:t>
            </w:r>
          </w:p>
        </w:tc>
      </w:tr>
      <w:tr>
        <w:trPr>
          <w:trHeight w:val="262"/>
        </w:trPr>
        <w:tc>
          <w:tcPr>
            <w:tcW w:w="4700" w:type="dxa"/>
            <w:vAlign w:val="bottom"/>
          </w:tcPr>
          <w:p>
            <w:pPr>
              <w:ind w:left="40"/>
              <w:spacing w:after="0"/>
              <w:rPr>
                <w:sz w:val="20"/>
                <w:szCs w:val="20"/>
                <w:color w:val="auto"/>
              </w:rPr>
            </w:pPr>
            <w:r>
              <w:rPr>
                <w:rFonts w:ascii="Arial" w:cs="Arial" w:eastAsia="Arial" w:hAnsi="Arial"/>
                <w:sz w:val="16"/>
                <w:szCs w:val="16"/>
                <w:color w:val="auto"/>
              </w:rPr>
              <w:t>Towable:</w:t>
            </w: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8"/>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Fifth Wheel</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154,783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150,915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317,532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295,029</w:t>
            </w:r>
          </w:p>
        </w:tc>
      </w:tr>
      <w:tr>
        <w:trPr>
          <w:trHeight w:val="262"/>
        </w:trPr>
        <w:tc>
          <w:tcPr>
            <w:tcW w:w="4700" w:type="dxa"/>
            <w:vAlign w:val="bottom"/>
          </w:tcPr>
          <w:p>
            <w:pPr>
              <w:ind w:left="180"/>
              <w:spacing w:after="0"/>
              <w:rPr>
                <w:sz w:val="20"/>
                <w:szCs w:val="20"/>
                <w:color w:val="auto"/>
              </w:rPr>
            </w:pPr>
            <w:r>
              <w:rPr>
                <w:rFonts w:ascii="Arial" w:cs="Arial" w:eastAsia="Arial" w:hAnsi="Arial"/>
                <w:sz w:val="16"/>
                <w:szCs w:val="16"/>
                <w:color w:val="auto"/>
              </w:rPr>
              <w:t>Travel Trailer</w:t>
            </w:r>
          </w:p>
        </w:tc>
        <w:tc>
          <w:tcPr>
            <w:tcW w:w="200" w:type="dxa"/>
            <w:vAlign w:val="bottom"/>
          </w:tcPr>
          <w:p>
            <w:pPr>
              <w:spacing w:after="0"/>
              <w:rPr>
                <w:sz w:val="22"/>
                <w:szCs w:val="22"/>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92,162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112,670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217,788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225,395</w:t>
            </w:r>
          </w:p>
        </w:tc>
      </w:tr>
      <w:tr>
        <w:trPr>
          <w:trHeight w:val="278"/>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3,746</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2,773</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8,204</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5,599</w:t>
            </w:r>
          </w:p>
        </w:tc>
      </w:tr>
      <w:tr>
        <w:trPr>
          <w:trHeight w:val="242"/>
        </w:trPr>
        <w:tc>
          <w:tcPr>
            <w:tcW w:w="4700" w:type="dxa"/>
            <w:vAlign w:val="bottom"/>
          </w:tcPr>
          <w:p>
            <w:pPr>
              <w:ind w:left="280"/>
              <w:spacing w:after="0"/>
              <w:rPr>
                <w:sz w:val="20"/>
                <w:szCs w:val="20"/>
                <w:color w:val="auto"/>
              </w:rPr>
            </w:pPr>
            <w:r>
              <w:rPr>
                <w:rFonts w:ascii="Arial" w:cs="Arial" w:eastAsia="Arial" w:hAnsi="Arial"/>
                <w:sz w:val="16"/>
                <w:szCs w:val="16"/>
                <w:color w:val="auto"/>
              </w:rPr>
              <w:t>Total Towable</w:t>
            </w:r>
          </w:p>
        </w:tc>
        <w:tc>
          <w:tcPr>
            <w:tcW w:w="200" w:type="dxa"/>
            <w:vAlign w:val="bottom"/>
          </w:tcPr>
          <w:p>
            <w:pPr>
              <w:spacing w:after="0"/>
              <w:rPr>
                <w:sz w:val="21"/>
                <w:szCs w:val="21"/>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250,691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266,358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543,524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526,023</w:t>
            </w:r>
          </w:p>
        </w:tc>
      </w:tr>
      <w:tr>
        <w:trPr>
          <w:trHeight w:val="278"/>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 All Other:</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70"/>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2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17,337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2,920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36,824</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5,079</w:t>
            </w:r>
          </w:p>
        </w:tc>
      </w:tr>
      <w:tr>
        <w:trPr>
          <w:trHeight w:val="244"/>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Corporate / All Other</w:t>
            </w:r>
          </w:p>
        </w:tc>
        <w:tc>
          <w:tcPr>
            <w:tcW w:w="2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17,337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2,920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36,824</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5,079</w:t>
            </w:r>
          </w:p>
        </w:tc>
      </w:tr>
      <w:tr>
        <w:trPr>
          <w:trHeight w:val="242"/>
        </w:trPr>
        <w:tc>
          <w:tcPr>
            <w:tcW w:w="4700" w:type="dxa"/>
            <w:vAlign w:val="bottom"/>
          </w:tcPr>
          <w:p>
            <w:pPr>
              <w:ind w:left="380"/>
              <w:spacing w:after="0"/>
              <w:rPr>
                <w:sz w:val="20"/>
                <w:szCs w:val="20"/>
                <w:color w:val="auto"/>
              </w:rPr>
            </w:pPr>
            <w:r>
              <w:rPr>
                <w:rFonts w:ascii="Arial" w:cs="Arial" w:eastAsia="Arial" w:hAnsi="Arial"/>
                <w:sz w:val="16"/>
                <w:szCs w:val="16"/>
                <w:color w:val="auto"/>
              </w:rPr>
              <w:t>Consolidated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432,690</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468,359</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926,338</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918,380</w:t>
            </w: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4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Relates to parts, accessories, and services.</w:t>
      </w:r>
    </w:p>
    <w:p>
      <w:pPr>
        <w:spacing w:after="0" w:line="19" w:lineRule="exact"/>
        <w:rPr>
          <w:rFonts w:ascii="Arial" w:cs="Arial" w:eastAsia="Arial" w:hAnsi="Arial"/>
          <w:sz w:val="14"/>
          <w:szCs w:val="14"/>
          <w:color w:val="auto"/>
        </w:rPr>
      </w:pPr>
    </w:p>
    <w:p>
      <w:pPr>
        <w:ind w:left="260" w:hanging="252"/>
        <w:spacing w:after="0"/>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Relates to marine and specialty vehicle units, parts, accessories, and services.</w:t>
      </w:r>
    </w:p>
    <w:p>
      <w:pPr>
        <w:spacing w:after="0" w:line="167" w:lineRule="exact"/>
        <w:rPr>
          <w:sz w:val="20"/>
          <w:szCs w:val="20"/>
          <w:color w:val="auto"/>
        </w:rPr>
      </w:pPr>
    </w:p>
    <w:p>
      <w:pPr>
        <w:ind w:right="160"/>
        <w:spacing w:after="0" w:line="252" w:lineRule="auto"/>
        <w:rPr>
          <w:sz w:val="20"/>
          <w:szCs w:val="20"/>
          <w:color w:val="auto"/>
        </w:rPr>
      </w:pPr>
      <w:r>
        <w:rPr>
          <w:rFonts w:ascii="Arial" w:cs="Arial" w:eastAsia="Arial" w:hAnsi="Arial"/>
          <w:sz w:val="16"/>
          <w:szCs w:val="16"/>
          <w:color w:val="auto"/>
        </w:rPr>
        <w:t>We generate all of our operating revenue from contracts with customers. Our primary source of revenue is generated through the sale of manufactured motorized units, non-motorized towable units, and marine units to our independent dealer network (our customer). We also generate income through the sale of certain parts and services, acting as the principal in these arrangements. We apply the new revenue standard requirements to a portfolio of contracts (or performance obligations) with similar characteristics for transactions where it is expected that the effects on the financial statements of applying the revenue recognition guidance to the portfolio would not differ materially from applying this guidance to the individual contracts (or performance obligations) within that portfolio. Revenue is recognized when control of the promised goods or services is transferred to our customers, in an amount that reflects the transaction price consideration that we expect to receive in exchange for those goods or services. Control refers to the ability of the customer to direct the use of, and obtain substantially all of, the remaining benefits from the goods or services. Our transaction price consideration is fixed, unless otherwise disclosed below as variable consideration. We made an accounting policy election so that our revenue excludes sales and usage-based taxes collected.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Unit revenue</w:t>
      </w:r>
    </w:p>
    <w:p>
      <w:pPr>
        <w:spacing w:after="0" w:line="192"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Unit revenue is recognized at a point-in-time when control passes, which generally occurs when the unit is shipped to or picked-up from our manufacturing facilities by the customer, which is consistent with our past practice. Our payment terms are typically before or on delivery, and do not include a significant financing component. The amount of consideration received and recorded to revenue varies with changes in marketing incentives and offers to our customers. These marketing incentives and offers to our customers are considered variable consideration. We adjust the estimate of revenue at the earlier of when the most likely amount of consideration we expect to receive changes or when the consideration becomes fixed.</w:t>
      </w:r>
    </w:p>
    <w:p>
      <w:pPr>
        <w:spacing w:after="0" w:line="149"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Our contracts include some incidental items that are immaterial in the context of the contract. We have made an accounting policy election to not assess whether promised goods or services are performance obligations if they are immaterial in the context of the contract with the customer. We have made an accounting policy to account for any shipping and handling costs that occur after the transfer of control as a fulfillment cost that is accrued when control is transferred. Warranty obligations associated with the sale of a unit are assurance-type warranties that are a guarantee of the unit’s intended functionality and, therefore, do not represent a distinct performance obligation within the context of the contract. Contract costs incurred related to the sale of manufactured units are expensed at the point-in-time when the related revenue is recognized.</w:t>
      </w:r>
    </w:p>
    <w:p>
      <w:pPr>
        <w:spacing w:after="0" w:line="151"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We do not have material contract assets or liabilities. We establish allowances for uncollectible receivables based on historical collection trends and write-off history.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Risk</w:t>
      </w:r>
    </w:p>
    <w:p>
      <w:pPr>
        <w:spacing w:after="0" w:line="196"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One of our dealer organizations accounted for more than 10% of our net revenue for the second quarter of Fiscal 2019 and for the second quarter of Fiscal 2018. However, none of our dealer organizations accounted for more than 10% of our net revenue for the first six months of Fiscal 2019 or the first six months of Fiscal 2018.</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Derivatives, Investments, and Fair Value Measurements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Recurring Basis</w:t>
      </w:r>
    </w:p>
    <w:p>
      <w:pPr>
        <w:spacing w:after="0" w:line="196"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 xml:space="preserve">We account for fair value measurements in accordance with Accounting Standards Codification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which defines fair value, establishes a framework for measurement, and expands disclosure about fair value measurement. The fair value hierarchy requires the use of observable market data when available. In instances in which the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151"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 Unadjusted quoted prices that are available in active markets for the identical assets or liabilities at the measurement date.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Other observable inputs available at the measurement date, other than quoted prices included in Level 1, either directly or indirectly, including:</w:t>
      </w:r>
    </w:p>
    <w:p>
      <w:pPr>
        <w:spacing w:after="0" w:line="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Quoted prices for similar assets or liabilities in active markets;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Quoted prices for identical or similar assets in nonactive markets;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Inputs other than quoted prices that are observable for the asset or liability; and</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Inputs that are derived principally from or corroborated by other observable market data.</w:t>
      </w:r>
    </w:p>
    <w:p>
      <w:pPr>
        <w:spacing w:after="0" w:line="174"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Unobservable inputs that cannot be corroborated by observable market data and reflect the use of significant management judgment. These values</w:t>
      </w:r>
      <w:r>
        <w:rPr>
          <w:rFonts w:ascii="Arial" w:cs="Arial" w:eastAsia="Arial" w:hAnsi="Arial"/>
          <w:sz w:val="16"/>
          <w:szCs w:val="16"/>
          <w:i w:val="1"/>
          <w:iCs w:val="1"/>
          <w:color w:val="auto"/>
        </w:rPr>
        <w:t xml:space="preserve"> </w:t>
      </w:r>
      <w:r>
        <w:rPr>
          <w:rFonts w:ascii="Arial" w:cs="Arial" w:eastAsia="Arial" w:hAnsi="Arial"/>
          <w:sz w:val="16"/>
          <w:szCs w:val="16"/>
          <w:color w:val="auto"/>
        </w:rPr>
        <w:t>are generally determined using pricing models for which the assumptions utilize management’s estimates of market participant assumptions.</w:t>
      </w:r>
    </w:p>
    <w:p>
      <w:pPr>
        <w:spacing w:after="0" w:line="12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following tables set forth by level within the fair value hierarchy our financial assets and liabilities that were accounted for at fair value on a recurring basis at February 23, 2019 and August 25, 2018 according to the valuation techniques we used to determine their fair values: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Fair Value at</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Fair Value Hierarchy</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182"/>
        </w:trPr>
        <w:tc>
          <w:tcPr>
            <w:tcW w:w="4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jc w:val="center"/>
              <w:ind w:right="360"/>
              <w:spacing w:after="0" w:line="183" w:lineRule="exact"/>
              <w:rPr>
                <w:sz w:val="20"/>
                <w:szCs w:val="20"/>
                <w:color w:val="auto"/>
              </w:rPr>
            </w:pPr>
            <w:r>
              <w:rPr>
                <w:rFonts w:ascii="Arial" w:cs="Arial" w:eastAsia="Arial" w:hAnsi="Arial"/>
                <w:sz w:val="16"/>
                <w:szCs w:val="16"/>
                <w:b w:val="1"/>
                <w:bCs w:val="1"/>
                <w:color w:val="auto"/>
              </w:rPr>
              <w:t>February 23,</w:t>
            </w: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32"/>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20"/>
                <w:szCs w:val="20"/>
                <w:color w:val="auto"/>
              </w:rPr>
            </w:pPr>
          </w:p>
        </w:tc>
        <w:tc>
          <w:tcPr>
            <w:tcW w:w="1420" w:type="dxa"/>
            <w:vAlign w:val="bottom"/>
          </w:tcPr>
          <w:p>
            <w:pPr>
              <w:jc w:val="center"/>
              <w:ind w:right="1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1</w:t>
            </w: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20"/>
                <w:szCs w:val="20"/>
                <w:color w:val="auto"/>
              </w:rPr>
            </w:pPr>
          </w:p>
        </w:tc>
        <w:tc>
          <w:tcPr>
            <w:tcW w:w="1280" w:type="dxa"/>
            <w:vAlign w:val="bottom"/>
          </w:tcPr>
          <w:p>
            <w:pPr>
              <w:ind w:left="200"/>
              <w:spacing w:after="0"/>
              <w:rPr>
                <w:sz w:val="20"/>
                <w:szCs w:val="20"/>
                <w:color w:val="auto"/>
              </w:rPr>
            </w:pPr>
            <w:r>
              <w:rPr>
                <w:rFonts w:ascii="Arial" w:cs="Arial" w:eastAsia="Arial" w:hAnsi="Arial"/>
                <w:sz w:val="16"/>
                <w:szCs w:val="16"/>
                <w:b w:val="1"/>
                <w:bCs w:val="1"/>
                <w:color w:val="auto"/>
              </w:rPr>
              <w:t>Level 3</w:t>
            </w:r>
          </w:p>
        </w:tc>
      </w:tr>
      <w:tr>
        <w:trPr>
          <w:trHeight w:val="267"/>
        </w:trPr>
        <w:tc>
          <w:tcPr>
            <w:tcW w:w="47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200" w:type="dxa"/>
            <w:vAlign w:val="bottom"/>
            <w:tcBorders>
              <w:top w:val="single" w:sz="8" w:color="auto"/>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r>
      <w:tr>
        <w:trPr>
          <w:trHeight w:val="262"/>
        </w:trPr>
        <w:tc>
          <w:tcPr>
            <w:tcW w:w="4700" w:type="dxa"/>
            <w:vAlign w:val="bottom"/>
          </w:tcPr>
          <w:p>
            <w:pPr>
              <w:ind w:left="180"/>
              <w:spacing w:after="0"/>
              <w:rPr>
                <w:sz w:val="20"/>
                <w:szCs w:val="20"/>
                <w:color w:val="auto"/>
              </w:rPr>
            </w:pPr>
            <w:r>
              <w:rPr>
                <w:rFonts w:ascii="Arial" w:cs="Arial" w:eastAsia="Arial" w:hAnsi="Arial"/>
                <w:sz w:val="16"/>
                <w:szCs w:val="16"/>
                <w:color w:val="auto"/>
              </w:rPr>
              <w:t>Domestic equity funds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830</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22"/>
                <w:szCs w:val="22"/>
                <w:color w:val="auto"/>
              </w:rPr>
            </w:pPr>
          </w:p>
        </w:tc>
        <w:tc>
          <w:tcPr>
            <w:tcW w:w="320" w:type="dxa"/>
            <w:vAlign w:val="bottom"/>
          </w:tcPr>
          <w:p>
            <w:pPr>
              <w:ind w:left="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ind w:left="1000"/>
              <w:spacing w:after="0"/>
              <w:rPr>
                <w:sz w:val="20"/>
                <w:szCs w:val="20"/>
                <w:color w:val="auto"/>
              </w:rPr>
            </w:pPr>
            <w:r>
              <w:rPr>
                <w:rFonts w:ascii="Arial" w:cs="Arial" w:eastAsia="Arial" w:hAnsi="Arial"/>
                <w:sz w:val="16"/>
                <w:szCs w:val="16"/>
                <w:color w:val="auto"/>
              </w:rPr>
              <w:t>—</w:t>
            </w:r>
          </w:p>
        </w:tc>
      </w:tr>
      <w:tr>
        <w:trPr>
          <w:trHeight w:val="278"/>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International equity funds</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r>
      <w:tr>
        <w:trPr>
          <w:trHeight w:val="262"/>
        </w:trPr>
        <w:tc>
          <w:tcPr>
            <w:tcW w:w="4700" w:type="dxa"/>
            <w:vAlign w:val="bottom"/>
          </w:tcPr>
          <w:p>
            <w:pPr>
              <w:ind w:left="180"/>
              <w:spacing w:after="0"/>
              <w:rPr>
                <w:sz w:val="20"/>
                <w:szCs w:val="20"/>
                <w:color w:val="auto"/>
              </w:rPr>
            </w:pPr>
            <w:r>
              <w:rPr>
                <w:rFonts w:ascii="Arial" w:cs="Arial" w:eastAsia="Arial" w:hAnsi="Arial"/>
                <w:sz w:val="16"/>
                <w:szCs w:val="16"/>
                <w:color w:val="auto"/>
              </w:rPr>
              <w:t>Fixed income funds</w:t>
            </w:r>
          </w:p>
        </w:tc>
        <w:tc>
          <w:tcPr>
            <w:tcW w:w="200" w:type="dxa"/>
            <w:vAlign w:val="bottom"/>
          </w:tcPr>
          <w:p>
            <w:pPr>
              <w:spacing w:after="0"/>
              <w:rPr>
                <w:sz w:val="22"/>
                <w:szCs w:val="22"/>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ind w:left="1000"/>
              <w:spacing w:after="0"/>
              <w:rPr>
                <w:sz w:val="20"/>
                <w:szCs w:val="20"/>
                <w:color w:val="auto"/>
              </w:rPr>
            </w:pPr>
            <w:r>
              <w:rPr>
                <w:rFonts w:ascii="Arial" w:cs="Arial" w:eastAsia="Arial" w:hAnsi="Arial"/>
                <w:sz w:val="16"/>
                <w:szCs w:val="16"/>
                <w:color w:val="auto"/>
              </w:rPr>
              <w:t>—</w:t>
            </w:r>
          </w:p>
        </w:tc>
      </w:tr>
      <w:tr>
        <w:trPr>
          <w:trHeight w:val="271"/>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rate swap contract</w:t>
            </w:r>
          </w:p>
        </w:tc>
        <w:tc>
          <w:tcPr>
            <w:tcW w:w="20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1,090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r>
      <w:tr>
        <w:trPr>
          <w:trHeight w:val="242"/>
        </w:trPr>
        <w:tc>
          <w:tcPr>
            <w:tcW w:w="4700" w:type="dxa"/>
            <w:vAlign w:val="bottom"/>
          </w:tcPr>
          <w:p>
            <w:pPr>
              <w:ind w:left="180"/>
              <w:spacing w:after="0"/>
              <w:rPr>
                <w:sz w:val="20"/>
                <w:szCs w:val="20"/>
                <w:color w:val="auto"/>
              </w:rPr>
            </w:pPr>
            <w:r>
              <w:rPr>
                <w:rFonts w:ascii="Arial" w:cs="Arial" w:eastAsia="Arial" w:hAnsi="Arial"/>
                <w:sz w:val="16"/>
                <w:szCs w:val="16"/>
                <w:color w:val="auto"/>
              </w:rPr>
              <w:t>Total assets at fair value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2,229</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866</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1,363</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6"/>
                <w:szCs w:val="16"/>
                <w:color w:val="auto"/>
              </w:rPr>
              <w:t>—</w:t>
            </w: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Fair Value at</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Fair Value Hierarchy</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182"/>
        </w:trPr>
        <w:tc>
          <w:tcPr>
            <w:tcW w:w="4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2"/>
          </w:tcPr>
          <w:p>
            <w:pPr>
              <w:ind w:left="140"/>
              <w:spacing w:after="0" w:line="183" w:lineRule="exact"/>
              <w:rPr>
                <w:sz w:val="20"/>
                <w:szCs w:val="20"/>
                <w:color w:val="auto"/>
              </w:rPr>
            </w:pPr>
            <w:r>
              <w:rPr>
                <w:rFonts w:ascii="Arial" w:cs="Arial" w:eastAsia="Arial" w:hAnsi="Arial"/>
                <w:sz w:val="16"/>
                <w:szCs w:val="16"/>
                <w:b w:val="1"/>
                <w:bCs w:val="1"/>
                <w:color w:val="auto"/>
              </w:rPr>
              <w:t>August 25,</w:t>
            </w: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32"/>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20"/>
                <w:szCs w:val="20"/>
                <w:color w:val="auto"/>
              </w:rPr>
            </w:pPr>
          </w:p>
        </w:tc>
        <w:tc>
          <w:tcPr>
            <w:tcW w:w="1400" w:type="dxa"/>
            <w:vAlign w:val="bottom"/>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1</w:t>
            </w: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20"/>
                <w:szCs w:val="20"/>
                <w:color w:val="auto"/>
              </w:rPr>
            </w:pPr>
          </w:p>
        </w:tc>
        <w:tc>
          <w:tcPr>
            <w:tcW w:w="1280" w:type="dxa"/>
            <w:vAlign w:val="bottom"/>
          </w:tcPr>
          <w:p>
            <w:pPr>
              <w:ind w:left="200"/>
              <w:spacing w:after="0"/>
              <w:rPr>
                <w:sz w:val="20"/>
                <w:szCs w:val="20"/>
                <w:color w:val="auto"/>
              </w:rPr>
            </w:pPr>
            <w:r>
              <w:rPr>
                <w:rFonts w:ascii="Arial" w:cs="Arial" w:eastAsia="Arial" w:hAnsi="Arial"/>
                <w:sz w:val="16"/>
                <w:szCs w:val="16"/>
                <w:b w:val="1"/>
                <w:bCs w:val="1"/>
                <w:color w:val="auto"/>
              </w:rPr>
              <w:t>Level 3</w:t>
            </w:r>
          </w:p>
        </w:tc>
      </w:tr>
      <w:tr>
        <w:trPr>
          <w:trHeight w:val="267"/>
        </w:trPr>
        <w:tc>
          <w:tcPr>
            <w:tcW w:w="47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220" w:type="dxa"/>
            <w:vAlign w:val="bottom"/>
            <w:tcBorders>
              <w:top w:val="single" w:sz="8" w:color="auto"/>
            </w:tcBorders>
            <w:shd w:val="clear" w:color="auto" w:fill="CCEEFF"/>
          </w:tcPr>
          <w:p>
            <w:pPr>
              <w:spacing w:after="0"/>
              <w:rPr>
                <w:sz w:val="23"/>
                <w:szCs w:val="23"/>
                <w:color w:val="auto"/>
              </w:rPr>
            </w:pPr>
          </w:p>
        </w:tc>
        <w:tc>
          <w:tcPr>
            <w:tcW w:w="14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r>
      <w:tr>
        <w:trPr>
          <w:trHeight w:val="262"/>
        </w:trPr>
        <w:tc>
          <w:tcPr>
            <w:tcW w:w="4700" w:type="dxa"/>
            <w:vAlign w:val="bottom"/>
          </w:tcPr>
          <w:p>
            <w:pPr>
              <w:ind w:left="180"/>
              <w:spacing w:after="0"/>
              <w:rPr>
                <w:sz w:val="20"/>
                <w:szCs w:val="20"/>
                <w:color w:val="auto"/>
              </w:rPr>
            </w:pPr>
            <w:r>
              <w:rPr>
                <w:rFonts w:ascii="Arial" w:cs="Arial" w:eastAsia="Arial" w:hAnsi="Arial"/>
                <w:sz w:val="16"/>
                <w:szCs w:val="16"/>
                <w:color w:val="auto"/>
              </w:rPr>
              <w:t>Domestic equity funds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1,143</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1,114</w:t>
            </w:r>
          </w:p>
        </w:tc>
        <w:tc>
          <w:tcPr>
            <w:tcW w:w="100" w:type="dxa"/>
            <w:vAlign w:val="bottom"/>
          </w:tcPr>
          <w:p>
            <w:pPr>
              <w:spacing w:after="0"/>
              <w:rPr>
                <w:sz w:val="22"/>
                <w:szCs w:val="22"/>
                <w:color w:val="auto"/>
              </w:rPr>
            </w:pPr>
          </w:p>
        </w:tc>
        <w:tc>
          <w:tcPr>
            <w:tcW w:w="320" w:type="dxa"/>
            <w:vAlign w:val="bottom"/>
          </w:tcPr>
          <w:p>
            <w:pPr>
              <w:ind w:left="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ind w:left="1000"/>
              <w:spacing w:after="0"/>
              <w:rPr>
                <w:sz w:val="20"/>
                <w:szCs w:val="20"/>
                <w:color w:val="auto"/>
              </w:rPr>
            </w:pPr>
            <w:r>
              <w:rPr>
                <w:rFonts w:ascii="Arial" w:cs="Arial" w:eastAsia="Arial" w:hAnsi="Arial"/>
                <w:sz w:val="16"/>
                <w:szCs w:val="16"/>
                <w:color w:val="auto"/>
              </w:rPr>
              <w:t>—</w:t>
            </w:r>
          </w:p>
        </w:tc>
      </w:tr>
      <w:tr>
        <w:trPr>
          <w:trHeight w:val="278"/>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International equity funds</w:t>
            </w: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r>
      <w:tr>
        <w:trPr>
          <w:trHeight w:val="262"/>
        </w:trPr>
        <w:tc>
          <w:tcPr>
            <w:tcW w:w="4700" w:type="dxa"/>
            <w:vAlign w:val="bottom"/>
          </w:tcPr>
          <w:p>
            <w:pPr>
              <w:ind w:left="180"/>
              <w:spacing w:after="0"/>
              <w:rPr>
                <w:sz w:val="20"/>
                <w:szCs w:val="20"/>
                <w:color w:val="auto"/>
              </w:rPr>
            </w:pPr>
            <w:r>
              <w:rPr>
                <w:rFonts w:ascii="Arial" w:cs="Arial" w:eastAsia="Arial" w:hAnsi="Arial"/>
                <w:sz w:val="16"/>
                <w:szCs w:val="16"/>
                <w:color w:val="auto"/>
              </w:rPr>
              <w:t>Fixed income funds</w:t>
            </w:r>
          </w:p>
        </w:tc>
        <w:tc>
          <w:tcPr>
            <w:tcW w:w="22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ind w:left="1000"/>
              <w:spacing w:after="0"/>
              <w:rPr>
                <w:sz w:val="20"/>
                <w:szCs w:val="20"/>
                <w:color w:val="auto"/>
              </w:rPr>
            </w:pPr>
            <w:r>
              <w:rPr>
                <w:rFonts w:ascii="Arial" w:cs="Arial" w:eastAsia="Arial" w:hAnsi="Arial"/>
                <w:sz w:val="16"/>
                <w:szCs w:val="16"/>
                <w:color w:val="auto"/>
              </w:rPr>
              <w:t>—</w:t>
            </w:r>
          </w:p>
        </w:tc>
      </w:tr>
      <w:tr>
        <w:trPr>
          <w:trHeight w:val="271"/>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rate swap contract</w:t>
            </w: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1,959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1,959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r>
      <w:tr>
        <w:trPr>
          <w:trHeight w:val="242"/>
        </w:trPr>
        <w:tc>
          <w:tcPr>
            <w:tcW w:w="4700" w:type="dxa"/>
            <w:vAlign w:val="bottom"/>
          </w:tcPr>
          <w:p>
            <w:pPr>
              <w:ind w:left="180"/>
              <w:spacing w:after="0"/>
              <w:rPr>
                <w:sz w:val="20"/>
                <w:szCs w:val="20"/>
                <w:color w:val="auto"/>
              </w:rPr>
            </w:pPr>
            <w:r>
              <w:rPr>
                <w:rFonts w:ascii="Arial" w:cs="Arial" w:eastAsia="Arial" w:hAnsi="Arial"/>
                <w:sz w:val="16"/>
                <w:szCs w:val="16"/>
                <w:color w:val="auto"/>
              </w:rPr>
              <w:t>Total assets at fair value</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3,464</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1,366</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2,098</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6"/>
                <w:szCs w:val="16"/>
                <w:color w:val="auto"/>
              </w:rPr>
              <w:t>—</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587"/>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right"/>
              <w:ind w:right="4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methods and assumptions were used to estimate the fair value of each class of financial instrument: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that fund deferred compensation</w:t>
      </w:r>
    </w:p>
    <w:p>
      <w:pPr>
        <w:spacing w:after="0" w:line="196"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 xml:space="preserve">Our assets that fund deferred compensation are marketable equity securities measured at fair value using quoted market prices and primarily consist of equity-based mutual funds. These securities are primarily classified as Level 1 as they are traded in an active market for which closing stock prices are readily available. These securities fund the Executive Share Option Plan and the Executive Deferred Compensation Plan. Refer to Note 10, </w:t>
      </w:r>
      <w:r>
        <w:rPr>
          <w:rFonts w:ascii="Arial" w:cs="Arial" w:eastAsia="Arial" w:hAnsi="Arial"/>
          <w:sz w:val="16"/>
          <w:szCs w:val="16"/>
          <w:i w:val="1"/>
          <w:iCs w:val="1"/>
          <w:color w:val="auto"/>
        </w:rPr>
        <w:t>Employee and Retiree</w:t>
      </w:r>
      <w:r>
        <w:rPr>
          <w:rFonts w:ascii="Arial" w:cs="Arial" w:eastAsia="Arial" w:hAnsi="Arial"/>
          <w:sz w:val="16"/>
          <w:szCs w:val="16"/>
          <w:color w:val="auto"/>
        </w:rPr>
        <w:t xml:space="preserve"> </w:t>
      </w:r>
      <w:r>
        <w:rPr>
          <w:rFonts w:ascii="Arial" w:cs="Arial" w:eastAsia="Arial" w:hAnsi="Arial"/>
          <w:sz w:val="16"/>
          <w:szCs w:val="16"/>
          <w:i w:val="1"/>
          <w:iCs w:val="1"/>
          <w:color w:val="auto"/>
        </w:rPr>
        <w:t>Benefits</w:t>
      </w:r>
      <w:r>
        <w:rPr>
          <w:rFonts w:ascii="Arial" w:cs="Arial" w:eastAsia="Arial" w:hAnsi="Arial"/>
          <w:sz w:val="16"/>
          <w:szCs w:val="16"/>
          <w:color w:val="auto"/>
        </w:rPr>
        <w:t>, of the Notes to Consolidated Financial Statements included in our Annual Report on Form 10-K for the fiscal year ended August 25, 2018 for</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information regarding these plans.</w:t>
      </w:r>
    </w:p>
    <w:p>
      <w:pPr>
        <w:spacing w:after="0" w:line="149" w:lineRule="exact"/>
        <w:rPr>
          <w:sz w:val="20"/>
          <w:szCs w:val="20"/>
          <w:color w:val="auto"/>
        </w:rPr>
      </w:pPr>
    </w:p>
    <w:p>
      <w:pPr>
        <w:ind w:right="760"/>
        <w:spacing w:after="0" w:line="291" w:lineRule="auto"/>
        <w:rPr>
          <w:sz w:val="20"/>
          <w:szCs w:val="20"/>
          <w:color w:val="auto"/>
        </w:rPr>
      </w:pPr>
      <w:r>
        <w:rPr>
          <w:rFonts w:ascii="Arial" w:cs="Arial" w:eastAsia="Arial" w:hAnsi="Arial"/>
          <w:sz w:val="16"/>
          <w:szCs w:val="16"/>
          <w:color w:val="auto"/>
        </w:rPr>
        <w:t>The proportion of the assets that will fund options which expire within a year are included in Prepaid expenses and other assets in the accompanying Condensed Consolidated Balance Sheets. The remaining assets are classified as non-current and are included in Other assets.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Swap Contract</w:t>
      </w:r>
    </w:p>
    <w:p>
      <w:pPr>
        <w:spacing w:after="0" w:line="196"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 xml:space="preserve">Under the terms of our Credit Agreement, as defined in Note 9, </w:t>
      </w:r>
      <w:r>
        <w:rPr>
          <w:rFonts w:ascii="Arial" w:cs="Arial" w:eastAsia="Arial" w:hAnsi="Arial"/>
          <w:sz w:val="16"/>
          <w:szCs w:val="16"/>
          <w:i w:val="1"/>
          <w:iCs w:val="1"/>
          <w:color w:val="auto"/>
        </w:rPr>
        <w:t>Long-Term Debt</w:t>
      </w:r>
      <w:r>
        <w:rPr>
          <w:rFonts w:ascii="Arial" w:cs="Arial" w:eastAsia="Arial" w:hAnsi="Arial"/>
          <w:sz w:val="16"/>
          <w:szCs w:val="16"/>
          <w:color w:val="auto"/>
        </w:rPr>
        <w:t>, we were previously required to hedge a portion of the floating interest rate exposure. In accordance with this requirement, on January 23, 2017, we entered into an interest rate swap contract, which effectively fixed our interest rate on our $300.0 million term loan agreement ("Term Loan") for a notional amount that reduces each December during the swap contract. As of February 23, 2019, we had $120.0 million of our Term Loan fixed at an interest rate of 5.32%. As of August 25, 2018, we had $170.0 million of our Term Loan fixed at an interest rate of 5.32%. The swap contract expires on December 8, 2020.</w:t>
      </w:r>
    </w:p>
    <w:p>
      <w:pPr>
        <w:spacing w:after="0" w:line="149"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color w:val="auto"/>
        </w:rPr>
        <w:t>The fair value of the interest rate swap is classified as Level 2 as it is determined based on observable market data. The asset is included in Other assets on the Condensed Consolidated Balance Sheets. The change in value was predominately recorded to Accumulated other comprehensive income on the Condensed Consolidated Balance Sheets since the interest rate swap has been designated for hedge accounting.</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Nonrecurring Basis</w:t>
      </w:r>
    </w:p>
    <w:p>
      <w:pPr>
        <w:spacing w:after="0" w:line="196"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Our non-financial assets, which include goodwill, intangible assets, and property, plant and equipment, are not required to be measured at fair value on a recurring basis. However, if certain triggering events occur, or if an annual impairment test is required, we must evaluate the non-financial asset for impairment. If an impairment has occurred, the asset is required to be recorded at the estimated fair value. No impairments were recorded for non-financial assets in the second quarter of Fiscal 2019 or the second quarter of Fiscal 2018.</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of Financial Instruments</w:t>
      </w:r>
    </w:p>
    <w:p>
      <w:pPr>
        <w:spacing w:after="0" w:line="196" w:lineRule="exact"/>
        <w:rPr>
          <w:sz w:val="20"/>
          <w:szCs w:val="20"/>
          <w:color w:val="auto"/>
        </w:rPr>
      </w:pPr>
    </w:p>
    <w:p>
      <w:pPr>
        <w:ind w:right="300"/>
        <w:spacing w:after="0" w:line="261" w:lineRule="auto"/>
        <w:rPr>
          <w:sz w:val="20"/>
          <w:szCs w:val="20"/>
          <w:color w:val="auto"/>
        </w:rPr>
      </w:pPr>
      <w:r>
        <w:rPr>
          <w:rFonts w:ascii="Arial" w:cs="Arial" w:eastAsia="Arial" w:hAnsi="Arial"/>
          <w:sz w:val="16"/>
          <w:szCs w:val="16"/>
          <w:color w:val="auto"/>
        </w:rPr>
        <w:t xml:space="preserve">Our financial instruments, other than those presented in the disclosures above, include cash, receivables, accounts payable, other payables, and long-term debt. The fair values of cash, receivables, accounts payable, and other payables approximated carrying values because of the short-term nature of these instruments. If these instruments were measured at fair value in the financial statements, they would be classified as Level 1 in the fair value hierarchy. See Note 9, </w:t>
      </w:r>
      <w:r>
        <w:rPr>
          <w:rFonts w:ascii="Arial" w:cs="Arial" w:eastAsia="Arial" w:hAnsi="Arial"/>
          <w:sz w:val="16"/>
          <w:szCs w:val="16"/>
          <w:i w:val="1"/>
          <w:iCs w:val="1"/>
          <w:color w:val="auto"/>
        </w:rPr>
        <w:t>Long-Term Debt</w:t>
      </w:r>
      <w:r>
        <w:rPr>
          <w:rFonts w:ascii="Arial" w:cs="Arial" w:eastAsia="Arial" w:hAnsi="Arial"/>
          <w:sz w:val="16"/>
          <w:szCs w:val="16"/>
          <w:color w:val="auto"/>
        </w:rPr>
        <w:t>, for information about the fair value of our long-term debt.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60" w:type="dxa"/>
            <w:vAlign w:val="bottom"/>
          </w:tcPr>
          <w:p>
            <w:pPr>
              <w:spacing w:after="0"/>
              <w:rPr>
                <w:sz w:val="20"/>
                <w:szCs w:val="20"/>
                <w:color w:val="auto"/>
              </w:rPr>
            </w:pPr>
            <w:r>
              <w:rPr>
                <w:rFonts w:ascii="Arial" w:cs="Arial" w:eastAsia="Arial" w:hAnsi="Arial"/>
                <w:sz w:val="16"/>
                <w:szCs w:val="16"/>
                <w:b w:val="1"/>
                <w:bCs w:val="1"/>
                <w:color w:val="auto"/>
              </w:rPr>
              <w:t>Note 5: Inventories</w:t>
            </w:r>
          </w:p>
        </w:tc>
        <w:tc>
          <w:tcPr>
            <w:tcW w:w="3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4160" w:type="dxa"/>
            <w:vAlign w:val="bottom"/>
          </w:tcPr>
          <w:p>
            <w:pPr>
              <w:spacing w:after="0"/>
              <w:rPr>
                <w:sz w:val="20"/>
                <w:szCs w:val="20"/>
                <w:color w:val="auto"/>
              </w:rPr>
            </w:pPr>
            <w:r>
              <w:rPr>
                <w:rFonts w:ascii="Arial" w:cs="Arial" w:eastAsia="Arial" w:hAnsi="Arial"/>
                <w:sz w:val="16"/>
                <w:szCs w:val="16"/>
                <w:color w:val="auto"/>
              </w:rPr>
              <w:t>Inventories consist of the following:</w:t>
            </w:r>
          </w:p>
        </w:tc>
        <w:tc>
          <w:tcPr>
            <w:tcW w:w="3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1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23,</w:t>
            </w:r>
          </w:p>
        </w:tc>
        <w:tc>
          <w:tcPr>
            <w:tcW w:w="240" w:type="dxa"/>
            <w:vAlign w:val="bottom"/>
          </w:tcPr>
          <w:p>
            <w:pPr>
              <w:spacing w:after="0"/>
              <w:rPr>
                <w:sz w:val="24"/>
                <w:szCs w:val="24"/>
                <w:color w:val="auto"/>
              </w:rPr>
            </w:pPr>
          </w:p>
        </w:tc>
        <w:tc>
          <w:tcPr>
            <w:tcW w:w="136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25,</w:t>
            </w:r>
          </w:p>
        </w:tc>
        <w:tc>
          <w:tcPr>
            <w:tcW w:w="0" w:type="dxa"/>
            <w:vAlign w:val="bottom"/>
          </w:tcPr>
          <w:p>
            <w:pPr>
              <w:spacing w:after="0"/>
              <w:rPr>
                <w:sz w:val="1"/>
                <w:szCs w:val="1"/>
                <w:color w:val="auto"/>
              </w:rPr>
            </w:pPr>
          </w:p>
        </w:tc>
      </w:tr>
      <w:tr>
        <w:trPr>
          <w:trHeight w:val="232"/>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4"/>
        </w:trPr>
        <w:tc>
          <w:tcPr>
            <w:tcW w:w="4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4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43,453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26,513</w:t>
            </w:r>
          </w:p>
        </w:tc>
        <w:tc>
          <w:tcPr>
            <w:tcW w:w="0" w:type="dxa"/>
            <w:vAlign w:val="bottom"/>
          </w:tcPr>
          <w:p>
            <w:pPr>
              <w:spacing w:after="0"/>
              <w:rPr>
                <w:sz w:val="1"/>
                <w:szCs w:val="1"/>
                <w:color w:val="auto"/>
              </w:rPr>
            </w:pPr>
          </w:p>
        </w:tc>
      </w:tr>
      <w:tr>
        <w:trPr>
          <w:trHeight w:val="262"/>
        </w:trPr>
        <w:tc>
          <w:tcPr>
            <w:tcW w:w="4160" w:type="dxa"/>
            <w:vAlign w:val="bottom"/>
          </w:tcPr>
          <w:p>
            <w:pPr>
              <w:ind w:left="40"/>
              <w:spacing w:after="0"/>
              <w:rPr>
                <w:sz w:val="20"/>
                <w:szCs w:val="20"/>
                <w:color w:val="auto"/>
              </w:rPr>
            </w:pPr>
            <w:r>
              <w:rPr>
                <w:rFonts w:ascii="Arial" w:cs="Arial" w:eastAsia="Arial" w:hAnsi="Arial"/>
                <w:sz w:val="16"/>
                <w:szCs w:val="16"/>
                <w:color w:val="auto"/>
              </w:rPr>
              <w:t>Work-in-process</w:t>
            </w:r>
          </w:p>
        </w:tc>
        <w:tc>
          <w:tcPr>
            <w:tcW w:w="3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89,904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68,339</w:t>
            </w:r>
          </w:p>
        </w:tc>
        <w:tc>
          <w:tcPr>
            <w:tcW w:w="0" w:type="dxa"/>
            <w:vAlign w:val="bottom"/>
          </w:tcPr>
          <w:p>
            <w:pPr>
              <w:spacing w:after="0"/>
              <w:rPr>
                <w:sz w:val="1"/>
                <w:szCs w:val="1"/>
                <w:color w:val="auto"/>
              </w:rPr>
            </w:pPr>
          </w:p>
        </w:tc>
      </w:tr>
      <w:tr>
        <w:trPr>
          <w:trHeight w:val="271"/>
        </w:trPr>
        <w:tc>
          <w:tcPr>
            <w:tcW w:w="4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Raw materials</w:t>
            </w:r>
          </w:p>
        </w:tc>
        <w:tc>
          <w:tcPr>
            <w:tcW w:w="396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96,046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139,039</w:t>
            </w:r>
          </w:p>
        </w:tc>
        <w:tc>
          <w:tcPr>
            <w:tcW w:w="0" w:type="dxa"/>
            <w:vAlign w:val="bottom"/>
          </w:tcPr>
          <w:p>
            <w:pPr>
              <w:spacing w:after="0"/>
              <w:rPr>
                <w:sz w:val="1"/>
                <w:szCs w:val="1"/>
                <w:color w:val="auto"/>
              </w:rPr>
            </w:pPr>
          </w:p>
        </w:tc>
      </w:tr>
      <w:tr>
        <w:trPr>
          <w:trHeight w:val="249"/>
        </w:trPr>
        <w:tc>
          <w:tcPr>
            <w:tcW w:w="4160" w:type="dxa"/>
            <w:vAlign w:val="bottom"/>
          </w:tcPr>
          <w:p>
            <w:pPr>
              <w:ind w:left="180"/>
              <w:spacing w:after="0"/>
              <w:rPr>
                <w:sz w:val="20"/>
                <w:szCs w:val="20"/>
                <w:color w:val="auto"/>
              </w:rPr>
            </w:pPr>
            <w:r>
              <w:rPr>
                <w:rFonts w:ascii="Arial" w:cs="Arial" w:eastAsia="Arial" w:hAnsi="Arial"/>
                <w:sz w:val="16"/>
                <w:szCs w:val="16"/>
                <w:color w:val="auto"/>
              </w:rPr>
              <w:t>Total</w:t>
            </w:r>
          </w:p>
        </w:tc>
        <w:tc>
          <w:tcPr>
            <w:tcW w:w="3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229,403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233,891</w:t>
            </w:r>
          </w:p>
        </w:tc>
        <w:tc>
          <w:tcPr>
            <w:tcW w:w="0" w:type="dxa"/>
            <w:vAlign w:val="bottom"/>
          </w:tcPr>
          <w:p>
            <w:pPr>
              <w:spacing w:after="0"/>
              <w:rPr>
                <w:sz w:val="1"/>
                <w:szCs w:val="1"/>
                <w:color w:val="auto"/>
              </w:rPr>
            </w:pPr>
          </w:p>
        </w:tc>
      </w:tr>
      <w:tr>
        <w:trPr>
          <w:trHeight w:val="271"/>
        </w:trPr>
        <w:tc>
          <w:tcPr>
            <w:tcW w:w="4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last-in, first-out ("LIFO") reserve</w:t>
            </w:r>
          </w:p>
        </w:tc>
        <w:tc>
          <w:tcPr>
            <w:tcW w:w="396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39,792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38,763</w:t>
            </w:r>
          </w:p>
        </w:tc>
        <w:tc>
          <w:tcPr>
            <w:tcW w:w="0" w:type="dxa"/>
            <w:vAlign w:val="bottom"/>
          </w:tcPr>
          <w:p>
            <w:pPr>
              <w:spacing w:after="0"/>
              <w:rPr>
                <w:sz w:val="1"/>
                <w:szCs w:val="1"/>
                <w:color w:val="auto"/>
              </w:rPr>
            </w:pPr>
          </w:p>
        </w:tc>
      </w:tr>
      <w:tr>
        <w:trPr>
          <w:trHeight w:val="241"/>
        </w:trPr>
        <w:tc>
          <w:tcPr>
            <w:tcW w:w="4160" w:type="dxa"/>
            <w:vAlign w:val="bottom"/>
          </w:tcPr>
          <w:p>
            <w:pPr>
              <w:ind w:left="180"/>
              <w:spacing w:after="0"/>
              <w:rPr>
                <w:sz w:val="20"/>
                <w:szCs w:val="20"/>
                <w:color w:val="auto"/>
              </w:rPr>
            </w:pPr>
            <w:r>
              <w:rPr>
                <w:rFonts w:ascii="Arial" w:cs="Arial" w:eastAsia="Arial" w:hAnsi="Arial"/>
                <w:sz w:val="16"/>
                <w:szCs w:val="16"/>
                <w:color w:val="auto"/>
              </w:rPr>
              <w:t>Inventories, net</w:t>
            </w:r>
          </w:p>
        </w:tc>
        <w:tc>
          <w:tcPr>
            <w:tcW w:w="41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189,611</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195,128</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960" w:type="dxa"/>
            <w:vAlign w:val="bottom"/>
            <w:vMerge w:val="restart"/>
          </w:tcPr>
          <w:p>
            <w:pPr>
              <w:jc w:val="right"/>
              <w:ind w:right="2239"/>
              <w:spacing w:after="0"/>
              <w:rPr>
                <w:sz w:val="20"/>
                <w:szCs w:val="20"/>
                <w:color w:val="auto"/>
              </w:rPr>
            </w:pPr>
            <w:r>
              <w:rPr>
                <w:rFonts w:ascii="Arial" w:cs="Arial" w:eastAsia="Arial" w:hAnsi="Arial"/>
                <w:sz w:val="16"/>
                <w:szCs w:val="16"/>
                <w:color w:val="auto"/>
              </w:rPr>
              <w:t>13</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16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2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51"/>
        </w:trPr>
        <w:tc>
          <w:tcPr>
            <w:tcW w:w="8120" w:type="dxa"/>
            <w:vAlign w:val="bottom"/>
            <w:gridSpan w:val="2"/>
          </w:tcPr>
          <w:p>
            <w:pPr>
              <w:spacing w:after="0"/>
              <w:rPr>
                <w:sz w:val="20"/>
                <w:szCs w:val="20"/>
                <w:color w:val="auto"/>
              </w:rPr>
            </w:pPr>
            <w:r>
              <w:rPr>
                <w:rFonts w:ascii="Arial" w:cs="Arial" w:eastAsia="Arial" w:hAnsi="Arial"/>
                <w:sz w:val="16"/>
                <w:szCs w:val="16"/>
                <w:color w:val="auto"/>
              </w:rPr>
              <w:t>Inventory valuation methods consist of the following:</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20"/>
        </w:trPr>
        <w:tc>
          <w:tcPr>
            <w:tcW w:w="126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23,</w:t>
            </w:r>
          </w:p>
        </w:tc>
        <w:tc>
          <w:tcPr>
            <w:tcW w:w="240" w:type="dxa"/>
            <w:vAlign w:val="bottom"/>
          </w:tcPr>
          <w:p>
            <w:pPr>
              <w:spacing w:after="0"/>
              <w:rPr>
                <w:sz w:val="24"/>
                <w:szCs w:val="24"/>
                <w:color w:val="auto"/>
              </w:rPr>
            </w:pPr>
          </w:p>
        </w:tc>
        <w:tc>
          <w:tcPr>
            <w:tcW w:w="136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25,</w:t>
            </w:r>
          </w:p>
        </w:tc>
      </w:tr>
      <w:tr>
        <w:trPr>
          <w:trHeight w:val="232"/>
        </w:trPr>
        <w:tc>
          <w:tcPr>
            <w:tcW w:w="81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254"/>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LIFO basis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174,157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176,215</w:t>
            </w:r>
          </w:p>
        </w:tc>
      </w:tr>
      <w:tr>
        <w:trPr>
          <w:trHeight w:val="264"/>
        </w:trPr>
        <w:tc>
          <w:tcPr>
            <w:tcW w:w="81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First-in, first-out basis</w:t>
            </w: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55,246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57,676</w:t>
            </w:r>
          </w:p>
        </w:tc>
      </w:tr>
      <w:tr>
        <w:trPr>
          <w:trHeight w:val="242"/>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229,403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233,891</w:t>
            </w:r>
          </w:p>
        </w:tc>
      </w:tr>
      <w:tr>
        <w:trPr>
          <w:trHeight w:val="20"/>
        </w:trPr>
        <w:tc>
          <w:tcPr>
            <w:tcW w:w="12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above value of inventories, before reduction for the LIFO reserve, approximates replacement cost at the respective dates.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20" w:type="dxa"/>
            <w:vAlign w:val="bottom"/>
          </w:tcPr>
          <w:p>
            <w:pPr>
              <w:spacing w:after="0"/>
              <w:rPr>
                <w:sz w:val="20"/>
                <w:szCs w:val="20"/>
                <w:color w:val="auto"/>
              </w:rPr>
            </w:pPr>
            <w:r>
              <w:rPr>
                <w:rFonts w:ascii="Arial" w:cs="Arial" w:eastAsia="Arial" w:hAnsi="Arial"/>
                <w:sz w:val="16"/>
                <w:szCs w:val="16"/>
                <w:b w:val="1"/>
                <w:bCs w:val="1"/>
                <w:color w:val="auto"/>
              </w:rPr>
              <w:t>Note 6: Property, Plant, and Equipment</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43"/>
        </w:trPr>
        <w:tc>
          <w:tcPr>
            <w:tcW w:w="8120" w:type="dxa"/>
            <w:vAlign w:val="bottom"/>
          </w:tcPr>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20"/>
        </w:trPr>
        <w:tc>
          <w:tcPr>
            <w:tcW w:w="8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23,</w:t>
            </w:r>
          </w:p>
        </w:tc>
        <w:tc>
          <w:tcPr>
            <w:tcW w:w="240" w:type="dxa"/>
            <w:vAlign w:val="bottom"/>
          </w:tcPr>
          <w:p>
            <w:pPr>
              <w:spacing w:after="0"/>
              <w:rPr>
                <w:sz w:val="24"/>
                <w:szCs w:val="24"/>
                <w:color w:val="auto"/>
              </w:rPr>
            </w:pPr>
          </w:p>
        </w:tc>
        <w:tc>
          <w:tcPr>
            <w:tcW w:w="136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25,</w:t>
            </w:r>
          </w:p>
        </w:tc>
      </w:tr>
      <w:tr>
        <w:trPr>
          <w:trHeight w:val="232"/>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254"/>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6,747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6,747</w:t>
            </w:r>
          </w:p>
        </w:tc>
      </w:tr>
      <w:tr>
        <w:trPr>
          <w:trHeight w:val="262"/>
        </w:trPr>
        <w:tc>
          <w:tcPr>
            <w:tcW w:w="8120" w:type="dxa"/>
            <w:vAlign w:val="bottom"/>
          </w:tcPr>
          <w:p>
            <w:pPr>
              <w:ind w:left="40"/>
              <w:spacing w:after="0"/>
              <w:rPr>
                <w:sz w:val="20"/>
                <w:szCs w:val="20"/>
                <w:color w:val="auto"/>
              </w:rPr>
            </w:pPr>
            <w:r>
              <w:rPr>
                <w:rFonts w:ascii="Arial" w:cs="Arial" w:eastAsia="Arial" w:hAnsi="Arial"/>
                <w:sz w:val="16"/>
                <w:szCs w:val="16"/>
                <w:color w:val="auto"/>
              </w:rPr>
              <w:t>Buildings and building improvements</w:t>
            </w: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110,441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94,622</w:t>
            </w:r>
          </w:p>
        </w:tc>
      </w:tr>
      <w:tr>
        <w:trPr>
          <w:trHeight w:val="278"/>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108,529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105,663</w:t>
            </w:r>
          </w:p>
        </w:tc>
      </w:tr>
      <w:tr>
        <w:trPr>
          <w:trHeight w:val="262"/>
        </w:trPr>
        <w:tc>
          <w:tcPr>
            <w:tcW w:w="8120" w:type="dxa"/>
            <w:vAlign w:val="bottom"/>
          </w:tcPr>
          <w:p>
            <w:pPr>
              <w:ind w:left="40"/>
              <w:spacing w:after="0"/>
              <w:rPr>
                <w:sz w:val="20"/>
                <w:szCs w:val="20"/>
                <w:color w:val="auto"/>
              </w:rPr>
            </w:pPr>
            <w:r>
              <w:rPr>
                <w:rFonts w:ascii="Arial" w:cs="Arial" w:eastAsia="Arial" w:hAnsi="Arial"/>
                <w:sz w:val="16"/>
                <w:szCs w:val="16"/>
                <w:color w:val="auto"/>
              </w:rPr>
              <w:t>Software</w:t>
            </w: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26,432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23,388</w:t>
            </w:r>
          </w:p>
        </w:tc>
      </w:tr>
      <w:tr>
        <w:trPr>
          <w:trHeight w:val="271"/>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Transportation</w:t>
            </w: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9,102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8,837</w:t>
            </w:r>
          </w:p>
        </w:tc>
      </w:tr>
      <w:tr>
        <w:trPr>
          <w:trHeight w:val="249"/>
        </w:trPr>
        <w:tc>
          <w:tcPr>
            <w:tcW w:w="8120" w:type="dxa"/>
            <w:vAlign w:val="bottom"/>
          </w:tcPr>
          <w:p>
            <w:pPr>
              <w:ind w:left="180"/>
              <w:spacing w:after="0"/>
              <w:rPr>
                <w:sz w:val="20"/>
                <w:szCs w:val="20"/>
                <w:color w:val="auto"/>
              </w:rPr>
            </w:pPr>
            <w:r>
              <w:rPr>
                <w:rFonts w:ascii="Arial" w:cs="Arial" w:eastAsia="Arial" w:hAnsi="Arial"/>
                <w:sz w:val="16"/>
                <w:szCs w:val="16"/>
                <w:color w:val="auto"/>
              </w:rPr>
              <w:t>Property, plant, and equipment, gross</w:t>
            </w:r>
          </w:p>
        </w:tc>
        <w:tc>
          <w:tcPr>
            <w:tcW w:w="200" w:type="dxa"/>
            <w:vAlign w:val="bottom"/>
          </w:tcPr>
          <w:p>
            <w:pPr>
              <w:spacing w:after="0"/>
              <w:rPr>
                <w:sz w:val="21"/>
                <w:szCs w:val="21"/>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261,251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239,257</w:t>
            </w:r>
          </w:p>
        </w:tc>
      </w:tr>
      <w:tr>
        <w:trPr>
          <w:trHeight w:val="271"/>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143,490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138,064</w:t>
            </w:r>
          </w:p>
        </w:tc>
      </w:tr>
      <w:tr>
        <w:trPr>
          <w:trHeight w:val="242"/>
        </w:trPr>
        <w:tc>
          <w:tcPr>
            <w:tcW w:w="8120" w:type="dxa"/>
            <w:vAlign w:val="bottom"/>
          </w:tcPr>
          <w:p>
            <w:pPr>
              <w:ind w:left="18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117,761</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101,193</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Depreciation expense was $3.1 million and $2.2 million during the second quarters of Fiscal 2019 and 2018, respectively, and $6.3 million and $4.3 million during the first six months of Fiscal 2019 and 2018,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Goodwill and Intangible Assets</w:t>
      </w:r>
    </w:p>
    <w:p>
      <w:pPr>
        <w:spacing w:after="0" w:line="1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changes in the carrying amount of goodwill by segment were as follows for the first six months of Fiscal 2019 and 2018, of which there are no accumulated impairment losses: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Arial" w:cs="Arial" w:eastAsia="Arial" w:hAnsi="Arial"/>
                <w:sz w:val="16"/>
                <w:szCs w:val="16"/>
                <w:b w:val="1"/>
                <w:bCs w:val="1"/>
                <w:color w:val="auto"/>
              </w:rPr>
              <w:t>Corporate / All</w:t>
            </w: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2"/>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Towable</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Other</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254"/>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Balances at August 26, 2017</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242,728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242,728</w:t>
            </w:r>
          </w:p>
        </w:tc>
      </w:tr>
      <w:tr>
        <w:trPr>
          <w:trHeight w:val="270"/>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Grand Design purchase price adjustment</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1,956</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1,956</w:t>
            </w:r>
          </w:p>
        </w:tc>
      </w:tr>
      <w:tr>
        <w:trPr>
          <w:trHeight w:val="236"/>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Balances at February 24, 2018</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244,684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244,684</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306"/>
        </w:trPr>
        <w:tc>
          <w:tcPr>
            <w:tcW w:w="6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Balances at August 25, 2018</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244,684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29,686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274,370</w:t>
            </w:r>
          </w:p>
        </w:tc>
      </w:tr>
      <w:tr>
        <w:trPr>
          <w:trHeight w:val="270"/>
        </w:trPr>
        <w:tc>
          <w:tcPr>
            <w:tcW w:w="6400" w:type="dxa"/>
            <w:vAlign w:val="bottom"/>
          </w:tcPr>
          <w:p>
            <w:pPr>
              <w:ind w:left="180"/>
              <w:spacing w:after="0"/>
              <w:rPr>
                <w:sz w:val="20"/>
                <w:szCs w:val="20"/>
                <w:color w:val="auto"/>
              </w:rPr>
            </w:pPr>
            <w:r>
              <w:rPr>
                <w:rFonts w:ascii="Arial" w:cs="Arial" w:eastAsia="Arial" w:hAnsi="Arial"/>
                <w:sz w:val="16"/>
                <w:szCs w:val="16"/>
                <w:color w:val="auto"/>
              </w:rPr>
              <w:t>Chris-Craft purchase price adjustment</w:t>
            </w:r>
            <w:r>
              <w:rPr>
                <w:rFonts w:ascii="Arial" w:cs="Arial" w:eastAsia="Arial" w:hAnsi="Arial"/>
                <w:sz w:val="21"/>
                <w:szCs w:val="21"/>
                <w:color w:val="auto"/>
                <w:vertAlign w:val="superscript"/>
              </w:rPr>
              <w:t>(2)</w:t>
            </w:r>
          </w:p>
        </w:tc>
        <w:tc>
          <w:tcPr>
            <w:tcW w:w="32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702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702</w:t>
            </w:r>
          </w:p>
        </w:tc>
      </w:tr>
      <w:tr>
        <w:trPr>
          <w:trHeight w:val="236"/>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February 23, 2019</w:t>
            </w: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244,684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30,388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275,072</w:t>
            </w:r>
          </w:p>
        </w:tc>
      </w:tr>
      <w:tr>
        <w:trPr>
          <w:trHeight w:val="20"/>
        </w:trPr>
        <w:tc>
          <w:tcPr>
            <w:tcW w:w="6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41" w:lineRule="exact"/>
        <w:rPr>
          <w:sz w:val="20"/>
          <w:szCs w:val="20"/>
          <w:color w:val="auto"/>
        </w:rPr>
      </w:pPr>
    </w:p>
    <w:p>
      <w:pPr>
        <w:ind w:left="260" w:right="160" w:hanging="252"/>
        <w:spacing w:after="0" w:line="281" w:lineRule="auto"/>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Business Combinations</w:t>
      </w:r>
      <w:r>
        <w:rPr>
          <w:rFonts w:ascii="Arial" w:cs="Arial" w:eastAsia="Arial" w:hAnsi="Arial"/>
          <w:sz w:val="14"/>
          <w:szCs w:val="14"/>
          <w:color w:val="auto"/>
        </w:rPr>
        <w:t>, of the Notes to Consolidated Financial Statements included in our Annual Report on Form 10-K for the fiscal year ended August 25, 2018 for additional information.</w:t>
      </w:r>
    </w:p>
    <w:p>
      <w:pPr>
        <w:spacing w:after="0" w:line="1" w:lineRule="exact"/>
        <w:rPr>
          <w:rFonts w:ascii="Arial" w:cs="Arial" w:eastAsia="Arial" w:hAnsi="Arial"/>
          <w:sz w:val="14"/>
          <w:szCs w:val="14"/>
          <w:color w:val="auto"/>
        </w:rPr>
      </w:pPr>
    </w:p>
    <w:p>
      <w:pPr>
        <w:ind w:left="260" w:right="160" w:hanging="252"/>
        <w:spacing w:after="0" w:line="291" w:lineRule="auto"/>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Purchase price adjustments made for working capital. For additional information related to the acquisition of Chris-Craft USA, Inc., refer to Note 2, </w:t>
      </w:r>
      <w:r>
        <w:rPr>
          <w:rFonts w:ascii="Arial" w:cs="Arial" w:eastAsia="Arial" w:hAnsi="Arial"/>
          <w:sz w:val="14"/>
          <w:szCs w:val="14"/>
          <w:i w:val="1"/>
          <w:iCs w:val="1"/>
          <w:color w:val="auto"/>
        </w:rPr>
        <w:t>Business Combinations</w:t>
      </w:r>
      <w:r>
        <w:rPr>
          <w:rFonts w:ascii="Arial" w:cs="Arial" w:eastAsia="Arial" w:hAnsi="Arial"/>
          <w:sz w:val="14"/>
          <w:szCs w:val="14"/>
          <w:color w:val="auto"/>
        </w:rPr>
        <w:t>, of the Notes to Consolidated Financial Statements included in our Annual Report on Form 10-K for the fiscal year ended August 25, 2018.</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18"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4"/>
        </w:trPr>
        <w:tc>
          <w:tcPr>
            <w:tcW w:w="318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516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51"/>
        </w:trPr>
        <w:tc>
          <w:tcPr>
            <w:tcW w:w="6420" w:type="dxa"/>
            <w:vAlign w:val="bottom"/>
            <w:gridSpan w:val="7"/>
          </w:tcPr>
          <w:p>
            <w:pPr>
              <w:spacing w:after="0"/>
              <w:rPr>
                <w:sz w:val="20"/>
                <w:szCs w:val="20"/>
                <w:color w:val="auto"/>
              </w:rPr>
            </w:pPr>
            <w:r>
              <w:rPr>
                <w:rFonts w:ascii="Arial" w:cs="Arial" w:eastAsia="Arial" w:hAnsi="Arial"/>
                <w:sz w:val="16"/>
                <w:szCs w:val="16"/>
                <w:color w:val="auto"/>
              </w:rPr>
              <w:t>Other intangible assets, net of accumulated amortization, consist of the following:</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90"/>
        </w:trPr>
        <w:tc>
          <w:tcPr>
            <w:tcW w:w="1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40" w:type="dxa"/>
            <w:vAlign w:val="bottom"/>
            <w:gridSpan w:val="5"/>
          </w:tcPr>
          <w:p>
            <w:pPr>
              <w:ind w:left="620"/>
              <w:spacing w:after="0"/>
              <w:rPr>
                <w:sz w:val="20"/>
                <w:szCs w:val="20"/>
                <w:color w:val="auto"/>
              </w:rPr>
            </w:pPr>
            <w:r>
              <w:rPr>
                <w:rFonts w:ascii="Arial" w:cs="Arial" w:eastAsia="Arial" w:hAnsi="Arial"/>
                <w:sz w:val="16"/>
                <w:szCs w:val="16"/>
                <w:b w:val="1"/>
                <w:bCs w:val="1"/>
                <w:color w:val="auto"/>
              </w:rPr>
              <w:t>February 23, 2019</w:t>
            </w:r>
          </w:p>
        </w:tc>
        <w:tc>
          <w:tcPr>
            <w:tcW w:w="380" w:type="dxa"/>
            <w:vAlign w:val="bottom"/>
          </w:tcPr>
          <w:p>
            <w:pPr>
              <w:spacing w:after="0"/>
              <w:rPr>
                <w:sz w:val="24"/>
                <w:szCs w:val="24"/>
                <w:color w:val="auto"/>
              </w:rPr>
            </w:pPr>
          </w:p>
        </w:tc>
        <w:tc>
          <w:tcPr>
            <w:tcW w:w="2920" w:type="dxa"/>
            <w:vAlign w:val="bottom"/>
            <w:gridSpan w:val="4"/>
          </w:tcPr>
          <w:p>
            <w:pPr>
              <w:jc w:val="right"/>
              <w:ind w:right="939"/>
              <w:spacing w:after="0"/>
              <w:rPr>
                <w:sz w:val="20"/>
                <w:szCs w:val="20"/>
                <w:color w:val="auto"/>
              </w:rPr>
            </w:pPr>
            <w:r>
              <w:rPr>
                <w:rFonts w:ascii="Arial" w:cs="Arial" w:eastAsia="Arial" w:hAnsi="Arial"/>
                <w:sz w:val="16"/>
                <w:szCs w:val="16"/>
                <w:b w:val="1"/>
                <w:bCs w:val="1"/>
                <w:color w:val="auto"/>
              </w:rPr>
              <w:t>August 25, 2018</w:t>
            </w:r>
          </w:p>
        </w:tc>
      </w:tr>
      <w:tr>
        <w:trPr>
          <w:trHeight w:val="180"/>
        </w:trPr>
        <w:tc>
          <w:tcPr>
            <w:tcW w:w="12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400" w:type="dxa"/>
            <w:vAlign w:val="bottom"/>
          </w:tcPr>
          <w:p>
            <w:pPr>
              <w:jc w:val="center"/>
              <w:ind w:left="179"/>
              <w:spacing w:after="0" w:line="180" w:lineRule="exact"/>
              <w:rPr>
                <w:sz w:val="20"/>
                <w:szCs w:val="20"/>
                <w:color w:val="auto"/>
              </w:rPr>
            </w:pPr>
            <w:r>
              <w:rPr>
                <w:rFonts w:ascii="Arial" w:cs="Arial" w:eastAsia="Arial" w:hAnsi="Arial"/>
                <w:sz w:val="16"/>
                <w:szCs w:val="16"/>
                <w:b w:val="1"/>
                <w:bCs w:val="1"/>
                <w:color w:val="auto"/>
              </w:rPr>
              <w:t>Weighted</w:t>
            </w:r>
          </w:p>
        </w:tc>
        <w:tc>
          <w:tcPr>
            <w:tcW w:w="1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r>
      <w:tr>
        <w:trPr>
          <w:trHeight w:val="189"/>
        </w:trPr>
        <w:tc>
          <w:tcPr>
            <w:tcW w:w="12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520" w:type="dxa"/>
            <w:vAlign w:val="bottom"/>
            <w:gridSpan w:val="2"/>
          </w:tcPr>
          <w:p>
            <w:pPr>
              <w:jc w:val="center"/>
              <w:ind w:left="59"/>
              <w:spacing w:after="0"/>
              <w:rPr>
                <w:sz w:val="20"/>
                <w:szCs w:val="20"/>
                <w:color w:val="auto"/>
              </w:rPr>
            </w:pPr>
            <w:r>
              <w:rPr>
                <w:rFonts w:ascii="Arial" w:cs="Arial" w:eastAsia="Arial" w:hAnsi="Arial"/>
                <w:sz w:val="16"/>
                <w:szCs w:val="16"/>
                <w:b w:val="1"/>
                <w:bCs w:val="1"/>
                <w:color w:val="auto"/>
              </w:rPr>
              <w:t>Average Life-</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Accumulated</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center"/>
              <w:ind w:right="99"/>
              <w:spacing w:after="0"/>
              <w:rPr>
                <w:sz w:val="20"/>
                <w:szCs w:val="20"/>
                <w:color w:val="auto"/>
              </w:rPr>
            </w:pPr>
            <w:r>
              <w:rPr>
                <w:rFonts w:ascii="Arial" w:cs="Arial" w:eastAsia="Arial" w:hAnsi="Arial"/>
                <w:sz w:val="16"/>
                <w:szCs w:val="16"/>
                <w:b w:val="1"/>
                <w:bCs w:val="1"/>
                <w:color w:val="auto"/>
              </w:rPr>
              <w:t>Accumulated</w:t>
            </w:r>
          </w:p>
        </w:tc>
      </w:tr>
      <w:tr>
        <w:trPr>
          <w:trHeight w:val="232"/>
        </w:trPr>
        <w:tc>
          <w:tcPr>
            <w:tcW w:w="31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40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b w:val="1"/>
                <w:bCs w:val="1"/>
                <w:color w:val="auto"/>
                <w:w w:val="96"/>
              </w:rPr>
              <w:t>Years</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Cost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Cost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Amortization</w:t>
            </w:r>
          </w:p>
        </w:tc>
      </w:tr>
      <w:tr>
        <w:trPr>
          <w:trHeight w:val="267"/>
        </w:trPr>
        <w:tc>
          <w:tcPr>
            <w:tcW w:w="3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Trade names</w:t>
            </w:r>
          </w:p>
        </w:tc>
        <w:tc>
          <w:tcPr>
            <w:tcW w:w="1520" w:type="dxa"/>
            <w:vAlign w:val="bottom"/>
            <w:gridSpan w:val="2"/>
            <w:shd w:val="clear" w:color="auto" w:fill="CCEEFF"/>
          </w:tcPr>
          <w:p>
            <w:pPr>
              <w:jc w:val="center"/>
              <w:ind w:left="59"/>
              <w:spacing w:after="0"/>
              <w:rPr>
                <w:sz w:val="20"/>
                <w:szCs w:val="20"/>
                <w:color w:val="auto"/>
              </w:rPr>
            </w:pPr>
            <w:r>
              <w:rPr>
                <w:rFonts w:ascii="Arial" w:cs="Arial" w:eastAsia="Arial" w:hAnsi="Arial"/>
                <w:sz w:val="16"/>
                <w:szCs w:val="16"/>
                <w:color w:val="auto"/>
              </w:rPr>
              <w:t>Indefinite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177,250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177,250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62"/>
        </w:trPr>
        <w:tc>
          <w:tcPr>
            <w:tcW w:w="3180" w:type="dxa"/>
            <w:vAlign w:val="bottom"/>
            <w:gridSpan w:val="2"/>
          </w:tcPr>
          <w:p>
            <w:pPr>
              <w:ind w:left="40"/>
              <w:spacing w:after="0"/>
              <w:rPr>
                <w:sz w:val="20"/>
                <w:szCs w:val="20"/>
                <w:color w:val="auto"/>
              </w:rPr>
            </w:pPr>
            <w:r>
              <w:rPr>
                <w:rFonts w:ascii="Arial" w:cs="Arial" w:eastAsia="Arial" w:hAnsi="Arial"/>
                <w:sz w:val="16"/>
                <w:szCs w:val="16"/>
                <w:color w:val="auto"/>
              </w:rPr>
              <w:t>Dealer networks</w:t>
            </w:r>
          </w:p>
        </w:tc>
        <w:tc>
          <w:tcPr>
            <w:tcW w:w="1400" w:type="dxa"/>
            <w:vAlign w:val="bottom"/>
          </w:tcPr>
          <w:p>
            <w:pPr>
              <w:jc w:val="center"/>
              <w:ind w:left="199"/>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95,581</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16,253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95,581</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12,328</w:t>
            </w:r>
          </w:p>
        </w:tc>
      </w:tr>
      <w:tr>
        <w:trPr>
          <w:trHeight w:val="278"/>
        </w:trPr>
        <w:tc>
          <w:tcPr>
            <w:tcW w:w="3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Backlog</w:t>
            </w:r>
          </w:p>
        </w:tc>
        <w:tc>
          <w:tcPr>
            <w:tcW w:w="1400" w:type="dxa"/>
            <w:vAlign w:val="bottom"/>
            <w:shd w:val="clear" w:color="auto" w:fill="CCEEFF"/>
          </w:tcPr>
          <w:p>
            <w:pPr>
              <w:jc w:val="center"/>
              <w:ind w:left="179"/>
              <w:spacing w:after="0"/>
              <w:rPr>
                <w:sz w:val="20"/>
                <w:szCs w:val="20"/>
                <w:color w:val="auto"/>
              </w:rPr>
            </w:pPr>
            <w:r>
              <w:rPr>
                <w:rFonts w:ascii="Arial" w:cs="Arial" w:eastAsia="Arial" w:hAnsi="Arial"/>
                <w:sz w:val="16"/>
                <w:szCs w:val="16"/>
                <w:color w:val="auto"/>
                <w:w w:val="98"/>
              </w:rPr>
              <w:t>0.5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19,527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19,527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19,527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19,135</w:t>
            </w:r>
          </w:p>
        </w:tc>
      </w:tr>
      <w:tr>
        <w:trPr>
          <w:trHeight w:val="262"/>
        </w:trPr>
        <w:tc>
          <w:tcPr>
            <w:tcW w:w="3180" w:type="dxa"/>
            <w:vAlign w:val="bottom"/>
            <w:gridSpan w:val="2"/>
          </w:tcPr>
          <w:p>
            <w:pPr>
              <w:ind w:left="40"/>
              <w:spacing w:after="0"/>
              <w:rPr>
                <w:sz w:val="20"/>
                <w:szCs w:val="20"/>
                <w:color w:val="auto"/>
              </w:rPr>
            </w:pPr>
            <w:r>
              <w:rPr>
                <w:rFonts w:ascii="Arial" w:cs="Arial" w:eastAsia="Arial" w:hAnsi="Arial"/>
                <w:sz w:val="16"/>
                <w:szCs w:val="16"/>
                <w:color w:val="auto"/>
              </w:rPr>
              <w:t>Non-compete agreements</w:t>
            </w:r>
          </w:p>
        </w:tc>
        <w:tc>
          <w:tcPr>
            <w:tcW w:w="1400" w:type="dxa"/>
            <w:vAlign w:val="bottom"/>
          </w:tcPr>
          <w:p>
            <w:pPr>
              <w:jc w:val="center"/>
              <w:ind w:left="179"/>
              <w:spacing w:after="0"/>
              <w:rPr>
                <w:sz w:val="20"/>
                <w:szCs w:val="20"/>
                <w:color w:val="auto"/>
              </w:rPr>
            </w:pPr>
            <w:r>
              <w:rPr>
                <w:rFonts w:ascii="Arial" w:cs="Arial" w:eastAsia="Arial" w:hAnsi="Arial"/>
                <w:sz w:val="16"/>
                <w:szCs w:val="16"/>
                <w:color w:val="auto"/>
                <w:w w:val="98"/>
              </w:rPr>
              <w:t>4.1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5,347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2,571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5,347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2,084</w:t>
            </w:r>
          </w:p>
        </w:tc>
      </w:tr>
      <w:tr>
        <w:trPr>
          <w:trHeight w:val="271"/>
        </w:trPr>
        <w:tc>
          <w:tcPr>
            <w:tcW w:w="3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Leasehold interest-favorable</w:t>
            </w:r>
          </w:p>
        </w:tc>
        <w:tc>
          <w:tcPr>
            <w:tcW w:w="1400" w:type="dxa"/>
            <w:vAlign w:val="bottom"/>
            <w:shd w:val="clear" w:color="auto" w:fill="CCEEFF"/>
          </w:tcPr>
          <w:p>
            <w:pPr>
              <w:jc w:val="center"/>
              <w:ind w:left="179"/>
              <w:spacing w:after="0"/>
              <w:rPr>
                <w:sz w:val="20"/>
                <w:szCs w:val="20"/>
                <w:color w:val="auto"/>
              </w:rPr>
            </w:pPr>
            <w:r>
              <w:rPr>
                <w:rFonts w:ascii="Arial" w:cs="Arial" w:eastAsia="Arial" w:hAnsi="Arial"/>
                <w:sz w:val="16"/>
                <w:szCs w:val="16"/>
                <w:color w:val="auto"/>
                <w:w w:val="98"/>
              </w:rPr>
              <w:t>8.1</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563</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441</w:t>
            </w:r>
          </w:p>
        </w:tc>
      </w:tr>
      <w:tr>
        <w:trPr>
          <w:trHeight w:val="249"/>
        </w:trPr>
        <w:tc>
          <w:tcPr>
            <w:tcW w:w="3180" w:type="dxa"/>
            <w:vAlign w:val="bottom"/>
            <w:gridSpan w:val="2"/>
          </w:tcPr>
          <w:p>
            <w:pPr>
              <w:ind w:left="180"/>
              <w:spacing w:after="0"/>
              <w:rPr>
                <w:sz w:val="20"/>
                <w:szCs w:val="20"/>
                <w:color w:val="auto"/>
              </w:rPr>
            </w:pPr>
            <w:r>
              <w:rPr>
                <w:rFonts w:ascii="Arial" w:cs="Arial" w:eastAsia="Arial" w:hAnsi="Arial"/>
                <w:sz w:val="16"/>
                <w:szCs w:val="16"/>
                <w:color w:val="auto"/>
              </w:rPr>
              <w:t>Other intangible assets, gross</w:t>
            </w: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299,705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38,914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299,705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33,988</w:t>
            </w:r>
          </w:p>
        </w:tc>
      </w:tr>
      <w:tr>
        <w:trPr>
          <w:trHeight w:val="271"/>
        </w:trPr>
        <w:tc>
          <w:tcPr>
            <w:tcW w:w="3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Less accumulated amortization</w:t>
            </w:r>
          </w:p>
        </w:tc>
        <w:tc>
          <w:tcPr>
            <w:tcW w:w="1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38,914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33,988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42"/>
        </w:trPr>
        <w:tc>
          <w:tcPr>
            <w:tcW w:w="3180" w:type="dxa"/>
            <w:vAlign w:val="bottom"/>
            <w:gridSpan w:val="2"/>
          </w:tcPr>
          <w:p>
            <w:pPr>
              <w:ind w:left="180"/>
              <w:spacing w:after="0"/>
              <w:rPr>
                <w:sz w:val="20"/>
                <w:szCs w:val="20"/>
                <w:color w:val="auto"/>
              </w:rPr>
            </w:pPr>
            <w:r>
              <w:rPr>
                <w:rFonts w:ascii="Arial" w:cs="Arial" w:eastAsia="Arial" w:hAnsi="Arial"/>
                <w:sz w:val="16"/>
                <w:szCs w:val="16"/>
                <w:color w:val="auto"/>
              </w:rPr>
              <w:t>Other intangible assets, net</w:t>
            </w: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260,791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265,717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0"/>
        </w:trPr>
        <w:tc>
          <w:tcPr>
            <w:tcW w:w="126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71"/>
        </w:trPr>
        <w:tc>
          <w:tcPr>
            <w:tcW w:w="9720" w:type="dxa"/>
            <w:vAlign w:val="bottom"/>
            <w:gridSpan w:val="12"/>
          </w:tcPr>
          <w:p>
            <w:pPr>
              <w:spacing w:after="0"/>
              <w:rPr>
                <w:sz w:val="20"/>
                <w:szCs w:val="20"/>
                <w:color w:val="auto"/>
              </w:rPr>
            </w:pPr>
            <w:r>
              <w:rPr>
                <w:rFonts w:ascii="Arial" w:cs="Arial" w:eastAsia="Arial" w:hAnsi="Arial"/>
                <w:sz w:val="16"/>
                <w:szCs w:val="16"/>
                <w:color w:val="auto"/>
              </w:rPr>
              <w:t>The weighted average remaining amortization period for intangible assets as of February 23, 2019 was approximately 11 years.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92"/>
        </w:trPr>
        <w:tc>
          <w:tcPr>
            <w:tcW w:w="6420" w:type="dxa"/>
            <w:vAlign w:val="bottom"/>
            <w:gridSpan w:val="7"/>
          </w:tcPr>
          <w:p>
            <w:pPr>
              <w:spacing w:after="0"/>
              <w:rPr>
                <w:sz w:val="20"/>
                <w:szCs w:val="20"/>
                <w:color w:val="auto"/>
              </w:rPr>
            </w:pPr>
            <w:r>
              <w:rPr>
                <w:rFonts w:ascii="Arial" w:cs="Arial" w:eastAsia="Arial" w:hAnsi="Arial"/>
                <w:sz w:val="16"/>
                <w:szCs w:val="16"/>
                <w:color w:val="auto"/>
              </w:rPr>
              <w:t>Remaining estimated aggregate annual amortization expense by fiscal year is as follows:</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76"/>
        </w:trPr>
        <w:tc>
          <w:tcPr>
            <w:tcW w:w="31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9"/>
              </w:rPr>
              <w:t>Amount</w:t>
            </w:r>
          </w:p>
        </w:tc>
      </w:tr>
      <w:tr>
        <w:trPr>
          <w:trHeight w:val="240"/>
        </w:trPr>
        <w:tc>
          <w:tcPr>
            <w:tcW w:w="3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Fiscal 2019</w:t>
            </w: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4,561</w:t>
            </w:r>
          </w:p>
        </w:tc>
      </w:tr>
      <w:tr>
        <w:trPr>
          <w:trHeight w:val="235"/>
        </w:trPr>
        <w:tc>
          <w:tcPr>
            <w:tcW w:w="3180" w:type="dxa"/>
            <w:vAlign w:val="bottom"/>
            <w:gridSpan w:val="2"/>
          </w:tcPr>
          <w:p>
            <w:pPr>
              <w:ind w:left="40"/>
              <w:spacing w:after="0"/>
              <w:rPr>
                <w:sz w:val="20"/>
                <w:szCs w:val="20"/>
                <w:color w:val="auto"/>
              </w:rPr>
            </w:pPr>
            <w:r>
              <w:rPr>
                <w:rFonts w:ascii="Arial" w:cs="Arial" w:eastAsia="Arial" w:hAnsi="Arial"/>
                <w:sz w:val="16"/>
                <w:szCs w:val="16"/>
                <w:color w:val="auto"/>
              </w:rPr>
              <w:t>Fiscal 2020</w:t>
            </w: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9,032</w:t>
            </w:r>
          </w:p>
        </w:tc>
      </w:tr>
      <w:tr>
        <w:trPr>
          <w:trHeight w:val="251"/>
        </w:trPr>
        <w:tc>
          <w:tcPr>
            <w:tcW w:w="3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Fiscal 2021</w:t>
            </w: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9,032</w:t>
            </w:r>
          </w:p>
        </w:tc>
      </w:tr>
      <w:tr>
        <w:trPr>
          <w:trHeight w:val="235"/>
        </w:trPr>
        <w:tc>
          <w:tcPr>
            <w:tcW w:w="3180" w:type="dxa"/>
            <w:vAlign w:val="bottom"/>
            <w:gridSpan w:val="2"/>
          </w:tcPr>
          <w:p>
            <w:pPr>
              <w:ind w:left="40"/>
              <w:spacing w:after="0"/>
              <w:rPr>
                <w:sz w:val="20"/>
                <w:szCs w:val="20"/>
                <w:color w:val="auto"/>
              </w:rPr>
            </w:pPr>
            <w:r>
              <w:rPr>
                <w:rFonts w:ascii="Arial" w:cs="Arial" w:eastAsia="Arial" w:hAnsi="Arial"/>
                <w:sz w:val="16"/>
                <w:szCs w:val="16"/>
                <w:color w:val="auto"/>
              </w:rPr>
              <w:t>Fiscal 2022</w:t>
            </w: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8,405</w:t>
            </w:r>
          </w:p>
        </w:tc>
      </w:tr>
      <w:tr>
        <w:trPr>
          <w:trHeight w:val="251"/>
        </w:trPr>
        <w:tc>
          <w:tcPr>
            <w:tcW w:w="3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Fiscal 2023</w:t>
            </w: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8,197</w:t>
            </w:r>
          </w:p>
        </w:tc>
      </w:tr>
      <w:tr>
        <w:trPr>
          <w:trHeight w:val="237"/>
        </w:trPr>
        <w:tc>
          <w:tcPr>
            <w:tcW w:w="31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Thereafter</w:t>
            </w:r>
          </w:p>
        </w:tc>
        <w:tc>
          <w:tcPr>
            <w:tcW w:w="14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44,314</w:t>
            </w:r>
          </w:p>
        </w:tc>
      </w:tr>
      <w:tr>
        <w:trPr>
          <w:trHeight w:val="242"/>
        </w:trPr>
        <w:tc>
          <w:tcPr>
            <w:tcW w:w="31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Total amortization expense remaining</w:t>
            </w: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83,541</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Warranty</w:t>
      </w:r>
    </w:p>
    <w:p>
      <w:pPr>
        <w:spacing w:after="0" w:line="196"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We provide certain service and warranty on our products. From time to time, we also voluntarily incur costs for certain warranty-type expenses occurring after the normal warranty period to help protect the reputation of our products and the goodwill of our customers. Estimated costs related to product warranty are accrued at the time of sale and are based upon historical warranty and service claims experience. Adjustments are made to accruals as claim data and cost experience becomes available.</w:t>
      </w:r>
    </w:p>
    <w:p>
      <w:pPr>
        <w:spacing w:after="0" w:line="145"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color w:val="auto"/>
        </w:rPr>
        <w:t>In addition to the costs associated with the contractual warranty coverage provided on our products, we also occasionally incur costs as a result of additional service actions not covered by our warranties, including product recalls and customer satisfaction actions. Although we estimate and reserve for the cost of these service actions, there can be no assurance that expense levels will remain at current levels or such reserves will continue to be adequate.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700" w:type="dxa"/>
            <w:vAlign w:val="bottom"/>
          </w:tcPr>
          <w:p>
            <w:pPr>
              <w:spacing w:after="0"/>
              <w:rPr>
                <w:sz w:val="20"/>
                <w:szCs w:val="20"/>
                <w:color w:val="auto"/>
              </w:rPr>
            </w:pPr>
            <w:r>
              <w:rPr>
                <w:rFonts w:ascii="Arial" w:cs="Arial" w:eastAsia="Arial" w:hAnsi="Arial"/>
                <w:sz w:val="16"/>
                <w:szCs w:val="16"/>
                <w:color w:val="auto"/>
              </w:rPr>
              <w:t>Changes in our product warranty liability are as follows:</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03"/>
        </w:trPr>
        <w:tc>
          <w:tcPr>
            <w:tcW w:w="4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Six Months Ended</w:t>
            </w:r>
          </w:p>
        </w:tc>
      </w:tr>
      <w:tr>
        <w:trPr>
          <w:trHeight w:val="193"/>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23,</w:t>
            </w:r>
          </w:p>
        </w:tc>
        <w:tc>
          <w:tcPr>
            <w:tcW w:w="20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24,</w:t>
            </w:r>
          </w:p>
        </w:tc>
        <w:tc>
          <w:tcPr>
            <w:tcW w:w="20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23,</w:t>
            </w:r>
          </w:p>
        </w:tc>
        <w:tc>
          <w:tcPr>
            <w:tcW w:w="220" w:type="dxa"/>
            <w:vAlign w:val="bottom"/>
          </w:tcPr>
          <w:p>
            <w:pPr>
              <w:spacing w:after="0"/>
              <w:rPr>
                <w:sz w:val="16"/>
                <w:szCs w:val="16"/>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rPr>
              <w:t>February 24,</w:t>
            </w:r>
          </w:p>
        </w:tc>
      </w:tr>
      <w:tr>
        <w:trPr>
          <w:trHeight w:val="232"/>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254"/>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41,303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32,500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40,498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30,805</w:t>
            </w:r>
          </w:p>
        </w:tc>
      </w:tr>
      <w:tr>
        <w:trPr>
          <w:trHeight w:val="262"/>
        </w:trPr>
        <w:tc>
          <w:tcPr>
            <w:tcW w:w="4700" w:type="dxa"/>
            <w:vAlign w:val="bottom"/>
          </w:tcPr>
          <w:p>
            <w:pPr>
              <w:ind w:left="180"/>
              <w:spacing w:after="0"/>
              <w:rPr>
                <w:sz w:val="20"/>
                <w:szCs w:val="20"/>
                <w:color w:val="auto"/>
              </w:rPr>
            </w:pPr>
            <w:r>
              <w:rPr>
                <w:rFonts w:ascii="Arial" w:cs="Arial" w:eastAsia="Arial" w:hAnsi="Arial"/>
                <w:sz w:val="16"/>
                <w:szCs w:val="16"/>
                <w:color w:val="auto"/>
              </w:rPr>
              <w:t>Provision</w:t>
            </w:r>
          </w:p>
        </w:tc>
        <w:tc>
          <w:tcPr>
            <w:tcW w:w="200" w:type="dxa"/>
            <w:vAlign w:val="bottom"/>
          </w:tcPr>
          <w:p>
            <w:pPr>
              <w:spacing w:after="0"/>
              <w:rPr>
                <w:sz w:val="22"/>
                <w:szCs w:val="22"/>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9,194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10,283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19,951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20,236</w:t>
            </w:r>
          </w:p>
        </w:tc>
      </w:tr>
      <w:tr>
        <w:trPr>
          <w:trHeight w:val="271"/>
        </w:trPr>
        <w:tc>
          <w:tcPr>
            <w:tcW w:w="4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Claims paid</w:t>
            </w:r>
          </w:p>
        </w:tc>
        <w:tc>
          <w:tcPr>
            <w:tcW w:w="2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(10,192)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(20,144)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(16,053)</w:t>
            </w:r>
          </w:p>
        </w:tc>
      </w:tr>
      <w:tr>
        <w:trPr>
          <w:trHeight w:val="242"/>
        </w:trPr>
        <w:tc>
          <w:tcPr>
            <w:tcW w:w="4700" w:type="dxa"/>
            <w:vAlign w:val="bottom"/>
          </w:tcPr>
          <w:p>
            <w:pPr>
              <w:ind w:left="40"/>
              <w:spacing w:after="0"/>
              <w:rPr>
                <w:sz w:val="20"/>
                <w:szCs w:val="20"/>
                <w:color w:val="auto"/>
              </w:rPr>
            </w:pPr>
            <w:r>
              <w:rPr>
                <w:rFonts w:ascii="Arial" w:cs="Arial" w:eastAsia="Arial" w:hAnsi="Arial"/>
                <w:sz w:val="16"/>
                <w:szCs w:val="16"/>
                <w:color w:val="auto"/>
              </w:rPr>
              <w:t>Balance at end of period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40,305</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34,988</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40,305</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34,988</w:t>
            </w: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Long-Term Debt</w:t>
      </w:r>
    </w:p>
    <w:p>
      <w:pPr>
        <w:spacing w:after="0" w:line="196" w:lineRule="exact"/>
        <w:rPr>
          <w:sz w:val="20"/>
          <w:szCs w:val="20"/>
          <w:color w:val="auto"/>
        </w:rPr>
      </w:pPr>
    </w:p>
    <w:p>
      <w:pPr>
        <w:ind w:right="500"/>
        <w:spacing w:after="0" w:line="269" w:lineRule="auto"/>
        <w:rPr>
          <w:sz w:val="20"/>
          <w:szCs w:val="20"/>
          <w:color w:val="auto"/>
        </w:rPr>
      </w:pPr>
      <w:r>
        <w:rPr>
          <w:rFonts w:ascii="Arial" w:cs="Arial" w:eastAsia="Arial" w:hAnsi="Arial"/>
          <w:sz w:val="16"/>
          <w:szCs w:val="16"/>
          <w:color w:val="auto"/>
        </w:rPr>
        <w:t>On November 8, 2016, we entered into a $125.0 million credit facility ("ABL") and a $300.0 million Term Loan with JPMorgan Chase Bank, N.A. ("Credit Agreement"). On December 8, 2017, we amended our Credit Agreement, which decreased the interest rate spread on the Term Loan and the ABL. As of September 21, 2018, the amount that may be borrowed under the ABL was increased to $165.0 million.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880"/>
        <w:spacing w:after="0" w:line="291" w:lineRule="auto"/>
        <w:rPr>
          <w:sz w:val="20"/>
          <w:szCs w:val="20"/>
          <w:color w:val="auto"/>
        </w:rPr>
      </w:pPr>
      <w:r>
        <w:rPr>
          <w:rFonts w:ascii="Arial" w:cs="Arial" w:eastAsia="Arial" w:hAnsi="Arial"/>
          <w:sz w:val="16"/>
          <w:szCs w:val="16"/>
          <w:color w:val="auto"/>
        </w:rPr>
        <w:t>The Credit Agreement contains certain financial covenants. As of February 23, 2019, we are in compliance with all financial covenants of the Credit Agreement.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120" w:type="dxa"/>
            <w:vAlign w:val="bottom"/>
          </w:tcPr>
          <w:p>
            <w:pPr>
              <w:spacing w:after="0"/>
              <w:rPr>
                <w:sz w:val="20"/>
                <w:szCs w:val="20"/>
                <w:color w:val="auto"/>
              </w:rPr>
            </w:pPr>
            <w:r>
              <w:rPr>
                <w:rFonts w:ascii="Arial" w:cs="Arial" w:eastAsia="Arial" w:hAnsi="Arial"/>
                <w:sz w:val="16"/>
                <w:szCs w:val="16"/>
                <w:color w:val="auto"/>
              </w:rPr>
              <w:t>The components of long-term debt are as follows:</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20"/>
        </w:trPr>
        <w:tc>
          <w:tcPr>
            <w:tcW w:w="8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23,</w:t>
            </w:r>
          </w:p>
        </w:tc>
        <w:tc>
          <w:tcPr>
            <w:tcW w:w="240" w:type="dxa"/>
            <w:vAlign w:val="bottom"/>
          </w:tcPr>
          <w:p>
            <w:pPr>
              <w:spacing w:after="0"/>
              <w:rPr>
                <w:sz w:val="24"/>
                <w:szCs w:val="24"/>
                <w:color w:val="auto"/>
              </w:rPr>
            </w:pPr>
          </w:p>
        </w:tc>
        <w:tc>
          <w:tcPr>
            <w:tcW w:w="136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25,</w:t>
            </w:r>
          </w:p>
        </w:tc>
      </w:tr>
      <w:tr>
        <w:trPr>
          <w:trHeight w:val="232"/>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254"/>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ABL</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23,330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38,532</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Term Loan</w:t>
            </w: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260,000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260,000</w:t>
            </w:r>
          </w:p>
        </w:tc>
      </w:tr>
      <w:tr>
        <w:trPr>
          <w:trHeight w:val="257"/>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Long-term debt, excluding debt issuance costs</w:t>
            </w: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283,330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298,532</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Debt issuance cost, net</w:t>
            </w: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(7,091)</w:t>
            </w:r>
          </w:p>
        </w:tc>
      </w:tr>
      <w:tr>
        <w:trPr>
          <w:trHeight w:val="257"/>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Long-term debt</w:t>
            </w: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276,918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291,441</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current maturities</w:t>
            </w: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2,750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2"/>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less current maturities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274,168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291,441</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As of February 23, 2019, the fair value of long-term debt, excluding debt issuance costs, was $278.1 million. As of August 25, 2018, the fair value of long-term debt, excluding debt issuance costs, approximated the carrying value.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120" w:type="dxa"/>
            <w:vAlign w:val="bottom"/>
          </w:tcPr>
          <w:p>
            <w:pPr>
              <w:spacing w:after="0"/>
              <w:rPr>
                <w:sz w:val="20"/>
                <w:szCs w:val="20"/>
                <w:color w:val="auto"/>
              </w:rPr>
            </w:pPr>
            <w:r>
              <w:rPr>
                <w:rFonts w:ascii="Arial" w:cs="Arial" w:eastAsia="Arial" w:hAnsi="Arial"/>
                <w:sz w:val="16"/>
                <w:szCs w:val="16"/>
                <w:color w:val="auto"/>
              </w:rPr>
              <w:t>Aggregate contractual maturities of debt in future fiscal years are as follows:</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4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Fiscal 2019</w:t>
            </w: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8120" w:type="dxa"/>
            <w:vAlign w:val="bottom"/>
          </w:tcPr>
          <w:p>
            <w:pPr>
              <w:ind w:left="40"/>
              <w:spacing w:after="0"/>
              <w:rPr>
                <w:sz w:val="20"/>
                <w:szCs w:val="20"/>
                <w:color w:val="auto"/>
              </w:rPr>
            </w:pPr>
            <w:r>
              <w:rPr>
                <w:rFonts w:ascii="Arial" w:cs="Arial" w:eastAsia="Arial" w:hAnsi="Arial"/>
                <w:sz w:val="16"/>
                <w:szCs w:val="16"/>
                <w:color w:val="auto"/>
              </w:rPr>
              <w:t>Fiscal 2020</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10,250</w:t>
            </w:r>
          </w:p>
        </w:tc>
        <w:tc>
          <w:tcPr>
            <w:tcW w:w="0" w:type="dxa"/>
            <w:vAlign w:val="bottom"/>
          </w:tcPr>
          <w:p>
            <w:pPr>
              <w:spacing w:after="0"/>
              <w:rPr>
                <w:sz w:val="1"/>
                <w:szCs w:val="1"/>
                <w:color w:val="auto"/>
              </w:rPr>
            </w:pPr>
          </w:p>
        </w:tc>
      </w:tr>
      <w:tr>
        <w:trPr>
          <w:trHeight w:val="251"/>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Fiscal 2021</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15,000</w:t>
            </w:r>
          </w:p>
        </w:tc>
        <w:tc>
          <w:tcPr>
            <w:tcW w:w="0" w:type="dxa"/>
            <w:vAlign w:val="bottom"/>
          </w:tcPr>
          <w:p>
            <w:pPr>
              <w:spacing w:after="0"/>
              <w:rPr>
                <w:sz w:val="1"/>
                <w:szCs w:val="1"/>
                <w:color w:val="auto"/>
              </w:rPr>
            </w:pPr>
          </w:p>
        </w:tc>
      </w:tr>
      <w:tr>
        <w:trPr>
          <w:trHeight w:val="235"/>
        </w:trPr>
        <w:tc>
          <w:tcPr>
            <w:tcW w:w="8120" w:type="dxa"/>
            <w:vAlign w:val="bottom"/>
          </w:tcPr>
          <w:p>
            <w:pPr>
              <w:ind w:left="40"/>
              <w:spacing w:after="0"/>
              <w:rPr>
                <w:sz w:val="20"/>
                <w:szCs w:val="20"/>
                <w:color w:val="auto"/>
              </w:rPr>
            </w:pPr>
            <w:r>
              <w:rPr>
                <w:rFonts w:ascii="Arial" w:cs="Arial" w:eastAsia="Arial" w:hAnsi="Arial"/>
                <w:sz w:val="16"/>
                <w:szCs w:val="16"/>
                <w:color w:val="auto"/>
              </w:rPr>
              <w:t>Fiscal 2022</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15,000</w:t>
            </w:r>
          </w:p>
        </w:tc>
        <w:tc>
          <w:tcPr>
            <w:tcW w:w="0" w:type="dxa"/>
            <w:vAlign w:val="bottom"/>
          </w:tcPr>
          <w:p>
            <w:pPr>
              <w:spacing w:after="0"/>
              <w:rPr>
                <w:sz w:val="1"/>
                <w:szCs w:val="1"/>
                <w:color w:val="auto"/>
              </w:rPr>
            </w:pPr>
          </w:p>
        </w:tc>
      </w:tr>
      <w:tr>
        <w:trPr>
          <w:trHeight w:val="244"/>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Fiscal 2023</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219,750</w:t>
            </w:r>
          </w:p>
        </w:tc>
        <w:tc>
          <w:tcPr>
            <w:tcW w:w="0" w:type="dxa"/>
            <w:vAlign w:val="bottom"/>
          </w:tcPr>
          <w:p>
            <w:pPr>
              <w:spacing w:after="0"/>
              <w:rPr>
                <w:sz w:val="1"/>
                <w:szCs w:val="1"/>
                <w:color w:val="auto"/>
              </w:rPr>
            </w:pPr>
          </w:p>
        </w:tc>
      </w:tr>
      <w:tr>
        <w:trPr>
          <w:trHeight w:val="241"/>
        </w:trPr>
        <w:tc>
          <w:tcPr>
            <w:tcW w:w="8120" w:type="dxa"/>
            <w:vAlign w:val="bottom"/>
          </w:tcPr>
          <w:p>
            <w:pPr>
              <w:ind w:left="180"/>
              <w:spacing w:after="0"/>
              <w:rPr>
                <w:sz w:val="20"/>
                <w:szCs w:val="20"/>
                <w:color w:val="auto"/>
              </w:rPr>
            </w:pPr>
            <w:r>
              <w:rPr>
                <w:rFonts w:ascii="Arial" w:cs="Arial" w:eastAsia="Arial" w:hAnsi="Arial"/>
                <w:sz w:val="16"/>
                <w:szCs w:val="16"/>
                <w:color w:val="auto"/>
              </w:rPr>
              <w:t>Total Term Loan</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260,000</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6"/>
                <w:szCs w:val="16"/>
                <w:b w:val="1"/>
                <w:bCs w:val="1"/>
                <w:color w:val="auto"/>
              </w:rPr>
              <w:t>Note 10: Employee and Retiree Benefits</w:t>
            </w: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81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8120" w:type="dxa"/>
            <w:vAlign w:val="bottom"/>
          </w:tcPr>
          <w:p>
            <w:pPr>
              <w:spacing w:after="0"/>
              <w:rPr>
                <w:sz w:val="20"/>
                <w:szCs w:val="20"/>
                <w:color w:val="auto"/>
              </w:rPr>
            </w:pPr>
            <w:r>
              <w:rPr>
                <w:rFonts w:ascii="Arial" w:cs="Arial" w:eastAsia="Arial" w:hAnsi="Arial"/>
                <w:sz w:val="16"/>
                <w:szCs w:val="16"/>
                <w:color w:val="auto"/>
              </w:rPr>
              <w:t>Deferred compensation liabilities are as follows:</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8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23,</w:t>
            </w:r>
          </w:p>
        </w:tc>
        <w:tc>
          <w:tcPr>
            <w:tcW w:w="240" w:type="dxa"/>
            <w:vAlign w:val="bottom"/>
          </w:tcPr>
          <w:p>
            <w:pPr>
              <w:spacing w:after="0"/>
              <w:rPr>
                <w:sz w:val="24"/>
                <w:szCs w:val="24"/>
                <w:color w:val="auto"/>
              </w:rPr>
            </w:pPr>
          </w:p>
        </w:tc>
        <w:tc>
          <w:tcPr>
            <w:tcW w:w="136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25,</w:t>
            </w:r>
          </w:p>
        </w:tc>
        <w:tc>
          <w:tcPr>
            <w:tcW w:w="0" w:type="dxa"/>
            <w:vAlign w:val="bottom"/>
          </w:tcPr>
          <w:p>
            <w:pPr>
              <w:spacing w:after="0"/>
              <w:rPr>
                <w:sz w:val="1"/>
                <w:szCs w:val="1"/>
                <w:color w:val="auto"/>
              </w:rPr>
            </w:pPr>
          </w:p>
        </w:tc>
      </w:tr>
      <w:tr>
        <w:trPr>
          <w:trHeight w:val="232"/>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4"/>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Non-qualified deferred compensation</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14,292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14,831</w:t>
            </w:r>
          </w:p>
        </w:tc>
        <w:tc>
          <w:tcPr>
            <w:tcW w:w="0" w:type="dxa"/>
            <w:vAlign w:val="bottom"/>
          </w:tcPr>
          <w:p>
            <w:pPr>
              <w:spacing w:after="0"/>
              <w:rPr>
                <w:sz w:val="1"/>
                <w:szCs w:val="1"/>
                <w:color w:val="auto"/>
              </w:rPr>
            </w:pPr>
          </w:p>
        </w:tc>
      </w:tr>
      <w:tr>
        <w:trPr>
          <w:trHeight w:val="262"/>
        </w:trPr>
        <w:tc>
          <w:tcPr>
            <w:tcW w:w="8120" w:type="dxa"/>
            <w:vAlign w:val="bottom"/>
          </w:tcPr>
          <w:p>
            <w:pPr>
              <w:ind w:left="40"/>
              <w:spacing w:after="0"/>
              <w:rPr>
                <w:sz w:val="20"/>
                <w:szCs w:val="20"/>
                <w:color w:val="auto"/>
              </w:rPr>
            </w:pPr>
            <w:r>
              <w:rPr>
                <w:rFonts w:ascii="Arial" w:cs="Arial" w:eastAsia="Arial" w:hAnsi="Arial"/>
                <w:sz w:val="16"/>
                <w:szCs w:val="16"/>
                <w:color w:val="auto"/>
              </w:rPr>
              <w:t>Supplemental executive retirement plan</w:t>
            </w: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2,339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2,309</w:t>
            </w:r>
          </w:p>
        </w:tc>
        <w:tc>
          <w:tcPr>
            <w:tcW w:w="0" w:type="dxa"/>
            <w:vAlign w:val="bottom"/>
          </w:tcPr>
          <w:p>
            <w:pPr>
              <w:spacing w:after="0"/>
              <w:rPr>
                <w:sz w:val="1"/>
                <w:szCs w:val="1"/>
                <w:color w:val="auto"/>
              </w:rPr>
            </w:pPr>
          </w:p>
        </w:tc>
      </w:tr>
      <w:tr>
        <w:trPr>
          <w:trHeight w:val="278"/>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Executive share option plan</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935</w:t>
            </w:r>
          </w:p>
        </w:tc>
        <w:tc>
          <w:tcPr>
            <w:tcW w:w="0" w:type="dxa"/>
            <w:vAlign w:val="bottom"/>
          </w:tcPr>
          <w:p>
            <w:pPr>
              <w:spacing w:after="0"/>
              <w:rPr>
                <w:sz w:val="1"/>
                <w:szCs w:val="1"/>
                <w:color w:val="auto"/>
              </w:rPr>
            </w:pPr>
          </w:p>
        </w:tc>
      </w:tr>
      <w:tr>
        <w:trPr>
          <w:trHeight w:val="262"/>
        </w:trPr>
        <w:tc>
          <w:tcPr>
            <w:tcW w:w="8120" w:type="dxa"/>
            <w:vAlign w:val="bottom"/>
          </w:tcPr>
          <w:p>
            <w:pPr>
              <w:ind w:left="40"/>
              <w:spacing w:after="0"/>
              <w:rPr>
                <w:sz w:val="20"/>
                <w:szCs w:val="20"/>
                <w:color w:val="auto"/>
              </w:rPr>
            </w:pPr>
            <w:r>
              <w:rPr>
                <w:rFonts w:ascii="Arial" w:cs="Arial" w:eastAsia="Arial" w:hAnsi="Arial"/>
                <w:sz w:val="16"/>
                <w:szCs w:val="16"/>
                <w:color w:val="auto"/>
              </w:rPr>
              <w:t>Executive deferred compensation plan</w:t>
            </w: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580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271"/>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Officer stock-based compensation</w:t>
            </w:r>
          </w:p>
        </w:tc>
        <w:tc>
          <w:tcPr>
            <w:tcW w:w="20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1,528</w:t>
            </w:r>
          </w:p>
        </w:tc>
        <w:tc>
          <w:tcPr>
            <w:tcW w:w="0" w:type="dxa"/>
            <w:vAlign w:val="bottom"/>
          </w:tcPr>
          <w:p>
            <w:pPr>
              <w:spacing w:after="0"/>
              <w:rPr>
                <w:sz w:val="1"/>
                <w:szCs w:val="1"/>
                <w:color w:val="auto"/>
              </w:rPr>
            </w:pPr>
          </w:p>
        </w:tc>
      </w:tr>
      <w:tr>
        <w:trPr>
          <w:trHeight w:val="249"/>
        </w:trPr>
        <w:tc>
          <w:tcPr>
            <w:tcW w:w="8120" w:type="dxa"/>
            <w:vAlign w:val="bottom"/>
          </w:tcPr>
          <w:p>
            <w:pPr>
              <w:ind w:left="180"/>
              <w:spacing w:after="0"/>
              <w:rPr>
                <w:sz w:val="20"/>
                <w:szCs w:val="20"/>
                <w:color w:val="auto"/>
              </w:rPr>
            </w:pPr>
            <w:r>
              <w:rPr>
                <w:rFonts w:ascii="Arial" w:cs="Arial" w:eastAsia="Arial" w:hAnsi="Arial"/>
                <w:sz w:val="16"/>
                <w:szCs w:val="16"/>
                <w:color w:val="auto"/>
              </w:rPr>
              <w:t>Deferred compensation benefits</w:t>
            </w:r>
          </w:p>
        </w:tc>
        <w:tc>
          <w:tcPr>
            <w:tcW w:w="2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17,728</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20,024</w:t>
            </w:r>
          </w:p>
        </w:tc>
        <w:tc>
          <w:tcPr>
            <w:tcW w:w="0" w:type="dxa"/>
            <w:vAlign w:val="bottom"/>
          </w:tcPr>
          <w:p>
            <w:pPr>
              <w:spacing w:after="0"/>
              <w:rPr>
                <w:sz w:val="1"/>
                <w:szCs w:val="1"/>
                <w:color w:val="auto"/>
              </w:rPr>
            </w:pPr>
          </w:p>
        </w:tc>
      </w:tr>
      <w:tr>
        <w:trPr>
          <w:trHeight w:val="278"/>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current portion</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3,500</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4,742</w:t>
            </w:r>
          </w:p>
        </w:tc>
        <w:tc>
          <w:tcPr>
            <w:tcW w:w="0" w:type="dxa"/>
            <w:vAlign w:val="bottom"/>
          </w:tcPr>
          <w:p>
            <w:pPr>
              <w:spacing w:after="0"/>
              <w:rPr>
                <w:sz w:val="1"/>
                <w:szCs w:val="1"/>
                <w:color w:val="auto"/>
              </w:rPr>
            </w:pPr>
          </w:p>
        </w:tc>
      </w:tr>
      <w:tr>
        <w:trPr>
          <w:trHeight w:val="236"/>
        </w:trPr>
        <w:tc>
          <w:tcPr>
            <w:tcW w:w="8120" w:type="dxa"/>
            <w:vAlign w:val="bottom"/>
          </w:tcPr>
          <w:p>
            <w:pPr>
              <w:ind w:left="180"/>
              <w:spacing w:after="0"/>
              <w:rPr>
                <w:sz w:val="20"/>
                <w:szCs w:val="20"/>
                <w:color w:val="auto"/>
              </w:rPr>
            </w:pPr>
            <w:r>
              <w:rPr>
                <w:rFonts w:ascii="Arial" w:cs="Arial" w:eastAsia="Arial" w:hAnsi="Arial"/>
                <w:sz w:val="16"/>
                <w:szCs w:val="16"/>
                <w:color w:val="auto"/>
              </w:rPr>
              <w:t>Deferred compensation benefits, net of current portion</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14,228</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15,282</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(1) Included in Accrued compensation on the Condensed Consolidated Balance Sheets.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Contingent Liabilities and Commitments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196"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Generally, manufacturers in our industries enter into repurchase agreements with lending institutions which have provided wholesale floorplan financing to dealers. Most dealers are financed on a "floorplan" basis under which a bank or finance company lends the dealer all, or substantially all, of the purchase price, collateralized by a security interest in the units purchased.</w:t>
      </w:r>
    </w:p>
    <w:p>
      <w:pPr>
        <w:spacing w:after="0" w:line="138"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Our repurchase agreements generally provide that, in the event of default by the dealer on the agreement to pay the lending institution, we will repurchase the financed merchandise. The terms of these agreements, which generally can last up to 24 months, provide that our liability will be the lesser of remaining principal owed by the dealer to the lending institution, or dealer invoice less periodic reductions based on the time since the date of the original invoice. Our liability cannot exceed 100% of the dealer invoice. In certain instances, we also repurchase inventory from our dealers due to state law or regulatory requirements that govern voluntary or involuntary relationship terminations. Although laws vary from state to state, some states have laws in place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that require manufacturers of recreational vehicles or boats to repurchase current inventory if a dealership exits the business. Our total contingent liability on all repurchase agreements was approximately $1.0 billion and $879.0 million at February 23, 2019 and August 25, 2018, respectively.</w:t>
      </w:r>
    </w:p>
    <w:p>
      <w:pPr>
        <w:spacing w:after="0" w:line="121"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Repurchased sales are not recorded as a revenue transaction, but the net difference between the original repurchase price and the resale price are recorded against the loss reserve, which is a deduction from gross revenue. Our loss reserve for repurchase commitments contains uncertainties because the calculation requires management to make assumptions and apply judgment regarding a number of factors. Our risk of loss related to these repurchase commitments is significantly reduced by the potential resale value of any products that are subject to repurchase and is spread over numerous dealers and lenders. The aggregate contingent liability related to our repurchase agreements represents all financed dealer inventory at the period reporting date subject to a repurchase agreement, net of the greater of periodic reductions per the agreement or dealer principal payments. Based on these repurchase agreements and our historical loss experience, we establish an associated loss reserve which is included in Accrued expenses: Other on the Condensed Consolidated Balance Sheets. Our accrued losses on repurchases were $0.9 million and $0.9 million at February 23, 2019 and August 25, 2018, respectively. Repurchase risk is affected by the credit worthiness of our dealer network, and we do not believe there is a reasonable likelihood that there will be a material change in the estimates or assumptions used to establish the loss reserve for repurchase commitments.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There was no material activity related to repurchase agreements during the three and six months ended February 23, 2019 and February 24, 2018.</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196"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We are involved in various legal proceedings which are ordinary and routine litigation incidental to our business, some of which are covered in whole or in part by insurance. While we believe the ultimate disposition of litigation will not have a material adverse effect on our financial position, results of operations or liquidity, there exists the possibility that such litigation may have an impact on our results for a particular reporting period in which litigation effects become probable and reasonably estimable. Though we do not believe there is a reasonable likelihood that there will be a material change related to these matters, litigation is subject to inherent uncertainties and management’s view of these matters may change in the future.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Stock-Based Compensation</w:t>
      </w:r>
    </w:p>
    <w:p>
      <w:pPr>
        <w:spacing w:after="0" w:line="196"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On December 11, 2018, our shareholders approved the Winnebago Industries, Inc. 2019 Omnibus Incentive Plan ("2019 Plan") as detailed in our Proxy Statement for the 2018 Annual Meeting of Shareholders. The 2019 Plan allows us to grant or issue non-qualified stock options, incentive stock options, share awards, and other equity compensation to key employees and to non-employee directors. The 2019 Plan replaces our 2014 Omnibus Equity, Performance Award, and Incentive Compensation Plan (as amended, the "2014 Plan").</w:t>
      </w:r>
    </w:p>
    <w:p>
      <w:pPr>
        <w:spacing w:after="0" w:line="145"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number of shares of our Common Stock that may be the subject of awards and issued under the 2019 Plan is 4.1 million, plus the shares subject to any awards outstanding under the 2014 Plan and our predecessor plan, the 2004 Incentive Compensation Plan (the “2004 Plan”), on December 11, 2018 that subsequently expire, are forfeited or canceled, or are settled for cash. Until such time, however, awards under the 2014 Plan and the 2004 Plan, respectively, that are outstanding on December 11, 2018 will continue to be subject to the terms of the 2014 Plan or 2004 Plan, as applicable. Shares remaining available for future awards under the 2014 Plan were not carried over into the 2019 Plan.</w:t>
      </w:r>
    </w:p>
    <w:p>
      <w:pPr>
        <w:spacing w:after="0" w:line="149" w:lineRule="exact"/>
        <w:rPr>
          <w:sz w:val="20"/>
          <w:szCs w:val="20"/>
          <w:color w:val="auto"/>
        </w:rPr>
      </w:pPr>
    </w:p>
    <w:p>
      <w:pPr>
        <w:ind w:right="200"/>
        <w:spacing w:after="0" w:line="269" w:lineRule="auto"/>
        <w:rPr>
          <w:sz w:val="20"/>
          <w:szCs w:val="20"/>
          <w:color w:val="auto"/>
        </w:rPr>
      </w:pPr>
      <w:r>
        <w:rPr>
          <w:rFonts w:ascii="Arial" w:cs="Arial" w:eastAsia="Arial" w:hAnsi="Arial"/>
          <w:sz w:val="16"/>
          <w:szCs w:val="16"/>
          <w:color w:val="auto"/>
        </w:rPr>
        <w:t>Beginning with our annual grant of restricted stock units in October 2018, we attach dividend equivalents to our restricted stock units equal to dividends payable on the same number of shares of WGO common stock during the applicable period. Dividend equivalents, settled in cash, accrue on restricted stock unit awards during the vesting period. No dividend equivalents are paid on any restricted stock units that are forfeited prior to the vesting date.</w:t>
      </w:r>
    </w:p>
    <w:p>
      <w:pPr>
        <w:spacing w:after="0" w:line="138" w:lineRule="exact"/>
        <w:rPr>
          <w:sz w:val="20"/>
          <w:szCs w:val="20"/>
          <w:color w:val="auto"/>
        </w:rPr>
      </w:pPr>
    </w:p>
    <w:p>
      <w:pPr>
        <w:ind w:right="200"/>
        <w:spacing w:after="0" w:line="269" w:lineRule="auto"/>
        <w:rPr>
          <w:sz w:val="20"/>
          <w:szCs w:val="20"/>
          <w:color w:val="auto"/>
        </w:rPr>
      </w:pPr>
      <w:r>
        <w:rPr>
          <w:rFonts w:ascii="Arial" w:cs="Arial" w:eastAsia="Arial" w:hAnsi="Arial"/>
          <w:sz w:val="16"/>
          <w:szCs w:val="16"/>
          <w:color w:val="auto"/>
        </w:rPr>
        <w:t>Stock-based compensation expense was $2.1 million and $2.7 million during the second quarters of Fiscal 2019 and 2018, respectively, and $4.6 million and $3.6 million during the first six months of Fiscal 2019 and 2018, respectively. Compensation expense is recognized over the requisite service period of the award.</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Restructuring</w:t>
      </w:r>
    </w:p>
    <w:p>
      <w:pPr>
        <w:spacing w:after="0" w:line="196"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On February 4, 2019, we announced our intent to move our diesel production from Junction City, OR to Forest City, IA to enable more effective product development and improve our cost structure. These restructuring activities resulted in pretax charges included within Selling, general, and administrative expenses of $0.2 million for the three and six months ended February 23, 2019. These expenses are included in our Motorhome segment. Included in these restructuring charges are primarily employee-related costs. We expect additional expenses of approximately $2.0 million in Fiscal 2019 and $1.0 million in Fiscal 2020, primarily related to employee and asset-related charges. We expect these expenses to be partially offset by the corresponding savings generated by the project.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Income Taxes</w:t>
      </w:r>
    </w:p>
    <w:p>
      <w:pPr>
        <w:spacing w:after="0" w:line="196"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color w:val="auto"/>
        </w:rPr>
        <w:t xml:space="preserve">We account for income taxes under ASC 740, </w:t>
      </w:r>
      <w:r>
        <w:rPr>
          <w:rFonts w:ascii="Arial" w:cs="Arial" w:eastAsia="Arial" w:hAnsi="Arial"/>
          <w:sz w:val="16"/>
          <w:szCs w:val="16"/>
          <w:i w:val="1"/>
          <w:iCs w:val="1"/>
          <w:color w:val="auto"/>
        </w:rPr>
        <w:t>Income Taxes</w:t>
      </w:r>
      <w:r>
        <w:rPr>
          <w:rFonts w:ascii="Arial" w:cs="Arial" w:eastAsia="Arial" w:hAnsi="Arial"/>
          <w:sz w:val="16"/>
          <w:szCs w:val="16"/>
          <w:color w:val="auto"/>
        </w:rPr>
        <w:t>. The objectives of accounting for income taxes are to recognize the amount of taxes payable or refundable for the current year and deferred tax liabilities and assets for the future tax consequences of events that have been recognized in our financial statements or tax returns.</w:t>
      </w:r>
    </w:p>
    <w:p>
      <w:pPr>
        <w:spacing w:after="0" w:line="138"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Our effective tax rate decreased to 18.4% for the six months ended February 23, 2019 from 29.5% for the six months ended February 24, 2018 due to the enactment of the 2017 Tax Cuts and Jobs Act ("Tax Act") on December 22, 2017 and certain favorable discrete items, primarily due to R&amp;D-related tax credits, which totaled $2.5 million.</w:t>
      </w:r>
    </w:p>
    <w:p>
      <w:pPr>
        <w:spacing w:after="0" w:line="138"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 xml:space="preserve">ASU 2018-05, </w:t>
      </w:r>
      <w:r>
        <w:rPr>
          <w:rFonts w:ascii="Arial" w:cs="Arial" w:eastAsia="Arial" w:hAnsi="Arial"/>
          <w:sz w:val="16"/>
          <w:szCs w:val="16"/>
          <w:i w:val="1"/>
          <w:iCs w:val="1"/>
          <w:color w:val="auto"/>
        </w:rPr>
        <w:t>Income Taxes (Topic 740): Amendments to SEC Paragraphs Pursuant to SEC Staff Accounting Bulletin No. 118</w:t>
      </w:r>
      <w:r>
        <w:rPr>
          <w:rFonts w:ascii="Arial" w:cs="Arial" w:eastAsia="Arial" w:hAnsi="Arial"/>
          <w:sz w:val="16"/>
          <w:szCs w:val="16"/>
          <w:color w:val="auto"/>
        </w:rPr>
        <w:t xml:space="preserve">, provided guidance for companies that allowed for a measurement period of up to one year after the enactment date of the Tax Act to finalize the recording of the related tax impacts under ASC 740, </w:t>
      </w:r>
      <w:r>
        <w:rPr>
          <w:rFonts w:ascii="Arial" w:cs="Arial" w:eastAsia="Arial" w:hAnsi="Arial"/>
          <w:sz w:val="16"/>
          <w:szCs w:val="16"/>
          <w:i w:val="1"/>
          <w:iCs w:val="1"/>
          <w:color w:val="auto"/>
        </w:rPr>
        <w:t>Income Taxes</w:t>
      </w:r>
      <w:r>
        <w:rPr>
          <w:rFonts w:ascii="Arial" w:cs="Arial" w:eastAsia="Arial" w:hAnsi="Arial"/>
          <w:sz w:val="16"/>
          <w:szCs w:val="16"/>
          <w:color w:val="auto"/>
        </w:rPr>
        <w:t>. In accordance with this guidance, a company was required to reflect the income tax effect of those aspects of the Tax Act for which the accounting under ASC 740 is complete. To the extent that a company's accounting for certain income tax effects of the Tax Act was incomplete, but it was able to determine a reasonable estimate, the company was required to record a provisional estimate in the financial statements.</w:t>
      </w:r>
    </w:p>
    <w:p>
      <w:pPr>
        <w:spacing w:after="0" w:line="149" w:lineRule="exact"/>
        <w:rPr>
          <w:sz w:val="20"/>
          <w:szCs w:val="20"/>
          <w:color w:val="auto"/>
        </w:rPr>
      </w:pPr>
    </w:p>
    <w:p>
      <w:pPr>
        <w:jc w:val="both"/>
        <w:ind w:right="100"/>
        <w:spacing w:after="0" w:line="269" w:lineRule="auto"/>
        <w:rPr>
          <w:sz w:val="20"/>
          <w:szCs w:val="20"/>
          <w:color w:val="auto"/>
        </w:rPr>
      </w:pPr>
      <w:r>
        <w:rPr>
          <w:rFonts w:ascii="Arial" w:cs="Arial" w:eastAsia="Arial" w:hAnsi="Arial"/>
          <w:sz w:val="16"/>
          <w:szCs w:val="16"/>
          <w:color w:val="auto"/>
        </w:rPr>
        <w:t>In accordance with ASC 740, we recorded non-cash provisional estimates to income tax expense in Fiscal 2018 as a result of revaluing all deferred tax assets and liabilities at the newly enacted Federal corporate income tax rate. We have not made any measurement period adjustments related to these items during the first six months of Fiscal 2019 and are complete in analyzing and recording all aspects of the enactment of the Tax Act.</w:t>
      </w:r>
    </w:p>
    <w:p>
      <w:pPr>
        <w:spacing w:after="0" w:line="138"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We file a U.S. Federal tax return as well as returns in various international and state jurisdictions. Although certain years are no longer subject to examination by the Internal Revenue Service ("IRS") and various state taxing authorities, net operating loss carryforwards generated in those years may still be adjusted upon examination by the IRS or state taxing authorities. As of February 23, 2019, our Federal returns from Fiscal 2015 to present continue to be subject to review by the IRS. With limited exception, our state returns from Fiscal 2014 to present continue to be subject to review by the state taxing jurisdictions. Several years may lapse before an uncertain tax position is audited and finally resolved, and it is difficult to predict the outcome of such audits.</w:t>
      </w:r>
    </w:p>
    <w:p>
      <w:pPr>
        <w:spacing w:after="0" w:line="149" w:lineRule="exact"/>
        <w:rPr>
          <w:sz w:val="20"/>
          <w:szCs w:val="20"/>
          <w:color w:val="auto"/>
        </w:rPr>
      </w:pPr>
    </w:p>
    <w:p>
      <w:pPr>
        <w:ind w:right="680"/>
        <w:spacing w:after="0" w:line="291" w:lineRule="auto"/>
        <w:rPr>
          <w:sz w:val="20"/>
          <w:szCs w:val="20"/>
          <w:color w:val="auto"/>
        </w:rPr>
      </w:pPr>
      <w:r>
        <w:rPr>
          <w:rFonts w:ascii="Arial" w:cs="Arial" w:eastAsia="Arial" w:hAnsi="Arial"/>
          <w:sz w:val="16"/>
          <w:szCs w:val="16"/>
          <w:color w:val="auto"/>
        </w:rPr>
        <w:t>It is our policy to recognize interest and penalties accrued relative to unrecognized tax benefits in income tax expense. Total reserves for uncertain tax positions were not material.</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Income Per Share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calculation of basic and diluted income per share: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93"/>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23,</w:t>
            </w:r>
          </w:p>
        </w:tc>
        <w:tc>
          <w:tcPr>
            <w:tcW w:w="20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24,</w:t>
            </w:r>
          </w:p>
        </w:tc>
        <w:tc>
          <w:tcPr>
            <w:tcW w:w="20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23,</w:t>
            </w:r>
          </w:p>
        </w:tc>
        <w:tc>
          <w:tcPr>
            <w:tcW w:w="220" w:type="dxa"/>
            <w:vAlign w:val="bottom"/>
          </w:tcPr>
          <w:p>
            <w:pPr>
              <w:spacing w:after="0"/>
              <w:rPr>
                <w:sz w:val="16"/>
                <w:szCs w:val="16"/>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rPr>
              <w:t>February 24,</w:t>
            </w:r>
          </w:p>
        </w:tc>
        <w:tc>
          <w:tcPr>
            <w:tcW w:w="0" w:type="dxa"/>
            <w:vAlign w:val="bottom"/>
          </w:tcPr>
          <w:p>
            <w:pPr>
              <w:spacing w:after="0"/>
              <w:rPr>
                <w:sz w:val="1"/>
                <w:szCs w:val="1"/>
                <w:color w:val="auto"/>
              </w:rPr>
            </w:pPr>
          </w:p>
        </w:tc>
      </w:tr>
      <w:tr>
        <w:trPr>
          <w:trHeight w:val="232"/>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67"/>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Numerator</w:t>
            </w:r>
          </w:p>
        </w:tc>
        <w:tc>
          <w:tcPr>
            <w:tcW w:w="2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6"/>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21,598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22,088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43,759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40,046</w:t>
            </w:r>
          </w:p>
        </w:tc>
        <w:tc>
          <w:tcPr>
            <w:tcW w:w="0" w:type="dxa"/>
            <w:vAlign w:val="bottom"/>
          </w:tcPr>
          <w:p>
            <w:pPr>
              <w:spacing w:after="0"/>
              <w:rPr>
                <w:sz w:val="1"/>
                <w:szCs w:val="1"/>
                <w:color w:val="auto"/>
              </w:rPr>
            </w:pPr>
          </w:p>
        </w:tc>
      </w:tr>
      <w:tr>
        <w:trPr>
          <w:trHeight w:val="211"/>
        </w:trPr>
        <w:tc>
          <w:tcPr>
            <w:tcW w:w="4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Denominator</w:t>
            </w: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20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31,577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31,654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31,572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31,634</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Dilutive impact of stock compensation awards</w:t>
            </w: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184"/>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assuming</w:t>
            </w:r>
          </w:p>
        </w:tc>
        <w:tc>
          <w:tcPr>
            <w:tcW w:w="200" w:type="dxa"/>
            <w:vAlign w:val="bottom"/>
            <w:shd w:val="clear" w:color="auto" w:fill="CCEEFF"/>
          </w:tcPr>
          <w:p>
            <w:pPr>
              <w:spacing w:after="0"/>
              <w:rPr>
                <w:sz w:val="16"/>
                <w:szCs w:val="16"/>
                <w:color w:val="auto"/>
              </w:rPr>
            </w:pPr>
          </w:p>
        </w:tc>
        <w:tc>
          <w:tcPr>
            <w:tcW w:w="14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31,724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31,854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31,755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31,852</w:t>
            </w:r>
          </w:p>
        </w:tc>
        <w:tc>
          <w:tcPr>
            <w:tcW w:w="0" w:type="dxa"/>
            <w:vAlign w:val="bottom"/>
          </w:tcPr>
          <w:p>
            <w:pPr>
              <w:spacing w:after="0"/>
              <w:rPr>
                <w:sz w:val="1"/>
                <w:szCs w:val="1"/>
                <w:color w:val="auto"/>
              </w:rPr>
            </w:pPr>
          </w:p>
        </w:tc>
      </w:tr>
      <w:tr>
        <w:trPr>
          <w:trHeight w:val="22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dilution</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Anti-dilutive securities excluded from Weighted average</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shares outstanding, assuming dilution</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Basic income per common share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0.68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0.70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55"/>
        </w:trPr>
        <w:tc>
          <w:tcPr>
            <w:tcW w:w="4700" w:type="dxa"/>
            <w:vAlign w:val="bottom"/>
          </w:tcPr>
          <w:p>
            <w:pPr>
              <w:ind w:left="40"/>
              <w:spacing w:after="0"/>
              <w:rPr>
                <w:sz w:val="20"/>
                <w:szCs w:val="20"/>
                <w:color w:val="auto"/>
              </w:rPr>
            </w:pPr>
            <w:r>
              <w:rPr>
                <w:rFonts w:ascii="Arial" w:cs="Arial" w:eastAsia="Arial" w:hAnsi="Arial"/>
                <w:sz w:val="16"/>
                <w:szCs w:val="16"/>
                <w:color w:val="auto"/>
              </w:rPr>
              <w:t>Diluted income per common share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0.68</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0.69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Anti-dilutive securities were not included in the computation of diluted income per common share because they are considered anti-dilutive under the treasury stock method.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Accumulated Other Comprehensive Income (Loss)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Changes in Accumulated Other Comprehensive Income ("AOCI") by component, net of tax, were: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3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left="119"/>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64"/>
        </w:trPr>
        <w:tc>
          <w:tcPr>
            <w:tcW w:w="334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February 23, 2019</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February 24, 2018</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r>
      <w:tr>
        <w:trPr>
          <w:trHeight w:val="193"/>
        </w:trPr>
        <w:tc>
          <w:tcPr>
            <w:tcW w:w="334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Defined Benefit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Interest Rate</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Defined Benefit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Interest Rate</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2"/>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Pension Items</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Swap</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Pension Items</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Swap</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r>
      <w:tr>
        <w:trPr>
          <w:trHeight w:val="254"/>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1,461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878</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r>
      <w:tr>
        <w:trPr>
          <w:trHeight w:val="198"/>
        </w:trPr>
        <w:tc>
          <w:tcPr>
            <w:tcW w:w="3340" w:type="dxa"/>
            <w:vAlign w:val="bottom"/>
          </w:tcPr>
          <w:p>
            <w:pPr>
              <w:ind w:left="180"/>
              <w:spacing w:after="0"/>
              <w:rPr>
                <w:sz w:val="20"/>
                <w:szCs w:val="20"/>
                <w:color w:val="auto"/>
              </w:rPr>
            </w:pPr>
            <w:r>
              <w:rPr>
                <w:rFonts w:ascii="Arial" w:cs="Arial" w:eastAsia="Arial" w:hAnsi="Arial"/>
                <w:sz w:val="16"/>
                <w:szCs w:val="16"/>
                <w:color w:val="auto"/>
              </w:rPr>
              <w:t>Other comprehensive income ("OCI")</w:t>
            </w: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6"/>
        </w:trPr>
        <w:tc>
          <w:tcPr>
            <w:tcW w:w="3340" w:type="dxa"/>
            <w:vAlign w:val="bottom"/>
          </w:tcPr>
          <w:p>
            <w:pPr>
              <w:ind w:left="180"/>
              <w:spacing w:after="0"/>
              <w:rPr>
                <w:sz w:val="20"/>
                <w:szCs w:val="20"/>
                <w:color w:val="auto"/>
              </w:rPr>
            </w:pPr>
            <w:r>
              <w:rPr>
                <w:rFonts w:ascii="Arial" w:cs="Arial" w:eastAsia="Arial" w:hAnsi="Arial"/>
                <w:sz w:val="16"/>
                <w:szCs w:val="16"/>
                <w:color w:val="auto"/>
              </w:rPr>
              <w:t>before reclassifications</w:t>
            </w:r>
          </w:p>
        </w:tc>
        <w:tc>
          <w:tcPr>
            <w:tcW w:w="46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(634)</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1,283</w:t>
            </w:r>
          </w:p>
        </w:tc>
      </w:tr>
      <w:tr>
        <w:trPr>
          <w:trHeight w:val="271"/>
        </w:trPr>
        <w:tc>
          <w:tcPr>
            <w:tcW w:w="3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reclassified from AOCI</w:t>
            </w: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50"/>
        </w:trPr>
        <w:tc>
          <w:tcPr>
            <w:tcW w:w="33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Net current-period OCI</w:t>
            </w:r>
          </w:p>
        </w:tc>
        <w:tc>
          <w:tcPr>
            <w:tcW w:w="46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(634)</w:t>
            </w:r>
          </w:p>
        </w:tc>
        <w:tc>
          <w:tcPr>
            <w:tcW w:w="1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(626)</w:t>
            </w:r>
          </w:p>
        </w:tc>
        <w:tc>
          <w:tcPr>
            <w:tcW w:w="12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1,283</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1,290</w:t>
            </w:r>
          </w:p>
        </w:tc>
      </w:tr>
      <w:tr>
        <w:trPr>
          <w:trHeight w:val="242"/>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907</w:t>
            </w:r>
          </w:p>
        </w:tc>
      </w:tr>
      <w:tr>
        <w:trPr>
          <w:trHeight w:val="20"/>
        </w:trPr>
        <w:tc>
          <w:tcPr>
            <w:tcW w:w="3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45"/>
        </w:trPr>
        <w:tc>
          <w:tcPr>
            <w:tcW w:w="33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center"/>
              <w:ind w:left="119"/>
              <w:spacing w:after="0"/>
              <w:rPr>
                <w:sz w:val="20"/>
                <w:szCs w:val="20"/>
                <w:color w:val="auto"/>
              </w:rPr>
            </w:pPr>
            <w:r>
              <w:rPr>
                <w:rFonts w:ascii="Arial" w:cs="Arial" w:eastAsia="Arial" w:hAnsi="Arial"/>
                <w:sz w:val="16"/>
                <w:szCs w:val="16"/>
                <w:b w:val="1"/>
                <w:bCs w:val="1"/>
                <w:color w:val="auto"/>
              </w:rPr>
              <w:t>Six Months Ended</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64"/>
        </w:trPr>
        <w:tc>
          <w:tcPr>
            <w:tcW w:w="334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February 23, 2019</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February 24, 2018</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r>
      <w:tr>
        <w:trPr>
          <w:trHeight w:val="193"/>
        </w:trPr>
        <w:tc>
          <w:tcPr>
            <w:tcW w:w="334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Defined Benefit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Interest Rate</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Defined Benefit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Interest Rate</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2"/>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Pension Items</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Swap</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Pension Items</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Swap</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r>
      <w:tr>
        <w:trPr>
          <w:trHeight w:val="254"/>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892</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w:t>
            </w:r>
          </w:p>
        </w:tc>
      </w:tr>
      <w:tr>
        <w:trPr>
          <w:trHeight w:val="198"/>
        </w:trPr>
        <w:tc>
          <w:tcPr>
            <w:tcW w:w="3340" w:type="dxa"/>
            <w:vAlign w:val="bottom"/>
          </w:tcPr>
          <w:p>
            <w:pPr>
              <w:ind w:left="180"/>
              <w:spacing w:after="0"/>
              <w:rPr>
                <w:sz w:val="20"/>
                <w:szCs w:val="20"/>
                <w:color w:val="auto"/>
              </w:rPr>
            </w:pPr>
            <w:r>
              <w:rPr>
                <w:rFonts w:ascii="Arial" w:cs="Arial" w:eastAsia="Arial" w:hAnsi="Arial"/>
                <w:sz w:val="16"/>
                <w:szCs w:val="16"/>
                <w:color w:val="auto"/>
              </w:rPr>
              <w:t>Other comprehensive income before</w:t>
            </w: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6"/>
        </w:trPr>
        <w:tc>
          <w:tcPr>
            <w:tcW w:w="3340" w:type="dxa"/>
            <w:vAlign w:val="bottom"/>
          </w:tcPr>
          <w:p>
            <w:pPr>
              <w:ind w:left="180"/>
              <w:spacing w:after="0"/>
              <w:rPr>
                <w:sz w:val="20"/>
                <w:szCs w:val="20"/>
                <w:color w:val="auto"/>
              </w:rPr>
            </w:pPr>
            <w:r>
              <w:rPr>
                <w:rFonts w:ascii="Arial" w:cs="Arial" w:eastAsia="Arial" w:hAnsi="Arial"/>
                <w:sz w:val="16"/>
                <w:szCs w:val="16"/>
                <w:color w:val="auto"/>
              </w:rPr>
              <w:t>reclassifications</w:t>
            </w:r>
          </w:p>
        </w:tc>
        <w:tc>
          <w:tcPr>
            <w:tcW w:w="46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(656)</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1,917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1,917</w:t>
            </w:r>
          </w:p>
        </w:tc>
      </w:tr>
      <w:tr>
        <w:trPr>
          <w:trHeight w:val="271"/>
        </w:trPr>
        <w:tc>
          <w:tcPr>
            <w:tcW w:w="3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reclassified from AOCI</w:t>
            </w: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50"/>
        </w:trPr>
        <w:tc>
          <w:tcPr>
            <w:tcW w:w="33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Net current-period OCI</w:t>
            </w:r>
          </w:p>
        </w:tc>
        <w:tc>
          <w:tcPr>
            <w:tcW w:w="46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(656)</w:t>
            </w:r>
          </w:p>
        </w:tc>
        <w:tc>
          <w:tcPr>
            <w:tcW w:w="1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(640)</w:t>
            </w:r>
          </w:p>
        </w:tc>
        <w:tc>
          <w:tcPr>
            <w:tcW w:w="12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1,917</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1,930</w:t>
            </w:r>
          </w:p>
        </w:tc>
      </w:tr>
      <w:tr>
        <w:trPr>
          <w:trHeight w:val="242"/>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252</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1,403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907</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080" w:type="dxa"/>
            <w:vAlign w:val="bottom"/>
            <w:gridSpan w:val="2"/>
          </w:tcPr>
          <w:p>
            <w:pPr>
              <w:spacing w:after="0"/>
              <w:rPr>
                <w:sz w:val="20"/>
                <w:szCs w:val="20"/>
                <w:color w:val="auto"/>
              </w:rPr>
            </w:pPr>
            <w:r>
              <w:rPr>
                <w:rFonts w:ascii="Arial" w:cs="Arial" w:eastAsia="Arial" w:hAnsi="Arial"/>
                <w:sz w:val="16"/>
                <w:szCs w:val="16"/>
                <w:color w:val="auto"/>
              </w:rPr>
              <w:t>Reclassifications out of AOCI in net periodic benefit costs, net of tax, were:</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87"/>
        </w:trPr>
        <w:tc>
          <w:tcPr>
            <w:tcW w:w="28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4"/>
                <w:szCs w:val="24"/>
                <w:color w:val="auto"/>
              </w:rPr>
            </w:pPr>
          </w:p>
        </w:tc>
        <w:tc>
          <w:tcPr>
            <w:tcW w:w="250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Six Months Ended</w:t>
            </w:r>
          </w:p>
        </w:tc>
      </w:tr>
      <w:tr>
        <w:trPr>
          <w:trHeight w:val="182"/>
        </w:trPr>
        <w:tc>
          <w:tcPr>
            <w:tcW w:w="2800" w:type="dxa"/>
            <w:vAlign w:val="bottom"/>
          </w:tcPr>
          <w:p>
            <w:pPr>
              <w:spacing w:after="0"/>
              <w:rPr>
                <w:sz w:val="15"/>
                <w:szCs w:val="15"/>
                <w:color w:val="auto"/>
              </w:rPr>
            </w:pPr>
          </w:p>
        </w:tc>
        <w:tc>
          <w:tcPr>
            <w:tcW w:w="3280" w:type="dxa"/>
            <w:vAlign w:val="bottom"/>
          </w:tcPr>
          <w:p>
            <w:pPr>
              <w:jc w:val="center"/>
              <w:ind w:left="319"/>
              <w:spacing w:after="0" w:line="183" w:lineRule="exact"/>
              <w:rPr>
                <w:sz w:val="20"/>
                <w:szCs w:val="20"/>
                <w:color w:val="auto"/>
              </w:rPr>
            </w:pPr>
            <w:r>
              <w:rPr>
                <w:rFonts w:ascii="Arial" w:cs="Arial" w:eastAsia="Arial" w:hAnsi="Arial"/>
                <w:sz w:val="16"/>
                <w:szCs w:val="16"/>
                <w:b w:val="1"/>
                <w:bCs w:val="1"/>
                <w:color w:val="auto"/>
              </w:rPr>
              <w:t>Location on Consolidated</w:t>
            </w: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189"/>
        </w:trPr>
        <w:tc>
          <w:tcPr>
            <w:tcW w:w="2800" w:type="dxa"/>
            <w:vAlign w:val="bottom"/>
          </w:tcPr>
          <w:p>
            <w:pPr>
              <w:spacing w:after="0"/>
              <w:rPr>
                <w:sz w:val="16"/>
                <w:szCs w:val="16"/>
                <w:color w:val="auto"/>
              </w:rPr>
            </w:pPr>
          </w:p>
        </w:tc>
        <w:tc>
          <w:tcPr>
            <w:tcW w:w="3280" w:type="dxa"/>
            <w:vAlign w:val="bottom"/>
          </w:tcPr>
          <w:p>
            <w:pPr>
              <w:jc w:val="center"/>
              <w:ind w:left="319"/>
              <w:spacing w:after="0"/>
              <w:rPr>
                <w:sz w:val="20"/>
                <w:szCs w:val="20"/>
                <w:color w:val="auto"/>
              </w:rPr>
            </w:pPr>
            <w:r>
              <w:rPr>
                <w:rFonts w:ascii="Arial" w:cs="Arial" w:eastAsia="Arial" w:hAnsi="Arial"/>
                <w:sz w:val="16"/>
                <w:szCs w:val="16"/>
                <w:b w:val="1"/>
                <w:bCs w:val="1"/>
                <w:color w:val="auto"/>
              </w:rPr>
              <w:t>Statements</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2800" w:type="dxa"/>
            <w:vAlign w:val="bottom"/>
          </w:tcPr>
          <w:p>
            <w:pPr>
              <w:spacing w:after="0"/>
              <w:rPr>
                <w:sz w:val="16"/>
                <w:szCs w:val="16"/>
                <w:color w:val="auto"/>
              </w:rPr>
            </w:pPr>
          </w:p>
        </w:tc>
        <w:tc>
          <w:tcPr>
            <w:tcW w:w="3280" w:type="dxa"/>
            <w:vAlign w:val="bottom"/>
          </w:tcPr>
          <w:p>
            <w:pPr>
              <w:jc w:val="center"/>
              <w:ind w:left="319"/>
              <w:spacing w:after="0"/>
              <w:rPr>
                <w:sz w:val="20"/>
                <w:szCs w:val="20"/>
                <w:color w:val="auto"/>
              </w:rPr>
            </w:pPr>
            <w:r>
              <w:rPr>
                <w:rFonts w:ascii="Arial" w:cs="Arial" w:eastAsia="Arial" w:hAnsi="Arial"/>
                <w:sz w:val="16"/>
                <w:szCs w:val="16"/>
                <w:b w:val="1"/>
                <w:bCs w:val="1"/>
                <w:color w:val="auto"/>
              </w:rPr>
              <w:t>of Income and Comprehensive</w:t>
            </w:r>
          </w:p>
        </w:tc>
        <w:tc>
          <w:tcPr>
            <w:tcW w:w="12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February 23,</w:t>
            </w:r>
          </w:p>
        </w:tc>
        <w:tc>
          <w:tcPr>
            <w:tcW w:w="12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February 24,</w:t>
            </w:r>
          </w:p>
        </w:tc>
        <w:tc>
          <w:tcPr>
            <w:tcW w:w="12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February 23,</w:t>
            </w:r>
          </w:p>
        </w:tc>
        <w:tc>
          <w:tcPr>
            <w:tcW w:w="120" w:type="dxa"/>
            <w:vAlign w:val="bottom"/>
          </w:tcPr>
          <w:p>
            <w:pPr>
              <w:spacing w:after="0"/>
              <w:rPr>
                <w:sz w:val="16"/>
                <w:szCs w:val="16"/>
                <w:color w:val="auto"/>
              </w:rPr>
            </w:pPr>
          </w:p>
        </w:tc>
        <w:tc>
          <w:tcPr>
            <w:tcW w:w="1140" w:type="dxa"/>
            <w:vAlign w:val="bottom"/>
          </w:tcPr>
          <w:p>
            <w:pPr>
              <w:jc w:val="center"/>
              <w:ind w:right="79"/>
              <w:spacing w:after="0"/>
              <w:rPr>
                <w:sz w:val="20"/>
                <w:szCs w:val="20"/>
                <w:color w:val="auto"/>
              </w:rPr>
            </w:pPr>
            <w:r>
              <w:rPr>
                <w:rFonts w:ascii="Arial" w:cs="Arial" w:eastAsia="Arial" w:hAnsi="Arial"/>
                <w:sz w:val="16"/>
                <w:szCs w:val="16"/>
                <w:b w:val="1"/>
                <w:bCs w:val="1"/>
                <w:color w:val="auto"/>
              </w:rPr>
              <w:t>February 24,</w:t>
            </w:r>
          </w:p>
        </w:tc>
      </w:tr>
      <w:tr>
        <w:trPr>
          <w:trHeight w:val="232"/>
        </w:trPr>
        <w:tc>
          <w:tcPr>
            <w:tcW w:w="2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280" w:type="dxa"/>
            <w:vAlign w:val="bottom"/>
            <w:tcBorders>
              <w:bottom w:val="single" w:sz="8" w:color="auto"/>
            </w:tcBorders>
          </w:tcPr>
          <w:p>
            <w:pPr>
              <w:jc w:val="center"/>
              <w:ind w:left="319"/>
              <w:spacing w:after="0"/>
              <w:rPr>
                <w:sz w:val="20"/>
                <w:szCs w:val="20"/>
                <w:color w:val="auto"/>
              </w:rPr>
            </w:pPr>
            <w:r>
              <w:rPr>
                <w:rFonts w:ascii="Arial" w:cs="Arial" w:eastAsia="Arial" w:hAnsi="Arial"/>
                <w:sz w:val="16"/>
                <w:szCs w:val="16"/>
                <w:b w:val="1"/>
                <w:bCs w:val="1"/>
                <w:color w:val="auto"/>
                <w:w w:val="99"/>
              </w:rPr>
              <w:t>Income</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r>
      <w:tr>
        <w:trPr>
          <w:trHeight w:val="254"/>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net actuarial loss</w:t>
            </w:r>
          </w:p>
        </w:tc>
        <w:tc>
          <w:tcPr>
            <w:tcW w:w="3280" w:type="dxa"/>
            <w:vAlign w:val="bottom"/>
            <w:shd w:val="clear" w:color="auto" w:fill="CCEEFF"/>
          </w:tcPr>
          <w:p>
            <w:pPr>
              <w:jc w:val="right"/>
              <w:ind w:right="2319"/>
              <w:spacing w:after="0"/>
              <w:rPr>
                <w:sz w:val="20"/>
                <w:szCs w:val="20"/>
                <w:color w:val="auto"/>
              </w:rPr>
            </w:pPr>
            <w:r>
              <w:rPr>
                <w:rFonts w:ascii="Arial" w:cs="Arial" w:eastAsia="Arial" w:hAnsi="Arial"/>
                <w:sz w:val="16"/>
                <w:szCs w:val="16"/>
                <w:color w:val="auto"/>
              </w:rPr>
              <w:t>SG&amp;A</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660"/>
        </w:trPr>
        <w:tc>
          <w:tcPr>
            <w:tcW w:w="2800" w:type="dxa"/>
            <w:vAlign w:val="bottom"/>
          </w:tcPr>
          <w:p>
            <w:pPr>
              <w:spacing w:after="0"/>
              <w:rPr>
                <w:sz w:val="24"/>
                <w:szCs w:val="24"/>
                <w:color w:val="auto"/>
              </w:rPr>
            </w:pPr>
          </w:p>
        </w:tc>
        <w:tc>
          <w:tcPr>
            <w:tcW w:w="3280" w:type="dxa"/>
            <w:vAlign w:val="bottom"/>
          </w:tcPr>
          <w:p>
            <w:pPr>
              <w:jc w:val="right"/>
              <w:ind w:right="19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96"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Unless the context otherwise requires, the use of the terms "Winnebago Industries," "we," "us," and "our" refers to Winnebago Industries, Inc. and its wholly-owned subsidiaries.</w:t>
      </w:r>
    </w:p>
    <w:p>
      <w:pPr>
        <w:spacing w:after="0" w:line="121"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Unless otherwise noted, transactions and other factors significantly impacting our financial condition, results of operations, and liquidity are discussed in order of magnitude.</w:t>
      </w:r>
    </w:p>
    <w:p>
      <w:pPr>
        <w:spacing w:after="0" w:line="14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MD&amp;A should be read in conjunction with our Annual Report on Form 10-K for the fiscal year ended August 25, 2018, (including the information presented therein under Risk Factors), as well as our reports on Forms 10-Q and 8-K and other publicly available information. All amounts herein are unaudited.</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96"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Winnebago Industries, Inc. is one of the leading U.S. manufacturers with a diversified portfolio of recreation vehicles ("RV"s) and marine products used primarily in leisure travel and outdoor recreation activities. We produce our motorhome units in manufacturing facilities in Iowa and Oregon; our towable units in Indiana; and our marine units in Florida. We distribute our RV and marine products primarily through independent dealers throughout the U.S. and Canada, who then retail the products to the end consumer. We also distribute our marine products internationally through independent dealers, who then retail the products to the end consumer.</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Reconciliation</w:t>
      </w:r>
    </w:p>
    <w:p>
      <w:pPr>
        <w:spacing w:after="0" w:line="196"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This MD&amp;A includes financial information prepared in accordance with accounting principles generally accepted in the U.S. ("GAAP"), as well as certain adjusted or non-GAAP financial measures such as EBITDA and Adjusted EBITDA. EBITDA is defined as net income before interest expense, provision for income taxes, and depreciation and amortization expense. Adjusted EBITDA is defined as net income before interest expense, provision for income taxes, depreciation and amortization expense, and other adjustments made in order to present comparable results from period to period. These non-GAAP financial measures, which are not calculated or presented in accordance with GAAP, have been provided as information supplemental and in addition to the financial measures presented in accordance with GAAP. Such non-GAAP financial measures should not be considered superior to, as a substitute for, or as an alternative to, and should be considered in conjunction with, the GAAP financial measures presented herein. The non-GAAP financial measures presented may differ from similar measures used by other companies.</w:t>
      </w:r>
    </w:p>
    <w:p>
      <w:pPr>
        <w:spacing w:after="0" w:line="150"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Refer to the Results of Operations - Current Quarter Compared to the Comparable Prior Year Quarter and the Results of Operations - First Six Months of Fiscal 2019 Compared to the First Six Months of Fiscal 2018 for a detailed reconciliation of items that impacted EBITDA and Adjusted EBITDA. We have included this non-GAAP performance measure as a comparable measure to illustrate the effect of non-recurring transactions occurring during the reported periods and improve comparability of our results from period to period. We believe Adjusted EBITDA provides meaningful supplemental information about our operating performance because this measure excludes amounts that we do not consider part of our core operating results when assessing our performance. Examples of items excluded from Adjusted EBITDA include acquisition-related costs, restructuring expenses, and non-operating income.</w:t>
      </w:r>
    </w:p>
    <w:p>
      <w:pPr>
        <w:spacing w:after="0" w:line="151"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Management uses these non-GAAP financial measures (a) to evaluate our historical and prospective financial performance and trends as well as our performance relative to competitors and peers; (b) to measure operational profitability on a consistent basis; (c) in presentations to the members of our board of directors to enable our board of directors to have the same measurement basis of operating performance as is used by management in its assessments of performance and in forecasting and budgeting for our company; (d) to evaluate potential acquisitions; and (e) to ensure compliance with covenants and restricted activities under the terms of our Credit Agreement. We believe these non-GAAP financial measures are frequently used by securities analysts, investors, and other interested parties to evaluate companies in our industry.</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Reportable Segments</w:t>
      </w:r>
    </w:p>
    <w:p>
      <w:pPr>
        <w:spacing w:after="0" w:line="196" w:lineRule="exact"/>
        <w:rPr>
          <w:sz w:val="20"/>
          <w:szCs w:val="20"/>
          <w:color w:val="auto"/>
        </w:rPr>
      </w:pPr>
    </w:p>
    <w:p>
      <w:pPr>
        <w:ind w:right="560"/>
        <w:spacing w:after="0" w:line="269" w:lineRule="auto"/>
        <w:rPr>
          <w:sz w:val="20"/>
          <w:szCs w:val="20"/>
          <w:color w:val="auto"/>
        </w:rPr>
      </w:pPr>
      <w:r>
        <w:rPr>
          <w:rFonts w:ascii="Arial" w:cs="Arial" w:eastAsia="Arial" w:hAnsi="Arial"/>
          <w:sz w:val="16"/>
          <w:szCs w:val="16"/>
          <w:color w:val="auto"/>
        </w:rPr>
        <w:t>In the fourth quarter of Fiscal 2018, we revised our segment presentation. We have five operating segments: 1) Winnebago motorhomes, 2) Winnebago towables, 3) Grand Design towables, 4) Winnebago specialty vehicles, and 5) Chris-Craft marine. We evaluate performance based on each operating segment's Adjusted EBITDA, as defined above, which excludes certain corporate administration expenses and non-operating income and expense.</w:t>
      </w:r>
    </w:p>
    <w:p>
      <w:pPr>
        <w:spacing w:after="0" w:line="138" w:lineRule="exact"/>
        <w:rPr>
          <w:sz w:val="20"/>
          <w:szCs w:val="20"/>
          <w:color w:val="auto"/>
        </w:rPr>
      </w:pPr>
    </w:p>
    <w:p>
      <w:pPr>
        <w:ind w:right="200"/>
        <w:spacing w:after="0" w:line="269" w:lineRule="auto"/>
        <w:rPr>
          <w:sz w:val="20"/>
          <w:szCs w:val="20"/>
          <w:color w:val="auto"/>
        </w:rPr>
      </w:pPr>
      <w:r>
        <w:rPr>
          <w:rFonts w:ascii="Arial" w:cs="Arial" w:eastAsia="Arial" w:hAnsi="Arial"/>
          <w:sz w:val="16"/>
          <w:szCs w:val="16"/>
          <w:color w:val="auto"/>
        </w:rPr>
        <w:t>Our two reportable segments include: 1) Motorhome (comprised of products that include a motorized chassis as well as other related manufactured products and services) and 2) Towable (comprised of products which are not motorized and are generally towed by another vehicle as well as other related manufactured products and services), which is an aggregation of the Winnebago towables and Grand Design towables operating segments.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color w:val="auto"/>
        </w:rPr>
        <w:t>The Corporate / All Other category includes the Winnebago specialty vehicles and Chris-Craft marine operating segments as well as expenses related to certain corporate administration expenses for the oversight of the enterprise. These expenses include items such as corporate leadership and administration costs. Previously, these expenses were allocated to each operating segment.</w:t>
      </w:r>
    </w:p>
    <w:p>
      <w:pPr>
        <w:spacing w:after="0" w:line="138" w:lineRule="exact"/>
        <w:rPr>
          <w:sz w:val="20"/>
          <w:szCs w:val="20"/>
          <w:color w:val="auto"/>
        </w:rPr>
      </w:pPr>
    </w:p>
    <w:p>
      <w:pPr>
        <w:ind w:right="200"/>
        <w:spacing w:after="0" w:line="269" w:lineRule="auto"/>
        <w:rPr>
          <w:sz w:val="20"/>
          <w:szCs w:val="20"/>
          <w:color w:val="auto"/>
        </w:rPr>
      </w:pPr>
      <w:r>
        <w:rPr>
          <w:rFonts w:ascii="Arial" w:cs="Arial" w:eastAsia="Arial" w:hAnsi="Arial"/>
          <w:sz w:val="16"/>
          <w:szCs w:val="16"/>
          <w:color w:val="auto"/>
        </w:rPr>
        <w:t>Prior year segment information has been reclassified to conform to the current reportable segment presentation. The reclassifications included removing the corporate administration expenses from both the Motorhome and Towable reportable segments and removing Winnebago specialty vehicles from the Motorhome reportable segment, as we began to dedicate leadership and focus on these operations separately from our Winnebago motorhomes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Trends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Key reported statistics for the North American RV industry are as follows:</w:t>
      </w:r>
    </w:p>
    <w:p>
      <w:pPr>
        <w:spacing w:after="0" w:line="25" w:lineRule="exact"/>
        <w:rPr>
          <w:sz w:val="20"/>
          <w:szCs w:val="20"/>
          <w:color w:val="auto"/>
        </w:rPr>
      </w:pPr>
    </w:p>
    <w:p>
      <w:pPr>
        <w:ind w:left="580" w:hanging="248"/>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Wholesale unit shipments: RV product delivered to the dealers, which is reported monthly by the Recreation Vehicle Industry Association ("RVIA")</w:t>
      </w:r>
    </w:p>
    <w:p>
      <w:pPr>
        <w:spacing w:after="0" w:line="5" w:lineRule="exact"/>
        <w:rPr>
          <w:rFonts w:ascii="Arial" w:cs="Arial" w:eastAsia="Arial" w:hAnsi="Arial"/>
          <w:sz w:val="16"/>
          <w:szCs w:val="16"/>
          <w:color w:val="auto"/>
        </w:rPr>
      </w:pPr>
    </w:p>
    <w:p>
      <w:pPr>
        <w:ind w:left="580" w:hanging="248"/>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Retail unit registrations: consumer purchases of RVs from dealers, which is reported by Stat Surveys</w:t>
      </w:r>
    </w:p>
    <w:p>
      <w:pPr>
        <w:spacing w:after="0" w:line="188" w:lineRule="exact"/>
        <w:rPr>
          <w:sz w:val="20"/>
          <w:szCs w:val="20"/>
          <w:color w:val="auto"/>
        </w:rPr>
      </w:pPr>
    </w:p>
    <w:p>
      <w:pPr>
        <w:ind w:right="120"/>
        <w:spacing w:after="0" w:line="327" w:lineRule="auto"/>
        <w:rPr>
          <w:sz w:val="20"/>
          <w:szCs w:val="20"/>
          <w:color w:val="auto"/>
        </w:rPr>
      </w:pPr>
      <w:r>
        <w:rPr>
          <w:rFonts w:ascii="Arial" w:cs="Arial" w:eastAsia="Arial" w:hAnsi="Arial"/>
          <w:sz w:val="16"/>
          <w:szCs w:val="16"/>
          <w:color w:val="auto"/>
        </w:rPr>
        <w:t>We track RV Industry conditions using these key statistics to monitor trends and evaluate and understand our performance relative to the overall industry. The following is an analysis of changes in these key statistics for the rolling 12 months through January as of 2019 and 2018:</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0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US and Canada Industry</w:t>
            </w: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60"/>
        </w:trPr>
        <w:tc>
          <w:tcPr>
            <w:tcW w:w="10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80" w:type="dxa"/>
            <w:vAlign w:val="bottom"/>
            <w:gridSpan w:val="7"/>
          </w:tcPr>
          <w:p>
            <w:pPr>
              <w:ind w:left="40"/>
              <w:spacing w:after="0"/>
              <w:rPr>
                <w:sz w:val="20"/>
                <w:szCs w:val="20"/>
                <w:color w:val="auto"/>
              </w:rPr>
            </w:pPr>
            <w:r>
              <w:rPr>
                <w:rFonts w:ascii="Arial" w:cs="Arial" w:eastAsia="Arial" w:hAnsi="Arial"/>
                <w:sz w:val="16"/>
                <w:szCs w:val="16"/>
                <w:b w:val="1"/>
                <w:bCs w:val="1"/>
                <w:color w:val="auto"/>
              </w:rPr>
              <w:t>Wholesale Unit Shipments per RVIA</w:t>
            </w: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160" w:type="dxa"/>
            <w:vAlign w:val="bottom"/>
            <w:gridSpan w:val="8"/>
          </w:tcPr>
          <w:p>
            <w:pPr>
              <w:jc w:val="center"/>
              <w:spacing w:after="0"/>
              <w:rPr>
                <w:sz w:val="20"/>
                <w:szCs w:val="20"/>
                <w:color w:val="auto"/>
              </w:rPr>
            </w:pPr>
            <w:r>
              <w:rPr>
                <w:rFonts w:ascii="Arial" w:cs="Arial" w:eastAsia="Arial" w:hAnsi="Arial"/>
                <w:sz w:val="16"/>
                <w:szCs w:val="16"/>
                <w:b w:val="1"/>
                <w:bCs w:val="1"/>
                <w:color w:val="auto"/>
              </w:rPr>
              <w:t>Retail Unit Registrations per Stat Surveys</w:t>
            </w:r>
          </w:p>
        </w:tc>
      </w:tr>
      <w:tr>
        <w:trPr>
          <w:trHeight w:val="274"/>
        </w:trPr>
        <w:tc>
          <w:tcPr>
            <w:tcW w:w="1020" w:type="dxa"/>
            <w:vAlign w:val="bottom"/>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820" w:type="dxa"/>
            <w:vAlign w:val="bottom"/>
            <w:tcBorders>
              <w:bottom w:val="single" w:sz="8" w:color="auto"/>
            </w:tcBorders>
            <w:gridSpan w:val="6"/>
          </w:tcPr>
          <w:p>
            <w:pPr>
              <w:spacing w:after="0"/>
              <w:rPr>
                <w:sz w:val="20"/>
                <w:szCs w:val="20"/>
                <w:color w:val="auto"/>
              </w:rPr>
            </w:pPr>
            <w:r>
              <w:rPr>
                <w:rFonts w:ascii="Arial" w:cs="Arial" w:eastAsia="Arial" w:hAnsi="Arial"/>
                <w:sz w:val="16"/>
                <w:szCs w:val="16"/>
                <w:b w:val="1"/>
                <w:bCs w:val="1"/>
                <w:color w:val="auto"/>
              </w:rPr>
              <w:t>Rolling 12 Months through January</w:t>
            </w:r>
          </w:p>
        </w:tc>
        <w:tc>
          <w:tcPr>
            <w:tcW w:w="11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282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6"/>
                <w:szCs w:val="16"/>
                <w:b w:val="1"/>
                <w:bCs w:val="1"/>
                <w:color w:val="auto"/>
              </w:rPr>
              <w:t>Rolling 12 Months through January</w:t>
            </w:r>
          </w:p>
        </w:tc>
        <w:tc>
          <w:tcPr>
            <w:tcW w:w="1120" w:type="dxa"/>
            <w:vAlign w:val="bottom"/>
            <w:tcBorders>
              <w:bottom w:val="single" w:sz="8" w:color="auto"/>
            </w:tcBorders>
          </w:tcPr>
          <w:p>
            <w:pPr>
              <w:spacing w:after="0"/>
              <w:rPr>
                <w:sz w:val="23"/>
                <w:szCs w:val="23"/>
                <w:color w:val="auto"/>
              </w:rPr>
            </w:pPr>
          </w:p>
        </w:tc>
      </w:tr>
      <w:tr>
        <w:trPr>
          <w:trHeight w:val="264"/>
        </w:trPr>
        <w:tc>
          <w:tcPr>
            <w:tcW w:w="10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Unit Change</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Unit Change</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254"/>
        </w:trPr>
        <w:tc>
          <w:tcPr>
            <w:tcW w:w="10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Motorhome</w:t>
            </w:r>
            <w:r>
              <w:rPr>
                <w:rFonts w:ascii="Arial" w:cs="Arial" w:eastAsia="Arial" w:hAnsi="Arial"/>
                <w:sz w:val="21"/>
                <w:szCs w:val="21"/>
                <w:color w:val="auto"/>
                <w:w w:val="97"/>
                <w:vertAlign w:val="superscript"/>
              </w:rPr>
              <w:t>(1)</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55,683</w:t>
            </w:r>
          </w:p>
        </w:tc>
        <w:tc>
          <w:tcPr>
            <w:tcW w:w="140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63,529</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56,868</w:t>
            </w:r>
          </w:p>
        </w:tc>
        <w:tc>
          <w:tcPr>
            <w:tcW w:w="13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57,901</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70"/>
        </w:trPr>
        <w:tc>
          <w:tcPr>
            <w:tcW w:w="1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Towable</w:t>
            </w:r>
            <w:r>
              <w:rPr>
                <w:rFonts w:ascii="Arial" w:cs="Arial" w:eastAsia="Arial" w:hAnsi="Arial"/>
                <w:sz w:val="21"/>
                <w:szCs w:val="21"/>
                <w:color w:val="auto"/>
                <w:vertAlign w:val="superscript"/>
              </w:rPr>
              <w:t>(2)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399,768</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437,229</w:t>
            </w:r>
          </w:p>
        </w:tc>
        <w:tc>
          <w:tcPr>
            <w:tcW w:w="10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(37,461)</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414,207</w:t>
            </w:r>
          </w:p>
        </w:tc>
        <w:tc>
          <w:tcPr>
            <w:tcW w:w="12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398,869</w:t>
            </w:r>
          </w:p>
        </w:tc>
        <w:tc>
          <w:tcPr>
            <w:tcW w:w="12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15,338</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3.8 %</w:t>
            </w:r>
          </w:p>
        </w:tc>
      </w:tr>
      <w:tr>
        <w:trPr>
          <w:trHeight w:val="236"/>
        </w:trPr>
        <w:tc>
          <w:tcPr>
            <w:tcW w:w="1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Combined</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455,451</w:t>
            </w:r>
          </w:p>
        </w:tc>
        <w:tc>
          <w:tcPr>
            <w:tcW w:w="140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500,758</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(45,307)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471,075</w:t>
            </w:r>
          </w:p>
        </w:tc>
        <w:tc>
          <w:tcPr>
            <w:tcW w:w="13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456,770</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14,305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41"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4"/>
          <w:szCs w:val="14"/>
          <w:color w:val="auto"/>
        </w:rPr>
      </w:pPr>
      <w:r>
        <w:rPr>
          <w:rFonts w:ascii="Arial" w:cs="Arial" w:eastAsia="Arial" w:hAnsi="Arial"/>
          <w:sz w:val="14"/>
          <w:szCs w:val="14"/>
          <w:color w:val="auto"/>
        </w:rPr>
        <w:t>Motorhome: Class A, B and C products.</w:t>
      </w:r>
    </w:p>
    <w:p>
      <w:pPr>
        <w:spacing w:after="0" w:line="19" w:lineRule="exact"/>
        <w:rPr>
          <w:rFonts w:ascii="Arial" w:cs="Arial" w:eastAsia="Arial" w:hAnsi="Arial"/>
          <w:sz w:val="14"/>
          <w:szCs w:val="14"/>
          <w:color w:val="auto"/>
        </w:rPr>
      </w:pPr>
    </w:p>
    <w:p>
      <w:pPr>
        <w:ind w:left="260" w:hanging="252"/>
        <w:spacing w:after="0"/>
        <w:tabs>
          <w:tab w:leader="none" w:pos="2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Towable: Fifth wheel and travel trailer products.</w:t>
      </w:r>
    </w:p>
    <w:p>
      <w:pPr>
        <w:spacing w:after="0" w:line="140"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The rolling twelve months shipments for 2019 and 2018 reflects a recent contraction in shipments as dealers rationalize inventory. The rolling twelve months retail information for 2019 and 2018 illustrates that the RV industry continues to grow at the retail level. We believe retail demand is the key driver to continued growth in the industry.</w:t>
      </w:r>
    </w:p>
    <w:p>
      <w:pPr>
        <w:spacing w:after="0" w:line="138"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The most recent RVIA wholesale shipment forecasts for calendar year 2019, as noted in the table below, indicate that industry shipments are most likely expected to decline in 2019. The RV sales outlook is based on anticipated increases in inflation and interest rates and rising costs of production, partially offset by strong job and wage growth.</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2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ind w:left="720"/>
              <w:spacing w:after="0"/>
              <w:rPr>
                <w:sz w:val="20"/>
                <w:szCs w:val="20"/>
                <w:color w:val="auto"/>
              </w:rPr>
            </w:pPr>
            <w:r>
              <w:rPr>
                <w:rFonts w:ascii="Arial" w:cs="Arial" w:eastAsia="Arial" w:hAnsi="Arial"/>
                <w:sz w:val="16"/>
                <w:szCs w:val="16"/>
                <w:b w:val="1"/>
                <w:bCs w:val="1"/>
                <w:color w:val="auto"/>
              </w:rPr>
              <w:t>Calendar Year</w:t>
            </w:r>
          </w:p>
        </w:tc>
        <w:tc>
          <w:tcPr>
            <w:tcW w:w="1260" w:type="dxa"/>
            <w:vAlign w:val="bottom"/>
            <w:tcBorders>
              <w:bottom w:val="single" w:sz="8" w:color="auto"/>
            </w:tcBorders>
          </w:tcPr>
          <w:p>
            <w:pPr>
              <w:spacing w:after="0"/>
              <w:rPr>
                <w:sz w:val="20"/>
                <w:szCs w:val="20"/>
                <w:color w:val="auto"/>
              </w:rPr>
            </w:pPr>
          </w:p>
        </w:tc>
      </w:tr>
      <w:tr>
        <w:trPr>
          <w:trHeight w:val="193"/>
        </w:trPr>
        <w:tc>
          <w:tcPr>
            <w:tcW w:w="6220" w:type="dxa"/>
            <w:vAlign w:val="bottom"/>
          </w:tcPr>
          <w:p>
            <w:pPr>
              <w:spacing w:after="0"/>
              <w:rPr>
                <w:sz w:val="16"/>
                <w:szCs w:val="16"/>
                <w:color w:val="auto"/>
              </w:rPr>
            </w:pPr>
          </w:p>
        </w:tc>
        <w:tc>
          <w:tcPr>
            <w:tcW w:w="124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6"/>
                <w:szCs w:val="16"/>
                <w:color w:val="auto"/>
              </w:rPr>
            </w:pPr>
          </w:p>
        </w:tc>
        <w:tc>
          <w:tcPr>
            <w:tcW w:w="1240" w:type="dxa"/>
            <w:vAlign w:val="bottom"/>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6"/>
        </w:trPr>
        <w:tc>
          <w:tcPr>
            <w:tcW w:w="6220" w:type="dxa"/>
            <w:vAlign w:val="bottom"/>
          </w:tcPr>
          <w:p>
            <w:pPr>
              <w:ind w:left="40"/>
              <w:spacing w:after="0" w:line="236" w:lineRule="exact"/>
              <w:rPr>
                <w:sz w:val="20"/>
                <w:szCs w:val="20"/>
                <w:color w:val="auto"/>
              </w:rPr>
            </w:pPr>
            <w:r>
              <w:rPr>
                <w:rFonts w:ascii="Arial" w:cs="Arial" w:eastAsia="Arial" w:hAnsi="Arial"/>
                <w:sz w:val="16"/>
                <w:szCs w:val="16"/>
                <w:b w:val="1"/>
                <w:bCs w:val="1"/>
                <w:color w:val="auto"/>
              </w:rPr>
              <w:t>Wholesale Unit Shipment Forecast per RVIA</w:t>
            </w:r>
            <w:r>
              <w:rPr>
                <w:rFonts w:ascii="Arial" w:cs="Arial" w:eastAsia="Arial" w:hAnsi="Arial"/>
                <w:sz w:val="21"/>
                <w:szCs w:val="21"/>
                <w:b w:val="1"/>
                <w:bCs w:val="1"/>
                <w:color w:val="auto"/>
                <w:vertAlign w:val="superscript"/>
              </w:rPr>
              <w:t>(1)</w:t>
            </w:r>
          </w:p>
        </w:tc>
        <w:tc>
          <w:tcPr>
            <w:tcW w:w="1360" w:type="dxa"/>
            <w:vAlign w:val="bottom"/>
            <w:gridSpan w:val="2"/>
          </w:tcPr>
          <w:p>
            <w:pPr>
              <w:ind w:left="360"/>
              <w:spacing w:after="0"/>
              <w:rPr>
                <w:sz w:val="20"/>
                <w:szCs w:val="20"/>
                <w:color w:val="auto"/>
              </w:rPr>
            </w:pPr>
            <w:r>
              <w:rPr>
                <w:rFonts w:ascii="Arial" w:cs="Arial" w:eastAsia="Arial" w:hAnsi="Arial"/>
                <w:sz w:val="16"/>
                <w:szCs w:val="16"/>
                <w:b w:val="1"/>
                <w:bCs w:val="1"/>
                <w:color w:val="auto"/>
              </w:rPr>
              <w:t>Forecast</w:t>
            </w:r>
          </w:p>
        </w:tc>
        <w:tc>
          <w:tcPr>
            <w:tcW w:w="1340" w:type="dxa"/>
            <w:vAlign w:val="bottom"/>
            <w:gridSpan w:val="2"/>
          </w:tcPr>
          <w:p>
            <w:pPr>
              <w:ind w:left="440"/>
              <w:spacing w:after="0"/>
              <w:rPr>
                <w:sz w:val="20"/>
                <w:szCs w:val="20"/>
                <w:color w:val="auto"/>
              </w:rPr>
            </w:pPr>
            <w:r>
              <w:rPr>
                <w:rFonts w:ascii="Arial" w:cs="Arial" w:eastAsia="Arial" w:hAnsi="Arial"/>
                <w:sz w:val="16"/>
                <w:szCs w:val="16"/>
                <w:b w:val="1"/>
                <w:bCs w:val="1"/>
                <w:color w:val="auto"/>
              </w:rPr>
              <w:t>Actual</w:t>
            </w: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Unit Change</w:t>
            </w:r>
          </w:p>
        </w:tc>
        <w:tc>
          <w:tcPr>
            <w:tcW w:w="1260" w:type="dxa"/>
            <w:vAlign w:val="bottom"/>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6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Aggressive</w:t>
            </w:r>
          </w:p>
        </w:tc>
        <w:tc>
          <w:tcPr>
            <w:tcW w:w="12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475,500</w:t>
            </w:r>
          </w:p>
        </w:tc>
        <w:tc>
          <w:tcPr>
            <w:tcW w:w="12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483,700</w:t>
            </w:r>
          </w:p>
        </w:tc>
        <w:tc>
          <w:tcPr>
            <w:tcW w:w="10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(8,200)</w:t>
            </w:r>
          </w:p>
        </w:tc>
        <w:tc>
          <w:tcPr>
            <w:tcW w:w="100" w:type="dxa"/>
            <w:vAlign w:val="bottom"/>
            <w:tcBorders>
              <w:top w:val="single" w:sz="8" w:color="CCEEFF"/>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62"/>
        </w:trPr>
        <w:tc>
          <w:tcPr>
            <w:tcW w:w="6220" w:type="dxa"/>
            <w:vAlign w:val="bottom"/>
          </w:tcPr>
          <w:p>
            <w:pPr>
              <w:ind w:left="40"/>
              <w:spacing w:after="0"/>
              <w:rPr>
                <w:sz w:val="20"/>
                <w:szCs w:val="20"/>
                <w:color w:val="auto"/>
              </w:rPr>
            </w:pPr>
            <w:r>
              <w:rPr>
                <w:rFonts w:ascii="Arial" w:cs="Arial" w:eastAsia="Arial" w:hAnsi="Arial"/>
                <w:sz w:val="16"/>
                <w:szCs w:val="16"/>
                <w:color w:val="auto"/>
              </w:rPr>
              <w:t>Most likely</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460,100</w:t>
            </w:r>
          </w:p>
        </w:tc>
        <w:tc>
          <w:tcPr>
            <w:tcW w:w="12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483,700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(23,600)</w:t>
            </w: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78"/>
        </w:trPr>
        <w:tc>
          <w:tcPr>
            <w:tcW w:w="6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Conservative</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444,500</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483,700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(39,200)</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r>
    </w:tbl>
    <w:p>
      <w:pPr>
        <w:spacing w:after="0" w:line="41" w:lineRule="exact"/>
        <w:rPr>
          <w:sz w:val="20"/>
          <w:szCs w:val="20"/>
          <w:color w:val="auto"/>
        </w:rPr>
      </w:pPr>
    </w:p>
    <w:p>
      <w:pPr>
        <w:ind w:left="260" w:right="280" w:hanging="252"/>
        <w:spacing w:after="0" w:line="291" w:lineRule="auto"/>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Prepared by Dr. Richard Curtin of the University of Michigan Consumer Survey Research Center for RVIA and reported in the Roadsigns RV Spring 2019 Industry Forecast Issue.</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Share</w:t>
      </w:r>
    </w:p>
    <w:p>
      <w:pPr>
        <w:spacing w:after="0" w:line="264" w:lineRule="exact"/>
        <w:rPr>
          <w:sz w:val="20"/>
          <w:szCs w:val="20"/>
          <w:color w:val="auto"/>
        </w:rPr>
      </w:pPr>
    </w:p>
    <w:p>
      <w:pPr>
        <w:ind w:right="640"/>
        <w:spacing w:after="0" w:line="327" w:lineRule="auto"/>
        <w:rPr>
          <w:sz w:val="20"/>
          <w:szCs w:val="20"/>
          <w:color w:val="auto"/>
        </w:rPr>
      </w:pPr>
      <w:r>
        <w:rPr>
          <w:rFonts w:ascii="Arial" w:cs="Arial" w:eastAsia="Arial" w:hAnsi="Arial"/>
          <w:sz w:val="16"/>
          <w:szCs w:val="16"/>
          <w:color w:val="auto"/>
        </w:rPr>
        <w:t>Our retail unit market share, as reported by Stat Surveys based on state records, is illustrated below. Note that this data is subject to adjustment and is continuously updated.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40" w:type="dxa"/>
            <w:vAlign w:val="bottom"/>
          </w:tcPr>
          <w:p>
            <w:pPr>
              <w:spacing w:after="0"/>
              <w:rPr>
                <w:sz w:val="16"/>
                <w:szCs w:val="16"/>
                <w:color w:val="auto"/>
              </w:rPr>
            </w:pPr>
          </w:p>
        </w:tc>
        <w:tc>
          <w:tcPr>
            <w:tcW w:w="2780" w:type="dxa"/>
            <w:vAlign w:val="bottom"/>
            <w:gridSpan w:val="5"/>
          </w:tcPr>
          <w:p>
            <w:pPr>
              <w:jc w:val="center"/>
              <w:ind w:right="60"/>
              <w:spacing w:after="0"/>
              <w:rPr>
                <w:sz w:val="20"/>
                <w:szCs w:val="20"/>
                <w:color w:val="auto"/>
              </w:rPr>
            </w:pPr>
            <w:r>
              <w:rPr>
                <w:rFonts w:ascii="Arial" w:cs="Arial" w:eastAsia="Arial" w:hAnsi="Arial"/>
                <w:sz w:val="16"/>
                <w:szCs w:val="16"/>
                <w:b w:val="1"/>
                <w:bCs w:val="1"/>
                <w:color w:val="auto"/>
              </w:rPr>
              <w:t>Rolling 12 Months through</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2"/>
        </w:trPr>
        <w:tc>
          <w:tcPr>
            <w:tcW w:w="4540" w:type="dxa"/>
            <w:vAlign w:val="bottom"/>
          </w:tcPr>
          <w:p>
            <w:pPr>
              <w:spacing w:after="0"/>
              <w:rPr>
                <w:sz w:val="20"/>
                <w:szCs w:val="20"/>
                <w:color w:val="auto"/>
              </w:rPr>
            </w:pPr>
          </w:p>
        </w:tc>
        <w:tc>
          <w:tcPr>
            <w:tcW w:w="1760" w:type="dxa"/>
            <w:vAlign w:val="bottom"/>
            <w:tcBorders>
              <w:bottom w:val="single" w:sz="8" w:color="auto"/>
            </w:tcBorders>
            <w:gridSpan w:val="3"/>
          </w:tcPr>
          <w:p>
            <w:pPr>
              <w:jc w:val="center"/>
              <w:ind w:left="859"/>
              <w:spacing w:after="0"/>
              <w:rPr>
                <w:sz w:val="20"/>
                <w:szCs w:val="20"/>
                <w:color w:val="auto"/>
              </w:rPr>
            </w:pPr>
            <w:r>
              <w:rPr>
                <w:rFonts w:ascii="Arial" w:cs="Arial" w:eastAsia="Arial" w:hAnsi="Arial"/>
                <w:sz w:val="16"/>
                <w:szCs w:val="16"/>
                <w:b w:val="1"/>
                <w:bCs w:val="1"/>
                <w:color w:val="auto"/>
              </w:rPr>
              <w:t>January</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Calendar Year</w:t>
            </w:r>
          </w:p>
        </w:tc>
        <w:tc>
          <w:tcPr>
            <w:tcW w:w="1300" w:type="dxa"/>
            <w:vAlign w:val="bottom"/>
            <w:tcBorders>
              <w:bottom w:val="single" w:sz="8" w:color="auto"/>
            </w:tcBorders>
          </w:tcPr>
          <w:p>
            <w:pPr>
              <w:spacing w:after="0"/>
              <w:rPr>
                <w:sz w:val="20"/>
                <w:szCs w:val="20"/>
                <w:color w:val="auto"/>
              </w:rPr>
            </w:pPr>
          </w:p>
        </w:tc>
      </w:tr>
      <w:tr>
        <w:trPr>
          <w:trHeight w:val="267"/>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US and Canada</w:t>
            </w:r>
          </w:p>
        </w:tc>
        <w:tc>
          <w:tcPr>
            <w:tcW w:w="12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3"/>
                <w:szCs w:val="23"/>
                <w:color w:val="auto"/>
              </w:rPr>
            </w:pPr>
          </w:p>
        </w:tc>
        <w:tc>
          <w:tcPr>
            <w:tcW w:w="13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3"/>
                <w:szCs w:val="23"/>
                <w:color w:val="auto"/>
              </w:rPr>
            </w:pPr>
          </w:p>
        </w:tc>
        <w:tc>
          <w:tcPr>
            <w:tcW w:w="13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3"/>
                <w:szCs w:val="23"/>
                <w:color w:val="auto"/>
              </w:rPr>
            </w:pPr>
          </w:p>
        </w:tc>
        <w:tc>
          <w:tcPr>
            <w:tcW w:w="13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r>
              <w:rPr>
                <w:rFonts w:ascii="Arial" w:cs="Arial" w:eastAsia="Arial" w:hAnsi="Arial"/>
                <w:sz w:val="21"/>
                <w:szCs w:val="21"/>
                <w:b w:val="1"/>
                <w:bCs w:val="1"/>
                <w:color w:val="auto"/>
                <w:vertAlign w:val="superscript"/>
              </w:rPr>
              <w:t>(1)</w:t>
            </w:r>
          </w:p>
        </w:tc>
      </w:tr>
      <w:tr>
        <w:trPr>
          <w:trHeight w:val="250"/>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Motorhome A, B, C</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r>
      <w:tr>
        <w:trPr>
          <w:trHeight w:val="262"/>
        </w:trPr>
        <w:tc>
          <w:tcPr>
            <w:tcW w:w="4540" w:type="dxa"/>
            <w:vAlign w:val="bottom"/>
          </w:tcPr>
          <w:p>
            <w:pPr>
              <w:ind w:left="40"/>
              <w:spacing w:after="0"/>
              <w:rPr>
                <w:sz w:val="20"/>
                <w:szCs w:val="20"/>
                <w:color w:val="auto"/>
              </w:rPr>
            </w:pPr>
            <w:r>
              <w:rPr>
                <w:rFonts w:ascii="Arial" w:cs="Arial" w:eastAsia="Arial" w:hAnsi="Arial"/>
                <w:sz w:val="16"/>
                <w:szCs w:val="16"/>
                <w:color w:val="auto"/>
              </w:rPr>
              <w:t>Travel trailer and fifth wheels</w:t>
            </w:r>
          </w:p>
        </w:tc>
        <w:tc>
          <w:tcPr>
            <w:tcW w:w="128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78"/>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market share</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bl>
    <w:p>
      <w:pPr>
        <w:spacing w:after="0" w:line="41"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retail unit market share for Grand Design since its acquisition on November 8, 2016.</w:t>
      </w:r>
    </w:p>
    <w:p>
      <w:pPr>
        <w:spacing w:after="0" w:line="239" w:lineRule="exact"/>
        <w:rPr>
          <w:rFonts w:ascii="Arial" w:cs="Arial" w:eastAsia="Arial" w:hAnsi="Arial"/>
          <w:sz w:val="14"/>
          <w:szCs w:val="14"/>
          <w:color w:val="auto"/>
        </w:rPr>
      </w:pPr>
    </w:p>
    <w:p>
      <w:pPr>
        <w:ind w:left="5620"/>
        <w:spacing w:after="0"/>
        <w:rPr>
          <w:rFonts w:ascii="Arial" w:cs="Arial" w:eastAsia="Arial" w:hAnsi="Arial"/>
          <w:sz w:val="14"/>
          <w:szCs w:val="14"/>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Facility Expansion</w:t>
      </w:r>
    </w:p>
    <w:p>
      <w:pPr>
        <w:spacing w:after="0" w:line="196" w:lineRule="exact"/>
        <w:rPr>
          <w:sz w:val="20"/>
          <w:szCs w:val="20"/>
          <w:color w:val="auto"/>
        </w:rPr>
      </w:pPr>
    </w:p>
    <w:p>
      <w:pPr>
        <w:jc w:val="both"/>
        <w:ind w:right="80"/>
        <w:spacing w:after="0" w:line="269" w:lineRule="auto"/>
        <w:rPr>
          <w:sz w:val="20"/>
          <w:szCs w:val="20"/>
          <w:color w:val="auto"/>
        </w:rPr>
      </w:pPr>
      <w:r>
        <w:rPr>
          <w:rFonts w:ascii="Arial" w:cs="Arial" w:eastAsia="Arial" w:hAnsi="Arial"/>
          <w:sz w:val="16"/>
          <w:szCs w:val="16"/>
          <w:color w:val="auto"/>
        </w:rPr>
        <w:t>During Fiscal 2017, our Board of Directors approved two large facility expansion projects to increase production capacity in the fast growing Towable segment. The Grand Design expansion project consisted of two new production facilities, which were completed in Fiscal 2018. The facility expansion in the Winnebago towables division is expected to be completed in the third quarter of Fiscal 2019.</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Enterprise Resource Planning System</w:t>
      </w:r>
    </w:p>
    <w:p>
      <w:pPr>
        <w:spacing w:after="0" w:line="196"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In the second quarter of Fiscal 2015, our Board of Directors approved the strategic initiative of implementing an enterprise resource planning ("ERP") system to replace our legacy business applications. The new ERP platform will provide better support for our changing business needs and plans for future growth. Our initial cost estimates have grown for additional needs of the business, such as the opportunity to integrate the ERP system with additional manufacturing systems. The project includes software, external implementation assistance, and increased internal staffing directly related to this initiative. We anticipate that approximately 40% of the cost will be expensed in the period incurred and 60% will be capitalized and depreciated over its useful life.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illustrates the cumulative project costs: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40" w:type="dxa"/>
            <w:vAlign w:val="bottom"/>
          </w:tcPr>
          <w:p>
            <w:pPr>
              <w:spacing w:after="0"/>
              <w:rPr>
                <w:sz w:val="19"/>
                <w:szCs w:val="19"/>
                <w:color w:val="auto"/>
              </w:rPr>
            </w:pP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Six Months Ended</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Fiscal Year</w:t>
            </w: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196"/>
        </w:trPr>
        <w:tc>
          <w:tcPr>
            <w:tcW w:w="2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23,</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gridSpan w:val="3"/>
          </w:tcPr>
          <w:p>
            <w:pPr>
              <w:ind w:left="360"/>
              <w:spacing w:after="0"/>
              <w:rPr>
                <w:sz w:val="20"/>
                <w:szCs w:val="20"/>
                <w:color w:val="auto"/>
              </w:rPr>
            </w:pPr>
            <w:r>
              <w:rPr>
                <w:rFonts w:ascii="Arial" w:cs="Arial" w:eastAsia="Arial" w:hAnsi="Arial"/>
                <w:sz w:val="16"/>
                <w:szCs w:val="16"/>
                <w:b w:val="1"/>
                <w:bCs w:val="1"/>
                <w:color w:val="auto"/>
              </w:rPr>
              <w:t>Cumulative</w:t>
            </w:r>
          </w:p>
        </w:tc>
        <w:tc>
          <w:tcPr>
            <w:tcW w:w="640" w:type="dxa"/>
            <w:vAlign w:val="bottom"/>
          </w:tcPr>
          <w:p>
            <w:pPr>
              <w:spacing w:after="0"/>
              <w:rPr>
                <w:sz w:val="17"/>
                <w:szCs w:val="17"/>
                <w:color w:val="auto"/>
              </w:rPr>
            </w:pPr>
          </w:p>
        </w:tc>
      </w:tr>
      <w:tr>
        <w:trPr>
          <w:trHeight w:val="232"/>
        </w:trPr>
        <w:tc>
          <w:tcPr>
            <w:tcW w:w="2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ind w:left="380"/>
              <w:spacing w:after="0"/>
              <w:rPr>
                <w:sz w:val="20"/>
                <w:szCs w:val="20"/>
                <w:color w:val="auto"/>
              </w:rPr>
            </w:pPr>
            <w:r>
              <w:rPr>
                <w:rFonts w:ascii="Arial" w:cs="Arial" w:eastAsia="Arial" w:hAnsi="Arial"/>
                <w:sz w:val="16"/>
                <w:szCs w:val="16"/>
                <w:b w:val="1"/>
                <w:bCs w:val="1"/>
                <w:color w:val="auto"/>
              </w:rPr>
              <w:t>Investment</w:t>
            </w:r>
          </w:p>
        </w:tc>
        <w:tc>
          <w:tcPr>
            <w:tcW w:w="640" w:type="dxa"/>
            <w:vAlign w:val="bottom"/>
            <w:tcBorders>
              <w:bottom w:val="single" w:sz="8" w:color="auto"/>
            </w:tcBorders>
          </w:tcPr>
          <w:p>
            <w:pPr>
              <w:spacing w:after="0"/>
              <w:rPr>
                <w:sz w:val="20"/>
                <w:szCs w:val="20"/>
                <w:color w:val="auto"/>
              </w:rPr>
            </w:pPr>
          </w:p>
        </w:tc>
      </w:tr>
      <w:tr>
        <w:trPr>
          <w:trHeight w:val="267"/>
        </w:trPr>
        <w:tc>
          <w:tcPr>
            <w:tcW w:w="2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Capitalized</w:t>
            </w:r>
          </w:p>
        </w:tc>
        <w:tc>
          <w:tcPr>
            <w:tcW w:w="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2,563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5,941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1,881</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7,798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3,291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21,474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w:t>
            </w:r>
          </w:p>
        </w:tc>
      </w:tr>
      <w:tr>
        <w:trPr>
          <w:trHeight w:val="264"/>
        </w:trPr>
        <w:tc>
          <w:tcPr>
            <w:tcW w:w="2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Expensed</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2,107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2,601</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5,930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2,528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15,192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w:t>
            </w:r>
          </w:p>
        </w:tc>
      </w:tr>
      <w:tr>
        <w:trPr>
          <w:trHeight w:val="242"/>
        </w:trPr>
        <w:tc>
          <w:tcPr>
            <w:tcW w:w="2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8,048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4,482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13,728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5,819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36,666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2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Restructuring</w:t>
      </w:r>
    </w:p>
    <w:p>
      <w:pPr>
        <w:spacing w:after="0" w:line="196" w:lineRule="exact"/>
        <w:rPr>
          <w:sz w:val="20"/>
          <w:szCs w:val="20"/>
          <w:color w:val="auto"/>
        </w:rPr>
      </w:pPr>
    </w:p>
    <w:p>
      <w:pPr>
        <w:ind w:right="320"/>
        <w:spacing w:after="0" w:line="255" w:lineRule="auto"/>
        <w:rPr>
          <w:sz w:val="20"/>
          <w:szCs w:val="20"/>
          <w:color w:val="auto"/>
        </w:rPr>
      </w:pPr>
      <w:r>
        <w:rPr>
          <w:rFonts w:ascii="Arial" w:cs="Arial" w:eastAsia="Arial" w:hAnsi="Arial"/>
          <w:sz w:val="16"/>
          <w:szCs w:val="16"/>
          <w:color w:val="auto"/>
        </w:rPr>
        <w:t>On February 4, 2019, we announced our intent to move our diesel production from Junction City, OR to Forest City, IA to enable more effective product development and improve our cost structure. These restructuring activities resulted in pretax charges included within Selling, general, and administrative expenses of $0.2 million in the three and six months ended February 23, 2019. These expenses are included in our Motorhome segment. Included in these restructuring charges are primarily employee-related costs. We expect additional expenses of approximately $2.0 million in Fiscal 2019 and $1.0 million in Fiscal 2020, primarily related to employee and asset-related charges, and we expect these expenses to be partially offset by the corresponding savings generated by the project.</w:t>
      </w:r>
    </w:p>
    <w:p>
      <w:pPr>
        <w:spacing w:after="0" w:line="151"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We currently estimate that upon completion of this restructuring plan in Fiscal 2020, these actions will reduce annual costs by approximately $4.0 million, which is primarily due to lower employee-related costs, lower depreciation expense, and other manufacturing efficiencies. We expect a portion of these savings will be achieved in Fiscal 2019 and 2020, and the full annual benefit of these actions is expected in Fiscal 2021.</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 Current Quarter Compared to the Comparable Prior Year Quarter</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Consolidated Performance Summary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changes in key items included in the consolidated statements of income and comprehensive income for the three months ended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February 23, 2019 compared to the three months ended February 24, 2018: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4"/>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r>
      <w:tr>
        <w:trPr>
          <w:trHeight w:val="196"/>
        </w:trPr>
        <w:tc>
          <w:tcPr>
            <w:tcW w:w="246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percent</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24,</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6"/>
        </w:trPr>
        <w:tc>
          <w:tcPr>
            <w:tcW w:w="2460" w:type="dxa"/>
            <w:vAlign w:val="bottom"/>
          </w:tcPr>
          <w:p>
            <w:pPr>
              <w:ind w:left="40"/>
              <w:spacing w:after="0"/>
              <w:rPr>
                <w:sz w:val="20"/>
                <w:szCs w:val="20"/>
                <w:color w:val="auto"/>
              </w:rPr>
            </w:pPr>
            <w:r>
              <w:rPr>
                <w:rFonts w:ascii="Arial" w:cs="Arial" w:eastAsia="Arial" w:hAnsi="Arial"/>
                <w:sz w:val="16"/>
                <w:szCs w:val="16"/>
                <w:b w:val="1"/>
                <w:bCs w:val="1"/>
                <w:color w:val="auto"/>
              </w:rPr>
              <w:t>and per share data)</w:t>
            </w:r>
          </w:p>
        </w:tc>
        <w:tc>
          <w:tcPr>
            <w:tcW w:w="1620" w:type="dxa"/>
            <w:vAlign w:val="bottom"/>
            <w:gridSpan w:val="3"/>
          </w:tcPr>
          <w:p>
            <w:pPr>
              <w:ind w:left="80"/>
              <w:spacing w:after="0"/>
              <w:rPr>
                <w:sz w:val="20"/>
                <w:szCs w:val="20"/>
                <w:color w:val="auto"/>
              </w:rPr>
            </w:pPr>
            <w:r>
              <w:rPr>
                <w:rFonts w:ascii="Arial" w:cs="Arial" w:eastAsia="Arial" w:hAnsi="Arial"/>
                <w:sz w:val="16"/>
                <w:szCs w:val="16"/>
                <w:b w:val="1"/>
                <w:bCs w:val="1"/>
                <w:color w:val="auto"/>
              </w:rPr>
              <w:t>February 23, 2019</w:t>
            </w:r>
          </w:p>
        </w:tc>
        <w:tc>
          <w:tcPr>
            <w:tcW w:w="1560" w:type="dxa"/>
            <w:vAlign w:val="bottom"/>
            <w:gridSpan w:val="2"/>
          </w:tcPr>
          <w:p>
            <w:pPr>
              <w:ind w:left="80"/>
              <w:spacing w:after="0" w:line="236"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60" w:type="dxa"/>
            <w:vAlign w:val="bottom"/>
          </w:tcPr>
          <w:p>
            <w:pPr>
              <w:spacing w:after="0"/>
              <w:rPr>
                <w:sz w:val="20"/>
                <w:szCs w:val="20"/>
                <w:color w:val="auto"/>
              </w:rPr>
            </w:pPr>
          </w:p>
        </w:tc>
        <w:tc>
          <w:tcPr>
            <w:tcW w:w="1240" w:type="dxa"/>
            <w:vAlign w:val="bottom"/>
          </w:tcPr>
          <w:p>
            <w:pPr>
              <w:ind w:left="36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500" w:type="dxa"/>
            <w:vAlign w:val="bottom"/>
            <w:gridSpan w:val="2"/>
          </w:tcPr>
          <w:p>
            <w:pPr>
              <w:ind w:left="40"/>
              <w:spacing w:after="0" w:line="236"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1480" w:type="dxa"/>
            <w:vAlign w:val="bottom"/>
          </w:tcPr>
          <w:p>
            <w:pPr>
              <w:jc w:val="right"/>
              <w:ind w:right="27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24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432,690</w:t>
            </w:r>
          </w:p>
        </w:tc>
        <w:tc>
          <w:tcPr>
            <w:tcW w:w="10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468,359</w:t>
            </w:r>
          </w:p>
        </w:tc>
        <w:tc>
          <w:tcPr>
            <w:tcW w:w="12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(35,669)</w:t>
            </w:r>
          </w:p>
        </w:tc>
        <w:tc>
          <w:tcPr>
            <w:tcW w:w="12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(7.6)%</w:t>
            </w:r>
          </w:p>
        </w:tc>
      </w:tr>
      <w:tr>
        <w:trPr>
          <w:trHeight w:val="264"/>
        </w:trPr>
        <w:tc>
          <w:tcPr>
            <w:tcW w:w="24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366,261</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84.6 %</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400,698</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85.6%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(34,437)</w:t>
            </w:r>
          </w:p>
        </w:tc>
        <w:tc>
          <w:tcPr>
            <w:tcW w:w="12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(8.6)%</w:t>
            </w:r>
          </w:p>
        </w:tc>
      </w:tr>
      <w:tr>
        <w:trPr>
          <w:trHeight w:val="257"/>
        </w:trPr>
        <w:tc>
          <w:tcPr>
            <w:tcW w:w="2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4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66,429</w:t>
            </w:r>
          </w:p>
        </w:tc>
        <w:tc>
          <w:tcPr>
            <w:tcW w:w="100" w:type="dxa"/>
            <w:vAlign w:val="bottom"/>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15.4 %</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67,661</w:t>
            </w:r>
          </w:p>
        </w:tc>
        <w:tc>
          <w:tcPr>
            <w:tcW w:w="120" w:type="dxa"/>
            <w:vAlign w:val="bottom"/>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(1,232)</w:t>
            </w:r>
          </w:p>
        </w:tc>
        <w:tc>
          <w:tcPr>
            <w:tcW w:w="12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r>
      <w:tr>
        <w:trPr>
          <w:trHeight w:val="178"/>
        </w:trPr>
        <w:tc>
          <w:tcPr>
            <w:tcW w:w="2460" w:type="dxa"/>
            <w:vAlign w:val="bottom"/>
          </w:tcPr>
          <w:p>
            <w:pPr>
              <w:ind w:left="40"/>
              <w:spacing w:after="0" w:line="178" w:lineRule="exact"/>
              <w:rPr>
                <w:sz w:val="20"/>
                <w:szCs w:val="20"/>
                <w:color w:val="auto"/>
              </w:rPr>
            </w:pPr>
            <w:r>
              <w:rPr>
                <w:rFonts w:ascii="Arial" w:cs="Arial" w:eastAsia="Arial" w:hAnsi="Arial"/>
                <w:sz w:val="16"/>
                <w:szCs w:val="16"/>
                <w:color w:val="auto"/>
              </w:rPr>
              <w:t>Selling, general, and</w:t>
            </w: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26"/>
        </w:trPr>
        <w:tc>
          <w:tcPr>
            <w:tcW w:w="2460" w:type="dxa"/>
            <w:vAlign w:val="bottom"/>
          </w:tcPr>
          <w:p>
            <w:pPr>
              <w:ind w:left="40"/>
              <w:spacing w:after="0"/>
              <w:rPr>
                <w:sz w:val="20"/>
                <w:szCs w:val="20"/>
                <w:color w:val="auto"/>
              </w:rPr>
            </w:pPr>
            <w:r>
              <w:rPr>
                <w:rFonts w:ascii="Arial" w:cs="Arial" w:eastAsia="Arial" w:hAnsi="Arial"/>
                <w:sz w:val="16"/>
                <w:szCs w:val="16"/>
                <w:color w:val="auto"/>
              </w:rPr>
              <w:t>administrative expenses</w:t>
            </w:r>
          </w:p>
        </w:tc>
        <w:tc>
          <w:tcPr>
            <w:tcW w:w="420" w:type="dxa"/>
            <w:vAlign w:val="bottom"/>
          </w:tcPr>
          <w:p>
            <w:pPr>
              <w:spacing w:after="0"/>
              <w:rPr>
                <w:sz w:val="19"/>
                <w:szCs w:val="19"/>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35,259</w:t>
            </w:r>
          </w:p>
        </w:tc>
        <w:tc>
          <w:tcPr>
            <w:tcW w:w="100" w:type="dxa"/>
            <w:vAlign w:val="bottom"/>
          </w:tcPr>
          <w:p>
            <w:pPr>
              <w:spacing w:after="0"/>
              <w:rPr>
                <w:sz w:val="19"/>
                <w:szCs w:val="19"/>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8.1 %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30,477</w:t>
            </w:r>
          </w:p>
        </w:tc>
        <w:tc>
          <w:tcPr>
            <w:tcW w:w="120" w:type="dxa"/>
            <w:vAlign w:val="bottom"/>
          </w:tcPr>
          <w:p>
            <w:pPr>
              <w:spacing w:after="0"/>
              <w:rPr>
                <w:sz w:val="19"/>
                <w:szCs w:val="19"/>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4,782</w:t>
            </w:r>
          </w:p>
        </w:tc>
        <w:tc>
          <w:tcPr>
            <w:tcW w:w="120" w:type="dxa"/>
            <w:vAlign w:val="bottom"/>
          </w:tcPr>
          <w:p>
            <w:pPr>
              <w:spacing w:after="0"/>
              <w:rPr>
                <w:sz w:val="19"/>
                <w:szCs w:val="19"/>
                <w:color w:val="auto"/>
              </w:rPr>
            </w:pPr>
          </w:p>
        </w:tc>
        <w:tc>
          <w:tcPr>
            <w:tcW w:w="1480" w:type="dxa"/>
            <w:vAlign w:val="bottom"/>
          </w:tcPr>
          <w:p>
            <w:pPr>
              <w:jc w:val="right"/>
              <w:ind w:right="99"/>
              <w:spacing w:after="0"/>
              <w:rPr>
                <w:sz w:val="20"/>
                <w:szCs w:val="20"/>
                <w:color w:val="auto"/>
              </w:rPr>
            </w:pPr>
            <w:r>
              <w:rPr>
                <w:rFonts w:ascii="Arial" w:cs="Arial" w:eastAsia="Arial" w:hAnsi="Arial"/>
                <w:sz w:val="16"/>
                <w:szCs w:val="16"/>
                <w:color w:val="auto"/>
              </w:rPr>
              <w:t>15.7 %</w:t>
            </w:r>
          </w:p>
        </w:tc>
      </w:tr>
      <w:tr>
        <w:trPr>
          <w:trHeight w:val="271"/>
        </w:trPr>
        <w:tc>
          <w:tcPr>
            <w:tcW w:w="2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w:t>
            </w:r>
          </w:p>
        </w:tc>
        <w:tc>
          <w:tcPr>
            <w:tcW w:w="4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2,267</w:t>
            </w:r>
          </w:p>
        </w:tc>
        <w:tc>
          <w:tcPr>
            <w:tcW w:w="100" w:type="dxa"/>
            <w:vAlign w:val="bottom"/>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0.5 %</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1,933</w:t>
            </w:r>
          </w:p>
        </w:tc>
        <w:tc>
          <w:tcPr>
            <w:tcW w:w="12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334</w:t>
            </w:r>
          </w:p>
        </w:tc>
        <w:tc>
          <w:tcPr>
            <w:tcW w:w="12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17.3 %</w:t>
            </w:r>
          </w:p>
        </w:tc>
      </w:tr>
      <w:tr>
        <w:trPr>
          <w:trHeight w:val="249"/>
        </w:trPr>
        <w:tc>
          <w:tcPr>
            <w:tcW w:w="2460" w:type="dxa"/>
            <w:vAlign w:val="bottom"/>
          </w:tcPr>
          <w:p>
            <w:pPr>
              <w:ind w:left="40"/>
              <w:spacing w:after="0"/>
              <w:rPr>
                <w:sz w:val="20"/>
                <w:szCs w:val="20"/>
                <w:color w:val="auto"/>
              </w:rPr>
            </w:pPr>
            <w:r>
              <w:rPr>
                <w:rFonts w:ascii="Arial" w:cs="Arial" w:eastAsia="Arial" w:hAnsi="Arial"/>
                <w:sz w:val="16"/>
                <w:szCs w:val="16"/>
                <w:color w:val="auto"/>
              </w:rPr>
              <w:t>Total operating expenses</w:t>
            </w:r>
          </w:p>
        </w:tc>
        <w:tc>
          <w:tcPr>
            <w:tcW w:w="420" w:type="dxa"/>
            <w:vAlign w:val="bottom"/>
          </w:tcPr>
          <w:p>
            <w:pPr>
              <w:spacing w:after="0"/>
              <w:rPr>
                <w:sz w:val="21"/>
                <w:szCs w:val="21"/>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37,526</w:t>
            </w:r>
          </w:p>
        </w:tc>
        <w:tc>
          <w:tcPr>
            <w:tcW w:w="100" w:type="dxa"/>
            <w:vAlign w:val="bottom"/>
          </w:tcPr>
          <w:p>
            <w:pPr>
              <w:spacing w:after="0"/>
              <w:rPr>
                <w:sz w:val="21"/>
                <w:szCs w:val="21"/>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8.7 %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32,410</w:t>
            </w:r>
          </w:p>
        </w:tc>
        <w:tc>
          <w:tcPr>
            <w:tcW w:w="120" w:type="dxa"/>
            <w:vAlign w:val="bottom"/>
          </w:tcPr>
          <w:p>
            <w:pPr>
              <w:spacing w:after="0"/>
              <w:rPr>
                <w:sz w:val="21"/>
                <w:szCs w:val="21"/>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5,116</w:t>
            </w:r>
          </w:p>
        </w:tc>
        <w:tc>
          <w:tcPr>
            <w:tcW w:w="120" w:type="dxa"/>
            <w:vAlign w:val="bottom"/>
          </w:tcPr>
          <w:p>
            <w:pPr>
              <w:spacing w:after="0"/>
              <w:rPr>
                <w:sz w:val="21"/>
                <w:szCs w:val="21"/>
                <w:color w:val="auto"/>
              </w:rPr>
            </w:pPr>
          </w:p>
        </w:tc>
        <w:tc>
          <w:tcPr>
            <w:tcW w:w="1480" w:type="dxa"/>
            <w:vAlign w:val="bottom"/>
          </w:tcPr>
          <w:p>
            <w:pPr>
              <w:jc w:val="right"/>
              <w:ind w:right="99"/>
              <w:spacing w:after="0"/>
              <w:rPr>
                <w:sz w:val="20"/>
                <w:szCs w:val="20"/>
                <w:color w:val="auto"/>
              </w:rPr>
            </w:pPr>
            <w:r>
              <w:rPr>
                <w:rFonts w:ascii="Arial" w:cs="Arial" w:eastAsia="Arial" w:hAnsi="Arial"/>
                <w:sz w:val="16"/>
                <w:szCs w:val="16"/>
                <w:color w:val="auto"/>
              </w:rPr>
              <w:t>15.8 %</w:t>
            </w:r>
          </w:p>
        </w:tc>
      </w:tr>
      <w:tr>
        <w:trPr>
          <w:trHeight w:val="278"/>
        </w:trPr>
        <w:tc>
          <w:tcPr>
            <w:tcW w:w="2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4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28,903</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6.7 %</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35,251</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(6,348)</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(18.0)%</w:t>
            </w:r>
          </w:p>
        </w:tc>
      </w:tr>
      <w:tr>
        <w:trPr>
          <w:trHeight w:val="262"/>
        </w:trPr>
        <w:tc>
          <w:tcPr>
            <w:tcW w:w="24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420" w:type="dxa"/>
            <w:vAlign w:val="bottom"/>
          </w:tcPr>
          <w:p>
            <w:pPr>
              <w:spacing w:after="0"/>
              <w:rPr>
                <w:sz w:val="22"/>
                <w:szCs w:val="22"/>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4,346</w:t>
            </w:r>
          </w:p>
        </w:tc>
        <w:tc>
          <w:tcPr>
            <w:tcW w:w="100" w:type="dxa"/>
            <w:vAlign w:val="bottom"/>
          </w:tcPr>
          <w:p>
            <w:pPr>
              <w:spacing w:after="0"/>
              <w:rPr>
                <w:sz w:val="22"/>
                <w:szCs w:val="22"/>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4,918</w:t>
            </w:r>
          </w:p>
        </w:tc>
        <w:tc>
          <w:tcPr>
            <w:tcW w:w="120" w:type="dxa"/>
            <w:vAlign w:val="bottom"/>
          </w:tcPr>
          <w:p>
            <w:pPr>
              <w:spacing w:after="0"/>
              <w:rPr>
                <w:sz w:val="22"/>
                <w:szCs w:val="22"/>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(572)</w:t>
            </w:r>
          </w:p>
        </w:tc>
        <w:tc>
          <w:tcPr>
            <w:tcW w:w="120" w:type="dxa"/>
            <w:vAlign w:val="bottom"/>
          </w:tcPr>
          <w:p>
            <w:pPr>
              <w:spacing w:after="0"/>
              <w:rPr>
                <w:sz w:val="22"/>
                <w:szCs w:val="22"/>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(11.6)%</w:t>
            </w:r>
          </w:p>
        </w:tc>
      </w:tr>
      <w:tr>
        <w:trPr>
          <w:trHeight w:val="271"/>
        </w:trPr>
        <w:tc>
          <w:tcPr>
            <w:tcW w:w="2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 expense</w:t>
            </w:r>
          </w:p>
        </w:tc>
        <w:tc>
          <w:tcPr>
            <w:tcW w:w="4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 %</w:t>
            </w: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218</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1,981.8 %</w:t>
            </w:r>
          </w:p>
        </w:tc>
      </w:tr>
      <w:tr>
        <w:trPr>
          <w:trHeight w:val="249"/>
        </w:trPr>
        <w:tc>
          <w:tcPr>
            <w:tcW w:w="246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4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24,764</w:t>
            </w:r>
          </w:p>
        </w:tc>
        <w:tc>
          <w:tcPr>
            <w:tcW w:w="100" w:type="dxa"/>
            <w:vAlign w:val="bottom"/>
          </w:tcPr>
          <w:p>
            <w:pPr>
              <w:spacing w:after="0"/>
              <w:rPr>
                <w:sz w:val="21"/>
                <w:szCs w:val="21"/>
                <w:color w:val="auto"/>
              </w:rPr>
            </w:pPr>
          </w:p>
        </w:tc>
        <w:tc>
          <w:tcPr>
            <w:tcW w:w="14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5.7 %</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30,322</w:t>
            </w:r>
          </w:p>
        </w:tc>
        <w:tc>
          <w:tcPr>
            <w:tcW w:w="120" w:type="dxa"/>
            <w:vAlign w:val="bottom"/>
          </w:tcPr>
          <w:p>
            <w:pPr>
              <w:spacing w:after="0"/>
              <w:rPr>
                <w:sz w:val="21"/>
                <w:szCs w:val="21"/>
                <w:color w:val="auto"/>
              </w:rPr>
            </w:pPr>
          </w:p>
        </w:tc>
        <w:tc>
          <w:tcPr>
            <w:tcW w:w="13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(5,558)</w:t>
            </w:r>
          </w:p>
        </w:tc>
        <w:tc>
          <w:tcPr>
            <w:tcW w:w="120" w:type="dxa"/>
            <w:vAlign w:val="bottom"/>
          </w:tcPr>
          <w:p>
            <w:pPr>
              <w:spacing w:after="0"/>
              <w:rPr>
                <w:sz w:val="21"/>
                <w:szCs w:val="21"/>
                <w:color w:val="auto"/>
              </w:rPr>
            </w:pPr>
          </w:p>
        </w:tc>
        <w:tc>
          <w:tcPr>
            <w:tcW w:w="14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(18.3)%</w:t>
            </w:r>
          </w:p>
        </w:tc>
      </w:tr>
      <w:tr>
        <w:trPr>
          <w:trHeight w:val="271"/>
        </w:trPr>
        <w:tc>
          <w:tcPr>
            <w:tcW w:w="2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4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3,166</w:t>
            </w:r>
          </w:p>
        </w:tc>
        <w:tc>
          <w:tcPr>
            <w:tcW w:w="100" w:type="dxa"/>
            <w:vAlign w:val="bottom"/>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0.7 %</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8,234</w:t>
            </w:r>
          </w:p>
        </w:tc>
        <w:tc>
          <w:tcPr>
            <w:tcW w:w="12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(5,068)</w:t>
            </w:r>
          </w:p>
        </w:tc>
        <w:tc>
          <w:tcPr>
            <w:tcW w:w="12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(61.5)%</w:t>
            </w:r>
          </w:p>
        </w:tc>
      </w:tr>
      <w:tr>
        <w:trPr>
          <w:trHeight w:val="282"/>
        </w:trPr>
        <w:tc>
          <w:tcPr>
            <w:tcW w:w="24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21,598</w:t>
            </w:r>
          </w:p>
        </w:tc>
        <w:tc>
          <w:tcPr>
            <w:tcW w:w="100" w:type="dxa"/>
            <w:vAlign w:val="bottom"/>
            <w:tcBorders>
              <w:bottom w:val="single" w:sz="8" w:color="CCEEFF"/>
            </w:tcBorders>
          </w:tcPr>
          <w:p>
            <w:pPr>
              <w:spacing w:after="0"/>
              <w:rPr>
                <w:sz w:val="24"/>
                <w:szCs w:val="24"/>
                <w:color w:val="auto"/>
              </w:rPr>
            </w:pP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5.0 %</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22,088</w:t>
            </w:r>
          </w:p>
        </w:tc>
        <w:tc>
          <w:tcPr>
            <w:tcW w:w="12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(490)</w:t>
            </w:r>
          </w:p>
        </w:tc>
        <w:tc>
          <w:tcPr>
            <w:tcW w:w="12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(2.2)%</w:t>
            </w:r>
          </w:p>
        </w:tc>
      </w:tr>
      <w:tr>
        <w:trPr>
          <w:trHeight w:val="279"/>
        </w:trPr>
        <w:tc>
          <w:tcPr>
            <w:tcW w:w="24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62"/>
        </w:trPr>
        <w:tc>
          <w:tcPr>
            <w:tcW w:w="2460" w:type="dxa"/>
            <w:vAlign w:val="bottom"/>
          </w:tcPr>
          <w:p>
            <w:pPr>
              <w:ind w:left="40"/>
              <w:spacing w:after="0"/>
              <w:rPr>
                <w:sz w:val="20"/>
                <w:szCs w:val="20"/>
                <w:color w:val="auto"/>
              </w:rPr>
            </w:pPr>
            <w:r>
              <w:rPr>
                <w:rFonts w:ascii="Arial" w:cs="Arial" w:eastAsia="Arial" w:hAnsi="Arial"/>
                <w:sz w:val="16"/>
                <w:szCs w:val="16"/>
                <w:color w:val="auto"/>
              </w:rPr>
              <w:t>Diluted income per share</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0.68</w:t>
            </w: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0.69</w:t>
            </w: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2"/>
                <w:szCs w:val="22"/>
                <w:color w:val="auto"/>
              </w:rPr>
            </w:pP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(1.4)%</w:t>
            </w:r>
          </w:p>
        </w:tc>
      </w:tr>
      <w:tr>
        <w:trPr>
          <w:trHeight w:val="206"/>
        </w:trPr>
        <w:tc>
          <w:tcPr>
            <w:tcW w:w="2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average shares</w:t>
            </w: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34"/>
        </w:trPr>
        <w:tc>
          <w:tcPr>
            <w:tcW w:w="2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outstanding</w:t>
            </w: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31,724</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31,854</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(130)</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(0.4)%</w:t>
            </w:r>
          </w:p>
        </w:tc>
      </w:tr>
    </w:tbl>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(1) Percentages may not add due to rounding differences.</w:t>
      </w:r>
    </w:p>
    <w:p>
      <w:pPr>
        <w:spacing w:after="0" w:line="185"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Net revenues decreased in the second quarter of Fiscal 2019 compared to the second quarter of Fiscal 2018 primarily due to declines in volume, partially offset by the acquisition of Chris-Craft in the fourth quarter of Fiscal 2018.</w:t>
      </w:r>
    </w:p>
    <w:p>
      <w:pPr>
        <w:spacing w:after="0" w:line="121"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Gross profit as a percentage of revenue increased in the second quarter of Fiscal 2019 compared to the second quarter of Fiscal 2018 driven by revenue mix, pricing, and Motorhome segment operational improvements. This was partially offset by margin pressure from inflationary cost increases and heightened dealer incentives across all segments.</w:t>
      </w:r>
    </w:p>
    <w:p>
      <w:pPr>
        <w:spacing w:after="0" w:line="138" w:lineRule="exact"/>
        <w:rPr>
          <w:sz w:val="20"/>
          <w:szCs w:val="20"/>
          <w:color w:val="auto"/>
        </w:rPr>
      </w:pPr>
    </w:p>
    <w:p>
      <w:pPr>
        <w:ind w:right="600"/>
        <w:spacing w:after="0" w:line="291" w:lineRule="auto"/>
        <w:rPr>
          <w:sz w:val="20"/>
          <w:szCs w:val="20"/>
          <w:color w:val="auto"/>
        </w:rPr>
      </w:pPr>
      <w:r>
        <w:rPr>
          <w:rFonts w:ascii="Arial" w:cs="Arial" w:eastAsia="Arial" w:hAnsi="Arial"/>
          <w:sz w:val="16"/>
          <w:szCs w:val="16"/>
          <w:color w:val="auto"/>
        </w:rPr>
        <w:t>Operating expenses increased in the second quarter of Fiscal 2019 compared to the second quarter of Fiscal 2018 due to increased investments in our business as well as an increase in professional fees.</w:t>
      </w:r>
    </w:p>
    <w:p>
      <w:pPr>
        <w:spacing w:after="0" w:line="121"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The effective tax rate decreased to 12.8% for the second quarter of Fiscal 2019 compared to 27.2% for the second quarter of Fiscal 2018 due primarily to $2.5 million in certain favorable discrete items, primarily due to R&amp;D-related tax credits, realized in the current period and the enactment of the 2017 Tax Cuts and Jobs Act ("Tax Act") on December 22, 2017. The reduction related to the enactment of the Tax Act is primarily attributable to the reduction in the Federal tax rate to 21%.</w:t>
      </w:r>
    </w:p>
    <w:p>
      <w:pPr>
        <w:spacing w:after="0" w:line="145" w:lineRule="exact"/>
        <w:rPr>
          <w:sz w:val="20"/>
          <w:szCs w:val="20"/>
          <w:color w:val="auto"/>
        </w:rPr>
      </w:pPr>
    </w:p>
    <w:p>
      <w:pPr>
        <w:ind w:right="480"/>
        <w:spacing w:after="0" w:line="291" w:lineRule="auto"/>
        <w:rPr>
          <w:sz w:val="20"/>
          <w:szCs w:val="20"/>
          <w:color w:val="auto"/>
        </w:rPr>
      </w:pPr>
      <w:r>
        <w:rPr>
          <w:rFonts w:ascii="Arial" w:cs="Arial" w:eastAsia="Arial" w:hAnsi="Arial"/>
          <w:sz w:val="16"/>
          <w:szCs w:val="16"/>
          <w:color w:val="auto"/>
        </w:rPr>
        <w:t>Net income and diluted income per share decreased in the second quarter of Fiscal 2019 compared to the second quarter of Fiscal 2018 primarily due to decreased sales and increased operating expenses, partially offset by a lower effective tax rate.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Reconciliation</w:t>
      </w:r>
    </w:p>
    <w:p>
      <w:pPr>
        <w:spacing w:after="0" w:line="194" w:lineRule="exact"/>
        <w:rPr>
          <w:sz w:val="20"/>
          <w:szCs w:val="20"/>
          <w:color w:val="auto"/>
        </w:rPr>
      </w:pPr>
    </w:p>
    <w:p>
      <w:pPr>
        <w:ind w:right="420"/>
        <w:spacing w:after="0" w:line="291" w:lineRule="auto"/>
        <w:rPr>
          <w:sz w:val="20"/>
          <w:szCs w:val="20"/>
          <w:color w:val="auto"/>
        </w:rPr>
      </w:pPr>
      <w:r>
        <w:rPr>
          <w:rFonts w:ascii="Arial" w:cs="Arial" w:eastAsia="Arial" w:hAnsi="Arial"/>
          <w:sz w:val="16"/>
          <w:szCs w:val="16"/>
          <w:color w:val="auto"/>
        </w:rPr>
        <w:t>The following table reconciles net income to consolidated EBITDA and Adjusted EBITDA for the three months ended February 23, 2019 and February 24, 2018:</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7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6"/>
                <w:szCs w:val="16"/>
                <w:b w:val="1"/>
                <w:bCs w:val="1"/>
                <w:color w:val="auto"/>
              </w:rPr>
              <w:t>Three Months Ended</w:t>
            </w:r>
          </w:p>
        </w:tc>
      </w:tr>
      <w:tr>
        <w:trPr>
          <w:trHeight w:val="193"/>
        </w:trPr>
        <w:tc>
          <w:tcPr>
            <w:tcW w:w="7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gridSpan w:val="2"/>
          </w:tcPr>
          <w:p>
            <w:pPr>
              <w:ind w:left="160"/>
              <w:spacing w:after="0"/>
              <w:rPr>
                <w:sz w:val="20"/>
                <w:szCs w:val="20"/>
                <w:color w:val="auto"/>
              </w:rPr>
            </w:pPr>
            <w:r>
              <w:rPr>
                <w:rFonts w:ascii="Arial" w:cs="Arial" w:eastAsia="Arial" w:hAnsi="Arial"/>
                <w:sz w:val="16"/>
                <w:szCs w:val="16"/>
                <w:b w:val="1"/>
                <w:bCs w:val="1"/>
                <w:color w:val="auto"/>
              </w:rPr>
              <w:t>February 23,</w:t>
            </w:r>
          </w:p>
        </w:tc>
        <w:tc>
          <w:tcPr>
            <w:tcW w:w="220" w:type="dxa"/>
            <w:vAlign w:val="bottom"/>
          </w:tcPr>
          <w:p>
            <w:pPr>
              <w:spacing w:after="0"/>
              <w:rPr>
                <w:sz w:val="16"/>
                <w:szCs w:val="16"/>
                <w:color w:val="auto"/>
              </w:rPr>
            </w:pPr>
          </w:p>
        </w:tc>
        <w:tc>
          <w:tcPr>
            <w:tcW w:w="1460" w:type="dxa"/>
            <w:vAlign w:val="bottom"/>
          </w:tcPr>
          <w:p>
            <w:pPr>
              <w:jc w:val="right"/>
              <w:ind w:right="299"/>
              <w:spacing w:after="0"/>
              <w:rPr>
                <w:sz w:val="20"/>
                <w:szCs w:val="20"/>
                <w:color w:val="auto"/>
              </w:rPr>
            </w:pPr>
            <w:r>
              <w:rPr>
                <w:rFonts w:ascii="Arial" w:cs="Arial" w:eastAsia="Arial" w:hAnsi="Arial"/>
                <w:sz w:val="16"/>
                <w:szCs w:val="16"/>
                <w:b w:val="1"/>
                <w:bCs w:val="1"/>
                <w:color w:val="auto"/>
              </w:rPr>
              <w:t>February 24,</w:t>
            </w:r>
          </w:p>
        </w:tc>
      </w:tr>
      <w:tr>
        <w:trPr>
          <w:trHeight w:val="232"/>
        </w:trPr>
        <w:tc>
          <w:tcPr>
            <w:tcW w:w="77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2018</w:t>
            </w:r>
          </w:p>
        </w:tc>
      </w:tr>
      <w:tr>
        <w:trPr>
          <w:trHeight w:val="254"/>
        </w:trPr>
        <w:tc>
          <w:tcPr>
            <w:tcW w:w="7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21,598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22,088</w:t>
            </w:r>
          </w:p>
        </w:tc>
      </w:tr>
      <w:tr>
        <w:trPr>
          <w:trHeight w:val="262"/>
        </w:trPr>
        <w:tc>
          <w:tcPr>
            <w:tcW w:w="772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22"/>
                <w:szCs w:val="22"/>
                <w:color w:val="auto"/>
              </w:rPr>
            </w:pPr>
          </w:p>
        </w:tc>
        <w:tc>
          <w:tcPr>
            <w:tcW w:w="1620" w:type="dxa"/>
            <w:vAlign w:val="bottom"/>
          </w:tcPr>
          <w:p>
            <w:pPr>
              <w:jc w:val="right"/>
              <w:ind w:right="239"/>
              <w:spacing w:after="0"/>
              <w:rPr>
                <w:sz w:val="20"/>
                <w:szCs w:val="20"/>
                <w:color w:val="auto"/>
              </w:rPr>
            </w:pPr>
            <w:r>
              <w:rPr>
                <w:rFonts w:ascii="Arial" w:cs="Arial" w:eastAsia="Arial" w:hAnsi="Arial"/>
                <w:sz w:val="16"/>
                <w:szCs w:val="16"/>
                <w:color w:val="auto"/>
              </w:rPr>
              <w:t>4,346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4,918</w:t>
            </w:r>
          </w:p>
        </w:tc>
      </w:tr>
      <w:tr>
        <w:trPr>
          <w:trHeight w:val="278"/>
        </w:trPr>
        <w:tc>
          <w:tcPr>
            <w:tcW w:w="7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3,166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8,234</w:t>
            </w:r>
          </w:p>
        </w:tc>
      </w:tr>
      <w:tr>
        <w:trPr>
          <w:trHeight w:val="262"/>
        </w:trPr>
        <w:tc>
          <w:tcPr>
            <w:tcW w:w="7720" w:type="dxa"/>
            <w:vAlign w:val="bottom"/>
          </w:tcPr>
          <w:p>
            <w:pPr>
              <w:ind w:left="40"/>
              <w:spacing w:after="0"/>
              <w:rPr>
                <w:sz w:val="20"/>
                <w:szCs w:val="20"/>
                <w:color w:val="auto"/>
              </w:rPr>
            </w:pPr>
            <w:r>
              <w:rPr>
                <w:rFonts w:ascii="Arial" w:cs="Arial" w:eastAsia="Arial" w:hAnsi="Arial"/>
                <w:sz w:val="16"/>
                <w:szCs w:val="16"/>
                <w:color w:val="auto"/>
              </w:rPr>
              <w:t>Depreciation</w:t>
            </w:r>
          </w:p>
        </w:tc>
        <w:tc>
          <w:tcPr>
            <w:tcW w:w="280" w:type="dxa"/>
            <w:vAlign w:val="bottom"/>
          </w:tcPr>
          <w:p>
            <w:pPr>
              <w:spacing w:after="0"/>
              <w:rPr>
                <w:sz w:val="22"/>
                <w:szCs w:val="22"/>
                <w:color w:val="auto"/>
              </w:rPr>
            </w:pPr>
          </w:p>
        </w:tc>
        <w:tc>
          <w:tcPr>
            <w:tcW w:w="1620" w:type="dxa"/>
            <w:vAlign w:val="bottom"/>
          </w:tcPr>
          <w:p>
            <w:pPr>
              <w:jc w:val="right"/>
              <w:ind w:right="239"/>
              <w:spacing w:after="0"/>
              <w:rPr>
                <w:sz w:val="20"/>
                <w:szCs w:val="20"/>
                <w:color w:val="auto"/>
              </w:rPr>
            </w:pPr>
            <w:r>
              <w:rPr>
                <w:rFonts w:ascii="Arial" w:cs="Arial" w:eastAsia="Arial" w:hAnsi="Arial"/>
                <w:sz w:val="16"/>
                <w:szCs w:val="16"/>
                <w:color w:val="auto"/>
              </w:rPr>
              <w:t>3,099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2,198</w:t>
            </w:r>
          </w:p>
        </w:tc>
      </w:tr>
      <w:tr>
        <w:trPr>
          <w:trHeight w:val="271"/>
        </w:trPr>
        <w:tc>
          <w:tcPr>
            <w:tcW w:w="7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2,267</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1,933</w:t>
            </w:r>
          </w:p>
        </w:tc>
      </w:tr>
      <w:tr>
        <w:trPr>
          <w:trHeight w:val="249"/>
        </w:trPr>
        <w:tc>
          <w:tcPr>
            <w:tcW w:w="7720" w:type="dxa"/>
            <w:vAlign w:val="bottom"/>
          </w:tcPr>
          <w:p>
            <w:pPr>
              <w:ind w:left="180"/>
              <w:spacing w:after="0"/>
              <w:rPr>
                <w:sz w:val="20"/>
                <w:szCs w:val="20"/>
                <w:color w:val="auto"/>
              </w:rPr>
            </w:pPr>
            <w:r>
              <w:rPr>
                <w:rFonts w:ascii="Arial" w:cs="Arial" w:eastAsia="Arial" w:hAnsi="Arial"/>
                <w:sz w:val="16"/>
                <w:szCs w:val="16"/>
                <w:color w:val="auto"/>
              </w:rPr>
              <w:t>EBITDA</w:t>
            </w:r>
          </w:p>
        </w:tc>
        <w:tc>
          <w:tcPr>
            <w:tcW w:w="280" w:type="dxa"/>
            <w:vAlign w:val="bottom"/>
          </w:tcPr>
          <w:p>
            <w:pPr>
              <w:spacing w:after="0"/>
              <w:rPr>
                <w:sz w:val="21"/>
                <w:szCs w:val="21"/>
                <w:color w:val="auto"/>
              </w:rPr>
            </w:pPr>
          </w:p>
        </w:tc>
        <w:tc>
          <w:tcPr>
            <w:tcW w:w="1620" w:type="dxa"/>
            <w:vAlign w:val="bottom"/>
          </w:tcPr>
          <w:p>
            <w:pPr>
              <w:jc w:val="right"/>
              <w:ind w:right="239"/>
              <w:spacing w:after="0"/>
              <w:rPr>
                <w:sz w:val="20"/>
                <w:szCs w:val="20"/>
                <w:color w:val="auto"/>
              </w:rPr>
            </w:pPr>
            <w:r>
              <w:rPr>
                <w:rFonts w:ascii="Arial" w:cs="Arial" w:eastAsia="Arial" w:hAnsi="Arial"/>
                <w:sz w:val="16"/>
                <w:szCs w:val="16"/>
                <w:color w:val="auto"/>
              </w:rPr>
              <w:t>34,476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39,371</w:t>
            </w:r>
          </w:p>
        </w:tc>
      </w:tr>
      <w:tr>
        <w:trPr>
          <w:trHeight w:val="278"/>
        </w:trPr>
        <w:tc>
          <w:tcPr>
            <w:tcW w:w="7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Restructuring expenses</w:t>
            </w:r>
          </w:p>
        </w:tc>
        <w:tc>
          <w:tcPr>
            <w:tcW w:w="28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219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77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Non-operating (income) expense</w:t>
            </w:r>
          </w:p>
        </w:tc>
        <w:tc>
          <w:tcPr>
            <w:tcW w:w="2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w:t>
            </w:r>
          </w:p>
        </w:tc>
      </w:tr>
      <w:tr>
        <w:trPr>
          <w:trHeight w:val="242"/>
        </w:trPr>
        <w:tc>
          <w:tcPr>
            <w:tcW w:w="7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Adjusted EBITDA</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34,488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39,382</w:t>
            </w: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Reportable Segment Performance Summary</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Motorhome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Motorhome segment for the three months ended February 23, 2019 compared to the three months ended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February 24, 2018: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193"/>
        </w:trPr>
        <w:tc>
          <w:tcPr>
            <w:tcW w:w="2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February 23,</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February 24,</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2"/>
        </w:trPr>
        <w:tc>
          <w:tcPr>
            <w:tcW w:w="298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ASP)</w:t>
            </w:r>
          </w:p>
        </w:tc>
        <w:tc>
          <w:tcPr>
            <w:tcW w:w="160" w:type="dxa"/>
            <w:vAlign w:val="bottom"/>
          </w:tcPr>
          <w:p>
            <w:pPr>
              <w:spacing w:after="0"/>
              <w:rPr>
                <w:sz w:val="20"/>
                <w:szCs w:val="20"/>
                <w:color w:val="auto"/>
              </w:rPr>
            </w:pPr>
          </w:p>
        </w:tc>
        <w:tc>
          <w:tcPr>
            <w:tcW w:w="1260" w:type="dxa"/>
            <w:vAlign w:val="bottom"/>
          </w:tcPr>
          <w:p>
            <w:pPr>
              <w:jc w:val="center"/>
              <w:ind w:right="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80" w:type="dxa"/>
            <w:vAlign w:val="bottom"/>
          </w:tcPr>
          <w:p>
            <w:pPr>
              <w:spacing w:after="0"/>
              <w:rPr>
                <w:sz w:val="20"/>
                <w:szCs w:val="20"/>
                <w:color w:val="auto"/>
              </w:rPr>
            </w:pPr>
          </w:p>
        </w:tc>
        <w:tc>
          <w:tcPr>
            <w:tcW w:w="1240" w:type="dxa"/>
            <w:vAlign w:val="bottom"/>
          </w:tcPr>
          <w:p>
            <w:pPr>
              <w:jc w:val="center"/>
              <w:ind w:right="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6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 Change</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67"/>
        </w:trPr>
        <w:tc>
          <w:tcPr>
            <w:tcW w:w="29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164,662</w:t>
            </w:r>
          </w:p>
        </w:tc>
        <w:tc>
          <w:tcPr>
            <w:tcW w:w="100" w:type="dxa"/>
            <w:vAlign w:val="bottom"/>
            <w:tcBorders>
              <w:top w:val="single" w:sz="8" w:color="CCEEFF"/>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199,081</w:t>
            </w:r>
          </w:p>
        </w:tc>
        <w:tc>
          <w:tcPr>
            <w:tcW w:w="120" w:type="dxa"/>
            <w:vAlign w:val="bottom"/>
            <w:tcBorders>
              <w:top w:val="single" w:sz="8" w:color="CCEEFF"/>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(34,419)</w:t>
            </w:r>
          </w:p>
        </w:tc>
        <w:tc>
          <w:tcPr>
            <w:tcW w:w="10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(17.3)%</w:t>
            </w:r>
          </w:p>
        </w:tc>
      </w:tr>
      <w:tr>
        <w:trPr>
          <w:trHeight w:val="262"/>
        </w:trPr>
        <w:tc>
          <w:tcPr>
            <w:tcW w:w="298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4,359</w:t>
            </w:r>
          </w:p>
        </w:tc>
        <w:tc>
          <w:tcPr>
            <w:tcW w:w="100" w:type="dxa"/>
            <w:vAlign w:val="bottom"/>
          </w:tcPr>
          <w:p>
            <w:pPr>
              <w:spacing w:after="0"/>
              <w:rPr>
                <w:sz w:val="22"/>
                <w:szCs w:val="22"/>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5,687</w:t>
            </w:r>
          </w:p>
        </w:tc>
        <w:tc>
          <w:tcPr>
            <w:tcW w:w="120" w:type="dxa"/>
            <w:vAlign w:val="bottom"/>
          </w:tcPr>
          <w:p>
            <w:pPr>
              <w:spacing w:after="0"/>
              <w:rPr>
                <w:sz w:val="22"/>
                <w:szCs w:val="22"/>
                <w:color w:val="auto"/>
              </w:rPr>
            </w:pP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(1,328)</w:t>
            </w:r>
          </w:p>
        </w:tc>
        <w:tc>
          <w:tcPr>
            <w:tcW w:w="100" w:type="dxa"/>
            <w:vAlign w:val="bottom"/>
          </w:tcPr>
          <w:p>
            <w:pPr>
              <w:spacing w:after="0"/>
              <w:rPr>
                <w:sz w:val="22"/>
                <w:szCs w:val="22"/>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(23.4)%</w:t>
            </w:r>
          </w:p>
        </w:tc>
      </w:tr>
      <w:tr>
        <w:trPr>
          <w:trHeight w:val="305"/>
        </w:trPr>
        <w:tc>
          <w:tcPr>
            <w:tcW w:w="2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329"/>
        </w:trPr>
        <w:tc>
          <w:tcPr>
            <w:tcW w:w="2980" w:type="dxa"/>
            <w:vAlign w:val="bottom"/>
          </w:tcPr>
          <w:p>
            <w:pPr>
              <w:ind w:left="40"/>
              <w:spacing w:after="0"/>
              <w:rPr>
                <w:sz w:val="20"/>
                <w:szCs w:val="20"/>
                <w:color w:val="auto"/>
              </w:rPr>
            </w:pPr>
            <w:r>
              <w:rPr>
                <w:rFonts w:ascii="Arial" w:cs="Arial" w:eastAsia="Arial" w:hAnsi="Arial"/>
                <w:sz w:val="16"/>
                <w:szCs w:val="16"/>
                <w:color w:val="auto"/>
              </w:rPr>
              <w:t>Average Selling Price ("ASP")</w:t>
            </w:r>
            <w:r>
              <w:rPr>
                <w:rFonts w:ascii="Arial" w:cs="Arial" w:eastAsia="Arial" w:hAnsi="Arial"/>
                <w:sz w:val="21"/>
                <w:szCs w:val="21"/>
                <w:color w:val="auto"/>
                <w:vertAlign w:val="superscript"/>
              </w:rPr>
              <w:t>(1)</w:t>
            </w:r>
          </w:p>
        </w:tc>
        <w:tc>
          <w:tcPr>
            <w:tcW w:w="160" w:type="dxa"/>
            <w:vAlign w:val="bottom"/>
          </w:tcPr>
          <w:p>
            <w:pPr>
              <w:spacing w:after="0"/>
              <w:rPr>
                <w:sz w:val="24"/>
                <w:szCs w:val="24"/>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92,560</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90,018</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2,542</w:t>
            </w:r>
          </w:p>
        </w:tc>
        <w:tc>
          <w:tcPr>
            <w:tcW w:w="100" w:type="dxa"/>
            <w:vAlign w:val="bottom"/>
          </w:tcPr>
          <w:p>
            <w:pPr>
              <w:spacing w:after="0"/>
              <w:rPr>
                <w:sz w:val="24"/>
                <w:szCs w:val="24"/>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2.8 %</w:t>
            </w:r>
          </w:p>
        </w:tc>
      </w:tr>
      <w:tr>
        <w:trPr>
          <w:trHeight w:val="437"/>
        </w:trPr>
        <w:tc>
          <w:tcPr>
            <w:tcW w:w="2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93"/>
        </w:trPr>
        <w:tc>
          <w:tcPr>
            <w:tcW w:w="2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February 23,</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February 24,</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6"/>
        </w:trPr>
        <w:tc>
          <w:tcPr>
            <w:tcW w:w="2980" w:type="dxa"/>
            <w:vAlign w:val="bottom"/>
          </w:tcPr>
          <w:p>
            <w:pPr>
              <w:ind w:left="4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Pr>
          <w:p>
            <w:pPr>
              <w:spacing w:after="0"/>
              <w:rPr>
                <w:sz w:val="20"/>
                <w:szCs w:val="20"/>
                <w:color w:val="auto"/>
              </w:rPr>
            </w:pPr>
          </w:p>
        </w:tc>
        <w:tc>
          <w:tcPr>
            <w:tcW w:w="1260" w:type="dxa"/>
            <w:vAlign w:val="bottom"/>
          </w:tcPr>
          <w:p>
            <w:pPr>
              <w:jc w:val="center"/>
              <w:ind w:right="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400" w:type="dxa"/>
            <w:vAlign w:val="bottom"/>
            <w:gridSpan w:val="2"/>
          </w:tcPr>
          <w:p>
            <w:pPr>
              <w:jc w:val="center"/>
              <w:ind w:right="100"/>
              <w:spacing w:after="0" w:line="236"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80" w:type="dxa"/>
            <w:vAlign w:val="bottom"/>
          </w:tcPr>
          <w:p>
            <w:pPr>
              <w:spacing w:after="0"/>
              <w:rPr>
                <w:sz w:val="20"/>
                <w:szCs w:val="20"/>
                <w:color w:val="auto"/>
              </w:rPr>
            </w:pPr>
          </w:p>
        </w:tc>
        <w:tc>
          <w:tcPr>
            <w:tcW w:w="1240" w:type="dxa"/>
            <w:vAlign w:val="bottom"/>
          </w:tcPr>
          <w:p>
            <w:pPr>
              <w:jc w:val="center"/>
              <w:ind w:right="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460" w:type="dxa"/>
            <w:vAlign w:val="bottom"/>
            <w:gridSpan w:val="2"/>
          </w:tcPr>
          <w:p>
            <w:pPr>
              <w:jc w:val="center"/>
              <w:ind w:right="120"/>
              <w:spacing w:after="0" w:line="236"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2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Unit Change</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29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16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529</w:t>
            </w:r>
          </w:p>
        </w:tc>
        <w:tc>
          <w:tcPr>
            <w:tcW w:w="100" w:type="dxa"/>
            <w:vAlign w:val="bottom"/>
            <w:tcBorders>
              <w:top w:val="single" w:sz="8" w:color="CCEEFF"/>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29.0%</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881</w:t>
            </w:r>
          </w:p>
        </w:tc>
        <w:tc>
          <w:tcPr>
            <w:tcW w:w="12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39.9%</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Borders>
              <w:top w:val="single" w:sz="8" w:color="CCEEFF"/>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(40.0)%</w:t>
            </w:r>
          </w:p>
        </w:tc>
      </w:tr>
      <w:tr>
        <w:trPr>
          <w:trHeight w:val="262"/>
        </w:trPr>
        <w:tc>
          <w:tcPr>
            <w:tcW w:w="2980" w:type="dxa"/>
            <w:vAlign w:val="bottom"/>
          </w:tcPr>
          <w:p>
            <w:pPr>
              <w:ind w:left="40"/>
              <w:spacing w:after="0"/>
              <w:rPr>
                <w:sz w:val="20"/>
                <w:szCs w:val="20"/>
                <w:color w:val="auto"/>
              </w:rPr>
            </w:pPr>
            <w:r>
              <w:rPr>
                <w:rFonts w:ascii="Arial" w:cs="Arial" w:eastAsia="Arial" w:hAnsi="Arial"/>
                <w:sz w:val="16"/>
                <w:szCs w:val="16"/>
                <w:color w:val="auto"/>
              </w:rPr>
              <w:t>Class B</w:t>
            </w:r>
          </w:p>
        </w:tc>
        <w:tc>
          <w:tcPr>
            <w:tcW w:w="16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613</w:t>
            </w:r>
          </w:p>
        </w:tc>
        <w:tc>
          <w:tcPr>
            <w:tcW w:w="100" w:type="dxa"/>
            <w:vAlign w:val="bottom"/>
          </w:tcPr>
          <w:p>
            <w:pPr>
              <w:spacing w:after="0"/>
              <w:rPr>
                <w:sz w:val="22"/>
                <w:szCs w:val="22"/>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411</w:t>
            </w:r>
          </w:p>
        </w:tc>
        <w:tc>
          <w:tcPr>
            <w:tcW w:w="120" w:type="dxa"/>
            <w:vAlign w:val="bottom"/>
          </w:tcPr>
          <w:p>
            <w:pPr>
              <w:spacing w:after="0"/>
              <w:rPr>
                <w:sz w:val="22"/>
                <w:szCs w:val="22"/>
                <w:color w:val="auto"/>
              </w:rPr>
            </w:pP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22"/>
                <w:szCs w:val="22"/>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49.1 %</w:t>
            </w:r>
          </w:p>
        </w:tc>
      </w:tr>
      <w:tr>
        <w:trPr>
          <w:trHeight w:val="271"/>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683</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37.4%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918</w:t>
            </w:r>
          </w:p>
        </w:tc>
        <w:tc>
          <w:tcPr>
            <w:tcW w:w="12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41.5%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(25.6)%</w:t>
            </w:r>
          </w:p>
        </w:tc>
      </w:tr>
      <w:tr>
        <w:trPr>
          <w:trHeight w:val="242"/>
        </w:trPr>
        <w:tc>
          <w:tcPr>
            <w:tcW w:w="2980" w:type="dxa"/>
            <w:vAlign w:val="bottom"/>
          </w:tcPr>
          <w:p>
            <w:pPr>
              <w:ind w:left="180"/>
              <w:spacing w:after="0"/>
              <w:rPr>
                <w:sz w:val="20"/>
                <w:szCs w:val="20"/>
                <w:color w:val="auto"/>
              </w:rPr>
            </w:pPr>
            <w:r>
              <w:rPr>
                <w:rFonts w:ascii="Arial" w:cs="Arial" w:eastAsia="Arial" w:hAnsi="Arial"/>
                <w:sz w:val="16"/>
                <w:szCs w:val="16"/>
                <w:color w:val="auto"/>
              </w:rPr>
              <w:t>Total motorhomes</w:t>
            </w: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1,825</w:t>
            </w:r>
          </w:p>
        </w:tc>
        <w:tc>
          <w:tcPr>
            <w:tcW w:w="100" w:type="dxa"/>
            <w:vAlign w:val="bottom"/>
          </w:tcPr>
          <w:p>
            <w:pPr>
              <w:spacing w:after="0"/>
              <w:rPr>
                <w:sz w:val="21"/>
                <w:szCs w:val="21"/>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2,210</w:t>
            </w:r>
          </w:p>
        </w:tc>
        <w:tc>
          <w:tcPr>
            <w:tcW w:w="120" w:type="dxa"/>
            <w:vAlign w:val="bottom"/>
          </w:tcPr>
          <w:p>
            <w:pPr>
              <w:spacing w:after="0"/>
              <w:rPr>
                <w:sz w:val="21"/>
                <w:szCs w:val="21"/>
                <w:color w:val="auto"/>
              </w:rPr>
            </w:pPr>
          </w:p>
        </w:tc>
        <w:tc>
          <w:tcPr>
            <w:tcW w:w="13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21"/>
                <w:szCs w:val="21"/>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(17.4)%</w:t>
            </w: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41"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Average selling price excludes off-invoice dealer incentives.</w:t>
      </w:r>
    </w:p>
    <w:p>
      <w:pPr>
        <w:spacing w:after="0" w:line="19" w:lineRule="exact"/>
        <w:rPr>
          <w:rFonts w:ascii="Arial" w:cs="Arial" w:eastAsia="Arial" w:hAnsi="Arial"/>
          <w:sz w:val="14"/>
          <w:szCs w:val="14"/>
          <w:color w:val="auto"/>
        </w:rPr>
      </w:pPr>
    </w:p>
    <w:p>
      <w:pPr>
        <w:ind w:left="260" w:hanging="252"/>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Net revenues decreased in the second quarter of Fiscal 2019 compared to the second quarter of Fiscal 2018 due to a decrease in the number of units sold.</w:t>
      </w:r>
    </w:p>
    <w:p>
      <w:pPr>
        <w:spacing w:after="0" w:line="194" w:lineRule="exact"/>
        <w:rPr>
          <w:sz w:val="20"/>
          <w:szCs w:val="20"/>
          <w:color w:val="auto"/>
        </w:rPr>
      </w:pPr>
    </w:p>
    <w:p>
      <w:pPr>
        <w:ind w:right="900"/>
        <w:spacing w:after="0" w:line="291" w:lineRule="auto"/>
        <w:rPr>
          <w:sz w:val="20"/>
          <w:szCs w:val="20"/>
          <w:color w:val="auto"/>
        </w:rPr>
      </w:pPr>
      <w:r>
        <w:rPr>
          <w:rFonts w:ascii="Arial" w:cs="Arial" w:eastAsia="Arial" w:hAnsi="Arial"/>
          <w:sz w:val="16"/>
          <w:szCs w:val="16"/>
          <w:color w:val="auto"/>
        </w:rPr>
        <w:t>Adjusted EBITDA decreased in the second quarter of Fiscal 2019 compared to the second quarter of Fiscal 2018 due to reduced sales volume and investments in resources, partially offset by favorable product mix.</w:t>
      </w:r>
    </w:p>
    <w:p>
      <w:pPr>
        <w:spacing w:after="0" w:line="12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Unit deliveries decreased in the second quarter of Fiscal 2019 compared to the second quarter of Fiscal 2018 driven by declines in our Class A gas and Class C products, partially offset by the unit growth we have generated in our Class B products.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Towable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Towable segment for the three months ended February 23, 2019 compared to the three months ended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February 24, 2018: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ind w:left="3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193"/>
        </w:trPr>
        <w:tc>
          <w:tcPr>
            <w:tcW w:w="2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February 23,</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February 24,</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2"/>
        </w:trPr>
        <w:tc>
          <w:tcPr>
            <w:tcW w:w="298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ASP)</w:t>
            </w:r>
          </w:p>
        </w:tc>
        <w:tc>
          <w:tcPr>
            <w:tcW w:w="160" w:type="dxa"/>
            <w:vAlign w:val="bottom"/>
          </w:tcPr>
          <w:p>
            <w:pPr>
              <w:spacing w:after="0"/>
              <w:rPr>
                <w:sz w:val="20"/>
                <w:szCs w:val="20"/>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60" w:type="dxa"/>
            <w:vAlign w:val="bottom"/>
          </w:tcPr>
          <w:p>
            <w:pPr>
              <w:spacing w:after="0"/>
              <w:rPr>
                <w:sz w:val="20"/>
                <w:szCs w:val="20"/>
                <w:color w:val="auto"/>
              </w:rPr>
            </w:pPr>
          </w:p>
        </w:tc>
        <w:tc>
          <w:tcPr>
            <w:tcW w:w="1260" w:type="dxa"/>
            <w:vAlign w:val="bottom"/>
          </w:tcPr>
          <w:p>
            <w:pPr>
              <w:jc w:val="center"/>
              <w:ind w:right="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 Change</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67"/>
        </w:trPr>
        <w:tc>
          <w:tcPr>
            <w:tcW w:w="29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250,691</w:t>
            </w:r>
          </w:p>
        </w:tc>
        <w:tc>
          <w:tcPr>
            <w:tcW w:w="100" w:type="dxa"/>
            <w:vAlign w:val="bottom"/>
            <w:tcBorders>
              <w:top w:val="single" w:sz="8" w:color="CCEEFF"/>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266,358</w:t>
            </w:r>
          </w:p>
        </w:tc>
        <w:tc>
          <w:tcPr>
            <w:tcW w:w="120" w:type="dxa"/>
            <w:vAlign w:val="bottom"/>
            <w:tcBorders>
              <w:top w:val="single" w:sz="8" w:color="CCEEFF"/>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(15,667)</w:t>
            </w:r>
          </w:p>
        </w:tc>
        <w:tc>
          <w:tcPr>
            <w:tcW w:w="12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(5.9)%</w:t>
            </w:r>
          </w:p>
        </w:tc>
      </w:tr>
      <w:tr>
        <w:trPr>
          <w:trHeight w:val="262"/>
        </w:trPr>
        <w:tc>
          <w:tcPr>
            <w:tcW w:w="298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33,638</w:t>
            </w:r>
          </w:p>
        </w:tc>
        <w:tc>
          <w:tcPr>
            <w:tcW w:w="100" w:type="dxa"/>
            <w:vAlign w:val="bottom"/>
          </w:tcPr>
          <w:p>
            <w:pPr>
              <w:spacing w:after="0"/>
              <w:rPr>
                <w:sz w:val="22"/>
                <w:szCs w:val="22"/>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36,296</w:t>
            </w:r>
          </w:p>
        </w:tc>
        <w:tc>
          <w:tcPr>
            <w:tcW w:w="120" w:type="dxa"/>
            <w:vAlign w:val="bottom"/>
          </w:tcPr>
          <w:p>
            <w:pPr>
              <w:spacing w:after="0"/>
              <w:rPr>
                <w:sz w:val="22"/>
                <w:szCs w:val="22"/>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(2,658)</w:t>
            </w:r>
          </w:p>
        </w:tc>
        <w:tc>
          <w:tcPr>
            <w:tcW w:w="120" w:type="dxa"/>
            <w:vAlign w:val="bottom"/>
          </w:tcPr>
          <w:p>
            <w:pPr>
              <w:spacing w:after="0"/>
              <w:rPr>
                <w:sz w:val="22"/>
                <w:szCs w:val="22"/>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(7.3)%</w:t>
            </w:r>
          </w:p>
        </w:tc>
      </w:tr>
      <w:tr>
        <w:trPr>
          <w:trHeight w:val="305"/>
        </w:trPr>
        <w:tc>
          <w:tcPr>
            <w:tcW w:w="2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329"/>
        </w:trPr>
        <w:tc>
          <w:tcPr>
            <w:tcW w:w="2980" w:type="dxa"/>
            <w:vAlign w:val="bottom"/>
          </w:tcPr>
          <w:p>
            <w:pPr>
              <w:ind w:left="40"/>
              <w:spacing w:after="0"/>
              <w:rPr>
                <w:sz w:val="20"/>
                <w:szCs w:val="20"/>
                <w:color w:val="auto"/>
              </w:rPr>
            </w:pPr>
            <w:r>
              <w:rPr>
                <w:rFonts w:ascii="Arial" w:cs="Arial" w:eastAsia="Arial" w:hAnsi="Arial"/>
                <w:sz w:val="16"/>
                <w:szCs w:val="16"/>
                <w:color w:val="auto"/>
              </w:rPr>
              <w:t>ASP</w:t>
            </w:r>
            <w:r>
              <w:rPr>
                <w:rFonts w:ascii="Arial" w:cs="Arial" w:eastAsia="Arial" w:hAnsi="Arial"/>
                <w:sz w:val="21"/>
                <w:szCs w:val="21"/>
                <w:color w:val="auto"/>
                <w:vertAlign w:val="superscript"/>
              </w:rPr>
              <w:t>(1)</w:t>
            </w:r>
          </w:p>
        </w:tc>
        <w:tc>
          <w:tcPr>
            <w:tcW w:w="160" w:type="dxa"/>
            <w:vAlign w:val="bottom"/>
          </w:tcPr>
          <w:p>
            <w:pPr>
              <w:spacing w:after="0"/>
              <w:rPr>
                <w:sz w:val="24"/>
                <w:szCs w:val="24"/>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33,003</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31,648</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1,355</w:t>
            </w:r>
          </w:p>
        </w:tc>
        <w:tc>
          <w:tcPr>
            <w:tcW w:w="120" w:type="dxa"/>
            <w:vAlign w:val="bottom"/>
          </w:tcPr>
          <w:p>
            <w:pPr>
              <w:spacing w:after="0"/>
              <w:rPr>
                <w:sz w:val="24"/>
                <w:szCs w:val="24"/>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4.3 %</w:t>
            </w:r>
          </w:p>
        </w:tc>
      </w:tr>
      <w:tr>
        <w:trPr>
          <w:trHeight w:val="437"/>
        </w:trPr>
        <w:tc>
          <w:tcPr>
            <w:tcW w:w="2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ind w:left="3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93"/>
        </w:trPr>
        <w:tc>
          <w:tcPr>
            <w:tcW w:w="2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February 23,</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February 24,</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6"/>
        </w:trPr>
        <w:tc>
          <w:tcPr>
            <w:tcW w:w="2980" w:type="dxa"/>
            <w:vAlign w:val="bottom"/>
          </w:tcPr>
          <w:p>
            <w:pPr>
              <w:ind w:left="4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Pr>
          <w:p>
            <w:pPr>
              <w:spacing w:after="0"/>
              <w:rPr>
                <w:sz w:val="20"/>
                <w:szCs w:val="20"/>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420" w:type="dxa"/>
            <w:vAlign w:val="bottom"/>
            <w:gridSpan w:val="2"/>
          </w:tcPr>
          <w:p>
            <w:pPr>
              <w:jc w:val="center"/>
              <w:ind w:right="120"/>
              <w:spacing w:after="0" w:line="236"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60" w:type="dxa"/>
            <w:vAlign w:val="bottom"/>
          </w:tcPr>
          <w:p>
            <w:pPr>
              <w:spacing w:after="0"/>
              <w:rPr>
                <w:sz w:val="20"/>
                <w:szCs w:val="20"/>
                <w:color w:val="auto"/>
              </w:rPr>
            </w:pPr>
          </w:p>
        </w:tc>
        <w:tc>
          <w:tcPr>
            <w:tcW w:w="1260" w:type="dxa"/>
            <w:vAlign w:val="bottom"/>
          </w:tcPr>
          <w:p>
            <w:pPr>
              <w:jc w:val="center"/>
              <w:ind w:right="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420" w:type="dxa"/>
            <w:vAlign w:val="bottom"/>
            <w:gridSpan w:val="2"/>
          </w:tcPr>
          <w:p>
            <w:pPr>
              <w:jc w:val="center"/>
              <w:ind w:right="120"/>
              <w:spacing w:after="0" w:line="236" w:lineRule="exact"/>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2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Unit Change</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29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16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4,543</w:t>
            </w:r>
          </w:p>
        </w:tc>
        <w:tc>
          <w:tcPr>
            <w:tcW w:w="100" w:type="dxa"/>
            <w:vAlign w:val="bottom"/>
            <w:tcBorders>
              <w:top w:val="single" w:sz="8" w:color="CCEEFF"/>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59.8%</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5,083</w:t>
            </w:r>
          </w:p>
        </w:tc>
        <w:tc>
          <w:tcPr>
            <w:tcW w:w="120" w:type="dxa"/>
            <w:vAlign w:val="bottom"/>
            <w:tcBorders>
              <w:top w:val="single" w:sz="8" w:color="CCEEFF"/>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59.9%</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20" w:type="dxa"/>
            <w:vAlign w:val="bottom"/>
            <w:tcBorders>
              <w:top w:val="single" w:sz="8" w:color="CCEEFF"/>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(10.6)%</w:t>
            </w:r>
          </w:p>
        </w:tc>
      </w:tr>
      <w:tr>
        <w:trPr>
          <w:trHeight w:val="264"/>
        </w:trPr>
        <w:tc>
          <w:tcPr>
            <w:tcW w:w="2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Fifth wheel</w:t>
            </w: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3,053</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3,398</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w:t>
            </w: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(10.2)%</w:t>
            </w:r>
          </w:p>
        </w:tc>
      </w:tr>
      <w:tr>
        <w:trPr>
          <w:trHeight w:val="242"/>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towables</w:t>
            </w: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7,596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8,481</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(10.4)%</w:t>
            </w: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41"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Average selling price excludes off-invoice dealer incentives.</w:t>
      </w:r>
    </w:p>
    <w:p>
      <w:pPr>
        <w:spacing w:after="0" w:line="19" w:lineRule="exact"/>
        <w:rPr>
          <w:rFonts w:ascii="Arial" w:cs="Arial" w:eastAsia="Arial" w:hAnsi="Arial"/>
          <w:sz w:val="14"/>
          <w:szCs w:val="14"/>
          <w:color w:val="auto"/>
        </w:rPr>
      </w:pPr>
    </w:p>
    <w:p>
      <w:pPr>
        <w:ind w:left="260" w:hanging="252"/>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14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Net revenues decreased in the second quarter of Fiscal 2019 compared to the second quarter of Fiscal 2018 due to reduced volume and mix, partially offset by pricing.</w:t>
      </w:r>
    </w:p>
    <w:p>
      <w:pPr>
        <w:spacing w:after="0" w:line="121"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Adjusted EBITDA decreased in the second quarter of Fiscal 2019 compared to the second quarter of Fiscal 2018 due to reduced sales volume and pricing actions taken during the last 12 months, which did not fully recover increases to cost inputs.</w:t>
      </w:r>
    </w:p>
    <w:p>
      <w:pPr>
        <w:spacing w:after="0" w:line="12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Unit deliveries decreased in the second quarter of Fiscal 2019 compared to the second quarter of Fiscal 2018 primarily due to dealer network efforts to reduce inventory levels and comparing against strong performance in the prior year.</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 First Six Months of Fiscal 2019 Compared to the First Six Months of Fiscal 2018</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Consolidated Performance Summary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changes in key items included in the consolidated statements of income and comprehensive income for the six months ended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February 23, 2019 compared to the six months ended February 24, 2018: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tcPr>
          <w:p>
            <w:pPr>
              <w:ind w:left="400"/>
              <w:spacing w:after="0"/>
              <w:rPr>
                <w:sz w:val="20"/>
                <w:szCs w:val="20"/>
                <w:color w:val="auto"/>
              </w:rPr>
            </w:pPr>
            <w:r>
              <w:rPr>
                <w:rFonts w:ascii="Arial" w:cs="Arial" w:eastAsia="Arial" w:hAnsi="Arial"/>
                <w:sz w:val="16"/>
                <w:szCs w:val="16"/>
                <w:b w:val="1"/>
                <w:bCs w:val="1"/>
                <w:color w:val="auto"/>
              </w:rPr>
              <w:t>Six Months Ended</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196"/>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percent and</w:t>
            </w:r>
          </w:p>
        </w:tc>
        <w:tc>
          <w:tcPr>
            <w:tcW w:w="160" w:type="dxa"/>
            <w:vAlign w:val="bottom"/>
          </w:tcPr>
          <w:p>
            <w:pPr>
              <w:spacing w:after="0"/>
              <w:rPr>
                <w:sz w:val="17"/>
                <w:szCs w:val="17"/>
                <w:color w:val="auto"/>
              </w:rPr>
            </w:pP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23,</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24,</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6"/>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per share data)</w:t>
            </w:r>
          </w:p>
        </w:tc>
        <w:tc>
          <w:tcPr>
            <w:tcW w:w="160" w:type="dxa"/>
            <w:vAlign w:val="bottom"/>
          </w:tcPr>
          <w:p>
            <w:pPr>
              <w:spacing w:after="0"/>
              <w:rPr>
                <w:sz w:val="20"/>
                <w:szCs w:val="20"/>
                <w:color w:val="auto"/>
              </w:rPr>
            </w:pPr>
          </w:p>
        </w:tc>
        <w:tc>
          <w:tcPr>
            <w:tcW w:w="12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560" w:type="dxa"/>
            <w:vAlign w:val="bottom"/>
            <w:gridSpan w:val="2"/>
          </w:tcPr>
          <w:p>
            <w:pPr>
              <w:ind w:left="80"/>
              <w:spacing w:after="0" w:line="236"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60" w:type="dxa"/>
            <w:vAlign w:val="bottom"/>
          </w:tcPr>
          <w:p>
            <w:pPr>
              <w:spacing w:after="0"/>
              <w:rPr>
                <w:sz w:val="20"/>
                <w:szCs w:val="20"/>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560" w:type="dxa"/>
            <w:vAlign w:val="bottom"/>
            <w:gridSpan w:val="2"/>
          </w:tcPr>
          <w:p>
            <w:pPr>
              <w:ind w:left="80"/>
              <w:spacing w:after="0" w:line="236"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rPr>
              <w:t>Change</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27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926,338</w:t>
            </w:r>
          </w:p>
        </w:tc>
        <w:tc>
          <w:tcPr>
            <w:tcW w:w="10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918,380</w:t>
            </w:r>
          </w:p>
        </w:tc>
        <w:tc>
          <w:tcPr>
            <w:tcW w:w="12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7,958</w:t>
            </w:r>
          </w:p>
        </w:tc>
        <w:tc>
          <w:tcPr>
            <w:tcW w:w="100" w:type="dxa"/>
            <w:vAlign w:val="bottom"/>
            <w:tcBorders>
              <w:top w:val="single" w:sz="8" w:color="CCEEFF"/>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0.9 %</w:t>
            </w:r>
          </w:p>
        </w:tc>
      </w:tr>
      <w:tr>
        <w:trPr>
          <w:trHeight w:val="264"/>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788,913</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85.2 %</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787,888</w:t>
            </w: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85.8 %</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1,025</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0.1 %</w:t>
            </w:r>
          </w:p>
        </w:tc>
      </w:tr>
      <w:tr>
        <w:trPr>
          <w:trHeight w:val="257"/>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137,425</w:t>
            </w:r>
          </w:p>
        </w:tc>
        <w:tc>
          <w:tcPr>
            <w:tcW w:w="100" w:type="dxa"/>
            <w:vAlign w:val="bottom"/>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14.8 %</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130,492</w:t>
            </w:r>
          </w:p>
        </w:tc>
        <w:tc>
          <w:tcPr>
            <w:tcW w:w="120" w:type="dxa"/>
            <w:vAlign w:val="bottom"/>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14.2 %</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6,933</w:t>
            </w:r>
          </w:p>
        </w:tc>
        <w:tc>
          <w:tcPr>
            <w:tcW w:w="100" w:type="dxa"/>
            <w:vAlign w:val="bottom"/>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5.3 %</w:t>
            </w:r>
          </w:p>
        </w:tc>
      </w:tr>
      <w:tr>
        <w:trPr>
          <w:trHeight w:val="178"/>
        </w:trPr>
        <w:tc>
          <w:tcPr>
            <w:tcW w:w="2740" w:type="dxa"/>
            <w:vAlign w:val="bottom"/>
          </w:tcPr>
          <w:p>
            <w:pPr>
              <w:ind w:left="40"/>
              <w:spacing w:after="0" w:line="178" w:lineRule="exact"/>
              <w:rPr>
                <w:sz w:val="20"/>
                <w:szCs w:val="20"/>
                <w:color w:val="auto"/>
              </w:rPr>
            </w:pPr>
            <w:r>
              <w:rPr>
                <w:rFonts w:ascii="Arial" w:cs="Arial" w:eastAsia="Arial" w:hAnsi="Arial"/>
                <w:sz w:val="16"/>
                <w:szCs w:val="16"/>
                <w:color w:val="auto"/>
              </w:rPr>
              <w:t>Selling, general, and administrative</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26"/>
        </w:trPr>
        <w:tc>
          <w:tcPr>
            <w:tcW w:w="2740" w:type="dxa"/>
            <w:vAlign w:val="bottom"/>
          </w:tcPr>
          <w:p>
            <w:pPr>
              <w:ind w:left="40"/>
              <w:spacing w:after="0"/>
              <w:rPr>
                <w:sz w:val="20"/>
                <w:szCs w:val="20"/>
                <w:color w:val="auto"/>
              </w:rPr>
            </w:pPr>
            <w:r>
              <w:rPr>
                <w:rFonts w:ascii="Arial" w:cs="Arial" w:eastAsia="Arial" w:hAnsi="Arial"/>
                <w:sz w:val="16"/>
                <w:szCs w:val="16"/>
                <w:color w:val="auto"/>
              </w:rPr>
              <w:t>expenses</w:t>
            </w:r>
          </w:p>
        </w:tc>
        <w:tc>
          <w:tcPr>
            <w:tcW w:w="16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70,971</w:t>
            </w:r>
          </w:p>
        </w:tc>
        <w:tc>
          <w:tcPr>
            <w:tcW w:w="100" w:type="dxa"/>
            <w:vAlign w:val="bottom"/>
          </w:tcPr>
          <w:p>
            <w:pPr>
              <w:spacing w:after="0"/>
              <w:rPr>
                <w:sz w:val="19"/>
                <w:szCs w:val="19"/>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7.7 %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60,077</w:t>
            </w:r>
          </w:p>
        </w:tc>
        <w:tc>
          <w:tcPr>
            <w:tcW w:w="120" w:type="dxa"/>
            <w:vAlign w:val="bottom"/>
          </w:tcPr>
          <w:p>
            <w:pPr>
              <w:spacing w:after="0"/>
              <w:rPr>
                <w:sz w:val="19"/>
                <w:szCs w:val="19"/>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6.5 %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10,894</w:t>
            </w:r>
          </w:p>
        </w:tc>
        <w:tc>
          <w:tcPr>
            <w:tcW w:w="100" w:type="dxa"/>
            <w:vAlign w:val="bottom"/>
          </w:tcPr>
          <w:p>
            <w:pPr>
              <w:spacing w:after="0"/>
              <w:rPr>
                <w:sz w:val="19"/>
                <w:szCs w:val="19"/>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18.1 %</w:t>
            </w:r>
          </w:p>
        </w:tc>
      </w:tr>
      <w:tr>
        <w:trPr>
          <w:trHeight w:val="271"/>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w:t>
            </w:r>
          </w:p>
        </w:tc>
        <w:tc>
          <w:tcPr>
            <w:tcW w:w="1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4,926</w:t>
            </w:r>
          </w:p>
        </w:tc>
        <w:tc>
          <w:tcPr>
            <w:tcW w:w="100" w:type="dxa"/>
            <w:vAlign w:val="bottom"/>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0.5 %</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3,988</w:t>
            </w:r>
          </w:p>
        </w:tc>
        <w:tc>
          <w:tcPr>
            <w:tcW w:w="120" w:type="dxa"/>
            <w:vAlign w:val="bottom"/>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938</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23.5 %</w:t>
            </w:r>
          </w:p>
        </w:tc>
      </w:tr>
      <w:tr>
        <w:trPr>
          <w:trHeight w:val="250"/>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75,897</w:t>
            </w:r>
          </w:p>
        </w:tc>
        <w:tc>
          <w:tcPr>
            <w:tcW w:w="10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8.2 %</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64,065</w:t>
            </w:r>
          </w:p>
        </w:tc>
        <w:tc>
          <w:tcPr>
            <w:tcW w:w="12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7.0 %</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11,832</w:t>
            </w:r>
          </w:p>
        </w:tc>
        <w:tc>
          <w:tcPr>
            <w:tcW w:w="10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18.5 %</w:t>
            </w:r>
          </w:p>
        </w:tc>
      </w:tr>
      <w:tr>
        <w:trPr>
          <w:trHeight w:val="257"/>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61,528</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6.6 %</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66,427</w:t>
            </w: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7.2 %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(4,899)</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(7.4)%</w:t>
            </w:r>
          </w:p>
        </w:tc>
      </w:tr>
      <w:tr>
        <w:trPr>
          <w:trHeight w:val="262"/>
        </w:trPr>
        <w:tc>
          <w:tcPr>
            <w:tcW w:w="274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8,847</w:t>
            </w:r>
          </w:p>
        </w:tc>
        <w:tc>
          <w:tcPr>
            <w:tcW w:w="100" w:type="dxa"/>
            <w:vAlign w:val="bottom"/>
          </w:tcPr>
          <w:p>
            <w:pPr>
              <w:spacing w:after="0"/>
              <w:rPr>
                <w:sz w:val="22"/>
                <w:szCs w:val="22"/>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9,699</w:t>
            </w:r>
          </w:p>
        </w:tc>
        <w:tc>
          <w:tcPr>
            <w:tcW w:w="120" w:type="dxa"/>
            <w:vAlign w:val="bottom"/>
          </w:tcPr>
          <w:p>
            <w:pPr>
              <w:spacing w:after="0"/>
              <w:rPr>
                <w:sz w:val="22"/>
                <w:szCs w:val="22"/>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(852)</w:t>
            </w:r>
          </w:p>
        </w:tc>
        <w:tc>
          <w:tcPr>
            <w:tcW w:w="100" w:type="dxa"/>
            <w:vAlign w:val="bottom"/>
          </w:tcPr>
          <w:p>
            <w:pPr>
              <w:spacing w:after="0"/>
              <w:rPr>
                <w:sz w:val="22"/>
                <w:szCs w:val="22"/>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(8.8)%</w:t>
            </w:r>
          </w:p>
        </w:tc>
      </w:tr>
      <w:tr>
        <w:trPr>
          <w:trHeight w:val="271"/>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 %</w:t>
            </w: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858</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(766.1)%</w:t>
            </w:r>
          </w:p>
        </w:tc>
      </w:tr>
      <w:tr>
        <w:trPr>
          <w:trHeight w:val="249"/>
        </w:trPr>
        <w:tc>
          <w:tcPr>
            <w:tcW w:w="274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16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53,651</w:t>
            </w:r>
          </w:p>
        </w:tc>
        <w:tc>
          <w:tcPr>
            <w:tcW w:w="100" w:type="dxa"/>
            <w:vAlign w:val="bottom"/>
          </w:tcPr>
          <w:p>
            <w:pPr>
              <w:spacing w:after="0"/>
              <w:rPr>
                <w:sz w:val="21"/>
                <w:szCs w:val="21"/>
                <w:color w:val="auto"/>
              </w:rPr>
            </w:pPr>
          </w:p>
        </w:tc>
        <w:tc>
          <w:tcPr>
            <w:tcW w:w="14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5.8 %</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56,840</w:t>
            </w:r>
          </w:p>
        </w:tc>
        <w:tc>
          <w:tcPr>
            <w:tcW w:w="120" w:type="dxa"/>
            <w:vAlign w:val="bottom"/>
          </w:tcPr>
          <w:p>
            <w:pPr>
              <w:spacing w:after="0"/>
              <w:rPr>
                <w:sz w:val="21"/>
                <w:szCs w:val="21"/>
                <w:color w:val="auto"/>
              </w:rPr>
            </w:pPr>
          </w:p>
        </w:tc>
        <w:tc>
          <w:tcPr>
            <w:tcW w:w="14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6.2 %</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(3,189)</w:t>
            </w:r>
          </w:p>
        </w:tc>
        <w:tc>
          <w:tcPr>
            <w:tcW w:w="100" w:type="dxa"/>
            <w:vAlign w:val="bottom"/>
          </w:tcPr>
          <w:p>
            <w:pPr>
              <w:spacing w:after="0"/>
              <w:rPr>
                <w:sz w:val="21"/>
                <w:szCs w:val="21"/>
                <w:color w:val="auto"/>
              </w:rPr>
            </w:pPr>
          </w:p>
        </w:tc>
        <w:tc>
          <w:tcPr>
            <w:tcW w:w="13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(5.6)%</w:t>
            </w:r>
          </w:p>
        </w:tc>
      </w:tr>
      <w:tr>
        <w:trPr>
          <w:trHeight w:val="271"/>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1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9,892</w:t>
            </w:r>
          </w:p>
        </w:tc>
        <w:tc>
          <w:tcPr>
            <w:tcW w:w="100" w:type="dxa"/>
            <w:vAlign w:val="bottom"/>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1.1 %</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16,794</w:t>
            </w:r>
          </w:p>
        </w:tc>
        <w:tc>
          <w:tcPr>
            <w:tcW w:w="120" w:type="dxa"/>
            <w:vAlign w:val="bottom"/>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1.8 %</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(6,902)</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(41.1)%</w:t>
            </w:r>
          </w:p>
        </w:tc>
      </w:tr>
      <w:tr>
        <w:trPr>
          <w:trHeight w:val="282"/>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43,759</w:t>
            </w:r>
          </w:p>
        </w:tc>
        <w:tc>
          <w:tcPr>
            <w:tcW w:w="100" w:type="dxa"/>
            <w:vAlign w:val="bottom"/>
            <w:tcBorders>
              <w:bottom w:val="single" w:sz="8" w:color="CCEEFF"/>
            </w:tcBorders>
          </w:tcPr>
          <w:p>
            <w:pPr>
              <w:spacing w:after="0"/>
              <w:rPr>
                <w:sz w:val="24"/>
                <w:szCs w:val="24"/>
                <w:color w:val="auto"/>
              </w:rPr>
            </w:pP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4.7 %</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40,046</w:t>
            </w:r>
          </w:p>
        </w:tc>
        <w:tc>
          <w:tcPr>
            <w:tcW w:w="120" w:type="dxa"/>
            <w:vAlign w:val="bottom"/>
            <w:tcBorders>
              <w:bottom w:val="single" w:sz="8" w:color="CCEEFF"/>
            </w:tcBorders>
          </w:tcPr>
          <w:p>
            <w:pPr>
              <w:spacing w:after="0"/>
              <w:rPr>
                <w:sz w:val="24"/>
                <w:szCs w:val="24"/>
                <w:color w:val="auto"/>
              </w:rPr>
            </w:pP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4.4 %</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3,713</w:t>
            </w:r>
          </w:p>
        </w:tc>
        <w:tc>
          <w:tcPr>
            <w:tcW w:w="100" w:type="dxa"/>
            <w:vAlign w:val="bottom"/>
            <w:tcBorders>
              <w:bottom w:val="single" w:sz="8" w:color="CCEEFF"/>
            </w:tcBorders>
          </w:tcPr>
          <w:p>
            <w:pPr>
              <w:spacing w:after="0"/>
              <w:rPr>
                <w:sz w:val="24"/>
                <w:szCs w:val="24"/>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9.3 %</w:t>
            </w:r>
          </w:p>
        </w:tc>
      </w:tr>
      <w:tr>
        <w:trPr>
          <w:trHeight w:val="279"/>
        </w:trPr>
        <w:tc>
          <w:tcPr>
            <w:tcW w:w="2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2"/>
        </w:trPr>
        <w:tc>
          <w:tcPr>
            <w:tcW w:w="2740" w:type="dxa"/>
            <w:vAlign w:val="bottom"/>
          </w:tcPr>
          <w:p>
            <w:pPr>
              <w:ind w:left="40"/>
              <w:spacing w:after="0"/>
              <w:rPr>
                <w:sz w:val="20"/>
                <w:szCs w:val="20"/>
                <w:color w:val="auto"/>
              </w:rPr>
            </w:pPr>
            <w:r>
              <w:rPr>
                <w:rFonts w:ascii="Arial" w:cs="Arial" w:eastAsia="Arial" w:hAnsi="Arial"/>
                <w:sz w:val="16"/>
                <w:szCs w:val="16"/>
                <w:color w:val="auto"/>
              </w:rPr>
              <w:t>Diluted income per share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0.12</w:t>
            </w:r>
          </w:p>
        </w:tc>
        <w:tc>
          <w:tcPr>
            <w:tcW w:w="100" w:type="dxa"/>
            <w:vAlign w:val="bottom"/>
          </w:tcPr>
          <w:p>
            <w:pPr>
              <w:spacing w:after="0"/>
              <w:rPr>
                <w:sz w:val="22"/>
                <w:szCs w:val="22"/>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9.5 %</w:t>
            </w:r>
          </w:p>
        </w:tc>
      </w:tr>
      <w:tr>
        <w:trPr>
          <w:trHeight w:val="278"/>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average shares outstanding</w:t>
            </w: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31,755</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31,852</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(0.3)%</w:t>
            </w:r>
          </w:p>
        </w:tc>
      </w:tr>
    </w:tbl>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(1) Percentages may not add due to rounding differences.</w:t>
      </w:r>
    </w:p>
    <w:p>
      <w:pPr>
        <w:spacing w:after="0" w:line="185" w:lineRule="exact"/>
        <w:rPr>
          <w:sz w:val="20"/>
          <w:szCs w:val="20"/>
          <w:color w:val="auto"/>
        </w:rPr>
      </w:pPr>
    </w:p>
    <w:p>
      <w:pPr>
        <w:jc w:val="both"/>
        <w:ind w:right="160"/>
        <w:spacing w:after="0" w:line="291" w:lineRule="auto"/>
        <w:rPr>
          <w:sz w:val="20"/>
          <w:szCs w:val="20"/>
          <w:color w:val="auto"/>
        </w:rPr>
      </w:pPr>
      <w:r>
        <w:rPr>
          <w:rFonts w:ascii="Arial" w:cs="Arial" w:eastAsia="Arial" w:hAnsi="Arial"/>
          <w:sz w:val="16"/>
          <w:szCs w:val="16"/>
          <w:color w:val="auto"/>
        </w:rPr>
        <w:t>Net revenues increased in the first six months of Fiscal 2019 compared to the first six months of Fiscal 2018 primarily due to an increase in our Towable segment sales and the acquisition of Chris-Craft in the fourth quarter of Fiscal 2018. This was partially offset by a decrease in our Motorhome segment sales.</w:t>
      </w:r>
    </w:p>
    <w:p>
      <w:pPr>
        <w:spacing w:after="0" w:line="121" w:lineRule="exact"/>
        <w:rPr>
          <w:sz w:val="20"/>
          <w:szCs w:val="20"/>
          <w:color w:val="auto"/>
        </w:rPr>
      </w:pPr>
    </w:p>
    <w:p>
      <w:pPr>
        <w:ind w:right="280"/>
        <w:spacing w:after="0" w:line="261" w:lineRule="auto"/>
        <w:rPr>
          <w:sz w:val="20"/>
          <w:szCs w:val="20"/>
          <w:color w:val="auto"/>
        </w:rPr>
      </w:pPr>
      <w:r>
        <w:rPr>
          <w:rFonts w:ascii="Arial" w:cs="Arial" w:eastAsia="Arial" w:hAnsi="Arial"/>
          <w:sz w:val="16"/>
          <w:szCs w:val="16"/>
          <w:color w:val="auto"/>
        </w:rPr>
        <w:t>Gross profit as a percentage of revenue increased in the first six months of Fiscal 2019 compared to the first six months of Fiscal 2018 due to a decrease in our Motorhome manufacturing costs as a percentage of revenue due to higher costs in the prior year related to the ramp-up of our West Coast production facility and new product start-up. This was partially offset by margin pressure from inflationary cost increases and heightened dealer incentives across all segments.</w:t>
      </w:r>
    </w:p>
    <w:p>
      <w:pPr>
        <w:spacing w:after="0" w:line="145" w:lineRule="exact"/>
        <w:rPr>
          <w:sz w:val="20"/>
          <w:szCs w:val="20"/>
          <w:color w:val="auto"/>
        </w:rPr>
      </w:pPr>
    </w:p>
    <w:p>
      <w:pPr>
        <w:ind w:right="600"/>
        <w:spacing w:after="0" w:line="291" w:lineRule="auto"/>
        <w:rPr>
          <w:sz w:val="20"/>
          <w:szCs w:val="20"/>
          <w:color w:val="auto"/>
        </w:rPr>
      </w:pPr>
      <w:r>
        <w:rPr>
          <w:rFonts w:ascii="Arial" w:cs="Arial" w:eastAsia="Arial" w:hAnsi="Arial"/>
          <w:sz w:val="16"/>
          <w:szCs w:val="16"/>
          <w:color w:val="auto"/>
        </w:rPr>
        <w:t>Operating expenses increased in the first six months of Fiscal 2019 compared to the first six months of Fiscal 2018 due to increased investments in our business as well as an increase in professional fees.</w:t>
      </w:r>
    </w:p>
    <w:p>
      <w:pPr>
        <w:spacing w:after="0" w:line="121"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color w:val="auto"/>
        </w:rPr>
        <w:t>Interest expense decreased in the first six months of Fiscal 2019 compared to the first six months of Fiscal 2018 due to the unamortized debt issuance costs expensed in Fiscal 2018 related to our voluntary prepayment on our Credit Agreement and our Credit Agreement amendment during the second quarter of Fiscal 2018, which resulted in a decrease to the interest rate spread by 1.0% on the Term Loan and 0.25% on the ABL.</w:t>
      </w:r>
    </w:p>
    <w:p>
      <w:pPr>
        <w:spacing w:after="0" w:line="138" w:lineRule="exact"/>
        <w:rPr>
          <w:sz w:val="20"/>
          <w:szCs w:val="20"/>
          <w:color w:val="auto"/>
        </w:rPr>
      </w:pPr>
    </w:p>
    <w:p>
      <w:pPr>
        <w:ind w:right="540"/>
        <w:spacing w:after="0" w:line="291" w:lineRule="auto"/>
        <w:rPr>
          <w:sz w:val="20"/>
          <w:szCs w:val="20"/>
          <w:color w:val="auto"/>
        </w:rPr>
      </w:pPr>
      <w:r>
        <w:rPr>
          <w:rFonts w:ascii="Arial" w:cs="Arial" w:eastAsia="Arial" w:hAnsi="Arial"/>
          <w:sz w:val="16"/>
          <w:szCs w:val="16"/>
          <w:color w:val="auto"/>
        </w:rPr>
        <w:t>Non-operating income increased in the first six months of Fiscal 2019 compared to the first six months of Fiscal 2018 due to net proceeds received from company-owned life insurance policies.</w:t>
      </w:r>
    </w:p>
    <w:p>
      <w:pPr>
        <w:spacing w:after="0" w:line="121" w:lineRule="exact"/>
        <w:rPr>
          <w:sz w:val="20"/>
          <w:szCs w:val="20"/>
          <w:color w:val="auto"/>
        </w:rPr>
      </w:pPr>
    </w:p>
    <w:p>
      <w:pPr>
        <w:jc w:val="both"/>
        <w:ind w:right="100"/>
        <w:spacing w:after="0" w:line="269" w:lineRule="auto"/>
        <w:rPr>
          <w:sz w:val="20"/>
          <w:szCs w:val="20"/>
          <w:color w:val="auto"/>
        </w:rPr>
      </w:pPr>
      <w:r>
        <w:rPr>
          <w:rFonts w:ascii="Arial" w:cs="Arial" w:eastAsia="Arial" w:hAnsi="Arial"/>
          <w:sz w:val="16"/>
          <w:szCs w:val="16"/>
          <w:color w:val="auto"/>
        </w:rPr>
        <w:t>The effective tax rate decreased to 18.4% for the first six months of Fiscal 2019 compared to 29.5% for the first six months of Fiscal 2018 due primarily to the enactment of the Tax Act on December 22, 2017 and to $2.5 million in certain favorable discrete items, primarily due to R&amp;D-related tax credits, realized in the current period. The reduction related to the enactment of the Tax Act is primarily attributable to the reduction in the Federal statutory tax rate to 21%.</w:t>
      </w:r>
    </w:p>
    <w:p>
      <w:pPr>
        <w:spacing w:after="0" w:line="138"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color w:val="auto"/>
        </w:rPr>
        <w:t>Net income and diluted income per share increased in the first six months of Fiscal 2019 compared to the first six months of Fiscal 2018 primarily due to improved profitability in our Motorhome segment and the lower effective income tax rate, offset slightly by a decrease in our Towable segment profitability and an increase in operating expenses.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Reconciliation</w:t>
      </w:r>
    </w:p>
    <w:p>
      <w:pPr>
        <w:spacing w:after="0" w:line="194"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The following table reconciles net income to consolidated EBITDA and Adjusted EBITDA for the first six months ended February 23, 2019 and February 24, 2018:</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6"/>
                <w:szCs w:val="16"/>
                <w:b w:val="1"/>
                <w:bCs w:val="1"/>
                <w:color w:val="auto"/>
              </w:rPr>
              <w:t>Six Months Ended</w:t>
            </w:r>
          </w:p>
        </w:tc>
      </w:tr>
      <w:tr>
        <w:trPr>
          <w:trHeight w:val="193"/>
        </w:trPr>
        <w:tc>
          <w:tcPr>
            <w:tcW w:w="7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23,</w:t>
            </w:r>
          </w:p>
        </w:tc>
        <w:tc>
          <w:tcPr>
            <w:tcW w:w="240" w:type="dxa"/>
            <w:vAlign w:val="bottom"/>
          </w:tcPr>
          <w:p>
            <w:pPr>
              <w:spacing w:after="0"/>
              <w:rPr>
                <w:sz w:val="16"/>
                <w:szCs w:val="16"/>
                <w:color w:val="auto"/>
              </w:rPr>
            </w:pPr>
          </w:p>
        </w:tc>
        <w:tc>
          <w:tcPr>
            <w:tcW w:w="1460" w:type="dxa"/>
            <w:vAlign w:val="bottom"/>
          </w:tcPr>
          <w:p>
            <w:pPr>
              <w:jc w:val="right"/>
              <w:ind w:right="319"/>
              <w:spacing w:after="0"/>
              <w:rPr>
                <w:sz w:val="20"/>
                <w:szCs w:val="20"/>
                <w:color w:val="auto"/>
              </w:rPr>
            </w:pPr>
            <w:r>
              <w:rPr>
                <w:rFonts w:ascii="Arial" w:cs="Arial" w:eastAsia="Arial" w:hAnsi="Arial"/>
                <w:sz w:val="16"/>
                <w:szCs w:val="16"/>
                <w:b w:val="1"/>
                <w:bCs w:val="1"/>
                <w:color w:val="auto"/>
              </w:rPr>
              <w:t>February 24,</w:t>
            </w:r>
          </w:p>
        </w:tc>
      </w:tr>
      <w:tr>
        <w:trPr>
          <w:trHeight w:val="232"/>
        </w:trPr>
        <w:tc>
          <w:tcPr>
            <w:tcW w:w="79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2018</w:t>
            </w:r>
          </w:p>
        </w:tc>
      </w:tr>
      <w:tr>
        <w:trPr>
          <w:trHeight w:val="254"/>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43,759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40,046</w:t>
            </w:r>
          </w:p>
        </w:tc>
      </w:tr>
      <w:tr>
        <w:trPr>
          <w:trHeight w:val="262"/>
        </w:trPr>
        <w:tc>
          <w:tcPr>
            <w:tcW w:w="790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22"/>
                <w:szCs w:val="22"/>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8,847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9,699</w:t>
            </w:r>
          </w:p>
        </w:tc>
      </w:tr>
      <w:tr>
        <w:trPr>
          <w:trHeight w:val="278"/>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9,892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16,794</w:t>
            </w:r>
          </w:p>
        </w:tc>
      </w:tr>
      <w:tr>
        <w:trPr>
          <w:trHeight w:val="262"/>
        </w:trPr>
        <w:tc>
          <w:tcPr>
            <w:tcW w:w="7900" w:type="dxa"/>
            <w:vAlign w:val="bottom"/>
          </w:tcPr>
          <w:p>
            <w:pPr>
              <w:ind w:left="40"/>
              <w:spacing w:after="0"/>
              <w:rPr>
                <w:sz w:val="20"/>
                <w:szCs w:val="20"/>
                <w:color w:val="auto"/>
              </w:rPr>
            </w:pPr>
            <w:r>
              <w:rPr>
                <w:rFonts w:ascii="Arial" w:cs="Arial" w:eastAsia="Arial" w:hAnsi="Arial"/>
                <w:sz w:val="16"/>
                <w:szCs w:val="16"/>
                <w:color w:val="auto"/>
              </w:rPr>
              <w:t>Depreciation</w:t>
            </w:r>
          </w:p>
        </w:tc>
        <w:tc>
          <w:tcPr>
            <w:tcW w:w="240" w:type="dxa"/>
            <w:vAlign w:val="bottom"/>
          </w:tcPr>
          <w:p>
            <w:pPr>
              <w:spacing w:after="0"/>
              <w:rPr>
                <w:sz w:val="22"/>
                <w:szCs w:val="22"/>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6,268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4,328</w:t>
            </w:r>
          </w:p>
        </w:tc>
      </w:tr>
      <w:tr>
        <w:trPr>
          <w:trHeight w:val="271"/>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4,926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3,988</w:t>
            </w:r>
          </w:p>
        </w:tc>
      </w:tr>
      <w:tr>
        <w:trPr>
          <w:trHeight w:val="249"/>
        </w:trPr>
        <w:tc>
          <w:tcPr>
            <w:tcW w:w="7900" w:type="dxa"/>
            <w:vAlign w:val="bottom"/>
          </w:tcPr>
          <w:p>
            <w:pPr>
              <w:ind w:left="180"/>
              <w:spacing w:after="0"/>
              <w:rPr>
                <w:sz w:val="20"/>
                <w:szCs w:val="20"/>
                <w:color w:val="auto"/>
              </w:rPr>
            </w:pPr>
            <w:r>
              <w:rPr>
                <w:rFonts w:ascii="Arial" w:cs="Arial" w:eastAsia="Arial" w:hAnsi="Arial"/>
                <w:sz w:val="16"/>
                <w:szCs w:val="16"/>
                <w:color w:val="auto"/>
              </w:rPr>
              <w:t>EBITDA</w:t>
            </w:r>
          </w:p>
        </w:tc>
        <w:tc>
          <w:tcPr>
            <w:tcW w:w="240" w:type="dxa"/>
            <w:vAlign w:val="bottom"/>
          </w:tcPr>
          <w:p>
            <w:pPr>
              <w:spacing w:after="0"/>
              <w:rPr>
                <w:sz w:val="21"/>
                <w:szCs w:val="21"/>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73,692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74,855</w:t>
            </w:r>
          </w:p>
        </w:tc>
      </w:tr>
      <w:tr>
        <w:trPr>
          <w:trHeight w:val="278"/>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Acquisition-related costs</w:t>
            </w:r>
          </w:p>
        </w:tc>
        <w:tc>
          <w:tcPr>
            <w:tcW w:w="24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r>
      <w:tr>
        <w:trPr>
          <w:trHeight w:val="262"/>
        </w:trPr>
        <w:tc>
          <w:tcPr>
            <w:tcW w:w="7900" w:type="dxa"/>
            <w:vAlign w:val="bottom"/>
          </w:tcPr>
          <w:p>
            <w:pPr>
              <w:ind w:left="40"/>
              <w:spacing w:after="0"/>
              <w:rPr>
                <w:sz w:val="20"/>
                <w:szCs w:val="20"/>
                <w:color w:val="auto"/>
              </w:rPr>
            </w:pPr>
            <w:r>
              <w:rPr>
                <w:rFonts w:ascii="Arial" w:cs="Arial" w:eastAsia="Arial" w:hAnsi="Arial"/>
                <w:sz w:val="16"/>
                <w:szCs w:val="16"/>
                <w:color w:val="auto"/>
              </w:rPr>
              <w:t>Restructuring expenses</w:t>
            </w:r>
          </w:p>
        </w:tc>
        <w:tc>
          <w:tcPr>
            <w:tcW w:w="240" w:type="dxa"/>
            <w:vAlign w:val="bottom"/>
          </w:tcPr>
          <w:p>
            <w:pPr>
              <w:spacing w:after="0"/>
              <w:rPr>
                <w:sz w:val="22"/>
                <w:szCs w:val="22"/>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1"/>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r>
      <w:tr>
        <w:trPr>
          <w:trHeight w:val="242"/>
        </w:trPr>
        <w:tc>
          <w:tcPr>
            <w:tcW w:w="7900" w:type="dxa"/>
            <w:vAlign w:val="bottom"/>
          </w:tcPr>
          <w:p>
            <w:pPr>
              <w:ind w:left="180"/>
              <w:spacing w:after="0"/>
              <w:rPr>
                <w:sz w:val="20"/>
                <w:szCs w:val="20"/>
                <w:color w:val="auto"/>
              </w:rPr>
            </w:pPr>
            <w:r>
              <w:rPr>
                <w:rFonts w:ascii="Arial" w:cs="Arial" w:eastAsia="Arial" w:hAnsi="Arial"/>
                <w:sz w:val="16"/>
                <w:szCs w:val="16"/>
                <w:color w:val="auto"/>
              </w:rPr>
              <w:t>Adjusted EBITDA</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72,941</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74,793</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Reportable Segment Performance Summary</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Motorhome</w:t>
      </w:r>
    </w:p>
    <w:p>
      <w:pPr>
        <w:spacing w:after="0" w:line="192" w:lineRule="exact"/>
        <w:rPr>
          <w:sz w:val="20"/>
          <w:szCs w:val="20"/>
          <w:color w:val="auto"/>
        </w:rPr>
      </w:pPr>
    </w:p>
    <w:p>
      <w:pPr>
        <w:ind w:right="480"/>
        <w:spacing w:after="0" w:line="291" w:lineRule="auto"/>
        <w:rPr>
          <w:sz w:val="20"/>
          <w:szCs w:val="20"/>
          <w:color w:val="auto"/>
        </w:rPr>
      </w:pPr>
      <w:r>
        <w:rPr>
          <w:rFonts w:ascii="Arial" w:cs="Arial" w:eastAsia="Arial" w:hAnsi="Arial"/>
          <w:sz w:val="16"/>
          <w:szCs w:val="16"/>
          <w:color w:val="auto"/>
        </w:rPr>
        <w:t>The following is an analysis of key changes in our Motorhome segment for the first six months ended February 23, 2019 compared to the first six months ended February 24, 2018 and as of February 23, 2019 compared to February 24, 2018:</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9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ind w:left="44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193"/>
        </w:trPr>
        <w:tc>
          <w:tcPr>
            <w:tcW w:w="2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ind w:right="99"/>
              <w:spacing w:after="0"/>
              <w:rPr>
                <w:sz w:val="20"/>
                <w:szCs w:val="20"/>
                <w:color w:val="auto"/>
              </w:rPr>
            </w:pPr>
            <w:r>
              <w:rPr>
                <w:rFonts w:ascii="Arial" w:cs="Arial" w:eastAsia="Arial" w:hAnsi="Arial"/>
                <w:sz w:val="16"/>
                <w:szCs w:val="16"/>
                <w:b w:val="1"/>
                <w:bCs w:val="1"/>
                <w:color w:val="auto"/>
              </w:rPr>
              <w:t>February 23,</w:t>
            </w: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ind w:right="139"/>
              <w:spacing w:after="0"/>
              <w:rPr>
                <w:sz w:val="20"/>
                <w:szCs w:val="20"/>
                <w:color w:val="auto"/>
              </w:rPr>
            </w:pPr>
            <w:r>
              <w:rPr>
                <w:rFonts w:ascii="Arial" w:cs="Arial" w:eastAsia="Arial" w:hAnsi="Arial"/>
                <w:sz w:val="16"/>
                <w:szCs w:val="16"/>
                <w:b w:val="1"/>
                <w:bCs w:val="1"/>
                <w:color w:val="auto"/>
              </w:rPr>
              <w:t>February 24,</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2"/>
        </w:trPr>
        <w:tc>
          <w:tcPr>
            <w:tcW w:w="296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ASP)</w:t>
            </w:r>
          </w:p>
        </w:tc>
        <w:tc>
          <w:tcPr>
            <w:tcW w:w="160" w:type="dxa"/>
            <w:vAlign w:val="bottom"/>
          </w:tcPr>
          <w:p>
            <w:pPr>
              <w:spacing w:after="0"/>
              <w:rPr>
                <w:sz w:val="20"/>
                <w:szCs w:val="20"/>
                <w:color w:val="auto"/>
              </w:rPr>
            </w:pPr>
          </w:p>
        </w:tc>
        <w:tc>
          <w:tcPr>
            <w:tcW w:w="1260" w:type="dxa"/>
            <w:vAlign w:val="bottom"/>
          </w:tcPr>
          <w:p>
            <w:pPr>
              <w:jc w:val="center"/>
              <w:ind w:right="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 of Revenues</w:t>
            </w:r>
          </w:p>
        </w:tc>
        <w:tc>
          <w:tcPr>
            <w:tcW w:w="160" w:type="dxa"/>
            <w:vAlign w:val="bottom"/>
          </w:tcPr>
          <w:p>
            <w:pPr>
              <w:spacing w:after="0"/>
              <w:rPr>
                <w:sz w:val="20"/>
                <w:szCs w:val="20"/>
                <w:color w:val="auto"/>
              </w:rPr>
            </w:pPr>
          </w:p>
        </w:tc>
        <w:tc>
          <w:tcPr>
            <w:tcW w:w="1260" w:type="dxa"/>
            <w:vAlign w:val="bottom"/>
          </w:tcPr>
          <w:p>
            <w:pPr>
              <w:jc w:val="center"/>
              <w:ind w:right="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20"/>
                <w:szCs w:val="20"/>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 Change</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67"/>
        </w:trPr>
        <w:tc>
          <w:tcPr>
            <w:tcW w:w="29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345,990</w:t>
            </w:r>
          </w:p>
        </w:tc>
        <w:tc>
          <w:tcPr>
            <w:tcW w:w="120" w:type="dxa"/>
            <w:vAlign w:val="bottom"/>
            <w:tcBorders>
              <w:top w:val="single" w:sz="8" w:color="CCEEFF"/>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387,278</w:t>
            </w:r>
          </w:p>
        </w:tc>
        <w:tc>
          <w:tcPr>
            <w:tcW w:w="100" w:type="dxa"/>
            <w:vAlign w:val="bottom"/>
            <w:tcBorders>
              <w:top w:val="single" w:sz="8" w:color="CCEEFF"/>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(41,288)</w:t>
            </w:r>
          </w:p>
        </w:tc>
        <w:tc>
          <w:tcPr>
            <w:tcW w:w="10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(10.7)%</w:t>
            </w:r>
          </w:p>
        </w:tc>
      </w:tr>
      <w:tr>
        <w:trPr>
          <w:trHeight w:val="262"/>
        </w:trPr>
        <w:tc>
          <w:tcPr>
            <w:tcW w:w="296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16,335</w:t>
            </w:r>
          </w:p>
        </w:tc>
        <w:tc>
          <w:tcPr>
            <w:tcW w:w="1400" w:type="dxa"/>
            <w:vAlign w:val="bottom"/>
            <w:gridSpan w:val="2"/>
          </w:tcPr>
          <w:p>
            <w:pPr>
              <w:jc w:val="right"/>
              <w:ind w:right="7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10,587</w:t>
            </w:r>
          </w:p>
        </w:tc>
        <w:tc>
          <w:tcPr>
            <w:tcW w:w="1460" w:type="dxa"/>
            <w:vAlign w:val="bottom"/>
            <w:gridSpan w:val="2"/>
          </w:tcPr>
          <w:p>
            <w:pPr>
              <w:jc w:val="right"/>
              <w:ind w:right="17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5,748</w:t>
            </w:r>
          </w:p>
        </w:tc>
        <w:tc>
          <w:tcPr>
            <w:tcW w:w="100" w:type="dxa"/>
            <w:vAlign w:val="bottom"/>
          </w:tcPr>
          <w:p>
            <w:pPr>
              <w:spacing w:after="0"/>
              <w:rPr>
                <w:sz w:val="22"/>
                <w:szCs w:val="22"/>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54.3 %</w:t>
            </w:r>
          </w:p>
        </w:tc>
      </w:tr>
      <w:tr>
        <w:trPr>
          <w:trHeight w:val="305"/>
        </w:trPr>
        <w:tc>
          <w:tcPr>
            <w:tcW w:w="29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439"/>
        </w:trPr>
        <w:tc>
          <w:tcPr>
            <w:tcW w:w="2960" w:type="dxa"/>
            <w:vAlign w:val="bottom"/>
          </w:tcPr>
          <w:p>
            <w:pPr>
              <w:ind w:left="40"/>
              <w:spacing w:after="0"/>
              <w:rPr>
                <w:sz w:val="20"/>
                <w:szCs w:val="20"/>
                <w:color w:val="auto"/>
              </w:rPr>
            </w:pPr>
            <w:r>
              <w:rPr>
                <w:rFonts w:ascii="Arial" w:cs="Arial" w:eastAsia="Arial" w:hAnsi="Arial"/>
                <w:sz w:val="32"/>
                <w:szCs w:val="32"/>
                <w:color w:val="auto"/>
                <w:vertAlign w:val="subscript"/>
              </w:rPr>
              <w:t>ASP</w:t>
            </w:r>
            <w:r>
              <w:rPr>
                <w:rFonts w:ascii="Arial" w:cs="Arial" w:eastAsia="Arial" w:hAnsi="Arial"/>
                <w:sz w:val="11"/>
                <w:szCs w:val="11"/>
                <w:color w:val="auto"/>
              </w:rPr>
              <w:t>(1)</w:t>
            </w:r>
          </w:p>
        </w:tc>
        <w:tc>
          <w:tcPr>
            <w:tcW w:w="160" w:type="dxa"/>
            <w:vAlign w:val="bottom"/>
          </w:tcPr>
          <w:p>
            <w:pPr>
              <w:spacing w:after="0"/>
              <w:rPr>
                <w:sz w:val="24"/>
                <w:szCs w:val="24"/>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95,620</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90,604</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5,016</w:t>
            </w:r>
          </w:p>
        </w:tc>
        <w:tc>
          <w:tcPr>
            <w:tcW w:w="100" w:type="dxa"/>
            <w:vAlign w:val="bottom"/>
          </w:tcPr>
          <w:p>
            <w:pPr>
              <w:spacing w:after="0"/>
              <w:rPr>
                <w:sz w:val="24"/>
                <w:szCs w:val="24"/>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5.5 %</w:t>
            </w:r>
          </w:p>
        </w:tc>
      </w:tr>
      <w:tr>
        <w:trPr>
          <w:trHeight w:val="327"/>
        </w:trPr>
        <w:tc>
          <w:tcPr>
            <w:tcW w:w="2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ind w:left="44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93"/>
        </w:trPr>
        <w:tc>
          <w:tcPr>
            <w:tcW w:w="2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ind w:right="99"/>
              <w:spacing w:after="0"/>
              <w:rPr>
                <w:sz w:val="20"/>
                <w:szCs w:val="20"/>
                <w:color w:val="auto"/>
              </w:rPr>
            </w:pPr>
            <w:r>
              <w:rPr>
                <w:rFonts w:ascii="Arial" w:cs="Arial" w:eastAsia="Arial" w:hAnsi="Arial"/>
                <w:sz w:val="16"/>
                <w:szCs w:val="16"/>
                <w:b w:val="1"/>
                <w:bCs w:val="1"/>
                <w:color w:val="auto"/>
              </w:rPr>
              <w:t>February 23,</w:t>
            </w: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ind w:right="139"/>
              <w:spacing w:after="0"/>
              <w:rPr>
                <w:sz w:val="20"/>
                <w:szCs w:val="20"/>
                <w:color w:val="auto"/>
              </w:rPr>
            </w:pPr>
            <w:r>
              <w:rPr>
                <w:rFonts w:ascii="Arial" w:cs="Arial" w:eastAsia="Arial" w:hAnsi="Arial"/>
                <w:sz w:val="16"/>
                <w:szCs w:val="16"/>
                <w:b w:val="1"/>
                <w:bCs w:val="1"/>
                <w:color w:val="auto"/>
              </w:rPr>
              <w:t>February 24,</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6"/>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ind w:right="39"/>
              <w:spacing w:after="0" w:line="236"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59"/>
              <w:spacing w:after="0" w:line="236"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1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Unit Change</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2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951</w:t>
            </w:r>
          </w:p>
        </w:tc>
        <w:tc>
          <w:tcPr>
            <w:tcW w:w="14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26.1%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1,604</w:t>
            </w:r>
          </w:p>
        </w:tc>
        <w:tc>
          <w:tcPr>
            <w:tcW w:w="14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37.9%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(40.7)%</w:t>
            </w:r>
          </w:p>
        </w:tc>
      </w:tr>
      <w:tr>
        <w:trPr>
          <w:trHeight w:val="262"/>
        </w:trPr>
        <w:tc>
          <w:tcPr>
            <w:tcW w:w="2960" w:type="dxa"/>
            <w:vAlign w:val="bottom"/>
          </w:tcPr>
          <w:p>
            <w:pPr>
              <w:ind w:left="40"/>
              <w:spacing w:after="0"/>
              <w:rPr>
                <w:sz w:val="20"/>
                <w:szCs w:val="20"/>
                <w:color w:val="auto"/>
              </w:rPr>
            </w:pPr>
            <w:r>
              <w:rPr>
                <w:rFonts w:ascii="Arial" w:cs="Arial" w:eastAsia="Arial" w:hAnsi="Arial"/>
                <w:sz w:val="16"/>
                <w:szCs w:val="16"/>
                <w:color w:val="auto"/>
              </w:rPr>
              <w:t>Class B</w:t>
            </w:r>
          </w:p>
        </w:tc>
        <w:tc>
          <w:tcPr>
            <w:tcW w:w="16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1,332</w:t>
            </w:r>
          </w:p>
        </w:tc>
        <w:tc>
          <w:tcPr>
            <w:tcW w:w="1400" w:type="dxa"/>
            <w:vAlign w:val="bottom"/>
            <w:gridSpan w:val="2"/>
          </w:tcPr>
          <w:p>
            <w:pPr>
              <w:jc w:val="right"/>
              <w:ind w:right="79"/>
              <w:spacing w:after="0"/>
              <w:rPr>
                <w:sz w:val="20"/>
                <w:szCs w:val="20"/>
                <w:color w:val="auto"/>
              </w:rPr>
            </w:pPr>
            <w:r>
              <w:rPr>
                <w:rFonts w:ascii="Arial" w:cs="Arial" w:eastAsia="Arial" w:hAnsi="Arial"/>
                <w:sz w:val="16"/>
                <w:szCs w:val="16"/>
                <w:color w:val="auto"/>
              </w:rPr>
              <w:t>36.6%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781</w:t>
            </w:r>
          </w:p>
        </w:tc>
        <w:tc>
          <w:tcPr>
            <w:tcW w:w="1460" w:type="dxa"/>
            <w:vAlign w:val="bottom"/>
            <w:gridSpan w:val="2"/>
          </w:tcPr>
          <w:p>
            <w:pPr>
              <w:jc w:val="right"/>
              <w:ind w:right="179"/>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22"/>
                <w:szCs w:val="22"/>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70.6 %</w:t>
            </w:r>
          </w:p>
        </w:tc>
      </w:tr>
      <w:tr>
        <w:trPr>
          <w:trHeight w:val="271"/>
        </w:trPr>
        <w:tc>
          <w:tcPr>
            <w:tcW w:w="2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1,361</w:t>
            </w:r>
          </w:p>
        </w:tc>
        <w:tc>
          <w:tcPr>
            <w:tcW w:w="120" w:type="dxa"/>
            <w:vAlign w:val="bottom"/>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37.3%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1,844</w:t>
            </w: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43.6%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(26.2)%</w:t>
            </w:r>
          </w:p>
        </w:tc>
      </w:tr>
      <w:tr>
        <w:trPr>
          <w:trHeight w:val="242"/>
        </w:trPr>
        <w:tc>
          <w:tcPr>
            <w:tcW w:w="2960" w:type="dxa"/>
            <w:vAlign w:val="bottom"/>
          </w:tcPr>
          <w:p>
            <w:pPr>
              <w:ind w:left="180"/>
              <w:spacing w:after="0"/>
              <w:rPr>
                <w:sz w:val="20"/>
                <w:szCs w:val="20"/>
                <w:color w:val="auto"/>
              </w:rPr>
            </w:pPr>
            <w:r>
              <w:rPr>
                <w:rFonts w:ascii="Arial" w:cs="Arial" w:eastAsia="Arial" w:hAnsi="Arial"/>
                <w:sz w:val="16"/>
                <w:szCs w:val="16"/>
                <w:color w:val="auto"/>
              </w:rPr>
              <w:t>Total motorhomes</w:t>
            </w:r>
          </w:p>
        </w:tc>
        <w:tc>
          <w:tcPr>
            <w:tcW w:w="16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3,644</w:t>
            </w:r>
          </w:p>
        </w:tc>
        <w:tc>
          <w:tcPr>
            <w:tcW w:w="1400" w:type="dxa"/>
            <w:vAlign w:val="bottom"/>
            <w:gridSpan w:val="2"/>
          </w:tcPr>
          <w:p>
            <w:pPr>
              <w:jc w:val="right"/>
              <w:ind w:right="7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4,229</w:t>
            </w:r>
          </w:p>
        </w:tc>
        <w:tc>
          <w:tcPr>
            <w:tcW w:w="1460" w:type="dxa"/>
            <w:vAlign w:val="bottom"/>
            <w:gridSpan w:val="2"/>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21"/>
                <w:szCs w:val="21"/>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(13.8)%</w:t>
            </w:r>
          </w:p>
        </w:tc>
      </w:tr>
      <w:tr>
        <w:trPr>
          <w:trHeight w:val="20"/>
        </w:trPr>
        <w:tc>
          <w:tcPr>
            <w:tcW w:w="2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407"/>
        </w:trPr>
        <w:tc>
          <w:tcPr>
            <w:tcW w:w="2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center"/>
              <w:ind w:right="99"/>
              <w:spacing w:after="0"/>
              <w:rPr>
                <w:sz w:val="20"/>
                <w:szCs w:val="20"/>
                <w:color w:val="auto"/>
              </w:rPr>
            </w:pPr>
            <w:r>
              <w:rPr>
                <w:rFonts w:ascii="Arial" w:cs="Arial" w:eastAsia="Arial" w:hAnsi="Arial"/>
                <w:sz w:val="16"/>
                <w:szCs w:val="16"/>
                <w:b w:val="1"/>
                <w:bCs w:val="1"/>
                <w:color w:val="auto"/>
              </w:rPr>
              <w:t>February 23,</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center"/>
              <w:ind w:right="139"/>
              <w:spacing w:after="0"/>
              <w:rPr>
                <w:sz w:val="20"/>
                <w:szCs w:val="20"/>
                <w:color w:val="auto"/>
              </w:rPr>
            </w:pPr>
            <w:r>
              <w:rPr>
                <w:rFonts w:ascii="Arial" w:cs="Arial" w:eastAsia="Arial" w:hAnsi="Arial"/>
                <w:sz w:val="16"/>
                <w:szCs w:val="16"/>
                <w:b w:val="1"/>
                <w:bCs w:val="1"/>
                <w:color w:val="auto"/>
              </w:rPr>
              <w:t>February 24,</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2"/>
        </w:trPr>
        <w:tc>
          <w:tcPr>
            <w:tcW w:w="2960" w:type="dxa"/>
            <w:vAlign w:val="bottom"/>
          </w:tcPr>
          <w:p>
            <w:pPr>
              <w:ind w:left="40"/>
              <w:spacing w:after="0"/>
              <w:rPr>
                <w:sz w:val="20"/>
                <w:szCs w:val="20"/>
                <w:color w:val="auto"/>
              </w:rPr>
            </w:pPr>
            <w:r>
              <w:rPr>
                <w:rFonts w:ascii="Arial" w:cs="Arial" w:eastAsia="Arial" w:hAnsi="Arial"/>
                <w:sz w:val="16"/>
                <w:szCs w:val="16"/>
                <w:b w:val="1"/>
                <w:bCs w:val="1"/>
                <w:color w:val="auto"/>
              </w:rPr>
              <w:t>($ in thousands)</w:t>
            </w:r>
          </w:p>
        </w:tc>
        <w:tc>
          <w:tcPr>
            <w:tcW w:w="160" w:type="dxa"/>
            <w:vAlign w:val="bottom"/>
          </w:tcPr>
          <w:p>
            <w:pPr>
              <w:spacing w:after="0"/>
              <w:rPr>
                <w:sz w:val="20"/>
                <w:szCs w:val="20"/>
                <w:color w:val="auto"/>
              </w:rPr>
            </w:pPr>
          </w:p>
        </w:tc>
        <w:tc>
          <w:tcPr>
            <w:tcW w:w="1260" w:type="dxa"/>
            <w:vAlign w:val="bottom"/>
          </w:tcPr>
          <w:p>
            <w:pPr>
              <w:jc w:val="center"/>
              <w:ind w:right="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center"/>
              <w:ind w:right="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Change</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67"/>
        </w:trPr>
        <w:tc>
          <w:tcPr>
            <w:tcW w:w="29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(3)</w:t>
            </w:r>
          </w:p>
        </w:tc>
        <w:tc>
          <w:tcPr>
            <w:tcW w:w="16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3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r>
      <w:tr>
        <w:trPr>
          <w:trHeight w:val="262"/>
        </w:trPr>
        <w:tc>
          <w:tcPr>
            <w:tcW w:w="2960" w:type="dxa"/>
            <w:vAlign w:val="bottom"/>
          </w:tcPr>
          <w:p>
            <w:pPr>
              <w:ind w:left="180"/>
              <w:spacing w:after="0"/>
              <w:rPr>
                <w:sz w:val="20"/>
                <w:szCs w:val="20"/>
                <w:color w:val="auto"/>
              </w:rPr>
            </w:pPr>
            <w:r>
              <w:rPr>
                <w:rFonts w:ascii="Arial" w:cs="Arial" w:eastAsia="Arial" w:hAnsi="Arial"/>
                <w:sz w:val="16"/>
                <w:szCs w:val="16"/>
                <w:color w:val="auto"/>
              </w:rPr>
              <w:t>Units</w:t>
            </w:r>
          </w:p>
        </w:tc>
        <w:tc>
          <w:tcPr>
            <w:tcW w:w="16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1,882</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3,053</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(1,171)</w:t>
            </w:r>
          </w:p>
        </w:tc>
        <w:tc>
          <w:tcPr>
            <w:tcW w:w="100" w:type="dxa"/>
            <w:vAlign w:val="bottom"/>
          </w:tcPr>
          <w:p>
            <w:pPr>
              <w:spacing w:after="0"/>
              <w:rPr>
                <w:sz w:val="22"/>
                <w:szCs w:val="22"/>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(38.4)%</w:t>
            </w:r>
          </w:p>
        </w:tc>
      </w:tr>
      <w:tr>
        <w:trPr>
          <w:trHeight w:val="278"/>
        </w:trPr>
        <w:tc>
          <w:tcPr>
            <w:tcW w:w="2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Dollars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169,581</w:t>
            </w: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276,231</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(106,650)</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(38.6)%</w:t>
            </w:r>
          </w:p>
        </w:tc>
      </w:tr>
      <w:tr>
        <w:trPr>
          <w:trHeight w:val="266"/>
        </w:trPr>
        <w:tc>
          <w:tcPr>
            <w:tcW w:w="2960" w:type="dxa"/>
            <w:vAlign w:val="bottom"/>
          </w:tcPr>
          <w:p>
            <w:pPr>
              <w:ind w:left="40"/>
              <w:spacing w:after="0"/>
              <w:rPr>
                <w:sz w:val="20"/>
                <w:szCs w:val="20"/>
                <w:color w:val="auto"/>
              </w:rPr>
            </w:pPr>
            <w:r>
              <w:rPr>
                <w:rFonts w:ascii="Arial" w:cs="Arial" w:eastAsia="Arial" w:hAnsi="Arial"/>
                <w:sz w:val="16"/>
                <w:szCs w:val="16"/>
                <w:b w:val="1"/>
                <w:bCs w:val="1"/>
                <w:color w:val="auto"/>
              </w:rPr>
              <w:t>Dealer Inventory</w:t>
            </w: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4"/>
        </w:trPr>
        <w:tc>
          <w:tcPr>
            <w:tcW w:w="2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Units</w:t>
            </w: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4,812</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4,827</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(0.3)%</w:t>
            </w:r>
          </w:p>
        </w:tc>
      </w:tr>
    </w:tbl>
    <w:p>
      <w:pPr>
        <w:spacing w:after="0" w:line="41"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Average selling price excludes off-invoice dealer incentives.</w:t>
      </w:r>
    </w:p>
    <w:p>
      <w:pPr>
        <w:spacing w:after="0" w:line="19" w:lineRule="exact"/>
        <w:rPr>
          <w:rFonts w:ascii="Arial" w:cs="Arial" w:eastAsia="Arial" w:hAnsi="Arial"/>
          <w:sz w:val="14"/>
          <w:szCs w:val="14"/>
          <w:color w:val="auto"/>
        </w:rPr>
      </w:pPr>
    </w:p>
    <w:p>
      <w:pPr>
        <w:ind w:left="260" w:hanging="252"/>
        <w:spacing w:after="0"/>
        <w:tabs>
          <w:tab w:leader="none" w:pos="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1" w:lineRule="exact"/>
        <w:rPr>
          <w:rFonts w:ascii="Arial" w:cs="Arial" w:eastAsia="Arial" w:hAnsi="Arial"/>
          <w:sz w:val="14"/>
          <w:szCs w:val="14"/>
          <w:color w:val="auto"/>
        </w:rPr>
      </w:pPr>
    </w:p>
    <w:p>
      <w:pPr>
        <w:ind w:left="260" w:right="20" w:hanging="252"/>
        <w:spacing w:after="0" w:line="264" w:lineRule="auto"/>
        <w:tabs>
          <w:tab w:leader="none" w:pos="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include in our backlog all accepted orders from dealers to generally be shipped within the next six months. Orders in backlog can be cancelled or postponed at the option of the dealer at any time without penalty and, therefore, backlog may not necessarily be an accurate measure of future sales.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Net revenues decreased in the first six months of Fiscal 2019 compared to the first six months of Fiscal 2018 due to a decrease in</w:t>
      </w:r>
    </w:p>
    <w:p>
      <w:pPr>
        <w:sectPr>
          <w:pgSz w:w="11900" w:h="16838" w:orient="portrait"/>
          <w:cols w:equalWidth="0" w:num="1">
            <w:col w:w="11420"/>
          </w:cols>
          <w:pgMar w:left="240" w:top="121" w:right="23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1" w:right="239" w:bottom="1440" w:gutter="0" w:footer="0" w:header="0"/>
          <w:type w:val="continuous"/>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number of units sold, partially offset by increased pricing.</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ASP increased due to price increases during the second half of Fiscal 2018.</w:t>
      </w:r>
    </w:p>
    <w:p>
      <w:pPr>
        <w:spacing w:after="0" w:line="194"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Adjusted EBITDA increased in the first six months of Fiscal 2019 compared to the first six months of Fiscal 2018 due to revenue mix, pricing, and operational improvements, partially offset by margin pressure from inflationary cost increases and heightened dealer incentives.</w:t>
      </w:r>
    </w:p>
    <w:p>
      <w:pPr>
        <w:spacing w:after="0" w:line="121" w:lineRule="exact"/>
        <w:rPr>
          <w:sz w:val="20"/>
          <w:szCs w:val="20"/>
          <w:color w:val="auto"/>
        </w:rPr>
      </w:pPr>
    </w:p>
    <w:p>
      <w:pPr>
        <w:ind w:right="400"/>
        <w:spacing w:after="0" w:line="291" w:lineRule="auto"/>
        <w:rPr>
          <w:sz w:val="20"/>
          <w:szCs w:val="20"/>
          <w:color w:val="auto"/>
        </w:rPr>
      </w:pPr>
      <w:r>
        <w:rPr>
          <w:rFonts w:ascii="Arial" w:cs="Arial" w:eastAsia="Arial" w:hAnsi="Arial"/>
          <w:sz w:val="16"/>
          <w:szCs w:val="16"/>
          <w:color w:val="auto"/>
        </w:rPr>
        <w:t>Unit deliveries decreased in the first six months of Fiscal 2019 compared to the first six months of Fiscal 2018 driven by decreases in our Class A gas and Class C products, partially offset by an increase in our Class B products.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Additionally, we have seen a decrease in the backlog volumes as of February 23, 2019 compared to February 24, 2018 due to the continuation of dealers right-sizing inventory levels and prior year Class B new product order timing.</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Towable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Towable segment for the first six months ended February 23, 2019 compared to the first six months ended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February 24, 2018 and as of February 23, 2019 compared to February 24, 2018: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ind w:left="42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193"/>
        </w:trPr>
        <w:tc>
          <w:tcPr>
            <w:tcW w:w="2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119"/>
              <w:spacing w:after="0"/>
              <w:rPr>
                <w:sz w:val="20"/>
                <w:szCs w:val="20"/>
                <w:color w:val="auto"/>
              </w:rPr>
            </w:pPr>
            <w:r>
              <w:rPr>
                <w:rFonts w:ascii="Arial" w:cs="Arial" w:eastAsia="Arial" w:hAnsi="Arial"/>
                <w:sz w:val="16"/>
                <w:szCs w:val="16"/>
                <w:b w:val="1"/>
                <w:bCs w:val="1"/>
                <w:color w:val="auto"/>
              </w:rPr>
              <w:t>February 23,</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b w:val="1"/>
                <w:bCs w:val="1"/>
                <w:color w:val="auto"/>
              </w:rPr>
              <w:t>February 24,</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2"/>
        </w:trPr>
        <w:tc>
          <w:tcPr>
            <w:tcW w:w="298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ASP)</w:t>
            </w:r>
          </w:p>
        </w:tc>
        <w:tc>
          <w:tcPr>
            <w:tcW w:w="160" w:type="dxa"/>
            <w:vAlign w:val="bottom"/>
          </w:tcPr>
          <w:p>
            <w:pPr>
              <w:spacing w:after="0"/>
              <w:rPr>
                <w:sz w:val="20"/>
                <w:szCs w:val="20"/>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 of Revenues</w:t>
            </w:r>
          </w:p>
        </w:tc>
        <w:tc>
          <w:tcPr>
            <w:tcW w:w="160" w:type="dxa"/>
            <w:vAlign w:val="bottom"/>
          </w:tcPr>
          <w:p>
            <w:pPr>
              <w:spacing w:after="0"/>
              <w:rPr>
                <w:sz w:val="20"/>
                <w:szCs w:val="20"/>
                <w:color w:val="auto"/>
              </w:rPr>
            </w:pPr>
          </w:p>
        </w:tc>
        <w:tc>
          <w:tcPr>
            <w:tcW w:w="1260" w:type="dxa"/>
            <w:vAlign w:val="bottom"/>
          </w:tcPr>
          <w:p>
            <w:pPr>
              <w:jc w:val="center"/>
              <w:ind w:right="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 Change</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67"/>
        </w:trPr>
        <w:tc>
          <w:tcPr>
            <w:tcW w:w="29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543,524</w:t>
            </w:r>
          </w:p>
        </w:tc>
        <w:tc>
          <w:tcPr>
            <w:tcW w:w="100" w:type="dxa"/>
            <w:vAlign w:val="bottom"/>
            <w:tcBorders>
              <w:top w:val="single" w:sz="8" w:color="CCEEFF"/>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526,023</w:t>
            </w:r>
          </w:p>
        </w:tc>
        <w:tc>
          <w:tcPr>
            <w:tcW w:w="120" w:type="dxa"/>
            <w:vAlign w:val="bottom"/>
            <w:tcBorders>
              <w:top w:val="single" w:sz="8" w:color="CCEEFF"/>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17,501</w:t>
            </w:r>
          </w:p>
        </w:tc>
        <w:tc>
          <w:tcPr>
            <w:tcW w:w="12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3.3 %</w:t>
            </w:r>
          </w:p>
        </w:tc>
      </w:tr>
      <w:tr>
        <w:trPr>
          <w:trHeight w:val="262"/>
        </w:trPr>
        <w:tc>
          <w:tcPr>
            <w:tcW w:w="298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64,466</w:t>
            </w:r>
          </w:p>
        </w:tc>
        <w:tc>
          <w:tcPr>
            <w:tcW w:w="1400" w:type="dxa"/>
            <w:vAlign w:val="bottom"/>
            <w:gridSpan w:val="2"/>
          </w:tcPr>
          <w:p>
            <w:pPr>
              <w:jc w:val="right"/>
              <w:ind w:right="79"/>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69,688</w:t>
            </w:r>
          </w:p>
        </w:tc>
        <w:tc>
          <w:tcPr>
            <w:tcW w:w="1420" w:type="dxa"/>
            <w:vAlign w:val="bottom"/>
            <w:gridSpan w:val="2"/>
          </w:tcPr>
          <w:p>
            <w:pPr>
              <w:jc w:val="right"/>
              <w:ind w:right="79"/>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(5,222)</w:t>
            </w:r>
          </w:p>
        </w:tc>
        <w:tc>
          <w:tcPr>
            <w:tcW w:w="120" w:type="dxa"/>
            <w:vAlign w:val="bottom"/>
          </w:tcPr>
          <w:p>
            <w:pPr>
              <w:spacing w:after="0"/>
              <w:rPr>
                <w:sz w:val="22"/>
                <w:szCs w:val="22"/>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(7.5)%</w:t>
            </w:r>
          </w:p>
        </w:tc>
      </w:tr>
      <w:tr>
        <w:trPr>
          <w:trHeight w:val="305"/>
        </w:trPr>
        <w:tc>
          <w:tcPr>
            <w:tcW w:w="2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329"/>
        </w:trPr>
        <w:tc>
          <w:tcPr>
            <w:tcW w:w="2980" w:type="dxa"/>
            <w:vAlign w:val="bottom"/>
          </w:tcPr>
          <w:p>
            <w:pPr>
              <w:ind w:left="40"/>
              <w:spacing w:after="0"/>
              <w:rPr>
                <w:sz w:val="20"/>
                <w:szCs w:val="20"/>
                <w:color w:val="auto"/>
              </w:rPr>
            </w:pPr>
            <w:r>
              <w:rPr>
                <w:rFonts w:ascii="Arial" w:cs="Arial" w:eastAsia="Arial" w:hAnsi="Arial"/>
                <w:sz w:val="16"/>
                <w:szCs w:val="16"/>
                <w:color w:val="auto"/>
              </w:rPr>
              <w:t>ASP</w:t>
            </w:r>
            <w:r>
              <w:rPr>
                <w:rFonts w:ascii="Arial" w:cs="Arial" w:eastAsia="Arial" w:hAnsi="Arial"/>
                <w:sz w:val="21"/>
                <w:szCs w:val="21"/>
                <w:color w:val="auto"/>
                <w:vertAlign w:val="superscript"/>
              </w:rPr>
              <w:t>(1)</w:t>
            </w:r>
          </w:p>
        </w:tc>
        <w:tc>
          <w:tcPr>
            <w:tcW w:w="160" w:type="dxa"/>
            <w:vAlign w:val="bottom"/>
          </w:tcPr>
          <w:p>
            <w:pPr>
              <w:spacing w:after="0"/>
              <w:rPr>
                <w:sz w:val="24"/>
                <w:szCs w:val="24"/>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32,008</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31,096</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912</w:t>
            </w:r>
          </w:p>
        </w:tc>
        <w:tc>
          <w:tcPr>
            <w:tcW w:w="120" w:type="dxa"/>
            <w:vAlign w:val="bottom"/>
          </w:tcPr>
          <w:p>
            <w:pPr>
              <w:spacing w:after="0"/>
              <w:rPr>
                <w:sz w:val="24"/>
                <w:szCs w:val="24"/>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2.9 %</w:t>
            </w:r>
          </w:p>
        </w:tc>
      </w:tr>
      <w:tr>
        <w:trPr>
          <w:trHeight w:val="437"/>
        </w:trPr>
        <w:tc>
          <w:tcPr>
            <w:tcW w:w="2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ind w:left="42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93"/>
        </w:trPr>
        <w:tc>
          <w:tcPr>
            <w:tcW w:w="2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119"/>
              <w:spacing w:after="0"/>
              <w:rPr>
                <w:sz w:val="20"/>
                <w:szCs w:val="20"/>
                <w:color w:val="auto"/>
              </w:rPr>
            </w:pPr>
            <w:r>
              <w:rPr>
                <w:rFonts w:ascii="Arial" w:cs="Arial" w:eastAsia="Arial" w:hAnsi="Arial"/>
                <w:sz w:val="16"/>
                <w:szCs w:val="16"/>
                <w:b w:val="1"/>
                <w:bCs w:val="1"/>
                <w:color w:val="auto"/>
              </w:rPr>
              <w:t>February 23,</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b w:val="1"/>
                <w:bCs w:val="1"/>
                <w:color w:val="auto"/>
              </w:rPr>
              <w:t>February 24,</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6"/>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39"/>
              <w:spacing w:after="0" w:line="236"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39"/>
              <w:spacing w:after="0" w:line="236"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1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Unit Change</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10,379</w:t>
            </w:r>
          </w:p>
        </w:tc>
        <w:tc>
          <w:tcPr>
            <w:tcW w:w="14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61.1%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10,432</w:t>
            </w:r>
          </w:p>
        </w:tc>
        <w:tc>
          <w:tcPr>
            <w:tcW w:w="14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60.8%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(0.5)%</w:t>
            </w:r>
          </w:p>
        </w:tc>
      </w:tr>
      <w:tr>
        <w:trPr>
          <w:trHeight w:val="264"/>
        </w:trPr>
        <w:tc>
          <w:tcPr>
            <w:tcW w:w="2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Fifth wheel</w:t>
            </w: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6,602</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38.9%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6,725</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39.2%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w:t>
            </w:r>
          </w:p>
        </w:tc>
      </w:tr>
      <w:tr>
        <w:trPr>
          <w:trHeight w:val="242"/>
        </w:trPr>
        <w:tc>
          <w:tcPr>
            <w:tcW w:w="2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towables</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16,981</w:t>
            </w:r>
          </w:p>
        </w:tc>
        <w:tc>
          <w:tcPr>
            <w:tcW w:w="14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17,157</w:t>
            </w:r>
          </w:p>
        </w:tc>
        <w:tc>
          <w:tcPr>
            <w:tcW w:w="14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407"/>
        </w:trPr>
        <w:tc>
          <w:tcPr>
            <w:tcW w:w="2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center"/>
              <w:ind w:right="119"/>
              <w:spacing w:after="0"/>
              <w:rPr>
                <w:sz w:val="20"/>
                <w:szCs w:val="20"/>
                <w:color w:val="auto"/>
              </w:rPr>
            </w:pPr>
            <w:r>
              <w:rPr>
                <w:rFonts w:ascii="Arial" w:cs="Arial" w:eastAsia="Arial" w:hAnsi="Arial"/>
                <w:sz w:val="16"/>
                <w:szCs w:val="16"/>
                <w:b w:val="1"/>
                <w:bCs w:val="1"/>
                <w:color w:val="auto"/>
              </w:rPr>
              <w:t>February 23,</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b w:val="1"/>
                <w:bCs w:val="1"/>
                <w:color w:val="auto"/>
              </w:rPr>
              <w:t>February 24,</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2"/>
        </w:trPr>
        <w:tc>
          <w:tcPr>
            <w:tcW w:w="2980" w:type="dxa"/>
            <w:vAlign w:val="bottom"/>
          </w:tcPr>
          <w:p>
            <w:pPr>
              <w:ind w:left="40"/>
              <w:spacing w:after="0"/>
              <w:rPr>
                <w:sz w:val="20"/>
                <w:szCs w:val="20"/>
                <w:color w:val="auto"/>
              </w:rPr>
            </w:pPr>
            <w:r>
              <w:rPr>
                <w:rFonts w:ascii="Arial" w:cs="Arial" w:eastAsia="Arial" w:hAnsi="Arial"/>
                <w:sz w:val="16"/>
                <w:szCs w:val="16"/>
                <w:b w:val="1"/>
                <w:bCs w:val="1"/>
                <w:color w:val="auto"/>
              </w:rPr>
              <w:t>($ in thousands)</w:t>
            </w:r>
          </w:p>
        </w:tc>
        <w:tc>
          <w:tcPr>
            <w:tcW w:w="160" w:type="dxa"/>
            <w:vAlign w:val="bottom"/>
          </w:tcPr>
          <w:p>
            <w:pPr>
              <w:spacing w:after="0"/>
              <w:rPr>
                <w:sz w:val="20"/>
                <w:szCs w:val="20"/>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center"/>
              <w:ind w:right="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Change</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67"/>
        </w:trPr>
        <w:tc>
          <w:tcPr>
            <w:tcW w:w="29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(3)</w:t>
            </w:r>
          </w:p>
        </w:tc>
        <w:tc>
          <w:tcPr>
            <w:tcW w:w="16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3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3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r>
      <w:tr>
        <w:trPr>
          <w:trHeight w:val="262"/>
        </w:trPr>
        <w:tc>
          <w:tcPr>
            <w:tcW w:w="2980" w:type="dxa"/>
            <w:vAlign w:val="bottom"/>
          </w:tcPr>
          <w:p>
            <w:pPr>
              <w:ind w:left="180"/>
              <w:spacing w:after="0"/>
              <w:rPr>
                <w:sz w:val="20"/>
                <w:szCs w:val="20"/>
                <w:color w:val="auto"/>
              </w:rPr>
            </w:pPr>
            <w:r>
              <w:rPr>
                <w:rFonts w:ascii="Arial" w:cs="Arial" w:eastAsia="Arial" w:hAnsi="Arial"/>
                <w:sz w:val="16"/>
                <w:szCs w:val="16"/>
                <w:color w:val="auto"/>
              </w:rPr>
              <w:t>Units</w:t>
            </w:r>
          </w:p>
        </w:tc>
        <w:tc>
          <w:tcPr>
            <w:tcW w:w="16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8,002</w:t>
            </w: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9,342</w:t>
            </w: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(1,340)</w:t>
            </w:r>
          </w:p>
        </w:tc>
        <w:tc>
          <w:tcPr>
            <w:tcW w:w="120" w:type="dxa"/>
            <w:vAlign w:val="bottom"/>
          </w:tcPr>
          <w:p>
            <w:pPr>
              <w:spacing w:after="0"/>
              <w:rPr>
                <w:sz w:val="22"/>
                <w:szCs w:val="22"/>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(14.3)%</w:t>
            </w:r>
          </w:p>
        </w:tc>
      </w:tr>
      <w:tr>
        <w:trPr>
          <w:trHeight w:val="278"/>
        </w:trPr>
        <w:tc>
          <w:tcPr>
            <w:tcW w:w="2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Dollars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285,391</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302,630</w:t>
            </w: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(17,239)</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(5.7)%</w:t>
            </w:r>
          </w:p>
        </w:tc>
      </w:tr>
      <w:tr>
        <w:trPr>
          <w:trHeight w:val="266"/>
        </w:trPr>
        <w:tc>
          <w:tcPr>
            <w:tcW w:w="2980" w:type="dxa"/>
            <w:vAlign w:val="bottom"/>
          </w:tcPr>
          <w:p>
            <w:pPr>
              <w:ind w:left="40"/>
              <w:spacing w:after="0"/>
              <w:rPr>
                <w:sz w:val="20"/>
                <w:szCs w:val="20"/>
                <w:color w:val="auto"/>
              </w:rPr>
            </w:pPr>
            <w:r>
              <w:rPr>
                <w:rFonts w:ascii="Arial" w:cs="Arial" w:eastAsia="Arial" w:hAnsi="Arial"/>
                <w:sz w:val="16"/>
                <w:szCs w:val="16"/>
                <w:b w:val="1"/>
                <w:bCs w:val="1"/>
                <w:color w:val="auto"/>
              </w:rPr>
              <w:t>Dealer Inventory</w:t>
            </w: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4"/>
        </w:trPr>
        <w:tc>
          <w:tcPr>
            <w:tcW w:w="2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Units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19,141</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15,728</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3,413</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21.7 %</w:t>
            </w:r>
          </w:p>
        </w:tc>
      </w:tr>
    </w:tbl>
    <w:p>
      <w:pPr>
        <w:spacing w:after="0" w:line="41"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Average selling price excludes off-invoice dealer incentives.</w:t>
      </w:r>
    </w:p>
    <w:p>
      <w:pPr>
        <w:spacing w:after="0" w:line="19" w:lineRule="exact"/>
        <w:rPr>
          <w:rFonts w:ascii="Arial" w:cs="Arial" w:eastAsia="Arial" w:hAnsi="Arial"/>
          <w:sz w:val="14"/>
          <w:szCs w:val="14"/>
          <w:color w:val="auto"/>
        </w:rPr>
      </w:pPr>
    </w:p>
    <w:p>
      <w:pPr>
        <w:ind w:left="260" w:hanging="252"/>
        <w:spacing w:after="0"/>
        <w:tabs>
          <w:tab w:leader="none" w:pos="2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1" w:lineRule="exact"/>
        <w:rPr>
          <w:rFonts w:ascii="Arial" w:cs="Arial" w:eastAsia="Arial" w:hAnsi="Arial"/>
          <w:sz w:val="14"/>
          <w:szCs w:val="14"/>
          <w:color w:val="auto"/>
        </w:rPr>
      </w:pPr>
    </w:p>
    <w:p>
      <w:pPr>
        <w:ind w:left="260" w:right="20" w:hanging="252"/>
        <w:spacing w:after="0" w:line="264" w:lineRule="auto"/>
        <w:tabs>
          <w:tab w:leader="none" w:pos="2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include in our backlog all accepted orders from dealers to generally be shipped within the next six months. Orders in backlog can be cancelled or postponed at the option of the dealer at any time without penalty and, therefore, backlog may not necessarily be an accurate measure of future sales.</w:t>
      </w:r>
    </w:p>
    <w:p>
      <w:pPr>
        <w:spacing w:after="0" w:line="109" w:lineRule="exact"/>
        <w:rPr>
          <w:sz w:val="20"/>
          <w:szCs w:val="20"/>
          <w:color w:val="auto"/>
        </w:rPr>
      </w:pPr>
    </w:p>
    <w:p>
      <w:pPr>
        <w:ind w:right="480"/>
        <w:spacing w:after="0" w:line="291" w:lineRule="auto"/>
        <w:rPr>
          <w:sz w:val="20"/>
          <w:szCs w:val="20"/>
          <w:color w:val="auto"/>
        </w:rPr>
      </w:pPr>
      <w:r>
        <w:rPr>
          <w:rFonts w:ascii="Arial" w:cs="Arial" w:eastAsia="Arial" w:hAnsi="Arial"/>
          <w:sz w:val="16"/>
          <w:szCs w:val="16"/>
          <w:color w:val="auto"/>
        </w:rPr>
        <w:t>Net revenues increased in the first six months of Fiscal 2019 compared to the first six months of Fiscal 2018 due to increased pricing, partially offset by a decline in units sold.</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ASP increased slightly due to price increases during the second half of Fiscal 2018.</w:t>
      </w:r>
    </w:p>
    <w:p>
      <w:pPr>
        <w:spacing w:after="0" w:line="19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Adjusted EBITDA decreased in the first six months of Fiscal 2019 compared to the first six months of Fiscal 2018 primarily due to increased material costs and higher dealer program costs, partially offset by sales growth.</w:t>
      </w:r>
    </w:p>
    <w:p>
      <w:pPr>
        <w:spacing w:after="0" w:line="121"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Unit deliveries decreased in the first six months of Fiscal 2019 compared to the first six months of Fiscal 2018 primarily due to a slowing of retail demand and dealer inventory reductions. Our Towable segment market share increased from 6.2% to 7.8% when comparing retail registrations during the twelve-month trailing periods ended January 2018 and January 2019. Shipments grew faster than the industry as a result of greater penetration of our new products and further expansion of our products on dealer lots.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We have seen a decrease in the backlog volumes as of February 23, 2019 compared to February 24, 2018 due to our utilization of additional capacity added during 2018 and re-balancing from high backlog levels in the prior year, in addition to a more challenging shipping environment in the current year. We believe dealer inventory increased due to our increased market share in the Towable segment.</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of Financial Condition, Liquidity, and Resources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cash flows from total operations for the first six months ended February 23, 2019 and February 24, 2018:</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Six Months Ended</w:t>
            </w:r>
          </w:p>
        </w:tc>
      </w:tr>
      <w:tr>
        <w:trPr>
          <w:trHeight w:val="193"/>
        </w:trPr>
        <w:tc>
          <w:tcPr>
            <w:tcW w:w="8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23,</w:t>
            </w:r>
          </w:p>
        </w:tc>
        <w:tc>
          <w:tcPr>
            <w:tcW w:w="220" w:type="dxa"/>
            <w:vAlign w:val="bottom"/>
          </w:tcPr>
          <w:p>
            <w:pPr>
              <w:spacing w:after="0"/>
              <w:rPr>
                <w:sz w:val="16"/>
                <w:szCs w:val="16"/>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rPr>
              <w:t>February 24,</w:t>
            </w:r>
          </w:p>
        </w:tc>
      </w:tr>
      <w:tr>
        <w:trPr>
          <w:trHeight w:val="232"/>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267"/>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cash provided by (used in):</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2"/>
        </w:trPr>
        <w:tc>
          <w:tcPr>
            <w:tcW w:w="8120" w:type="dxa"/>
            <w:vAlign w:val="bottom"/>
          </w:tcPr>
          <w:p>
            <w:pPr>
              <w:ind w:left="180"/>
              <w:spacing w:after="0"/>
              <w:rPr>
                <w:sz w:val="20"/>
                <w:szCs w:val="20"/>
                <w:color w:val="auto"/>
              </w:rPr>
            </w:pPr>
            <w:r>
              <w:rPr>
                <w:rFonts w:ascii="Arial" w:cs="Arial" w:eastAsia="Arial" w:hAnsi="Arial"/>
                <w:sz w:val="16"/>
                <w:szCs w:val="16"/>
                <w:color w:val="auto"/>
              </w:rPr>
              <w:t>Operating activities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51,938</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15,045</w:t>
            </w:r>
          </w:p>
        </w:tc>
      </w:tr>
      <w:tr>
        <w:trPr>
          <w:trHeight w:val="278"/>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Investing activities</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(23,024)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(11,394)</w:t>
            </w:r>
          </w:p>
        </w:tc>
      </w:tr>
      <w:tr>
        <w:trPr>
          <w:trHeight w:val="264"/>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Financing activities</w:t>
            </w: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(28,239)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(12,153)</w:t>
            </w:r>
          </w:p>
        </w:tc>
      </w:tr>
      <w:tr>
        <w:trPr>
          <w:trHeight w:val="242"/>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(8,502)</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65"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Cash provided by operating activities increased for the first six months ended February 23, 2019 compared to the first six months ended February 24, 2018 primarily due to an increase in net income and improvements in net working capital. This was partially offset by the timing of our estimated tax payments.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4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Cash used in investing activities increased for the first six months ended February 23, 2019 compared to the first six months ended February 24, 2018 primarily due to increased capital expenditures related to the capacity expansions within our Towable segment.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65" w:lineRule="exact"/>
        <w:rPr>
          <w:sz w:val="20"/>
          <w:szCs w:val="20"/>
          <w:color w:val="auto"/>
        </w:rPr>
      </w:pPr>
    </w:p>
    <w:p>
      <w:pPr>
        <w:ind w:right="660"/>
        <w:spacing w:after="0" w:line="291" w:lineRule="auto"/>
        <w:rPr>
          <w:sz w:val="20"/>
          <w:szCs w:val="20"/>
          <w:color w:val="auto"/>
        </w:rPr>
      </w:pPr>
      <w:r>
        <w:rPr>
          <w:rFonts w:ascii="Arial" w:cs="Arial" w:eastAsia="Arial" w:hAnsi="Arial"/>
          <w:sz w:val="16"/>
          <w:szCs w:val="16"/>
          <w:color w:val="auto"/>
        </w:rPr>
        <w:t>Cash used in financing activities increased for the first six months ended February 23, 2019 compared to the first six months ended February 24, 2018 primarily due to increased net payments on our Credit Agreement and increased share repurchases.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Debt and Capital</w:t>
      </w:r>
    </w:p>
    <w:p>
      <w:pPr>
        <w:spacing w:after="0" w:line="194"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 xml:space="preserve">As of September 21, 2018, we have a debt agreement that consists of a $300.0 million term loan agreement ("Term Loan") and a $165.0 million asset-based revolving credit facility ("ABL") (collectively, the "Credit Agreement") with JPMorgan Chase Bank, N.A. Refer to Note 9,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of the Notes to Consolidated Financial Statements, included in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of our Annual Report on Form 10-K for the fiscal year ended August 25, 2018 for additional details. As of February 23, 2019, we had $23.3 million in borrowings against the ABL.</w:t>
      </w:r>
    </w:p>
    <w:p>
      <w:pPr>
        <w:spacing w:after="0" w:line="145"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We filed a Registration Statement on Form S-3, which was declared effective by the Securities and Exchange Commission on April 25, 2016. Subject to market conditions, this registration provides for the ability to offer and sell up to $35.0 million of our common stock in one or more offerings pursuant to the Registration Statement. The Registration Statement will be available for use for three years from its effective date. We currently have no plans to offer and sell the common stock registered under this Registration Statement.</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Financial Measures</w:t>
      </w:r>
    </w:p>
    <w:p>
      <w:pPr>
        <w:spacing w:after="0" w:line="194" w:lineRule="exact"/>
        <w:rPr>
          <w:sz w:val="20"/>
          <w:szCs w:val="20"/>
          <w:color w:val="auto"/>
        </w:rPr>
      </w:pPr>
    </w:p>
    <w:p>
      <w:pPr>
        <w:ind w:right="520"/>
        <w:spacing w:after="0" w:line="269" w:lineRule="auto"/>
        <w:rPr>
          <w:sz w:val="20"/>
          <w:szCs w:val="20"/>
          <w:color w:val="auto"/>
        </w:rPr>
      </w:pPr>
      <w:r>
        <w:rPr>
          <w:rFonts w:ascii="Arial" w:cs="Arial" w:eastAsia="Arial" w:hAnsi="Arial"/>
          <w:sz w:val="16"/>
          <w:szCs w:val="16"/>
          <w:color w:val="auto"/>
        </w:rPr>
        <w:t>Working capital at February 23, 2019 and August 25, 2018 was $175.3 million and $167.8 million, respectively. We currently expect cash on hand, funds generated from operations, and the borrowing available under our Credit Agreement to be sufficient to cover both short-term and long-term operating requirements.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Repurchases and Dividends</w:t>
      </w:r>
    </w:p>
    <w:p>
      <w:pPr>
        <w:spacing w:after="0" w:line="194" w:lineRule="exact"/>
        <w:rPr>
          <w:sz w:val="20"/>
          <w:szCs w:val="20"/>
          <w:color w:val="auto"/>
        </w:rPr>
      </w:pPr>
    </w:p>
    <w:p>
      <w:pPr>
        <w:jc w:val="both"/>
        <w:ind w:right="140"/>
        <w:spacing w:after="0" w:line="269" w:lineRule="auto"/>
        <w:rPr>
          <w:sz w:val="20"/>
          <w:szCs w:val="20"/>
          <w:color w:val="auto"/>
        </w:rPr>
      </w:pPr>
      <w:r>
        <w:rPr>
          <w:rFonts w:ascii="Arial" w:cs="Arial" w:eastAsia="Arial" w:hAnsi="Arial"/>
          <w:sz w:val="16"/>
          <w:szCs w:val="16"/>
          <w:color w:val="auto"/>
        </w:rPr>
        <w:t>We repurchase our common stock and pay dividends pursuant to programs approved by our Board of Directors. Our long-term capital allocation strategy is to first fund operations and investments in growth, maintain a debt leverage ratio within our targeted zone, maintain reasonable liquidity, and then return excess cash over time to shareholders through dividends and share repurchases.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On December 19, 2007, our Board of Directors authorized the repurchase of outstanding shares of our common stock, depending on market conditions, for an aggregate consideration of up to $60.0 million. On October 18, 2017, our Board of Directors authorized a share repurchase program in the amount of $70.0 million. There is no time restriction on either authorization. In the first six months ended February 23, 2019, we repurchased 0.2 million shares for $5.3 million under this authorization. We continually evaluate if share repurchases reflect a prudent use of our capital and, subject to compliance with our Credit Agreement, we may purchase shares in the future. At February 23, 2019, we have $60.7 million remaining on our board repurchase authorization.</w:t>
      </w:r>
    </w:p>
    <w:p>
      <w:pPr>
        <w:spacing w:after="0" w:line="14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March 8, 2019, our Board of Directors approved a quarterly cash dividend of $0.11 per share payable on April 17, 2019, to common stockholders of record at the close of business on April 3, 2019.</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Commercial Commitments</w:t>
      </w:r>
    </w:p>
    <w:p>
      <w:pPr>
        <w:spacing w:after="0" w:line="19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There has been no material change in our contractual obligations other than in the ordinary course of business since the end of Fiscal 2018. See our Annual Report on Form 10-K for the fiscal year ended August 25, 2018, for additional information regarding our contractual obligations and commercial commitments.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Accounting Policies and Estimates</w:t>
      </w:r>
    </w:p>
    <w:p>
      <w:pPr>
        <w:spacing w:after="0" w:line="196"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color w:val="auto"/>
        </w:rPr>
        <w:t xml:space="preserve">We describe our significant accounting policies in Note 1: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to Consolidated Financial Statements included in our Annual Report on Form 10-K for the fiscal year ended August 25, 2018. We discuss our critical accounting estimates in Item 7, </w:t>
      </w:r>
      <w:r>
        <w:rPr>
          <w:rFonts w:ascii="Arial" w:cs="Arial" w:eastAsia="Arial" w:hAnsi="Arial"/>
          <w:sz w:val="16"/>
          <w:szCs w:val="16"/>
          <w:i w:val="1"/>
          <w:iCs w:val="1"/>
          <w:color w:val="auto"/>
        </w:rPr>
        <w:t>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 of Financial Condition and Results of Operations</w:t>
      </w:r>
      <w:r>
        <w:rPr>
          <w:rFonts w:ascii="Arial" w:cs="Arial" w:eastAsia="Arial" w:hAnsi="Arial"/>
          <w:sz w:val="16"/>
          <w:szCs w:val="16"/>
          <w:color w:val="auto"/>
        </w:rPr>
        <w:t>, in our Annual Report on Form 10-K for the fiscal year ended August 25, 2018.</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significant changes in our significant accounting policies or critical accounting estimates since the end of Fiscal 2018.</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196" w:lineRule="exact"/>
        <w:rPr>
          <w:sz w:val="20"/>
          <w:szCs w:val="20"/>
          <w:color w:val="auto"/>
        </w:rPr>
      </w:pPr>
    </w:p>
    <w:p>
      <w:pPr>
        <w:ind w:right="600"/>
        <w:spacing w:after="0" w:line="291" w:lineRule="auto"/>
        <w:rPr>
          <w:sz w:val="20"/>
          <w:szCs w:val="20"/>
          <w:color w:val="auto"/>
        </w:rPr>
      </w:pPr>
      <w:r>
        <w:rPr>
          <w:rFonts w:ascii="Arial" w:cs="Arial" w:eastAsia="Arial" w:hAnsi="Arial"/>
          <w:sz w:val="16"/>
          <w:szCs w:val="16"/>
          <w:color w:val="auto"/>
        </w:rPr>
        <w:t xml:space="preserve">For a description of new applicable accounting pronouncements, see Note 1, </w:t>
      </w:r>
      <w:r>
        <w:rPr>
          <w:rFonts w:ascii="Arial" w:cs="Arial" w:eastAsia="Arial" w:hAnsi="Arial"/>
          <w:sz w:val="16"/>
          <w:szCs w:val="16"/>
          <w:i w:val="1"/>
          <w:iCs w:val="1"/>
          <w:color w:val="auto"/>
        </w:rPr>
        <w:t>Basis of Presentation</w:t>
      </w:r>
      <w:r>
        <w:rPr>
          <w:rFonts w:ascii="Arial" w:cs="Arial" w:eastAsia="Arial" w:hAnsi="Arial"/>
          <w:sz w:val="16"/>
          <w:szCs w:val="16"/>
          <w:color w:val="auto"/>
        </w:rPr>
        <w:t>, of the Notes to Condensed Consolidated Financial Statements, included in this Quarterly Report on Form 10-Q.</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 Harbor Statement Under the Private Securities Litigation Reform Act</w:t>
      </w:r>
    </w:p>
    <w:p>
      <w:pPr>
        <w:spacing w:after="0" w:line="196"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 xml:space="preserve">Section 27A of the Securities Act of 1933, as amended (“Securities Act”), and Section 21E of the Securities Exchange Act of 1934, as amended (“Exchange Act”), provide a “safe harbor” for forward-looking statements to encourage companies to provide prospective information about their companies. With the exception of historical information, the matters discussed in this Quarterly Report on Form 10-Q are forward-looking statements and may be identified by the use of words such as "anticipate," "assume," "believe," "estimate," "expect," "guidance," "intend," "outlook," "plan," "project," and other words and terms of similar meaning. Such statements reflect our current views and estimates with respect to future market conditions, company performance and financial results, operational investments, business prospects, new strategies, the competitive environment, and other events. These statements are subject to certain risks and uncertainties that could cause actual results to differ materially from the potential results discussed in such forward-looking statements. Readers should review Item 1A, </w:t>
      </w:r>
      <w:r>
        <w:rPr>
          <w:rFonts w:ascii="Arial" w:cs="Arial" w:eastAsia="Arial" w:hAnsi="Arial"/>
          <w:sz w:val="16"/>
          <w:szCs w:val="16"/>
          <w:i w:val="1"/>
          <w:iCs w:val="1"/>
          <w:color w:val="auto"/>
        </w:rPr>
        <w:t>Risk Factors</w:t>
      </w:r>
      <w:r>
        <w:rPr>
          <w:rFonts w:ascii="Arial" w:cs="Arial" w:eastAsia="Arial" w:hAnsi="Arial"/>
          <w:sz w:val="16"/>
          <w:szCs w:val="16"/>
          <w:color w:val="auto"/>
        </w:rPr>
        <w:t>, of our Annual Report on Form 10-K for the fiscal year ended August 25, 2018, for a description of important factors that could cause our actual results to differ materially from those contemplated by the forward-looking statements made in this Quarterly Report on Form 10-Q. Among the factors that could cause actual results and outcomes to differ materially from those contained in such forward-looking statements are the following: competition and new product introductions by competitors, our ability to attract and retain qualified personnel, business or production disruptions, sales order cancellations, risk related to compliance with debt covenants and leverage ratios, stock price volatility, availability of labor, a slowdown in the economy, low consumer confidence, the effect of global tensions, increases in interest rates, availability of credit, risk related to cyclicality and seasonality, slower than anticipated sales of new or existing products, integration of operations relating to merger and acquisition activities generally, inadequate liquidity or capital resources, inventory and distribution channel management, our ability to innovate, our reliance on large dealer organizations, significant increase in repurchase obligations, availability and price of fuel, availability of chassis and other key component parts, increased material and component costs, exposure to warranty claims, ability to protect our intellectual property, exposure to product liability claims, dependence on information systems and web applications, any unexpected expenses related to ERP, risk related to data security, governmental regulation, including for climate change, and risk related to anti-takeover provisions applicable to us and other factors. We caution that the foregoing list of important factors is not complete. Any forward-looking statements speak only as of the date they are made, and we assume no obligation to update any forward-looking statement that we may make.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00"/>
          </w:cols>
          <w:pgMar w:left="240" w:top="121" w:right="25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96" w:lineRule="exact"/>
        <w:rPr>
          <w:sz w:val="20"/>
          <w:szCs w:val="20"/>
          <w:color w:val="auto"/>
        </w:rPr>
      </w:pPr>
    </w:p>
    <w:p>
      <w:pPr>
        <w:ind w:right="900"/>
        <w:spacing w:after="0" w:line="291" w:lineRule="auto"/>
        <w:rPr>
          <w:sz w:val="20"/>
          <w:szCs w:val="20"/>
          <w:color w:val="auto"/>
        </w:rPr>
      </w:pPr>
      <w:r>
        <w:rPr>
          <w:rFonts w:ascii="Arial" w:cs="Arial" w:eastAsia="Arial" w:hAnsi="Arial"/>
          <w:sz w:val="16"/>
          <w:szCs w:val="16"/>
          <w:color w:val="auto"/>
        </w:rPr>
        <w:t xml:space="preserve">There have been no material changes in our primary risk exposures or management of market risks from those previously disclosed in Part II, Item 7A, </w:t>
      </w:r>
      <w:r>
        <w:rPr>
          <w:rFonts w:ascii="Arial" w:cs="Arial" w:eastAsia="Arial" w:hAnsi="Arial"/>
          <w:sz w:val="16"/>
          <w:szCs w:val="16"/>
          <w:i w:val="1"/>
          <w:iCs w:val="1"/>
          <w:color w:val="auto"/>
        </w:rPr>
        <w:t>Quantitative and Qualitative Disclosures About Market Risk</w:t>
      </w:r>
      <w:r>
        <w:rPr>
          <w:rFonts w:ascii="Arial" w:cs="Arial" w:eastAsia="Arial" w:hAnsi="Arial"/>
          <w:sz w:val="16"/>
          <w:szCs w:val="16"/>
          <w:color w:val="auto"/>
        </w:rPr>
        <w:t>, of our Annual Report on Form 10-K for the fiscal year ended August 25, 2018.</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192"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We maintain "disclosure controls and procedures", as such term is defined under Securities Exchange Act of 1934, as amended ("Exchange Act") Rule 13a-15(e), that are designed to ensure that information required to be disclosed in our reports filed or submitted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disclosures. Management necessarily applied its judgment in assessing the costs and benefits of such controls and procedures and believes that such controls and procedures are effective at the reasonable assurance level.</w:t>
      </w:r>
    </w:p>
    <w:p>
      <w:pPr>
        <w:spacing w:after="0" w:line="151"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Our management, under the supervision and with the participation of our Chief Executive Officer and Chief Financial Officer, has evaluated the effectiveness of the design and operation of our disclosure controls and procedures, required by Exchange Act Rule 13a-15(b), as of the end of the period covered by this report (the "Evaluation Date"). Based on this evaluation, the Chief Executive Officer and Chief Financial Officer have concluded that our disclosure controls and procedures were effective as of the Evaluation Date.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192"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We are implementing an ERP system, which is expected to improve the efficiency of certain financial and related transaction processes. The implementation of an ERP system will likely affect the processes that constitute our internal control over financial reporting and will require testing for effectiveness. As we have completed implementation of certain phases of the ERP, internal controls over financial reporting have been tested for effectiveness with respect to the scope of the phase completed. We concluded, as part of our evaluation described in the above paragraphs, that the implementation of ERP in these circumstances has not materially affected our internal control over financial reporting. The implementation is continuing in a phased approach and will continue to be evaluated for effect on our internal control over financial reporting.</w:t>
      </w:r>
    </w:p>
    <w:p>
      <w:pPr>
        <w:spacing w:after="0" w:line="178"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There were no changes in our internal control over financial reporting that occurred during the second quarter of Fiscal 2019 that have materially affected, or are reasonably likely to materially affect, our internal control over financial reporting.</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69" w:lineRule="exact"/>
        <w:rPr>
          <w:sz w:val="20"/>
          <w:szCs w:val="20"/>
          <w:color w:val="auto"/>
        </w:rPr>
      </w:pPr>
    </w:p>
    <w:p>
      <w:pPr>
        <w:ind w:right="840"/>
        <w:spacing w:after="0" w:line="291" w:lineRule="auto"/>
        <w:rPr>
          <w:sz w:val="20"/>
          <w:szCs w:val="20"/>
          <w:color w:val="auto"/>
        </w:rPr>
      </w:pPr>
      <w:r>
        <w:rPr>
          <w:rFonts w:ascii="Arial" w:cs="Arial" w:eastAsia="Arial" w:hAnsi="Arial"/>
          <w:sz w:val="16"/>
          <w:szCs w:val="16"/>
          <w:color w:val="auto"/>
        </w:rPr>
        <w:t xml:space="preserve">For a description of our legal proceedings, see Note 11, </w:t>
      </w:r>
      <w:r>
        <w:rPr>
          <w:rFonts w:ascii="Arial" w:cs="Arial" w:eastAsia="Arial" w:hAnsi="Arial"/>
          <w:sz w:val="16"/>
          <w:szCs w:val="16"/>
          <w:i w:val="1"/>
          <w:iCs w:val="1"/>
          <w:color w:val="auto"/>
        </w:rPr>
        <w:t>Contingent Liabilities and Commitments</w:t>
      </w:r>
      <w:r>
        <w:rPr>
          <w:rFonts w:ascii="Arial" w:cs="Arial" w:eastAsia="Arial" w:hAnsi="Arial"/>
          <w:sz w:val="16"/>
          <w:szCs w:val="16"/>
          <w:color w:val="auto"/>
        </w:rPr>
        <w:t>, of the Notes to Condensed Consolidated Financial Statements, included in this Quarterly Report on Form 10-Q.</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96"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 xml:space="preserve">There have been no material changes from the risk factors previously disclosed in 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 of our Annual Report on Form 10-K for the fiscal year ended August 25, 2018.</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(c) Stock Repurchases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Purchases of our common stock during each fiscal month of the second quarter of Fiscal 2019 were: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Number of Shares Purchased as</w:t>
            </w:r>
          </w:p>
        </w:tc>
        <w:tc>
          <w:tcPr>
            <w:tcW w:w="2840" w:type="dxa"/>
            <w:vAlign w:val="bottom"/>
            <w:gridSpan w:val="2"/>
          </w:tcPr>
          <w:p>
            <w:pPr>
              <w:jc w:val="right"/>
              <w:spacing w:after="0"/>
              <w:rPr>
                <w:sz w:val="20"/>
                <w:szCs w:val="20"/>
                <w:color w:val="auto"/>
              </w:rPr>
            </w:pPr>
            <w:r>
              <w:rPr>
                <w:rFonts w:ascii="Arial" w:cs="Arial" w:eastAsia="Arial" w:hAnsi="Arial"/>
                <w:sz w:val="16"/>
                <w:szCs w:val="16"/>
                <w:b w:val="1"/>
                <w:bCs w:val="1"/>
                <w:color w:val="auto"/>
              </w:rPr>
              <w:t>Approximate Dollar Value of Shares</w:t>
            </w:r>
          </w:p>
        </w:tc>
      </w:tr>
      <w:tr>
        <w:trPr>
          <w:trHeight w:val="189"/>
        </w:trPr>
        <w:tc>
          <w:tcPr>
            <w:tcW w:w="2520" w:type="dxa"/>
            <w:vAlign w:val="bottom"/>
          </w:tcPr>
          <w:p>
            <w:pPr>
              <w:spacing w:after="0"/>
              <w:rPr>
                <w:sz w:val="16"/>
                <w:szCs w:val="16"/>
                <w:color w:val="auto"/>
              </w:rPr>
            </w:pPr>
          </w:p>
        </w:tc>
        <w:tc>
          <w:tcPr>
            <w:tcW w:w="1600" w:type="dxa"/>
            <w:vAlign w:val="bottom"/>
          </w:tcPr>
          <w:p>
            <w:pPr>
              <w:jc w:val="right"/>
              <w:ind w:right="99"/>
              <w:spacing w:after="0"/>
              <w:rPr>
                <w:sz w:val="20"/>
                <w:szCs w:val="20"/>
                <w:color w:val="auto"/>
              </w:rPr>
            </w:pPr>
            <w:r>
              <w:rPr>
                <w:rFonts w:ascii="Arial" w:cs="Arial" w:eastAsia="Arial" w:hAnsi="Arial"/>
                <w:sz w:val="16"/>
                <w:szCs w:val="16"/>
                <w:b w:val="1"/>
                <w:bCs w:val="1"/>
                <w:color w:val="auto"/>
              </w:rPr>
              <w:t>Total Number of</w:t>
            </w:r>
          </w:p>
        </w:tc>
        <w:tc>
          <w:tcPr>
            <w:tcW w:w="150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Average Price</w:t>
            </w:r>
          </w:p>
        </w:tc>
        <w:tc>
          <w:tcPr>
            <w:tcW w:w="2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Part of Publicly Announced Plans</w:t>
            </w:r>
          </w:p>
        </w:tc>
        <w:tc>
          <w:tcPr>
            <w:tcW w:w="28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That May Yet Be Purchased Under</w:t>
            </w:r>
          </w:p>
        </w:tc>
      </w:tr>
      <w:tr>
        <w:trPr>
          <w:trHeight w:val="236"/>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600" w:type="dxa"/>
            <w:vAlign w:val="bottom"/>
            <w:tcBorders>
              <w:bottom w:val="single" w:sz="8" w:color="auto"/>
            </w:tcBorders>
          </w:tcPr>
          <w:p>
            <w:pPr>
              <w:jc w:val="right"/>
              <w:spacing w:after="0" w:line="236" w:lineRule="exact"/>
              <w:rPr>
                <w:sz w:val="20"/>
                <w:szCs w:val="20"/>
                <w:color w:val="auto"/>
              </w:rPr>
            </w:pPr>
            <w:r>
              <w:rPr>
                <w:rFonts w:ascii="Arial" w:cs="Arial" w:eastAsia="Arial" w:hAnsi="Arial"/>
                <w:sz w:val="16"/>
                <w:szCs w:val="16"/>
                <w:b w:val="1"/>
                <w:bCs w:val="1"/>
                <w:color w:val="auto"/>
                <w:w w:val="99"/>
              </w:rPr>
              <w:t>Shares Purchased</w:t>
            </w:r>
            <w:r>
              <w:rPr>
                <w:rFonts w:ascii="Arial" w:cs="Arial" w:eastAsia="Arial" w:hAnsi="Arial"/>
                <w:sz w:val="21"/>
                <w:szCs w:val="21"/>
                <w:b w:val="1"/>
                <w:bCs w:val="1"/>
                <w:color w:val="auto"/>
                <w:w w:val="99"/>
                <w:vertAlign w:val="superscript"/>
              </w:rPr>
              <w:t>(1)</w:t>
            </w:r>
          </w:p>
        </w:tc>
        <w:tc>
          <w:tcPr>
            <w:tcW w:w="150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Paid per Share</w:t>
            </w:r>
          </w:p>
        </w:tc>
        <w:tc>
          <w:tcPr>
            <w:tcW w:w="2960" w:type="dxa"/>
            <w:vAlign w:val="bottom"/>
            <w:tcBorders>
              <w:bottom w:val="single" w:sz="8" w:color="auto"/>
            </w:tcBorders>
            <w:gridSpan w:val="2"/>
          </w:tcPr>
          <w:p>
            <w:pPr>
              <w:jc w:val="center"/>
              <w:ind w:right="100"/>
              <w:spacing w:after="0" w:line="236" w:lineRule="exact"/>
              <w:rPr>
                <w:sz w:val="20"/>
                <w:szCs w:val="20"/>
                <w:color w:val="auto"/>
              </w:rPr>
            </w:pPr>
            <w:r>
              <w:rPr>
                <w:rFonts w:ascii="Arial" w:cs="Arial" w:eastAsia="Arial" w:hAnsi="Arial"/>
                <w:sz w:val="16"/>
                <w:szCs w:val="16"/>
                <w:b w:val="1"/>
                <w:bCs w:val="1"/>
                <w:color w:val="auto"/>
                <w:w w:val="97"/>
              </w:rPr>
              <w:t>or Programs</w:t>
            </w:r>
            <w:r>
              <w:rPr>
                <w:rFonts w:ascii="Arial" w:cs="Arial" w:eastAsia="Arial" w:hAnsi="Arial"/>
                <w:sz w:val="21"/>
                <w:szCs w:val="21"/>
                <w:b w:val="1"/>
                <w:bCs w:val="1"/>
                <w:color w:val="auto"/>
                <w:w w:val="97"/>
                <w:vertAlign w:val="superscript"/>
              </w:rPr>
              <w:t>(1)</w:t>
            </w:r>
          </w:p>
        </w:tc>
        <w:tc>
          <w:tcPr>
            <w:tcW w:w="3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jc w:val="right"/>
              <w:ind w:right="419"/>
              <w:spacing w:after="0" w:line="236" w:lineRule="exact"/>
              <w:rPr>
                <w:sz w:val="20"/>
                <w:szCs w:val="20"/>
                <w:color w:val="auto"/>
              </w:rPr>
            </w:pPr>
            <w:r>
              <w:rPr>
                <w:rFonts w:ascii="Arial" w:cs="Arial" w:eastAsia="Arial" w:hAnsi="Arial"/>
                <w:sz w:val="16"/>
                <w:szCs w:val="16"/>
                <w:b w:val="1"/>
                <w:bCs w:val="1"/>
                <w:color w:val="auto"/>
              </w:rPr>
              <w:t>the Plans or Programs</w:t>
            </w:r>
            <w:r>
              <w:rPr>
                <w:rFonts w:ascii="Arial" w:cs="Arial" w:eastAsia="Arial" w:hAnsi="Arial"/>
                <w:sz w:val="21"/>
                <w:szCs w:val="21"/>
                <w:b w:val="1"/>
                <w:bCs w:val="1"/>
                <w:color w:val="auto"/>
                <w:vertAlign w:val="superscript"/>
              </w:rPr>
              <w:t>(2)</w:t>
            </w:r>
          </w:p>
        </w:tc>
      </w:tr>
      <w:tr>
        <w:trPr>
          <w:trHeight w:val="264"/>
        </w:trPr>
        <w:tc>
          <w:tcPr>
            <w:tcW w:w="2520" w:type="dxa"/>
            <w:vAlign w:val="bottom"/>
            <w:shd w:val="clear" w:color="auto" w:fill="BFE4FF"/>
          </w:tcPr>
          <w:p>
            <w:pPr>
              <w:ind w:left="40"/>
              <w:spacing w:after="0"/>
              <w:rPr>
                <w:sz w:val="20"/>
                <w:szCs w:val="20"/>
                <w:color w:val="auto"/>
              </w:rPr>
            </w:pPr>
            <w:r>
              <w:rPr>
                <w:rFonts w:ascii="Arial" w:cs="Arial" w:eastAsia="Arial" w:hAnsi="Arial"/>
                <w:sz w:val="16"/>
                <w:szCs w:val="16"/>
                <w:color w:val="auto"/>
              </w:rPr>
              <w:t>11/25/18 - 12/29/18</w:t>
            </w:r>
          </w:p>
        </w:tc>
        <w:tc>
          <w:tcPr>
            <w:tcW w:w="160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636</w:t>
            </w:r>
          </w:p>
        </w:tc>
        <w:tc>
          <w:tcPr>
            <w:tcW w:w="560" w:type="dxa"/>
            <w:vAlign w:val="bottom"/>
            <w:shd w:val="clear" w:color="auto" w:fill="BFE4FF"/>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20.63</w:t>
            </w:r>
          </w:p>
        </w:tc>
        <w:tc>
          <w:tcPr>
            <w:tcW w:w="2960" w:type="dxa"/>
            <w:vAlign w:val="bottom"/>
            <w:gridSpan w:val="2"/>
            <w:shd w:val="clear" w:color="auto" w:fill="BFE4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w w:val="89"/>
              </w:rPr>
              <w:t>$</w:t>
            </w:r>
          </w:p>
        </w:tc>
        <w:tc>
          <w:tcPr>
            <w:tcW w:w="254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65,685,000</w:t>
            </w:r>
          </w:p>
        </w:tc>
      </w:tr>
      <w:tr>
        <w:trPr>
          <w:trHeight w:val="262"/>
        </w:trPr>
        <w:tc>
          <w:tcPr>
            <w:tcW w:w="2520" w:type="dxa"/>
            <w:vAlign w:val="bottom"/>
          </w:tcPr>
          <w:p>
            <w:pPr>
              <w:ind w:left="40"/>
              <w:spacing w:after="0"/>
              <w:rPr>
                <w:sz w:val="20"/>
                <w:szCs w:val="20"/>
                <w:color w:val="auto"/>
              </w:rPr>
            </w:pPr>
            <w:r>
              <w:rPr>
                <w:rFonts w:ascii="Arial" w:cs="Arial" w:eastAsia="Arial" w:hAnsi="Arial"/>
                <w:sz w:val="16"/>
                <w:szCs w:val="16"/>
                <w:color w:val="auto"/>
              </w:rPr>
              <w:t>12/30/18 - 01/26/19</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102,924</w:t>
            </w:r>
          </w:p>
        </w:tc>
        <w:tc>
          <w:tcPr>
            <w:tcW w:w="5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29.55</w:t>
            </w:r>
          </w:p>
        </w:tc>
        <w:tc>
          <w:tcPr>
            <w:tcW w:w="2840" w:type="dxa"/>
            <w:vAlign w:val="bottom"/>
          </w:tcPr>
          <w:p>
            <w:pPr>
              <w:jc w:val="right"/>
              <w:ind w:right="19"/>
              <w:spacing w:after="0"/>
              <w:rPr>
                <w:sz w:val="20"/>
                <w:szCs w:val="20"/>
                <w:color w:val="auto"/>
              </w:rPr>
            </w:pPr>
            <w:r>
              <w:rPr>
                <w:rFonts w:ascii="Arial" w:cs="Arial" w:eastAsia="Arial" w:hAnsi="Arial"/>
                <w:sz w:val="16"/>
                <w:szCs w:val="16"/>
                <w:color w:val="auto"/>
              </w:rPr>
              <w:t>101,637</w:t>
            </w:r>
          </w:p>
        </w:tc>
        <w:tc>
          <w:tcPr>
            <w:tcW w:w="120" w:type="dxa"/>
            <w:vAlign w:val="bottom"/>
          </w:tcPr>
          <w:p>
            <w:pPr>
              <w:spacing w:after="0"/>
              <w:rPr>
                <w:sz w:val="22"/>
                <w:szCs w:val="22"/>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2540" w:type="dxa"/>
            <w:vAlign w:val="bottom"/>
          </w:tcPr>
          <w:p>
            <w:pPr>
              <w:jc w:val="right"/>
              <w:ind w:right="19"/>
              <w:spacing w:after="0"/>
              <w:rPr>
                <w:sz w:val="20"/>
                <w:szCs w:val="20"/>
                <w:color w:val="auto"/>
              </w:rPr>
            </w:pPr>
            <w:r>
              <w:rPr>
                <w:rFonts w:ascii="Arial" w:cs="Arial" w:eastAsia="Arial" w:hAnsi="Arial"/>
                <w:sz w:val="16"/>
                <w:szCs w:val="16"/>
                <w:color w:val="auto"/>
              </w:rPr>
              <w:t>62,683,000</w:t>
            </w:r>
          </w:p>
        </w:tc>
      </w:tr>
      <w:tr>
        <w:trPr>
          <w:trHeight w:val="271"/>
        </w:trPr>
        <w:tc>
          <w:tcPr>
            <w:tcW w:w="2520" w:type="dxa"/>
            <w:vAlign w:val="bottom"/>
            <w:shd w:val="clear" w:color="auto" w:fill="BFE4FF"/>
          </w:tcPr>
          <w:p>
            <w:pPr>
              <w:ind w:left="40"/>
              <w:spacing w:after="0"/>
              <w:rPr>
                <w:sz w:val="20"/>
                <w:szCs w:val="20"/>
                <w:color w:val="auto"/>
              </w:rPr>
            </w:pPr>
            <w:r>
              <w:rPr>
                <w:rFonts w:ascii="Arial" w:cs="Arial" w:eastAsia="Arial" w:hAnsi="Arial"/>
                <w:sz w:val="16"/>
                <w:szCs w:val="16"/>
                <w:color w:val="auto"/>
              </w:rPr>
              <w:t>01/27/19 - 02/23/19</w:t>
            </w:r>
          </w:p>
        </w:tc>
        <w:tc>
          <w:tcPr>
            <w:tcW w:w="1600" w:type="dxa"/>
            <w:vAlign w:val="bottom"/>
            <w:tcBorders>
              <w:bottom w:val="single" w:sz="8" w:color="auto"/>
            </w:tcBorders>
            <w:shd w:val="clear" w:color="auto" w:fill="BFE4FF"/>
          </w:tcPr>
          <w:p>
            <w:pPr>
              <w:jc w:val="right"/>
              <w:ind w:right="39"/>
              <w:spacing w:after="0"/>
              <w:rPr>
                <w:sz w:val="20"/>
                <w:szCs w:val="20"/>
                <w:color w:val="auto"/>
              </w:rPr>
            </w:pPr>
            <w:r>
              <w:rPr>
                <w:rFonts w:ascii="Arial" w:cs="Arial" w:eastAsia="Arial" w:hAnsi="Arial"/>
                <w:sz w:val="16"/>
                <w:szCs w:val="16"/>
                <w:color w:val="auto"/>
              </w:rPr>
              <w:t>70,759</w:t>
            </w:r>
          </w:p>
        </w:tc>
        <w:tc>
          <w:tcPr>
            <w:tcW w:w="560" w:type="dxa"/>
            <w:vAlign w:val="bottom"/>
            <w:shd w:val="clear" w:color="auto" w:fill="BFE4FF"/>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29.62</w:t>
            </w:r>
          </w:p>
        </w:tc>
        <w:tc>
          <w:tcPr>
            <w:tcW w:w="2840" w:type="dxa"/>
            <w:vAlign w:val="bottom"/>
            <w:tcBorders>
              <w:bottom w:val="single" w:sz="8" w:color="auto"/>
            </w:tcBorders>
            <w:shd w:val="clear" w:color="auto" w:fill="BFE4FF"/>
          </w:tcPr>
          <w:p>
            <w:pPr>
              <w:jc w:val="right"/>
              <w:ind w:right="19"/>
              <w:spacing w:after="0"/>
              <w:rPr>
                <w:sz w:val="20"/>
                <w:szCs w:val="20"/>
                <w:color w:val="auto"/>
              </w:rPr>
            </w:pPr>
            <w:r>
              <w:rPr>
                <w:rFonts w:ascii="Arial" w:cs="Arial" w:eastAsia="Arial" w:hAnsi="Arial"/>
                <w:sz w:val="16"/>
                <w:szCs w:val="16"/>
                <w:color w:val="auto"/>
              </w:rPr>
              <w:t>67,445</w:t>
            </w:r>
          </w:p>
        </w:tc>
        <w:tc>
          <w:tcPr>
            <w:tcW w:w="120" w:type="dxa"/>
            <w:vAlign w:val="bottom"/>
            <w:shd w:val="clear" w:color="auto" w:fill="BFE4FF"/>
          </w:tcPr>
          <w:p>
            <w:pPr>
              <w:spacing w:after="0"/>
              <w:rPr>
                <w:sz w:val="23"/>
                <w:szCs w:val="23"/>
                <w:color w:val="auto"/>
              </w:rPr>
            </w:pPr>
          </w:p>
        </w:tc>
        <w:tc>
          <w:tcPr>
            <w:tcW w:w="300" w:type="dxa"/>
            <w:vAlign w:val="bottom"/>
            <w:tcBorders>
              <w:bottom w:val="single" w:sz="8" w:color="auto"/>
            </w:tcBorders>
            <w:shd w:val="clear" w:color="auto" w:fill="BFE4FF"/>
          </w:tcPr>
          <w:p>
            <w:pPr>
              <w:jc w:val="right"/>
              <w:ind w:right="119"/>
              <w:spacing w:after="0"/>
              <w:rPr>
                <w:sz w:val="20"/>
                <w:szCs w:val="20"/>
                <w:color w:val="auto"/>
              </w:rPr>
            </w:pPr>
            <w:r>
              <w:rPr>
                <w:rFonts w:ascii="Arial" w:cs="Arial" w:eastAsia="Arial" w:hAnsi="Arial"/>
                <w:sz w:val="16"/>
                <w:szCs w:val="16"/>
                <w:color w:val="auto"/>
                <w:w w:val="89"/>
              </w:rPr>
              <w:t>$</w:t>
            </w:r>
          </w:p>
        </w:tc>
        <w:tc>
          <w:tcPr>
            <w:tcW w:w="2540" w:type="dxa"/>
            <w:vAlign w:val="bottom"/>
            <w:tcBorders>
              <w:bottom w:val="single" w:sz="8" w:color="auto"/>
            </w:tcBorders>
            <w:shd w:val="clear" w:color="auto" w:fill="BFE4FF"/>
          </w:tcPr>
          <w:p>
            <w:pPr>
              <w:jc w:val="right"/>
              <w:ind w:right="19"/>
              <w:spacing w:after="0"/>
              <w:rPr>
                <w:sz w:val="20"/>
                <w:szCs w:val="20"/>
                <w:color w:val="auto"/>
              </w:rPr>
            </w:pPr>
            <w:r>
              <w:rPr>
                <w:rFonts w:ascii="Arial" w:cs="Arial" w:eastAsia="Arial" w:hAnsi="Arial"/>
                <w:sz w:val="16"/>
                <w:szCs w:val="16"/>
                <w:color w:val="auto"/>
              </w:rPr>
              <w:t>60,682,000</w:t>
            </w:r>
          </w:p>
        </w:tc>
      </w:tr>
      <w:tr>
        <w:trPr>
          <w:trHeight w:val="241"/>
        </w:trPr>
        <w:tc>
          <w:tcPr>
            <w:tcW w:w="2520" w:type="dxa"/>
            <w:vAlign w:val="bottom"/>
          </w:tcPr>
          <w:p>
            <w:pPr>
              <w:ind w:left="180"/>
              <w:spacing w:after="0"/>
              <w:rPr>
                <w:sz w:val="20"/>
                <w:szCs w:val="20"/>
                <w:color w:val="auto"/>
              </w:rPr>
            </w:pPr>
            <w:r>
              <w:rPr>
                <w:rFonts w:ascii="Arial" w:cs="Arial" w:eastAsia="Arial" w:hAnsi="Arial"/>
                <w:sz w:val="16"/>
                <w:szCs w:val="16"/>
                <w:color w:val="auto"/>
              </w:rPr>
              <w:t>Total</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174,319</w:t>
            </w:r>
          </w:p>
        </w:tc>
        <w:tc>
          <w:tcPr>
            <w:tcW w:w="5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29.55</w:t>
            </w:r>
          </w:p>
        </w:tc>
        <w:tc>
          <w:tcPr>
            <w:tcW w:w="2840" w:type="dxa"/>
            <w:vAlign w:val="bottom"/>
          </w:tcPr>
          <w:p>
            <w:pPr>
              <w:jc w:val="right"/>
              <w:ind w:right="19"/>
              <w:spacing w:after="0"/>
              <w:rPr>
                <w:sz w:val="20"/>
                <w:szCs w:val="20"/>
                <w:color w:val="auto"/>
              </w:rPr>
            </w:pPr>
            <w:r>
              <w:rPr>
                <w:rFonts w:ascii="Arial" w:cs="Arial" w:eastAsia="Arial" w:hAnsi="Arial"/>
                <w:sz w:val="16"/>
                <w:szCs w:val="16"/>
                <w:color w:val="auto"/>
              </w:rPr>
              <w:t>169,082</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2540" w:type="dxa"/>
            <w:vAlign w:val="bottom"/>
          </w:tcPr>
          <w:p>
            <w:pPr>
              <w:jc w:val="right"/>
              <w:ind w:right="19"/>
              <w:spacing w:after="0"/>
              <w:rPr>
                <w:sz w:val="20"/>
                <w:szCs w:val="20"/>
                <w:color w:val="auto"/>
              </w:rPr>
            </w:pPr>
            <w:r>
              <w:rPr>
                <w:rFonts w:ascii="Arial" w:cs="Arial" w:eastAsia="Arial" w:hAnsi="Arial"/>
                <w:sz w:val="16"/>
                <w:szCs w:val="16"/>
                <w:color w:val="auto"/>
              </w:rPr>
              <w:t>60,682,000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1270</wp:posOffset>
            </wp:positionV>
            <wp:extent cx="565150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1500" cy="26035"/>
                    </a:xfrm>
                    <a:prstGeom prst="rect">
                      <a:avLst/>
                    </a:prstGeom>
                    <a:noFill/>
                  </pic:spPr>
                </pic:pic>
              </a:graphicData>
            </a:graphic>
          </wp:anchor>
        </w:drawing>
      </w:r>
    </w:p>
    <w:p>
      <w:pPr>
        <w:spacing w:after="0" w:line="9" w:lineRule="exact"/>
        <w:rPr>
          <w:sz w:val="20"/>
          <w:szCs w:val="20"/>
          <w:color w:val="auto"/>
        </w:rPr>
      </w:pPr>
    </w:p>
    <w:p>
      <w:pPr>
        <w:ind w:left="260" w:right="160" w:hanging="252"/>
        <w:spacing w:after="0" w:line="255" w:lineRule="auto"/>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Shares not purchased as part of a publicly announced program were repurchased from employees who vested in Company shares and elected to pay their payroll tax via the value of shares delivered as opposed to cash.</w:t>
      </w:r>
    </w:p>
    <w:p>
      <w:pPr>
        <w:ind w:left="260" w:right="720" w:hanging="252"/>
        <w:spacing w:after="0" w:line="264" w:lineRule="auto"/>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Pursuant to a combined $130.0 million share repurchase program authorized by our Board of Directors. On December 19, 2007, $60.0 million was approved, and on October 18, 2017, $70.0 million was approved. There is no time restriction on either authorization.</w:t>
      </w:r>
    </w:p>
    <w:p>
      <w:pPr>
        <w:spacing w:after="0" w:line="136"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 xml:space="preserve">Our Credit Agreement, as defined in Note 9,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of the Notes to Condensed Consolidated Financial Statements, included in Item 1, </w:t>
      </w:r>
      <w:r>
        <w:rPr>
          <w:rFonts w:ascii="Arial" w:cs="Arial" w:eastAsia="Arial" w:hAnsi="Arial"/>
          <w:sz w:val="16"/>
          <w:szCs w:val="16"/>
          <w:i w:val="1"/>
          <w:iCs w:val="1"/>
          <w:color w:val="auto"/>
        </w:rPr>
        <w:t>Condensed</w:t>
      </w:r>
      <w:r>
        <w:rPr>
          <w:rFonts w:ascii="Arial" w:cs="Arial" w:eastAsia="Arial" w:hAnsi="Arial"/>
          <w:sz w:val="16"/>
          <w:szCs w:val="16"/>
          <w:color w:val="auto"/>
        </w:rPr>
        <w:t xml:space="preserv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of this Quarterly Report on Form 10-Q, contains restrictions that may limit our ability to make distributions or payments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purchases of our common stock without consent of the lenders, except for limited purchases of our common stock from employees, in the event of a significant reduction in our EBITDA or in the event of a significant borrowing on our asset-based revolving credit agreement.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1"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84"/>
        </w:trPr>
        <w:tc>
          <w:tcPr>
            <w:tcW w:w="1260" w:type="dxa"/>
            <w:vAlign w:val="bottom"/>
            <w:tcBorders>
              <w:bottom w:val="single" w:sz="8" w:color="0000EE"/>
            </w:tcBorders>
            <w:gridSpan w:val="5"/>
          </w:tcPr>
          <w:p>
            <w:pPr>
              <w:spacing w:after="0"/>
              <w:rPr>
                <w:rFonts w:ascii="Arial" w:cs="Arial" w:eastAsia="Arial" w:hAnsi="Arial"/>
                <w:sz w:val="16"/>
                <w:szCs w:val="16"/>
                <w:color w:val="0000EE"/>
                <w:w w:val="98"/>
              </w:rPr>
            </w:pPr>
            <w:hyperlink w:anchor="page2">
              <w:r>
                <w:rPr>
                  <w:rFonts w:ascii="Arial" w:cs="Arial" w:eastAsia="Arial" w:hAnsi="Arial"/>
                  <w:sz w:val="16"/>
                  <w:szCs w:val="16"/>
                  <w:color w:val="0000EE"/>
                  <w:w w:val="98"/>
                </w:rPr>
                <w:t>Table of Contents</w:t>
              </w:r>
            </w:hyperlink>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59"/>
        </w:trPr>
        <w:tc>
          <w:tcPr>
            <w:tcW w:w="1260" w:type="dxa"/>
            <w:vAlign w:val="bottom"/>
            <w:gridSpan w:val="5"/>
          </w:tcPr>
          <w:p>
            <w:pPr>
              <w:spacing w:after="0"/>
              <w:rPr>
                <w:sz w:val="20"/>
                <w:szCs w:val="20"/>
                <w:color w:val="auto"/>
              </w:rPr>
            </w:pPr>
            <w:r>
              <w:rPr>
                <w:rFonts w:ascii="Arial" w:cs="Arial" w:eastAsia="Arial" w:hAnsi="Arial"/>
                <w:sz w:val="16"/>
                <w:szCs w:val="16"/>
                <w:b w:val="1"/>
                <w:bCs w:val="1"/>
                <w:color w:val="auto"/>
              </w:rPr>
              <w:t>Item 6. Exhibits.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7"/>
        </w:trPr>
        <w:tc>
          <w:tcPr>
            <w:tcW w:w="720" w:type="dxa"/>
            <w:vAlign w:val="bottom"/>
          </w:tcPr>
          <w:p>
            <w:pPr>
              <w:spacing w:after="0"/>
              <w:rPr>
                <w:sz w:val="24"/>
                <w:szCs w:val="24"/>
                <w:color w:val="auto"/>
              </w:rPr>
            </w:pPr>
          </w:p>
        </w:tc>
        <w:tc>
          <w:tcPr>
            <w:tcW w:w="540" w:type="dxa"/>
            <w:vAlign w:val="bottom"/>
            <w:gridSpan w:val="4"/>
          </w:tcPr>
          <w:p>
            <w:pPr>
              <w:jc w:val="center"/>
              <w:ind w:right="240"/>
              <w:spacing w:after="0"/>
              <w:rPr>
                <w:rFonts w:ascii="Arial" w:cs="Arial" w:eastAsia="Arial" w:hAnsi="Arial"/>
                <w:sz w:val="16"/>
                <w:szCs w:val="16"/>
                <w:color w:val="0000FF"/>
                <w:w w:val="98"/>
              </w:rPr>
            </w:pPr>
            <w:hyperlink r:id="rId17">
              <w:r>
                <w:rPr>
                  <w:rFonts w:ascii="Arial" w:cs="Arial" w:eastAsia="Arial" w:hAnsi="Arial"/>
                  <w:sz w:val="16"/>
                  <w:szCs w:val="16"/>
                  <w:color w:val="0000FF"/>
                  <w:w w:val="98"/>
                </w:rPr>
                <w:t>3a.</w:t>
              </w:r>
            </w:hyperlink>
          </w:p>
        </w:tc>
        <w:tc>
          <w:tcPr>
            <w:tcW w:w="180" w:type="dxa"/>
            <w:vAlign w:val="bottom"/>
          </w:tcPr>
          <w:p>
            <w:pPr>
              <w:spacing w:after="0"/>
              <w:rPr>
                <w:sz w:val="24"/>
                <w:szCs w:val="24"/>
                <w:color w:val="auto"/>
              </w:rPr>
            </w:pPr>
          </w:p>
        </w:tc>
        <w:tc>
          <w:tcPr>
            <w:tcW w:w="9520" w:type="dxa"/>
            <w:vAlign w:val="bottom"/>
            <w:gridSpan w:val="10"/>
          </w:tcPr>
          <w:p>
            <w:pPr>
              <w:spacing w:after="0"/>
              <w:rPr>
                <w:rFonts w:ascii="Arial" w:cs="Arial" w:eastAsia="Arial" w:hAnsi="Arial"/>
                <w:sz w:val="16"/>
                <w:szCs w:val="16"/>
                <w:color w:val="0000FF"/>
              </w:rPr>
            </w:pPr>
            <w:hyperlink r:id="rId17">
              <w:r>
                <w:rPr>
                  <w:rFonts w:ascii="Arial" w:cs="Arial" w:eastAsia="Arial" w:hAnsi="Arial"/>
                  <w:sz w:val="16"/>
                  <w:szCs w:val="16"/>
                  <w:color w:val="0000FF"/>
                </w:rPr>
                <w:t>Articles of Incorporation of the Registrant previously filed as Exhibit 3a with the Registrant’s Annual Report on Form 10-K for the</w:t>
              </w:r>
            </w:hyperlink>
          </w:p>
        </w:tc>
      </w:tr>
      <w:tr>
        <w:trPr>
          <w:trHeight w:val="169"/>
        </w:trPr>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0" w:type="dxa"/>
            <w:vAlign w:val="bottom"/>
            <w:tcBorders>
              <w:top w:val="single" w:sz="8" w:color="0000FF"/>
              <w:bottom w:val="single" w:sz="8" w:color="0000FF"/>
            </w:tcBorders>
            <w:gridSpan w:val="4"/>
          </w:tcPr>
          <w:p>
            <w:pPr>
              <w:spacing w:after="0" w:line="169" w:lineRule="exact"/>
              <w:rPr>
                <w:rFonts w:ascii="Arial" w:cs="Arial" w:eastAsia="Arial" w:hAnsi="Arial"/>
                <w:sz w:val="16"/>
                <w:szCs w:val="16"/>
                <w:color w:val="0000FF"/>
              </w:rPr>
            </w:pPr>
            <w:hyperlink r:id="rId17">
              <w:r>
                <w:rPr>
                  <w:rFonts w:ascii="Arial" w:cs="Arial" w:eastAsia="Arial" w:hAnsi="Arial"/>
                  <w:sz w:val="16"/>
                  <w:szCs w:val="16"/>
                  <w:color w:val="0000FF"/>
                </w:rPr>
                <w:t>fiscal year ended August 25, 2018 (Commission File Number 001-06403) and incorporated by reference herein.</w:t>
              </w:r>
            </w:hyperlink>
          </w:p>
        </w:tc>
        <w:tc>
          <w:tcPr>
            <w:tcW w:w="1140" w:type="dxa"/>
            <w:vAlign w:val="bottom"/>
            <w:tcBorders>
              <w:top w:val="single" w:sz="8" w:color="0000FF"/>
            </w:tcBorders>
            <w:gridSpan w:val="2"/>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720" w:type="dxa"/>
            <w:vAlign w:val="bottom"/>
          </w:tcPr>
          <w:p>
            <w:pPr>
              <w:spacing w:after="0"/>
              <w:rPr>
                <w:sz w:val="19"/>
                <w:szCs w:val="19"/>
                <w:color w:val="auto"/>
              </w:rPr>
            </w:pPr>
          </w:p>
        </w:tc>
        <w:tc>
          <w:tcPr>
            <w:tcW w:w="540" w:type="dxa"/>
            <w:vAlign w:val="bottom"/>
            <w:gridSpan w:val="4"/>
          </w:tcPr>
          <w:p>
            <w:pPr>
              <w:jc w:val="center"/>
              <w:ind w:right="240"/>
              <w:spacing w:after="0"/>
              <w:rPr>
                <w:rFonts w:ascii="Arial" w:cs="Arial" w:eastAsia="Arial" w:hAnsi="Arial"/>
                <w:sz w:val="16"/>
                <w:szCs w:val="16"/>
                <w:color w:val="0000FF"/>
                <w:w w:val="98"/>
              </w:rPr>
            </w:pPr>
            <w:hyperlink r:id="rId18">
              <w:r>
                <w:rPr>
                  <w:rFonts w:ascii="Arial" w:cs="Arial" w:eastAsia="Arial" w:hAnsi="Arial"/>
                  <w:sz w:val="16"/>
                  <w:szCs w:val="16"/>
                  <w:color w:val="0000FF"/>
                  <w:w w:val="98"/>
                </w:rPr>
                <w:t>3b.</w:t>
              </w:r>
            </w:hyperlink>
          </w:p>
        </w:tc>
        <w:tc>
          <w:tcPr>
            <w:tcW w:w="180" w:type="dxa"/>
            <w:vAlign w:val="bottom"/>
          </w:tcPr>
          <w:p>
            <w:pPr>
              <w:spacing w:after="0"/>
              <w:rPr>
                <w:sz w:val="19"/>
                <w:szCs w:val="19"/>
                <w:color w:val="auto"/>
              </w:rPr>
            </w:pPr>
          </w:p>
        </w:tc>
        <w:tc>
          <w:tcPr>
            <w:tcW w:w="9520" w:type="dxa"/>
            <w:vAlign w:val="bottom"/>
            <w:gridSpan w:val="10"/>
          </w:tcPr>
          <w:p>
            <w:pPr>
              <w:spacing w:after="0"/>
              <w:rPr>
                <w:rFonts w:ascii="Arial" w:cs="Arial" w:eastAsia="Arial" w:hAnsi="Arial"/>
                <w:sz w:val="16"/>
                <w:szCs w:val="16"/>
                <w:color w:val="0000FF"/>
              </w:rPr>
            </w:pPr>
            <w:hyperlink r:id="rId18">
              <w:r>
                <w:rPr>
                  <w:rFonts w:ascii="Arial" w:cs="Arial" w:eastAsia="Arial" w:hAnsi="Arial"/>
                  <w:sz w:val="16"/>
                  <w:szCs w:val="16"/>
                  <w:color w:val="0000FF"/>
                </w:rPr>
                <w:t>Amended By-Laws of the Registrant previously filed as Exhibit 3.1 with the Registrant's Current Report on Form 8-K dated March 16,</w:t>
              </w:r>
            </w:hyperlink>
          </w:p>
        </w:tc>
      </w:tr>
      <w:tr>
        <w:trPr>
          <w:trHeight w:val="169"/>
        </w:trPr>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90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rPr>
            </w:pPr>
            <w:hyperlink r:id="rId18">
              <w:r>
                <w:rPr>
                  <w:rFonts w:ascii="Arial" w:cs="Arial" w:eastAsia="Arial" w:hAnsi="Arial"/>
                  <w:sz w:val="16"/>
                  <w:szCs w:val="16"/>
                  <w:color w:val="0000FF"/>
                </w:rPr>
                <w:t>2016 (Commission File Number 001-06403) and incorporated by reference herein.</w:t>
              </w:r>
            </w:hyperlink>
          </w:p>
        </w:tc>
        <w:tc>
          <w:tcPr>
            <w:tcW w:w="3600" w:type="dxa"/>
            <w:vAlign w:val="bottom"/>
            <w:tcBorders>
              <w:top w:val="single" w:sz="8" w:color="0000FF"/>
            </w:tcBorders>
            <w:gridSpan w:val="7"/>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720" w:type="dxa"/>
            <w:vAlign w:val="bottom"/>
          </w:tcPr>
          <w:p>
            <w:pPr>
              <w:spacing w:after="0"/>
              <w:rPr>
                <w:sz w:val="19"/>
                <w:szCs w:val="19"/>
                <w:color w:val="auto"/>
              </w:rPr>
            </w:pPr>
          </w:p>
        </w:tc>
        <w:tc>
          <w:tcPr>
            <w:tcW w:w="540" w:type="dxa"/>
            <w:vAlign w:val="bottom"/>
            <w:gridSpan w:val="4"/>
          </w:tcPr>
          <w:p>
            <w:pPr>
              <w:jc w:val="center"/>
              <w:ind w:right="220"/>
              <w:spacing w:after="0"/>
              <w:rPr>
                <w:rFonts w:ascii="Arial" w:cs="Arial" w:eastAsia="Arial" w:hAnsi="Arial"/>
                <w:sz w:val="16"/>
                <w:szCs w:val="16"/>
                <w:color w:val="0000FF"/>
              </w:rPr>
            </w:pPr>
            <w:hyperlink r:id="rId19">
              <w:r>
                <w:rPr>
                  <w:rFonts w:ascii="Arial" w:cs="Arial" w:eastAsia="Arial" w:hAnsi="Arial"/>
                  <w:sz w:val="16"/>
                  <w:szCs w:val="16"/>
                  <w:color w:val="0000FF"/>
                </w:rPr>
                <w:t>10a.</w:t>
              </w:r>
            </w:hyperlink>
          </w:p>
        </w:tc>
        <w:tc>
          <w:tcPr>
            <w:tcW w:w="180" w:type="dxa"/>
            <w:vAlign w:val="bottom"/>
          </w:tcPr>
          <w:p>
            <w:pPr>
              <w:spacing w:after="0"/>
              <w:rPr>
                <w:sz w:val="19"/>
                <w:szCs w:val="19"/>
                <w:color w:val="auto"/>
              </w:rPr>
            </w:pPr>
          </w:p>
        </w:tc>
        <w:tc>
          <w:tcPr>
            <w:tcW w:w="9520" w:type="dxa"/>
            <w:vAlign w:val="bottom"/>
            <w:gridSpan w:val="10"/>
          </w:tcPr>
          <w:p>
            <w:pPr>
              <w:spacing w:after="0"/>
              <w:rPr>
                <w:rFonts w:ascii="Arial" w:cs="Arial" w:eastAsia="Arial" w:hAnsi="Arial"/>
                <w:sz w:val="16"/>
                <w:szCs w:val="16"/>
                <w:color w:val="0000FF"/>
              </w:rPr>
            </w:pPr>
            <w:hyperlink r:id="rId19">
              <w:r>
                <w:rPr>
                  <w:rFonts w:ascii="Arial" w:cs="Arial" w:eastAsia="Arial" w:hAnsi="Arial"/>
                  <w:sz w:val="16"/>
                  <w:szCs w:val="16"/>
                  <w:color w:val="0000FF"/>
                </w:rPr>
                <w:t>Winnebago Industries, Inc. 2019 Omnibus Incentive Plan, previously filed as Appendix A to the Registrant's Definitive Proxy</w:t>
              </w:r>
            </w:hyperlink>
          </w:p>
        </w:tc>
      </w:tr>
      <w:tr>
        <w:trPr>
          <w:trHeight w:val="169"/>
        </w:trPr>
        <w:tc>
          <w:tcPr>
            <w:tcW w:w="720" w:type="dxa"/>
            <w:vAlign w:val="bottom"/>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40" w:type="dxa"/>
            <w:vAlign w:val="bottom"/>
            <w:tcBorders>
              <w:top w:val="single" w:sz="8" w:color="0000FF"/>
            </w:tcBorders>
            <w:gridSpan w:val="5"/>
          </w:tcPr>
          <w:p>
            <w:pPr>
              <w:spacing w:after="0" w:line="169" w:lineRule="exact"/>
              <w:rPr>
                <w:rFonts w:ascii="Arial" w:cs="Arial" w:eastAsia="Arial" w:hAnsi="Arial"/>
                <w:sz w:val="16"/>
                <w:szCs w:val="16"/>
                <w:color w:val="0000FF"/>
              </w:rPr>
            </w:pPr>
            <w:hyperlink r:id="rId19">
              <w:r>
                <w:rPr>
                  <w:rFonts w:ascii="Arial" w:cs="Arial" w:eastAsia="Arial" w:hAnsi="Arial"/>
                  <w:sz w:val="16"/>
                  <w:szCs w:val="16"/>
                  <w:color w:val="0000FF"/>
                </w:rPr>
                <w:t>Statement on Schedule 14A filed on October 31, 2018 (Commission File Number 001-06403) and incorporated by reference</w:t>
              </w:r>
            </w:hyperlink>
          </w:p>
        </w:tc>
        <w:tc>
          <w:tcPr>
            <w:tcW w:w="680" w:type="dxa"/>
            <w:vAlign w:val="bottom"/>
            <w:gridSpan w:val="5"/>
          </w:tcPr>
          <w:p>
            <w:pPr>
              <w:ind w:left="80"/>
              <w:spacing w:after="0" w:line="169" w:lineRule="exact"/>
              <w:rPr>
                <w:rFonts w:ascii="Arial" w:cs="Arial" w:eastAsia="Arial" w:hAnsi="Arial"/>
                <w:sz w:val="16"/>
                <w:szCs w:val="16"/>
                <w:color w:val="0000FF"/>
              </w:rPr>
            </w:pPr>
            <w:hyperlink r:id="rId19">
              <w:r>
                <w:rPr>
                  <w:rFonts w:ascii="Arial" w:cs="Arial" w:eastAsia="Arial" w:hAnsi="Arial"/>
                  <w:sz w:val="16"/>
                  <w:szCs w:val="16"/>
                  <w:color w:val="0000FF"/>
                </w:rPr>
                <w:t>herein.</w:t>
              </w:r>
            </w:hyperlink>
          </w:p>
        </w:tc>
      </w:tr>
      <w:tr>
        <w:trPr>
          <w:trHeight w:val="223"/>
        </w:trPr>
        <w:tc>
          <w:tcPr>
            <w:tcW w:w="1040" w:type="dxa"/>
            <w:vAlign w:val="bottom"/>
            <w:gridSpan w:val="4"/>
          </w:tcPr>
          <w:p>
            <w:pPr>
              <w:jc w:val="center"/>
              <w:ind w:left="639"/>
              <w:spacing w:after="0"/>
              <w:rPr>
                <w:rFonts w:ascii="Arial" w:cs="Arial" w:eastAsia="Arial" w:hAnsi="Arial"/>
                <w:sz w:val="16"/>
                <w:szCs w:val="16"/>
                <w:color w:val="0000FF"/>
              </w:rPr>
            </w:pPr>
            <w:hyperlink w:anchor="page35">
              <w:r>
                <w:rPr>
                  <w:rFonts w:ascii="Arial" w:cs="Arial" w:eastAsia="Arial" w:hAnsi="Arial"/>
                  <w:sz w:val="16"/>
                  <w:szCs w:val="16"/>
                  <w:color w:val="0000FF"/>
                </w:rPr>
                <w:t>31.</w:t>
              </w:r>
              <w:r>
                <w:rPr>
                  <w:rFonts w:ascii="Arial" w:cs="Arial" w:eastAsia="Arial" w:hAnsi="Arial"/>
                  <w:sz w:val="16"/>
                  <w:szCs w:val="16"/>
                  <w:u w:val="single" w:color="auto"/>
                  <w:color w:val="0000FF"/>
                </w:rPr>
                <w:t>1</w:t>
              </w:r>
            </w:hyperlink>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20" w:type="dxa"/>
            <w:vAlign w:val="bottom"/>
            <w:tcBorders>
              <w:top w:val="single" w:sz="8" w:color="0000FF"/>
            </w:tcBorders>
            <w:gridSpan w:val="7"/>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Certification by the Chief Executive Officer pursuant to Section 302 of the Sarbanes-Oxley Act of 2002</w:t>
              </w:r>
            </w:hyperlink>
            <w:r>
              <w:rPr>
                <w:rFonts w:ascii="Arial" w:cs="Arial" w:eastAsia="Arial" w:hAnsi="Arial"/>
                <w:sz w:val="16"/>
                <w:szCs w:val="16"/>
                <w:color w:val="000000"/>
              </w:rPr>
              <w:t>.</w:t>
            </w:r>
          </w:p>
        </w:tc>
        <w:tc>
          <w:tcPr>
            <w:tcW w:w="100" w:type="dxa"/>
            <w:vAlign w:val="bottom"/>
            <w:gridSpan w:val="3"/>
          </w:tcPr>
          <w:p>
            <w:pPr>
              <w:spacing w:after="0"/>
              <w:rPr>
                <w:sz w:val="19"/>
                <w:szCs w:val="19"/>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5980" w:type="dxa"/>
            <w:vAlign w:val="bottom"/>
            <w:gridSpan w:val="2"/>
            <w:shd w:val="clear" w:color="auto" w:fill="0000FF"/>
          </w:tcPr>
          <w:p>
            <w:pPr>
              <w:spacing w:after="0" w:line="20" w:lineRule="exact"/>
              <w:rPr>
                <w:sz w:val="1"/>
                <w:szCs w:val="1"/>
                <w:color w:val="auto"/>
              </w:rPr>
            </w:pPr>
          </w:p>
        </w:tc>
        <w:tc>
          <w:tcPr>
            <w:tcW w:w="2160" w:type="dxa"/>
            <w:vAlign w:val="bottom"/>
            <w:tcBorders>
              <w:left w:val="single" w:sz="8" w:color="0000FF"/>
            </w:tcBorders>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85"/>
        </w:trPr>
        <w:tc>
          <w:tcPr>
            <w:tcW w:w="1040" w:type="dxa"/>
            <w:vAlign w:val="bottom"/>
            <w:gridSpan w:val="4"/>
          </w:tcPr>
          <w:p>
            <w:pPr>
              <w:jc w:val="center"/>
              <w:ind w:left="639"/>
              <w:spacing w:after="0"/>
              <w:rPr>
                <w:rFonts w:ascii="Arial" w:cs="Arial" w:eastAsia="Arial" w:hAnsi="Arial"/>
                <w:sz w:val="16"/>
                <w:szCs w:val="16"/>
                <w:color w:val="0000FF"/>
              </w:rPr>
            </w:pPr>
            <w:hyperlink w:anchor="page36">
              <w:r>
                <w:rPr>
                  <w:rFonts w:ascii="Arial" w:cs="Arial" w:eastAsia="Arial" w:hAnsi="Arial"/>
                  <w:sz w:val="16"/>
                  <w:szCs w:val="16"/>
                  <w:color w:val="0000FF"/>
                </w:rPr>
                <w:t>31.</w:t>
              </w:r>
              <w:r>
                <w:rPr>
                  <w:rFonts w:ascii="Arial" w:cs="Arial" w:eastAsia="Arial" w:hAnsi="Arial"/>
                  <w:sz w:val="16"/>
                  <w:szCs w:val="16"/>
                  <w:u w:val="single" w:color="auto"/>
                  <w:color w:val="0000FF"/>
                </w:rPr>
                <w:t>2</w:t>
              </w:r>
            </w:hyperlink>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520" w:type="dxa"/>
            <w:vAlign w:val="bottom"/>
            <w:gridSpan w:val="10"/>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Certification by the Chief Financial Officer pursuant to Section 302 of the Sarbanes-Oxley Act of 2002.</w:t>
              </w:r>
            </w:hyperlink>
          </w:p>
        </w:tc>
      </w:tr>
      <w:tr>
        <w:trPr>
          <w:trHeight w:val="20"/>
        </w:trPr>
        <w:tc>
          <w:tcPr>
            <w:tcW w:w="720" w:type="dxa"/>
            <w:vAlign w:val="bottom"/>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5980" w:type="dxa"/>
            <w:vAlign w:val="bottom"/>
            <w:gridSpan w:val="2"/>
            <w:shd w:val="clear" w:color="auto" w:fill="0000FF"/>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85"/>
        </w:trPr>
        <w:tc>
          <w:tcPr>
            <w:tcW w:w="1040" w:type="dxa"/>
            <w:vAlign w:val="bottom"/>
            <w:gridSpan w:val="4"/>
          </w:tcPr>
          <w:p>
            <w:pPr>
              <w:jc w:val="center"/>
              <w:ind w:left="639"/>
              <w:spacing w:after="0"/>
              <w:rPr>
                <w:rFonts w:ascii="Arial" w:cs="Arial" w:eastAsia="Arial" w:hAnsi="Arial"/>
                <w:sz w:val="16"/>
                <w:szCs w:val="16"/>
                <w:color w:val="0000FF"/>
              </w:rPr>
            </w:pPr>
            <w:hyperlink w:anchor="page37">
              <w:r>
                <w:rPr>
                  <w:rFonts w:ascii="Arial" w:cs="Arial" w:eastAsia="Arial" w:hAnsi="Arial"/>
                  <w:sz w:val="16"/>
                  <w:szCs w:val="16"/>
                  <w:color w:val="0000FF"/>
                </w:rPr>
                <w:t>32.</w:t>
              </w:r>
              <w:r>
                <w:rPr>
                  <w:rFonts w:ascii="Arial" w:cs="Arial" w:eastAsia="Arial" w:hAnsi="Arial"/>
                  <w:sz w:val="16"/>
                  <w:szCs w:val="16"/>
                  <w:u w:val="single" w:color="auto"/>
                  <w:color w:val="0000FF"/>
                </w:rPr>
                <w:t>1</w:t>
              </w:r>
            </w:hyperlink>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520" w:type="dxa"/>
            <w:vAlign w:val="bottom"/>
            <w:gridSpan w:val="10"/>
          </w:tcPr>
          <w:p>
            <w:pPr>
              <w:spacing w:after="0"/>
              <w:rPr>
                <w:rFonts w:ascii="Arial" w:cs="Arial" w:eastAsia="Arial" w:hAnsi="Arial"/>
                <w:sz w:val="16"/>
                <w:szCs w:val="16"/>
                <w:color w:val="0000FF"/>
              </w:rPr>
            </w:pPr>
            <w:hyperlink w:anchor="page37">
              <w:r>
                <w:rPr>
                  <w:rFonts w:ascii="Arial" w:cs="Arial" w:eastAsia="Arial" w:hAnsi="Arial"/>
                  <w:sz w:val="16"/>
                  <w:szCs w:val="16"/>
                  <w:color w:val="0000FF"/>
                </w:rPr>
                <w:t>Certification by the Chief Executive Officer pursuant to 18 U.S.C. Section 1350, as adopted pursuant to Section 906 of the Sarbanes-</w:t>
              </w:r>
            </w:hyperlink>
          </w:p>
        </w:tc>
      </w:tr>
      <w:tr>
        <w:trPr>
          <w:trHeight w:val="169"/>
        </w:trPr>
        <w:tc>
          <w:tcPr>
            <w:tcW w:w="720" w:type="dxa"/>
            <w:vAlign w:val="bottom"/>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520" w:type="dxa"/>
            <w:vAlign w:val="bottom"/>
            <w:tcBorders>
              <w:top w:val="single" w:sz="8" w:color="0000FF"/>
            </w:tcBorders>
            <w:gridSpan w:val="10"/>
          </w:tcPr>
          <w:p>
            <w:pPr>
              <w:spacing w:after="0" w:line="169" w:lineRule="exact"/>
              <w:rPr>
                <w:rFonts w:ascii="Arial" w:cs="Arial" w:eastAsia="Arial" w:hAnsi="Arial"/>
                <w:sz w:val="16"/>
                <w:szCs w:val="16"/>
                <w:color w:val="0000FF"/>
              </w:rPr>
            </w:pPr>
            <w:hyperlink w:anchor="page37">
              <w:r>
                <w:rPr>
                  <w:rFonts w:ascii="Arial" w:cs="Arial" w:eastAsia="Arial" w:hAnsi="Arial"/>
                  <w:sz w:val="16"/>
                  <w:szCs w:val="16"/>
                  <w:color w:val="0000FF"/>
                </w:rPr>
                <w:t>Oxley Act of 2002.</w:t>
              </w:r>
            </w:hyperlink>
          </w:p>
        </w:tc>
      </w:tr>
      <w:tr>
        <w:trPr>
          <w:trHeight w:val="20"/>
        </w:trPr>
        <w:tc>
          <w:tcPr>
            <w:tcW w:w="10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814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23"/>
        </w:trPr>
        <w:tc>
          <w:tcPr>
            <w:tcW w:w="1040" w:type="dxa"/>
            <w:vAlign w:val="bottom"/>
            <w:gridSpan w:val="4"/>
          </w:tcPr>
          <w:p>
            <w:pPr>
              <w:jc w:val="center"/>
              <w:ind w:left="639"/>
              <w:spacing w:after="0"/>
              <w:rPr>
                <w:rFonts w:ascii="Arial" w:cs="Arial" w:eastAsia="Arial" w:hAnsi="Arial"/>
                <w:sz w:val="16"/>
                <w:szCs w:val="16"/>
                <w:color w:val="0000FF"/>
              </w:rPr>
            </w:pPr>
            <w:hyperlink w:anchor="page38">
              <w:r>
                <w:rPr>
                  <w:rFonts w:ascii="Arial" w:cs="Arial" w:eastAsia="Arial" w:hAnsi="Arial"/>
                  <w:sz w:val="16"/>
                  <w:szCs w:val="16"/>
                  <w:color w:val="0000FF"/>
                </w:rPr>
                <w:t>32.</w:t>
              </w:r>
              <w:r>
                <w:rPr>
                  <w:rFonts w:ascii="Arial" w:cs="Arial" w:eastAsia="Arial" w:hAnsi="Arial"/>
                  <w:sz w:val="16"/>
                  <w:szCs w:val="16"/>
                  <w:u w:val="single" w:color="auto"/>
                  <w:color w:val="0000FF"/>
                </w:rPr>
                <w:t>2</w:t>
              </w:r>
            </w:hyperlink>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520" w:type="dxa"/>
            <w:vAlign w:val="bottom"/>
            <w:gridSpan w:val="10"/>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Certification by the Chief Financial Officer pursuant to 18 U.S.C. Section 1350, as adopted pursuant to Section 906 of the Sarbanes-</w:t>
              </w:r>
            </w:hyperlink>
          </w:p>
        </w:tc>
      </w:tr>
      <w:tr>
        <w:trPr>
          <w:trHeight w:val="169"/>
        </w:trPr>
        <w:tc>
          <w:tcPr>
            <w:tcW w:w="720" w:type="dxa"/>
            <w:vAlign w:val="bottom"/>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60" w:type="dxa"/>
            <w:vAlign w:val="bottom"/>
            <w:tcBorders>
              <w:top w:val="single" w:sz="8" w:color="0000FF"/>
            </w:tcBorders>
            <w:gridSpan w:val="8"/>
          </w:tcPr>
          <w:p>
            <w:pPr>
              <w:spacing w:after="0" w:line="169" w:lineRule="exact"/>
              <w:rPr>
                <w:rFonts w:ascii="Arial" w:cs="Arial" w:eastAsia="Arial" w:hAnsi="Arial"/>
                <w:sz w:val="16"/>
                <w:szCs w:val="16"/>
                <w:color w:val="0000FF"/>
              </w:rPr>
            </w:pPr>
            <w:hyperlink w:anchor="page38">
              <w:r>
                <w:rPr>
                  <w:rFonts w:ascii="Arial" w:cs="Arial" w:eastAsia="Arial" w:hAnsi="Arial"/>
                  <w:sz w:val="16"/>
                  <w:szCs w:val="16"/>
                  <w:color w:val="0000FF"/>
                </w:rPr>
                <w:t>Oxley Act of 2002.</w:t>
              </w:r>
            </w:hyperlink>
          </w:p>
        </w:tc>
        <w:tc>
          <w:tcPr>
            <w:tcW w:w="60" w:type="dxa"/>
            <w:vAlign w:val="bottom"/>
            <w:gridSpan w:val="2"/>
          </w:tcPr>
          <w:p>
            <w:pPr>
              <w:spacing w:after="0"/>
              <w:rPr>
                <w:sz w:val="14"/>
                <w:szCs w:val="14"/>
                <w:color w:val="auto"/>
              </w:rPr>
            </w:pPr>
          </w:p>
        </w:tc>
      </w:tr>
      <w:tr>
        <w:trPr>
          <w:trHeight w:val="20"/>
        </w:trPr>
        <w:tc>
          <w:tcPr>
            <w:tcW w:w="12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8200" w:type="dxa"/>
            <w:vAlign w:val="bottom"/>
            <w:gridSpan w:val="9"/>
          </w:tcPr>
          <w:p>
            <w:pPr>
              <w:spacing w:after="0" w:line="20" w:lineRule="exact"/>
              <w:rPr>
                <w:sz w:val="1"/>
                <w:szCs w:val="1"/>
                <w:color w:val="auto"/>
              </w:rPr>
            </w:pPr>
          </w:p>
        </w:tc>
      </w:tr>
      <w:tr>
        <w:trPr>
          <w:trHeight w:val="437"/>
        </w:trPr>
        <w:tc>
          <w:tcPr>
            <w:tcW w:w="1260" w:type="dxa"/>
            <w:vAlign w:val="bottom"/>
            <w:gridSpan w:val="5"/>
          </w:tcPr>
          <w:p>
            <w:pPr>
              <w:ind w:left="360"/>
              <w:spacing w:after="0"/>
              <w:rPr>
                <w:sz w:val="20"/>
                <w:szCs w:val="20"/>
                <w:color w:val="auto"/>
              </w:rPr>
            </w:pPr>
            <w:r>
              <w:rPr>
                <w:rFonts w:ascii="Arial" w:cs="Arial" w:eastAsia="Arial" w:hAnsi="Arial"/>
                <w:sz w:val="16"/>
                <w:szCs w:val="16"/>
                <w:color w:val="auto"/>
              </w:rPr>
              <w:t>101.INS*</w:t>
            </w:r>
          </w:p>
        </w:tc>
        <w:tc>
          <w:tcPr>
            <w:tcW w:w="180" w:type="dxa"/>
            <w:vAlign w:val="bottom"/>
          </w:tcPr>
          <w:p>
            <w:pPr>
              <w:spacing w:after="0"/>
              <w:rPr>
                <w:sz w:val="24"/>
                <w:szCs w:val="24"/>
                <w:color w:val="auto"/>
              </w:rPr>
            </w:pPr>
          </w:p>
        </w:tc>
        <w:tc>
          <w:tcPr>
            <w:tcW w:w="9520" w:type="dxa"/>
            <w:vAlign w:val="bottom"/>
            <w:gridSpan w:val="10"/>
          </w:tcPr>
          <w:p>
            <w:pPr>
              <w:spacing w:after="0"/>
              <w:rPr>
                <w:sz w:val="20"/>
                <w:szCs w:val="20"/>
                <w:color w:val="auto"/>
              </w:rPr>
            </w:pPr>
            <w:r>
              <w:rPr>
                <w:rFonts w:ascii="Arial" w:cs="Arial" w:eastAsia="Arial" w:hAnsi="Arial"/>
                <w:sz w:val="16"/>
                <w:szCs w:val="16"/>
                <w:color w:val="auto"/>
              </w:rPr>
              <w:t>XBRL Instance Document</w:t>
            </w:r>
          </w:p>
        </w:tc>
      </w:tr>
      <w:tr>
        <w:trPr>
          <w:trHeight w:val="405"/>
        </w:trPr>
        <w:tc>
          <w:tcPr>
            <w:tcW w:w="1260" w:type="dxa"/>
            <w:vAlign w:val="bottom"/>
            <w:gridSpan w:val="5"/>
          </w:tcPr>
          <w:p>
            <w:pPr>
              <w:ind w:left="360"/>
              <w:spacing w:after="0"/>
              <w:rPr>
                <w:sz w:val="20"/>
                <w:szCs w:val="20"/>
                <w:color w:val="auto"/>
              </w:rPr>
            </w:pPr>
            <w:r>
              <w:rPr>
                <w:rFonts w:ascii="Arial" w:cs="Arial" w:eastAsia="Arial" w:hAnsi="Arial"/>
                <w:sz w:val="16"/>
                <w:szCs w:val="16"/>
                <w:color w:val="auto"/>
              </w:rPr>
              <w:t>101.SCH*</w:t>
            </w:r>
          </w:p>
        </w:tc>
        <w:tc>
          <w:tcPr>
            <w:tcW w:w="180" w:type="dxa"/>
            <w:vAlign w:val="bottom"/>
          </w:tcPr>
          <w:p>
            <w:pPr>
              <w:spacing w:after="0"/>
              <w:rPr>
                <w:sz w:val="24"/>
                <w:szCs w:val="24"/>
                <w:color w:val="auto"/>
              </w:rPr>
            </w:pPr>
          </w:p>
        </w:tc>
        <w:tc>
          <w:tcPr>
            <w:tcW w:w="9520" w:type="dxa"/>
            <w:vAlign w:val="bottom"/>
            <w:gridSpan w:val="10"/>
          </w:tcPr>
          <w:p>
            <w:pPr>
              <w:spacing w:after="0"/>
              <w:rPr>
                <w:sz w:val="20"/>
                <w:szCs w:val="20"/>
                <w:color w:val="auto"/>
              </w:rPr>
            </w:pPr>
            <w:r>
              <w:rPr>
                <w:rFonts w:ascii="Arial" w:cs="Arial" w:eastAsia="Arial" w:hAnsi="Arial"/>
                <w:sz w:val="16"/>
                <w:szCs w:val="16"/>
                <w:color w:val="auto"/>
              </w:rPr>
              <w:t>XBRL Taxonomy Extension Schema Document</w:t>
            </w:r>
          </w:p>
        </w:tc>
      </w:tr>
      <w:tr>
        <w:trPr>
          <w:trHeight w:val="405"/>
        </w:trPr>
        <w:tc>
          <w:tcPr>
            <w:tcW w:w="1260" w:type="dxa"/>
            <w:vAlign w:val="bottom"/>
            <w:gridSpan w:val="5"/>
          </w:tcPr>
          <w:p>
            <w:pPr>
              <w:ind w:left="360"/>
              <w:spacing w:after="0"/>
              <w:rPr>
                <w:sz w:val="20"/>
                <w:szCs w:val="20"/>
                <w:color w:val="auto"/>
              </w:rPr>
            </w:pPr>
            <w:r>
              <w:rPr>
                <w:rFonts w:ascii="Arial" w:cs="Arial" w:eastAsia="Arial" w:hAnsi="Arial"/>
                <w:sz w:val="16"/>
                <w:szCs w:val="16"/>
                <w:color w:val="auto"/>
              </w:rPr>
              <w:t>101.CAL*</w:t>
            </w:r>
          </w:p>
        </w:tc>
        <w:tc>
          <w:tcPr>
            <w:tcW w:w="180" w:type="dxa"/>
            <w:vAlign w:val="bottom"/>
          </w:tcPr>
          <w:p>
            <w:pPr>
              <w:spacing w:after="0"/>
              <w:rPr>
                <w:sz w:val="24"/>
                <w:szCs w:val="24"/>
                <w:color w:val="auto"/>
              </w:rPr>
            </w:pPr>
          </w:p>
        </w:tc>
        <w:tc>
          <w:tcPr>
            <w:tcW w:w="9520" w:type="dxa"/>
            <w:vAlign w:val="bottom"/>
            <w:gridSpan w:val="10"/>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405"/>
        </w:trPr>
        <w:tc>
          <w:tcPr>
            <w:tcW w:w="1260" w:type="dxa"/>
            <w:vAlign w:val="bottom"/>
            <w:gridSpan w:val="5"/>
          </w:tcPr>
          <w:p>
            <w:pPr>
              <w:ind w:left="360"/>
              <w:spacing w:after="0"/>
              <w:rPr>
                <w:sz w:val="20"/>
                <w:szCs w:val="20"/>
                <w:color w:val="auto"/>
              </w:rPr>
            </w:pPr>
            <w:r>
              <w:rPr>
                <w:rFonts w:ascii="Arial" w:cs="Arial" w:eastAsia="Arial" w:hAnsi="Arial"/>
                <w:sz w:val="16"/>
                <w:szCs w:val="16"/>
                <w:color w:val="auto"/>
              </w:rPr>
              <w:t>101.DEF*</w:t>
            </w:r>
          </w:p>
        </w:tc>
        <w:tc>
          <w:tcPr>
            <w:tcW w:w="180" w:type="dxa"/>
            <w:vAlign w:val="bottom"/>
          </w:tcPr>
          <w:p>
            <w:pPr>
              <w:spacing w:after="0"/>
              <w:rPr>
                <w:sz w:val="24"/>
                <w:szCs w:val="24"/>
                <w:color w:val="auto"/>
              </w:rPr>
            </w:pPr>
          </w:p>
        </w:tc>
        <w:tc>
          <w:tcPr>
            <w:tcW w:w="9520" w:type="dxa"/>
            <w:vAlign w:val="bottom"/>
            <w:gridSpan w:val="10"/>
          </w:tcPr>
          <w:p>
            <w:pPr>
              <w:spacing w:after="0"/>
              <w:rPr>
                <w:sz w:val="20"/>
                <w:szCs w:val="20"/>
                <w:color w:val="auto"/>
              </w:rPr>
            </w:pPr>
            <w:r>
              <w:rPr>
                <w:rFonts w:ascii="Arial" w:cs="Arial" w:eastAsia="Arial" w:hAnsi="Arial"/>
                <w:sz w:val="16"/>
                <w:szCs w:val="16"/>
                <w:color w:val="auto"/>
              </w:rPr>
              <w:t>XBRL Taxonomy Extension Definitions Linkbase Document</w:t>
            </w:r>
          </w:p>
        </w:tc>
      </w:tr>
      <w:tr>
        <w:trPr>
          <w:trHeight w:val="405"/>
        </w:trPr>
        <w:tc>
          <w:tcPr>
            <w:tcW w:w="1260" w:type="dxa"/>
            <w:vAlign w:val="bottom"/>
            <w:gridSpan w:val="5"/>
          </w:tcPr>
          <w:p>
            <w:pPr>
              <w:ind w:left="360"/>
              <w:spacing w:after="0"/>
              <w:rPr>
                <w:sz w:val="20"/>
                <w:szCs w:val="20"/>
                <w:color w:val="auto"/>
              </w:rPr>
            </w:pPr>
            <w:r>
              <w:rPr>
                <w:rFonts w:ascii="Arial" w:cs="Arial" w:eastAsia="Arial" w:hAnsi="Arial"/>
                <w:sz w:val="16"/>
                <w:szCs w:val="16"/>
                <w:color w:val="auto"/>
              </w:rPr>
              <w:t>101.LAB*</w:t>
            </w:r>
          </w:p>
        </w:tc>
        <w:tc>
          <w:tcPr>
            <w:tcW w:w="180" w:type="dxa"/>
            <w:vAlign w:val="bottom"/>
          </w:tcPr>
          <w:p>
            <w:pPr>
              <w:spacing w:after="0"/>
              <w:rPr>
                <w:sz w:val="24"/>
                <w:szCs w:val="24"/>
                <w:color w:val="auto"/>
              </w:rPr>
            </w:pPr>
          </w:p>
        </w:tc>
        <w:tc>
          <w:tcPr>
            <w:tcW w:w="9520" w:type="dxa"/>
            <w:vAlign w:val="bottom"/>
            <w:gridSpan w:val="10"/>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405"/>
        </w:trPr>
        <w:tc>
          <w:tcPr>
            <w:tcW w:w="1260" w:type="dxa"/>
            <w:vAlign w:val="bottom"/>
            <w:gridSpan w:val="5"/>
          </w:tcPr>
          <w:p>
            <w:pPr>
              <w:ind w:left="360"/>
              <w:spacing w:after="0"/>
              <w:rPr>
                <w:sz w:val="20"/>
                <w:szCs w:val="20"/>
                <w:color w:val="auto"/>
              </w:rPr>
            </w:pPr>
            <w:r>
              <w:rPr>
                <w:rFonts w:ascii="Arial" w:cs="Arial" w:eastAsia="Arial" w:hAnsi="Arial"/>
                <w:sz w:val="16"/>
                <w:szCs w:val="16"/>
                <w:color w:val="auto"/>
              </w:rPr>
              <w:t>101.PRE*</w:t>
            </w:r>
          </w:p>
        </w:tc>
        <w:tc>
          <w:tcPr>
            <w:tcW w:w="180" w:type="dxa"/>
            <w:vAlign w:val="bottom"/>
          </w:tcPr>
          <w:p>
            <w:pPr>
              <w:spacing w:after="0"/>
              <w:rPr>
                <w:sz w:val="24"/>
                <w:szCs w:val="24"/>
                <w:color w:val="auto"/>
              </w:rPr>
            </w:pPr>
          </w:p>
        </w:tc>
        <w:tc>
          <w:tcPr>
            <w:tcW w:w="9520" w:type="dxa"/>
            <w:vAlign w:val="bottom"/>
            <w:gridSpan w:val="10"/>
          </w:tcPr>
          <w:p>
            <w:pPr>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32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*Attached as Exhibit 101 to this report are the following financial statements from our Quarterly Report on Form 10-Q for the quarter ended February 23, 2019 formatted in XBRL: (i) the Unaudited Condensed Consolidated Statements of Income and Comprehensive Income, (ii) the Unaudited Condensed Consolidated Balance Sheets, (iii) the Unaudited Condensed Consolidated Statements of Cash Flows, (iv) the Unaudited Condensed Consolidated Statements of Changes in Stockholders' Equity, and (v) related Notes to Condensed Consolidated Financial Statements. Such exhibits are deemed furnished and not filed pursuant to Rule 406T of Regulation S-T.</w:t>
      </w: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360"/>
          </w:cols>
          <w:pgMar w:left="240" w:top="118" w:right="29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16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5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7560" w:type="dxa"/>
            <w:vAlign w:val="bottom"/>
            <w:gridSpan w:val="2"/>
          </w:tcPr>
          <w:p>
            <w:pPr>
              <w:ind w:left="1780"/>
              <w:spacing w:after="0"/>
              <w:rPr>
                <w:sz w:val="20"/>
                <w:szCs w:val="20"/>
                <w:color w:val="auto"/>
              </w:rPr>
            </w:pPr>
            <w:r>
              <w:rPr>
                <w:rFonts w:ascii="Arial" w:cs="Arial" w:eastAsia="Arial" w:hAnsi="Arial"/>
                <w:sz w:val="16"/>
                <w:szCs w:val="16"/>
                <w:color w:val="auto"/>
              </w:rPr>
              <w:t>WINNEBAGO INDUSTRIES, INC.</w:t>
            </w:r>
          </w:p>
        </w:tc>
      </w:tr>
      <w:tr>
        <w:trPr>
          <w:trHeight w:val="549"/>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3060" w:type="dxa"/>
            <w:vAlign w:val="bottom"/>
          </w:tcPr>
          <w:p>
            <w:pPr>
              <w:ind w:left="140"/>
              <w:spacing w:after="0"/>
              <w:rPr>
                <w:sz w:val="20"/>
                <w:szCs w:val="20"/>
                <w:color w:val="auto"/>
              </w:rPr>
            </w:pPr>
            <w:r>
              <w:rPr>
                <w:rFonts w:ascii="Arial" w:cs="Arial" w:eastAsia="Arial" w:hAnsi="Arial"/>
                <w:sz w:val="16"/>
                <w:szCs w:val="16"/>
                <w:color w:val="auto"/>
              </w:rPr>
              <w:t>March 26, 2019</w:t>
            </w:r>
          </w:p>
        </w:tc>
        <w:tc>
          <w:tcPr>
            <w:tcW w:w="7560" w:type="dxa"/>
            <w:vAlign w:val="bottom"/>
            <w:gridSpan w:val="2"/>
          </w:tcPr>
          <w:p>
            <w:pPr>
              <w:ind w:left="178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Michael J. Happe</w:t>
            </w:r>
          </w:p>
        </w:tc>
      </w:tr>
      <w:tr>
        <w:trPr>
          <w:trHeight w:val="241"/>
        </w:trPr>
        <w:tc>
          <w:tcPr>
            <w:tcW w:w="5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3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Michael J. Happe</w:t>
            </w:r>
          </w:p>
        </w:tc>
      </w:tr>
      <w:tr>
        <w:trPr>
          <w:trHeight w:val="270"/>
        </w:trPr>
        <w:tc>
          <w:tcPr>
            <w:tcW w:w="54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6"/>
                <w:szCs w:val="16"/>
                <w:color w:val="auto"/>
              </w:rPr>
              <w:t>Chief Executive Officer, President</w:t>
            </w:r>
          </w:p>
        </w:tc>
      </w:tr>
      <w:tr>
        <w:trPr>
          <w:trHeight w:val="270"/>
        </w:trPr>
        <w:tc>
          <w:tcPr>
            <w:tcW w:w="54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6"/>
                <w:szCs w:val="16"/>
                <w:color w:val="auto"/>
              </w:rPr>
              <w:t>(Principal Executive Officer)</w:t>
            </w:r>
          </w:p>
        </w:tc>
      </w:tr>
      <w:tr>
        <w:trPr>
          <w:trHeight w:val="549"/>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3060" w:type="dxa"/>
            <w:vAlign w:val="bottom"/>
          </w:tcPr>
          <w:p>
            <w:pPr>
              <w:ind w:left="140"/>
              <w:spacing w:after="0"/>
              <w:rPr>
                <w:sz w:val="20"/>
                <w:szCs w:val="20"/>
                <w:color w:val="auto"/>
              </w:rPr>
            </w:pPr>
            <w:r>
              <w:rPr>
                <w:rFonts w:ascii="Arial" w:cs="Arial" w:eastAsia="Arial" w:hAnsi="Arial"/>
                <w:sz w:val="16"/>
                <w:szCs w:val="16"/>
                <w:color w:val="auto"/>
              </w:rPr>
              <w:t>March 26, 2019</w:t>
            </w:r>
          </w:p>
        </w:tc>
        <w:tc>
          <w:tcPr>
            <w:tcW w:w="7560" w:type="dxa"/>
            <w:vAlign w:val="bottom"/>
            <w:gridSpan w:val="2"/>
          </w:tcPr>
          <w:p>
            <w:pPr>
              <w:ind w:left="178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Bryan L. Hughes</w:t>
            </w:r>
          </w:p>
        </w:tc>
      </w:tr>
      <w:tr>
        <w:trPr>
          <w:trHeight w:val="241"/>
        </w:trPr>
        <w:tc>
          <w:tcPr>
            <w:tcW w:w="5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3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Bryan L. Hughes</w:t>
            </w:r>
          </w:p>
        </w:tc>
      </w:tr>
      <w:tr>
        <w:trPr>
          <w:trHeight w:val="270"/>
        </w:trPr>
        <w:tc>
          <w:tcPr>
            <w:tcW w:w="54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6"/>
                <w:szCs w:val="16"/>
                <w:color w:val="auto"/>
              </w:rPr>
              <w:t>Vice President, Chief Financial Officer</w:t>
            </w:r>
          </w:p>
        </w:tc>
      </w:tr>
      <w:tr>
        <w:trPr>
          <w:trHeight w:val="270"/>
        </w:trPr>
        <w:tc>
          <w:tcPr>
            <w:tcW w:w="54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6"/>
                <w:szCs w:val="16"/>
                <w:color w:val="auto"/>
              </w:rPr>
              <w:t>(Principal Financial and Accounting Officer)</w:t>
            </w:r>
          </w:p>
        </w:tc>
      </w:tr>
      <w:tr>
        <w:trPr>
          <w:trHeight w:val="675"/>
        </w:trPr>
        <w:tc>
          <w:tcPr>
            <w:tcW w:w="5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34</w:t>
            </w:r>
          </w:p>
        </w:tc>
        <w:tc>
          <w:tcPr>
            <w:tcW w:w="5360" w:type="dxa"/>
            <w:vAlign w:val="bottom"/>
          </w:tcPr>
          <w:p>
            <w:pPr>
              <w:spacing w:after="0"/>
              <w:rPr>
                <w:sz w:val="24"/>
                <w:szCs w:val="24"/>
                <w:color w:val="auto"/>
              </w:rPr>
            </w:pPr>
          </w:p>
        </w:tc>
      </w:tr>
    </w:tbl>
    <w:p>
      <w:pPr>
        <w:sectPr>
          <w:pgSz w:w="11900" w:h="16838" w:orient="portrait"/>
          <w:cols w:equalWidth="0" w:num="1">
            <w:col w:w="11340"/>
          </w:cols>
          <w:pgMar w:left="240" w:top="121" w:right="319" w:bottom="1440" w:gutter="0" w:footer="0" w:header="0"/>
        </w:sectPr>
      </w:pPr>
    </w:p>
    <w:bookmarkStart w:id="34" w:name="page35"/>
    <w:bookmarkEnd w:id="34"/>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CERTIFICATION BY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302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I, Michael J. Happe, Chief Executive Officer of Winnebago Industries, Inc., certify that:</w:t>
      </w:r>
    </w:p>
    <w:p>
      <w:pPr>
        <w:spacing w:after="0" w:line="194"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194" w:lineRule="exact"/>
        <w:rPr>
          <w:rFonts w:ascii="Arial" w:cs="Arial" w:eastAsia="Arial" w:hAnsi="Arial"/>
          <w:sz w:val="16"/>
          <w:szCs w:val="16"/>
          <w:color w:val="auto"/>
        </w:rPr>
      </w:pPr>
    </w:p>
    <w:p>
      <w:pPr>
        <w:ind w:left="340" w:right="120" w:hanging="332"/>
        <w:spacing w:after="0" w:line="291"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6"/>
          <w:szCs w:val="16"/>
          <w:color w:val="auto"/>
        </w:rPr>
      </w:pPr>
    </w:p>
    <w:p>
      <w:pPr>
        <w:ind w:left="340" w:right="180" w:hanging="332"/>
        <w:spacing w:after="0" w:line="291"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Arial" w:cs="Arial" w:eastAsia="Arial" w:hAnsi="Arial"/>
          <w:sz w:val="16"/>
          <w:szCs w:val="16"/>
          <w:color w:val="auto"/>
        </w:rPr>
      </w:pPr>
    </w:p>
    <w:p>
      <w:pPr>
        <w:ind w:left="340" w:right="100" w:hanging="332"/>
        <w:spacing w:after="0" w:line="269"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7" w:lineRule="exact"/>
        <w:rPr>
          <w:rFonts w:ascii="Arial" w:cs="Arial" w:eastAsia="Arial" w:hAnsi="Arial"/>
          <w:sz w:val="16"/>
          <w:szCs w:val="16"/>
          <w:color w:val="auto"/>
        </w:rPr>
      </w:pPr>
    </w:p>
    <w:p>
      <w:pPr>
        <w:ind w:left="660" w:right="100" w:hanging="328"/>
        <w:spacing w:after="0" w:line="269" w:lineRule="auto"/>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7" w:lineRule="exact"/>
        <w:rPr>
          <w:rFonts w:ascii="Arial" w:cs="Arial" w:eastAsia="Arial" w:hAnsi="Arial"/>
          <w:sz w:val="16"/>
          <w:szCs w:val="16"/>
          <w:color w:val="auto"/>
        </w:rPr>
      </w:pPr>
    </w:p>
    <w:p>
      <w:pPr>
        <w:ind w:left="660" w:hanging="328"/>
        <w:spacing w:after="0" w:line="269" w:lineRule="auto"/>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Arial" w:cs="Arial" w:eastAsia="Arial" w:hAnsi="Arial"/>
          <w:sz w:val="16"/>
          <w:szCs w:val="16"/>
          <w:color w:val="auto"/>
        </w:rPr>
      </w:pPr>
    </w:p>
    <w:p>
      <w:pPr>
        <w:ind w:left="660" w:hanging="328"/>
        <w:spacing w:after="0" w:line="291" w:lineRule="auto"/>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Arial" w:cs="Arial" w:eastAsia="Arial" w:hAnsi="Arial"/>
          <w:sz w:val="16"/>
          <w:szCs w:val="16"/>
          <w:color w:val="auto"/>
        </w:rPr>
      </w:pPr>
    </w:p>
    <w:p>
      <w:pPr>
        <w:ind w:left="660" w:right="20" w:hanging="328"/>
        <w:spacing w:after="0" w:line="269" w:lineRule="auto"/>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rFonts w:ascii="Arial" w:cs="Arial" w:eastAsia="Arial" w:hAnsi="Arial"/>
          <w:sz w:val="16"/>
          <w:szCs w:val="16"/>
          <w:color w:val="auto"/>
        </w:rPr>
      </w:pPr>
    </w:p>
    <w:p>
      <w:pPr>
        <w:ind w:left="340" w:right="620" w:hanging="332"/>
        <w:spacing w:after="0" w:line="291"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1" w:lineRule="exact"/>
        <w:rPr>
          <w:rFonts w:ascii="Arial" w:cs="Arial" w:eastAsia="Arial" w:hAnsi="Arial"/>
          <w:sz w:val="16"/>
          <w:szCs w:val="16"/>
          <w:color w:val="auto"/>
        </w:rPr>
      </w:pPr>
    </w:p>
    <w:p>
      <w:pPr>
        <w:ind w:left="660" w:right="60" w:hanging="328"/>
        <w:spacing w:after="0" w:line="291" w:lineRule="auto"/>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Arial" w:cs="Arial" w:eastAsia="Arial" w:hAnsi="Arial"/>
          <w:sz w:val="16"/>
          <w:szCs w:val="16"/>
          <w:color w:val="auto"/>
        </w:rPr>
      </w:pPr>
    </w:p>
    <w:p>
      <w:pPr>
        <w:ind w:left="660" w:right="160" w:hanging="328"/>
        <w:spacing w:after="0" w:line="291" w:lineRule="auto"/>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26, 2019</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27527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6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Michael J. Happe</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Chief Executive Officer, President</w:t>
      </w:r>
    </w:p>
    <w:p>
      <w:pPr>
        <w:sectPr>
          <w:pgSz w:w="11900" w:h="16838" w:orient="portrait"/>
          <w:cols w:equalWidth="0" w:num="1">
            <w:col w:w="11420"/>
          </w:cols>
          <w:pgMar w:left="240" w:top="579"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BY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302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I, Bryan L. Hughes, Chief Financial Officer of Winnebago Industries, Inc., certify that:</w:t>
      </w:r>
    </w:p>
    <w:p>
      <w:pPr>
        <w:spacing w:after="0" w:line="194"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194" w:lineRule="exact"/>
        <w:rPr>
          <w:rFonts w:ascii="Arial" w:cs="Arial" w:eastAsia="Arial" w:hAnsi="Arial"/>
          <w:sz w:val="16"/>
          <w:szCs w:val="16"/>
          <w:color w:val="auto"/>
        </w:rPr>
      </w:pPr>
    </w:p>
    <w:p>
      <w:pPr>
        <w:ind w:left="340" w:right="120" w:hanging="332"/>
        <w:spacing w:after="0" w:line="291"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6"/>
          <w:szCs w:val="16"/>
          <w:color w:val="auto"/>
        </w:rPr>
      </w:pPr>
    </w:p>
    <w:p>
      <w:pPr>
        <w:ind w:left="340" w:right="180" w:hanging="332"/>
        <w:spacing w:after="0" w:line="291"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Arial" w:cs="Arial" w:eastAsia="Arial" w:hAnsi="Arial"/>
          <w:sz w:val="16"/>
          <w:szCs w:val="16"/>
          <w:color w:val="auto"/>
        </w:rPr>
      </w:pPr>
    </w:p>
    <w:p>
      <w:pPr>
        <w:ind w:left="340" w:right="100" w:hanging="332"/>
        <w:spacing w:after="0" w:line="269"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7" w:lineRule="exact"/>
        <w:rPr>
          <w:rFonts w:ascii="Arial" w:cs="Arial" w:eastAsia="Arial" w:hAnsi="Arial"/>
          <w:sz w:val="16"/>
          <w:szCs w:val="16"/>
          <w:color w:val="auto"/>
        </w:rPr>
      </w:pPr>
    </w:p>
    <w:p>
      <w:pPr>
        <w:ind w:left="660" w:right="100" w:hanging="328"/>
        <w:spacing w:after="0" w:line="269"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7" w:lineRule="exact"/>
        <w:rPr>
          <w:rFonts w:ascii="Arial" w:cs="Arial" w:eastAsia="Arial" w:hAnsi="Arial"/>
          <w:sz w:val="16"/>
          <w:szCs w:val="16"/>
          <w:color w:val="auto"/>
        </w:rPr>
      </w:pPr>
    </w:p>
    <w:p>
      <w:pPr>
        <w:ind w:left="660" w:hanging="328"/>
        <w:spacing w:after="0" w:line="269"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Arial" w:cs="Arial" w:eastAsia="Arial" w:hAnsi="Arial"/>
          <w:sz w:val="16"/>
          <w:szCs w:val="16"/>
          <w:color w:val="auto"/>
        </w:rPr>
      </w:pPr>
    </w:p>
    <w:p>
      <w:pPr>
        <w:ind w:left="660" w:hanging="328"/>
        <w:spacing w:after="0" w:line="291"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Arial" w:cs="Arial" w:eastAsia="Arial" w:hAnsi="Arial"/>
          <w:sz w:val="16"/>
          <w:szCs w:val="16"/>
          <w:color w:val="auto"/>
        </w:rPr>
      </w:pPr>
    </w:p>
    <w:p>
      <w:pPr>
        <w:ind w:left="660" w:right="20" w:hanging="328"/>
        <w:spacing w:after="0" w:line="269"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rFonts w:ascii="Arial" w:cs="Arial" w:eastAsia="Arial" w:hAnsi="Arial"/>
          <w:sz w:val="16"/>
          <w:szCs w:val="16"/>
          <w:color w:val="auto"/>
        </w:rPr>
      </w:pPr>
    </w:p>
    <w:p>
      <w:pPr>
        <w:ind w:left="340" w:right="620" w:hanging="332"/>
        <w:spacing w:after="0" w:line="291"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1" w:lineRule="exact"/>
        <w:rPr>
          <w:rFonts w:ascii="Arial" w:cs="Arial" w:eastAsia="Arial" w:hAnsi="Arial"/>
          <w:sz w:val="16"/>
          <w:szCs w:val="16"/>
          <w:color w:val="auto"/>
        </w:rPr>
      </w:pPr>
    </w:p>
    <w:p>
      <w:pPr>
        <w:ind w:left="660" w:right="60" w:hanging="328"/>
        <w:spacing w:after="0" w:line="291"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Arial" w:cs="Arial" w:eastAsia="Arial" w:hAnsi="Arial"/>
          <w:sz w:val="16"/>
          <w:szCs w:val="16"/>
          <w:color w:val="auto"/>
        </w:rPr>
      </w:pPr>
    </w:p>
    <w:p>
      <w:pPr>
        <w:ind w:left="660" w:right="160" w:hanging="328"/>
        <w:spacing w:after="0" w:line="291" w:lineRule="auto"/>
        <w:tabs>
          <w:tab w:leader="none" w:pos="6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26, 2019</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27527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6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Bryan L. Hughes</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Vice President, Chief Financial Officer</w:t>
      </w:r>
    </w:p>
    <w:p>
      <w:pPr>
        <w:sectPr>
          <w:pgSz w:w="11900" w:h="16838" w:orient="portrait"/>
          <w:cols w:equalWidth="0" w:num="1">
            <w:col w:w="11420"/>
          </w:cols>
          <w:pgMar w:left="240" w:top="579"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CERTIFICATION BY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Pursuant to 18 U.S.C. Section 1350, as adopted pursuant to Section 906 of the Sarbanes-Oxley Act of 2002, I, Michael J. Happe, Chief Executive Officer of</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 (the "Company"), hereby certify that to my knowledge:</w:t>
      </w:r>
    </w:p>
    <w:p>
      <w:pPr>
        <w:spacing w:after="0" w:line="174" w:lineRule="exact"/>
        <w:rPr>
          <w:sz w:val="20"/>
          <w:szCs w:val="20"/>
          <w:color w:val="auto"/>
        </w:rPr>
      </w:pPr>
    </w:p>
    <w:p>
      <w:pPr>
        <w:ind w:left="660" w:right="980" w:hanging="328"/>
        <w:spacing w:after="0" w:line="291"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February 23, 2019 (the "Report") of the Company, fully complies with the requirements of Section 13(a) or 15(d) of the Securities Exchange Act of 1934, and</w:t>
      </w:r>
    </w:p>
    <w:p>
      <w:pPr>
        <w:spacing w:after="0" w:line="121"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 and results of operations of the Company.</w:t>
      </w:r>
    </w:p>
    <w:p>
      <w:pPr>
        <w:spacing w:after="0" w:line="383"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26, 2019</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27527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6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Michael J. Happe</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Chief Executive Officer, President</w:t>
      </w:r>
    </w:p>
    <w:p>
      <w:pPr>
        <w:sectPr>
          <w:pgSz w:w="11900" w:h="16838" w:orient="portrait"/>
          <w:cols w:equalWidth="0" w:num="1">
            <w:col w:w="11420"/>
          </w:cols>
          <w:pgMar w:left="240" w:top="579"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CERTIFICATION BY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Pursuant to 18 U.S.C. Section 1350, as adopted pursuant to Section 906 of the Sarbanes-Oxley Act of 2002, I, Bryan L. Hughes, Chief Financial Officer of</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 (the "Company"), hereby certify that to my knowledge:</w:t>
      </w:r>
    </w:p>
    <w:p>
      <w:pPr>
        <w:spacing w:after="0" w:line="174" w:lineRule="exact"/>
        <w:rPr>
          <w:sz w:val="20"/>
          <w:szCs w:val="20"/>
          <w:color w:val="auto"/>
        </w:rPr>
      </w:pPr>
    </w:p>
    <w:p>
      <w:pPr>
        <w:ind w:left="660" w:right="980" w:hanging="328"/>
        <w:spacing w:after="0" w:line="291"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February 23, 2019 (the "Report") of the Company, fully complies with the requirements of Section 13(a) or 15(d) of the Securities Exchange Act of 1934, and</w:t>
      </w:r>
    </w:p>
    <w:p>
      <w:pPr>
        <w:spacing w:after="0" w:line="121"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 and results of operations of the Company.</w:t>
      </w:r>
    </w:p>
    <w:p>
      <w:pPr>
        <w:spacing w:after="0" w:line="383"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March 26, 2019</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27527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6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Bryan L. Hughes</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Vice President, Chief Financial Officer</w:t>
      </w:r>
    </w:p>
    <w:sectPr>
      <w:pgSz w:w="11900" w:h="16838" w:orient="portrait"/>
      <w:cols w:equalWidth="0" w:num="1">
        <w:col w:w="11420"/>
      </w:cols>
      <w:pgMar w:left="240" w:top="57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o"/>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7" Type="http://schemas.openxmlformats.org/officeDocument/2006/relationships/hyperlink" Target="http://www.sec.gov/Archives/edgar/data/107687/000010768718000026/exhibit3aarticlesofincor.htm" TargetMode="External"/><Relationship Id="rId18" Type="http://schemas.openxmlformats.org/officeDocument/2006/relationships/hyperlink" Target="http://www.sec.gov/Archives/edgar/data/107687/000010768716000075/exh31by-lawsasamended3x16x.htm" TargetMode="External"/><Relationship Id="rId19" Type="http://schemas.openxmlformats.org/officeDocument/2006/relationships/hyperlink" Target="http://www.sec.gov/Archives/edgar/data/107687/000010768718000029/wgo2018prox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2019-12-28T14:10:55Z</dcterms:created>
  <dcterms:modified xsi:type="dcterms:W3CDTF">2019-12-28T14:10:55Z</dcterms:modified>
</cp:coreProperties>
</file>