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960" w:right="23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November 29, 1997</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960" w:right="2199" w:hanging="952"/>
        <w:spacing w:after="0" w:line="235"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______________________ to _______________________</w:t>
      </w:r>
    </w:p>
    <w:p>
      <w:pPr>
        <w:spacing w:after="0" w:line="218"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ind w:left="1060"/>
              <w:spacing w:after="0"/>
              <w:rPr>
                <w:sz w:val="20"/>
                <w:szCs w:val="20"/>
                <w:color w:val="auto"/>
              </w:rPr>
            </w:pPr>
            <w:r>
              <w:rPr>
                <w:rFonts w:ascii="Courier New" w:cs="Courier New" w:eastAsia="Courier New" w:hAnsi="Courier New"/>
                <w:sz w:val="18"/>
                <w:szCs w:val="18"/>
                <w:color w:val="auto"/>
              </w:rPr>
              <w:t>IOWA</w:t>
            </w:r>
          </w:p>
        </w:tc>
        <w:tc>
          <w:tcPr>
            <w:tcW w:w="2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42-0803978</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P. O. Box 152, Forest City, Iowa</w:t>
            </w:r>
          </w:p>
        </w:tc>
        <w:tc>
          <w:tcPr>
            <w:tcW w:w="2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Registrant's telephone number, including area code:</w:t>
            </w:r>
          </w:p>
        </w:tc>
        <w:tc>
          <w:tcPr>
            <w:tcW w:w="2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(515) 582-3535</w:t>
            </w:r>
          </w:p>
        </w:tc>
      </w:tr>
    </w:tbl>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209"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There were 23,566,227 shares of $.50 par value common stock outstanding on January 8, 1998.</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INDEX TO REPORT ON FORM 10-Q</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Number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20"/>
                <w:szCs w:val="20"/>
                <w:color w:val="auto"/>
              </w:rPr>
            </w:pPr>
            <w:r>
              <w:rPr>
                <w:rFonts w:ascii="Courier New" w:cs="Courier New" w:eastAsia="Courier New" w:hAnsi="Courier New"/>
                <w:sz w:val="18"/>
                <w:szCs w:val="18"/>
                <w:color w:val="auto"/>
                <w:w w:val="98"/>
              </w:rPr>
              <w:t>PART I.  FINANCIAL INFORMATION:  (Interim period information</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6380" w:type="dxa"/>
            <w:vAlign w:val="bottom"/>
          </w:tcPr>
          <w:p>
            <w:pPr>
              <w:ind w:left="960"/>
              <w:spacing w:after="0"/>
              <w:rPr>
                <w:sz w:val="20"/>
                <w:szCs w:val="20"/>
                <w:color w:val="auto"/>
              </w:rPr>
            </w:pPr>
            <w:r>
              <w:rPr>
                <w:rFonts w:ascii="Courier New" w:cs="Courier New" w:eastAsia="Courier New" w:hAnsi="Courier New"/>
                <w:sz w:val="18"/>
                <w:szCs w:val="18"/>
                <w:color w:val="auto"/>
              </w:rPr>
              <w:t>Consolidated Balance Sheets</w:t>
            </w:r>
          </w:p>
        </w:tc>
        <w:tc>
          <w:tcPr>
            <w:tcW w:w="1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&amp; 2</w:t>
            </w:r>
          </w:p>
        </w:tc>
      </w:tr>
      <w:tr>
        <w:trPr>
          <w:trHeight w:val="405"/>
        </w:trPr>
        <w:tc>
          <w:tcPr>
            <w:tcW w:w="6380" w:type="dxa"/>
            <w:vAlign w:val="bottom"/>
          </w:tcPr>
          <w:p>
            <w:pPr>
              <w:ind w:left="960"/>
              <w:spacing w:after="0"/>
              <w:rPr>
                <w:sz w:val="20"/>
                <w:szCs w:val="20"/>
                <w:color w:val="auto"/>
              </w:rPr>
            </w:pPr>
            <w:r>
              <w:rPr>
                <w:rFonts w:ascii="Courier New" w:cs="Courier New" w:eastAsia="Courier New" w:hAnsi="Courier New"/>
                <w:sz w:val="18"/>
                <w:szCs w:val="18"/>
                <w:color w:val="auto"/>
              </w:rPr>
              <w:t>Unaudited Consolidated Statements of Operations</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r>
      <w:tr>
        <w:trPr>
          <w:trHeight w:val="405"/>
        </w:trPr>
        <w:tc>
          <w:tcPr>
            <w:tcW w:w="6380" w:type="dxa"/>
            <w:vAlign w:val="bottom"/>
          </w:tcPr>
          <w:p>
            <w:pPr>
              <w:ind w:left="960"/>
              <w:spacing w:after="0"/>
              <w:rPr>
                <w:sz w:val="20"/>
                <w:szCs w:val="20"/>
                <w:color w:val="auto"/>
              </w:rPr>
            </w:pPr>
            <w:r>
              <w:rPr>
                <w:rFonts w:ascii="Courier New" w:cs="Courier New" w:eastAsia="Courier New" w:hAnsi="Courier New"/>
                <w:sz w:val="18"/>
                <w:szCs w:val="18"/>
                <w:color w:val="auto"/>
                <w:w w:val="98"/>
              </w:rPr>
              <w:t>Unaudited Consolidated Condensed Statements of Cash</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Flows</w:t>
            </w:r>
          </w:p>
        </w:tc>
        <w:tc>
          <w:tcPr>
            <w:tcW w:w="36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r>
        <w:trPr>
          <w:trHeight w:val="405"/>
        </w:trPr>
        <w:tc>
          <w:tcPr>
            <w:tcW w:w="6380" w:type="dxa"/>
            <w:vAlign w:val="bottom"/>
          </w:tcPr>
          <w:p>
            <w:pPr>
              <w:ind w:left="960"/>
              <w:spacing w:after="0"/>
              <w:rPr>
                <w:sz w:val="20"/>
                <w:szCs w:val="20"/>
                <w:color w:val="auto"/>
              </w:rPr>
            </w:pPr>
            <w:r>
              <w:rPr>
                <w:rFonts w:ascii="Courier New" w:cs="Courier New" w:eastAsia="Courier New" w:hAnsi="Courier New"/>
                <w:sz w:val="18"/>
                <w:szCs w:val="18"/>
                <w:color w:val="auto"/>
                <w:w w:val="98"/>
              </w:rPr>
              <w:t>Unaudited Condensed Notes to Consolidated Financial</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Statements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&amp; 6</w:t>
            </w:r>
          </w:p>
        </w:tc>
      </w:tr>
      <w:tr>
        <w:trPr>
          <w:trHeight w:val="405"/>
        </w:trPr>
        <w:tc>
          <w:tcPr>
            <w:tcW w:w="7700" w:type="dxa"/>
            <w:vAlign w:val="bottom"/>
            <w:gridSpan w:val="2"/>
          </w:tcPr>
          <w:p>
            <w:pPr>
              <w:ind w:left="960"/>
              <w:spacing w:after="0"/>
              <w:rPr>
                <w:sz w:val="20"/>
                <w:szCs w:val="20"/>
                <w:color w:val="auto"/>
              </w:rPr>
            </w:pPr>
            <w:r>
              <w:rPr>
                <w:rFonts w:ascii="Courier New" w:cs="Courier New" w:eastAsia="Courier New" w:hAnsi="Courier New"/>
                <w:sz w:val="18"/>
                <w:szCs w:val="18"/>
                <w:color w:val="auto"/>
                <w:w w:val="98"/>
              </w:rPr>
              <w:t>Management's Discussion and Analysis of Financial Condition and</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63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Results of Operations</w:t>
            </w:r>
          </w:p>
        </w:tc>
        <w:tc>
          <w:tcPr>
            <w:tcW w:w="132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&amp; 8</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PART II. OTHER INFORMATION</w:t>
            </w:r>
          </w:p>
        </w:tc>
        <w:tc>
          <w:tcPr>
            <w:tcW w:w="13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 &amp; 10</w:t>
            </w:r>
          </w:p>
        </w:tc>
      </w:tr>
    </w:tbl>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8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NOVEMBER 29,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 30,</w:t>
            </w:r>
          </w:p>
        </w:tc>
      </w:tr>
      <w:tr>
        <w:trPr>
          <w:trHeight w:val="203"/>
        </w:trPr>
        <w:tc>
          <w:tcPr>
            <w:tcW w:w="58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ASSETS</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1160" w:type="dxa"/>
            <w:vAlign w:val="bottom"/>
          </w:tcPr>
          <w:p>
            <w:pPr>
              <w:spacing w:after="0"/>
              <w:rPr>
                <w:sz w:val="17"/>
                <w:szCs w:val="17"/>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$ 56,972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$ 32,130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($1,463 and $1,429, respectively)</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22,503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31,322</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($189 and $155, respectively)</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18,105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13,336</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53,329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53,584</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6,713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5,872</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4,917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4,917</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162,539</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141,161</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1,167</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38,563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42,455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66,499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66,142</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4,968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5,004</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111,197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114,768</w:t>
            </w:r>
          </w:p>
        </w:tc>
      </w:tr>
      <w:tr>
        <w:trPr>
          <w:trHeight w:val="203"/>
        </w:trPr>
        <w:tc>
          <w:tcPr>
            <w:tcW w:w="5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78,364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81,175</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32,833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33,593</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LONG-TERM NOTES RECEIVABLE, less allowances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($1,488 and $1,465, respectively)</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5,653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5,692</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INVESTMENT IN LIFE INSURANCE AND</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INVESTMENTS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18,773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17,641</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14,900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14,900</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487</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488</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$235,185</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$213,475</w:t>
            </w:r>
          </w:p>
        </w:tc>
      </w:tr>
      <w:tr>
        <w:trPr>
          <w:trHeight w:val="203"/>
        </w:trPr>
        <w:tc>
          <w:tcPr>
            <w:tcW w:w="58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ectPr>
          <w:pgSz w:w="11900" w:h="16838" w:orient="portrait"/>
          <w:cols w:equalWidth="0" w:num="1">
            <w:col w:w="10219"/>
          </w:cols>
          <w:pgMar w:left="240" w:top="919"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538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NOVEMBER 29,</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AUGUST 30,</w:t>
            </w: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2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695</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20,561</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20,471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14,203</w:t>
            </w:r>
          </w:p>
        </w:tc>
        <w:tc>
          <w:tcPr>
            <w:tcW w:w="2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3,360</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2,687</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3,953</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3,329</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Vacation liability</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3,352</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3,012</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3,339</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2,508</w:t>
            </w: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7,891</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8,524</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56,659</w:t>
            </w:r>
          </w:p>
        </w:tc>
        <w:tc>
          <w:tcPr>
            <w:tcW w:w="2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41,226</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49,260</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48,367</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12,930</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12,927</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23,152</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23,109</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97,517</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92,179</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133,599</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128,215</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4,333</w:t>
            </w:r>
          </w:p>
        </w:tc>
        <w:tc>
          <w:tcPr>
            <w:tcW w:w="2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4,333</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129,266</w:t>
            </w:r>
          </w:p>
        </w:tc>
        <w:tc>
          <w:tcPr>
            <w:tcW w:w="2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123,882</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$235,185</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$213,475</w:t>
            </w:r>
          </w:p>
        </w:tc>
      </w:tr>
      <w:tr>
        <w:trPr>
          <w:trHeight w:val="203"/>
        </w:trPr>
        <w:tc>
          <w:tcPr>
            <w:tcW w:w="538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ectPr>
          <w:pgSz w:w="11900" w:h="16838" w:orient="portrait"/>
          <w:cols w:equalWidth="0" w:num="1">
            <w:col w:w="10219"/>
          </w:cols>
          <w:pgMar w:left="240" w:top="919" w:right="1440" w:bottom="1440" w:gutter="0" w:footer="0" w:header="0"/>
        </w:sectPr>
      </w:pPr>
    </w:p>
    <w:bookmarkStart w:id="3" w:name="page4"/>
    <w:bookmarkEnd w:id="3"/>
    <w:p>
      <w:pPr>
        <w:ind w:right="1779" w:firstLine="2002"/>
        <w:spacing w:after="0" w:line="275" w:lineRule="auto"/>
        <w:rPr>
          <w:sz w:val="20"/>
          <w:szCs w:val="20"/>
          <w:color w:val="auto"/>
        </w:rPr>
      </w:pPr>
      <w:r>
        <w:rPr>
          <w:rFonts w:ascii="Courier New" w:cs="Courier New" w:eastAsia="Courier New" w:hAnsi="Courier New"/>
          <w:sz w:val="16"/>
          <w:szCs w:val="16"/>
          <w:color w:val="auto"/>
        </w:rPr>
        <w:t>WINNEBAGO INDUSTRIES, INC. AND SUBSIDIARIES UNAUDITED CONSOLIDATED STATEMENTS OF OPERATIONS ================================================================================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2780" w:type="dxa"/>
            <w:vAlign w:val="bottom"/>
            <w:gridSpan w:val="4"/>
          </w:tcPr>
          <w:p>
            <w:pPr>
              <w:ind w:left="360"/>
              <w:spacing w:after="0"/>
              <w:rPr>
                <w:sz w:val="20"/>
                <w:szCs w:val="20"/>
                <w:color w:val="auto"/>
              </w:rPr>
            </w:pPr>
            <w:r>
              <w:rPr>
                <w:rFonts w:ascii="Courier New" w:cs="Courier New" w:eastAsia="Courier New" w:hAnsi="Courier New"/>
                <w:sz w:val="18"/>
                <w:szCs w:val="18"/>
                <w:color w:val="auto"/>
              </w:rPr>
              <w:t>THIRTEEN WEEKS ENDED</w:t>
            </w:r>
          </w:p>
        </w:tc>
      </w:tr>
      <w:tr>
        <w:trPr>
          <w:trHeight w:val="203"/>
        </w:trPr>
        <w:tc>
          <w:tcPr>
            <w:tcW w:w="6280" w:type="dxa"/>
            <w:vAlign w:val="bottom"/>
          </w:tcPr>
          <w:p>
            <w:pPr>
              <w:spacing w:after="0"/>
              <w:rPr>
                <w:sz w:val="17"/>
                <w:szCs w:val="17"/>
                <w:color w:val="auto"/>
              </w:rPr>
            </w:pPr>
          </w:p>
        </w:tc>
        <w:tc>
          <w:tcPr>
            <w:tcW w:w="27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November 29,</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November 30,</w:t>
            </w:r>
          </w:p>
        </w:tc>
      </w:tr>
      <w:tr>
        <w:trPr>
          <w:trHeight w:val="203"/>
        </w:trPr>
        <w:tc>
          <w:tcPr>
            <w:tcW w:w="6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4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$125,896</w:t>
            </w: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$113,892</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107,473</w:t>
            </w:r>
          </w:p>
        </w:tc>
        <w:tc>
          <w:tcPr>
            <w:tcW w:w="36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98,813</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18,423</w:t>
            </w:r>
          </w:p>
        </w:tc>
        <w:tc>
          <w:tcPr>
            <w:tcW w:w="36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15,079</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and delivery</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5,729</w:t>
            </w:r>
          </w:p>
        </w:tc>
        <w:tc>
          <w:tcPr>
            <w:tcW w:w="36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6,338</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5,266</w:t>
            </w:r>
          </w:p>
        </w:tc>
        <w:tc>
          <w:tcPr>
            <w:tcW w:w="36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4,885</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10,995</w:t>
            </w:r>
          </w:p>
        </w:tc>
        <w:tc>
          <w:tcPr>
            <w:tcW w:w="36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11,223</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4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7,428</w:t>
            </w:r>
          </w:p>
        </w:tc>
        <w:tc>
          <w:tcPr>
            <w:tcW w:w="36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3,856</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4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613</w:t>
            </w:r>
          </w:p>
        </w:tc>
        <w:tc>
          <w:tcPr>
            <w:tcW w:w="36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369</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 before income taxes</w:t>
            </w:r>
          </w:p>
        </w:tc>
        <w:tc>
          <w:tcPr>
            <w:tcW w:w="4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8,041</w:t>
            </w:r>
          </w:p>
        </w:tc>
        <w:tc>
          <w:tcPr>
            <w:tcW w:w="36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4,225</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Provision for taxes</w:t>
            </w:r>
          </w:p>
        </w:tc>
        <w:tc>
          <w:tcPr>
            <w:tcW w:w="4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2,703</w:t>
            </w:r>
          </w:p>
        </w:tc>
        <w:tc>
          <w:tcPr>
            <w:tcW w:w="36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1,519</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w:t>
            </w:r>
          </w:p>
        </w:tc>
        <w:tc>
          <w:tcPr>
            <w:tcW w:w="4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5,338</w:t>
            </w:r>
          </w:p>
        </w:tc>
        <w:tc>
          <w:tcPr>
            <w:tcW w:w="36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2,706</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Discontinued operations: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from sale of discontinued Cycle-Sat subsidiary</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(includes a loss on operations of $160 net of applicable</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 credits of $123 and a gain on disposal of</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$16,632 net of income taxes of $13,462)</w:t>
            </w:r>
          </w:p>
        </w:tc>
        <w:tc>
          <w:tcPr>
            <w:tcW w:w="4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16,472</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5,338</w:t>
            </w:r>
          </w:p>
        </w:tc>
        <w:tc>
          <w:tcPr>
            <w:tcW w:w="1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$ 19,178</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Income per common share:</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6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from sale of discontinued Cycle-Sat subsidiary</w:t>
            </w:r>
          </w:p>
        </w:tc>
        <w:tc>
          <w:tcPr>
            <w:tcW w:w="4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.76</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25,481</w:t>
            </w:r>
          </w:p>
        </w:tc>
        <w:tc>
          <w:tcPr>
            <w:tcW w:w="36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25,379</w:t>
            </w:r>
          </w:p>
        </w:tc>
      </w:tr>
      <w:tr>
        <w:trPr>
          <w:trHeight w:val="203"/>
        </w:trPr>
        <w:tc>
          <w:tcPr>
            <w:tcW w:w="62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See Unaudited Condensed Notes to Consolidated Financial Statements. ================================================================================</w:t>
      </w:r>
    </w:p>
    <w:p>
      <w:pPr>
        <w:sectPr>
          <w:pgSz w:w="11900" w:h="16838" w:orient="portrait"/>
          <w:cols w:equalWidth="0" w:num="1">
            <w:col w:w="10219"/>
          </w:cols>
          <w:pgMar w:left="240" w:top="925" w:right="1440" w:bottom="1440"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cash and cash equivalents</w:t>
            </w:r>
          </w:p>
        </w:tc>
        <w:tc>
          <w:tcPr>
            <w:tcW w:w="2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THIRTEEN WEEKS ENDED</w:t>
            </w:r>
          </w:p>
        </w:tc>
      </w:tr>
      <w:tr>
        <w:trPr>
          <w:trHeight w:val="203"/>
        </w:trPr>
        <w:tc>
          <w:tcPr>
            <w:tcW w:w="6960" w:type="dxa"/>
            <w:vAlign w:val="bottom"/>
          </w:tcPr>
          <w:p>
            <w:pPr>
              <w:spacing w:after="0"/>
              <w:rPr>
                <w:sz w:val="17"/>
                <w:szCs w:val="17"/>
                <w:color w:val="auto"/>
              </w:rPr>
            </w:pP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rPr>
                <w:sz w:val="17"/>
                <w:szCs w:val="17"/>
                <w:color w:val="auto"/>
              </w:rPr>
            </w:pP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November 29, November 30,</w:t>
            </w:r>
          </w:p>
        </w:tc>
      </w:tr>
      <w:tr>
        <w:trPr>
          <w:trHeight w:val="203"/>
        </w:trPr>
        <w:tc>
          <w:tcPr>
            <w:tcW w:w="69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9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5,338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$ 19,178</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to net cash from operating activities:</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Pre-tax gain on sale of Cycle-Sat subsidiary</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(29,811)</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1,369</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1,665</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Realized and unrealized gains on investments, net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trading securities</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3,707</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accounts receivable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7,987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(960)</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inventories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255</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11,824</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accounts payable and accrued expenses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16,128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11,661</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915</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339</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(2,194)</w:t>
            </w:r>
          </w:p>
        </w:tc>
      </w:tr>
      <w:tr>
        <w:trPr>
          <w:trHeight w:val="203"/>
        </w:trPr>
        <w:tc>
          <w:tcPr>
            <w:tcW w:w="69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32,052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15,177</w:t>
            </w:r>
          </w:p>
        </w:tc>
      </w:tr>
      <w:tr>
        <w:trPr>
          <w:trHeight w:val="203"/>
        </w:trPr>
        <w:tc>
          <w:tcPr>
            <w:tcW w:w="69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Cash flows provided (used) by investing activities:</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proceeds from the sale of Cycle-Sat subsidiary*</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55,883</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marketable securities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(813)</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(1,106)</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(13,899)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(9,128)</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 of dealer receivables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9,096</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9,807</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69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provided by investing activities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(6,561)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55,384</w:t>
            </w:r>
          </w:p>
        </w:tc>
      </w:tr>
      <w:tr>
        <w:trPr>
          <w:trHeight w:val="203"/>
        </w:trPr>
        <w:tc>
          <w:tcPr>
            <w:tcW w:w="69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w w:val="98"/>
              </w:rPr>
              <w:t>Cash flows used by financing activities and capital transactions:</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long-term debt of discontinued operation</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(13,220)</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 long-term debt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(1,779)</w:t>
            </w: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261</w:t>
            </w:r>
          </w:p>
        </w:tc>
      </w:tr>
      <w:tr>
        <w:trPr>
          <w:trHeight w:val="203"/>
        </w:trPr>
        <w:tc>
          <w:tcPr>
            <w:tcW w:w="69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financing activities and</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(14,738)</w:t>
            </w:r>
          </w:p>
        </w:tc>
      </w:tr>
      <w:tr>
        <w:trPr>
          <w:trHeight w:val="203"/>
        </w:trPr>
        <w:tc>
          <w:tcPr>
            <w:tcW w:w="69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24,842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55,823</w:t>
            </w: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32,130</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797</w:t>
            </w:r>
          </w:p>
        </w:tc>
      </w:tr>
      <w:tr>
        <w:trPr>
          <w:trHeight w:val="203"/>
        </w:trPr>
        <w:tc>
          <w:tcPr>
            <w:tcW w:w="69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 end of period</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$ 56,972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$ 56,620</w:t>
            </w:r>
          </w:p>
        </w:tc>
      </w:tr>
      <w:tr>
        <w:trPr>
          <w:trHeight w:val="203"/>
        </w:trPr>
        <w:tc>
          <w:tcPr>
            <w:tcW w:w="69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473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$7,590 paid to the minority shareholders subsequent to November 30,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ectPr>
          <w:pgSz w:w="11900" w:h="16838" w:orient="portrait"/>
          <w:cols w:equalWidth="0" w:num="1">
            <w:col w:w="10219"/>
          </w:cols>
          <w:pgMar w:left="240" w:top="919" w:right="1440" w:bottom="1440" w:gutter="0" w:footer="0" w:header="0"/>
        </w:sectPr>
      </w:pPr>
    </w:p>
    <w:bookmarkStart w:id="5" w:name="page6"/>
    <w:bookmarkEnd w:id="5"/>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ind w:left="960"/>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7" w:lineRule="exact"/>
        <w:rPr>
          <w:sz w:val="20"/>
          <w:szCs w:val="20"/>
          <w:color w:val="auto"/>
        </w:rPr>
      </w:pPr>
    </w:p>
    <w:p>
      <w:pPr>
        <w:ind w:left="740" w:right="1779" w:hanging="732"/>
        <w:spacing w:after="0" w:line="23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management, the accompanying unaudited consolidated condensed financial statements contain all adjustments, consisting of normal recurring accruals, necessary to present fairly the consolidated financial position as of November 29, 1997, the consolidated results of operations for the 13 weeks ended November 29, 1997 and November 30, 1996, and the consolidated cash flows for the 13 weeks ended November 29, 1997 and November 30, 1996. The results of operations for the 13 weeks ended November 29, 1997, are not necessarily indicative of the results to be expected for the full year.</w:t>
      </w:r>
    </w:p>
    <w:p>
      <w:pPr>
        <w:spacing w:after="0" w:line="213" w:lineRule="exact"/>
        <w:rPr>
          <w:rFonts w:ascii="Courier New" w:cs="Courier New" w:eastAsia="Courier New" w:hAnsi="Courier New"/>
          <w:sz w:val="18"/>
          <w:szCs w:val="18"/>
          <w:color w:val="auto"/>
        </w:rPr>
      </w:pPr>
    </w:p>
    <w:p>
      <w:pPr>
        <w:ind w:left="740" w:right="1879" w:hanging="732"/>
        <w:spacing w:after="0" w:line="236"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November 29,</w:t>
            </w:r>
          </w:p>
        </w:tc>
        <w:tc>
          <w:tcPr>
            <w:tcW w:w="380" w:type="dxa"/>
            <w:vAlign w:val="bottom"/>
          </w:tcPr>
          <w:p>
            <w:pPr>
              <w:spacing w:after="0"/>
              <w:rPr>
                <w:sz w:val="17"/>
                <w:szCs w:val="17"/>
                <w:color w:val="auto"/>
              </w:rPr>
            </w:pP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August 30,</w:t>
            </w:r>
          </w:p>
        </w:tc>
      </w:tr>
      <w:tr>
        <w:trPr>
          <w:trHeight w:val="203"/>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1997</w:t>
            </w:r>
          </w:p>
        </w:tc>
        <w:tc>
          <w:tcPr>
            <w:tcW w:w="38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3000" w:type="dxa"/>
            <w:vAlign w:val="bottom"/>
          </w:tcPr>
          <w:p>
            <w:pPr>
              <w:spacing w:after="0"/>
              <w:rPr>
                <w:sz w:val="17"/>
                <w:szCs w:val="17"/>
                <w:color w:val="auto"/>
              </w:rPr>
            </w:pPr>
          </w:p>
        </w:tc>
        <w:tc>
          <w:tcPr>
            <w:tcW w:w="2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26,681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27,577</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38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14,757</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13,842</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38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29,887</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29,907</w:t>
            </w:r>
          </w:p>
        </w:tc>
      </w:tr>
      <w:tr>
        <w:trPr>
          <w:trHeight w:val="203"/>
        </w:trPr>
        <w:tc>
          <w:tcPr>
            <w:tcW w:w="3000" w:type="dxa"/>
            <w:vAlign w:val="bottom"/>
          </w:tcPr>
          <w:p>
            <w:pPr>
              <w:spacing w:after="0"/>
              <w:rPr>
                <w:sz w:val="17"/>
                <w:szCs w:val="17"/>
                <w:color w:val="auto"/>
              </w:rPr>
            </w:pPr>
          </w:p>
        </w:tc>
        <w:tc>
          <w:tcPr>
            <w:tcW w:w="2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71,325</w:t>
            </w:r>
          </w:p>
        </w:tc>
        <w:tc>
          <w:tcPr>
            <w:tcW w:w="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71,326</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reserve..............</w:t>
            </w:r>
          </w:p>
        </w:tc>
        <w:tc>
          <w:tcPr>
            <w:tcW w:w="38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(17,996)</w:t>
            </w: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(17,742)</w:t>
            </w:r>
          </w:p>
        </w:tc>
      </w:tr>
      <w:tr>
        <w:trPr>
          <w:trHeight w:val="203"/>
        </w:trPr>
        <w:tc>
          <w:tcPr>
            <w:tcW w:w="3000" w:type="dxa"/>
            <w:vAlign w:val="bottom"/>
          </w:tcPr>
          <w:p>
            <w:pPr>
              <w:spacing w:after="0"/>
              <w:rPr>
                <w:sz w:val="17"/>
                <w:szCs w:val="17"/>
                <w:color w:val="auto"/>
              </w:rPr>
            </w:pPr>
          </w:p>
        </w:tc>
        <w:tc>
          <w:tcPr>
            <w:tcW w:w="2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0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53,329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53,584</w:t>
            </w:r>
          </w:p>
        </w:tc>
      </w:tr>
      <w:tr>
        <w:trPr>
          <w:trHeight w:val="203"/>
        </w:trPr>
        <w:tc>
          <w:tcPr>
            <w:tcW w:w="3000" w:type="dxa"/>
            <w:vAlign w:val="bottom"/>
          </w:tcPr>
          <w:p>
            <w:pPr>
              <w:spacing w:after="0"/>
              <w:rPr>
                <w:sz w:val="17"/>
                <w:szCs w:val="17"/>
                <w:color w:val="auto"/>
              </w:rPr>
            </w:pPr>
          </w:p>
        </w:tc>
        <w:tc>
          <w:tcPr>
            <w:tcW w:w="2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740" w:right="1779" w:hanging="732"/>
        <w:spacing w:after="0" w:line="268"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March 1992, the Company has had a financing and security agreement with NationsCredit Corporation (NationsCredit).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through March 31, 1998, and continues during successive one-year periods unless either party provides at least</w:t>
      </w:r>
    </w:p>
    <w:p>
      <w:pPr>
        <w:spacing w:after="0" w:line="1" w:lineRule="exact"/>
        <w:rPr>
          <w:rFonts w:ascii="Courier New" w:cs="Courier New" w:eastAsia="Courier New" w:hAnsi="Courier New"/>
          <w:sz w:val="16"/>
          <w:szCs w:val="16"/>
          <w:color w:val="auto"/>
        </w:rPr>
      </w:pPr>
    </w:p>
    <w:p>
      <w:pPr>
        <w:ind w:left="7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90-days' notice prior to the end of the one-year period to the other party that they wish to terminate the line of credit. The agreement also contains certain restrictive covenants including maintenance of minimum net worth, working capital and current ratio. As of November 29, 1997, the Company was in compliance with these covenants. There were no outstanding borrowings under the line of credit at November 29, 1997 or August 30, 1997.</w:t>
      </w:r>
    </w:p>
    <w:p>
      <w:pPr>
        <w:spacing w:after="0" w:line="211" w:lineRule="exact"/>
        <w:rPr>
          <w:rFonts w:ascii="Courier New" w:cs="Courier New" w:eastAsia="Courier New" w:hAnsi="Courier New"/>
          <w:sz w:val="16"/>
          <w:szCs w:val="16"/>
          <w:color w:val="auto"/>
        </w:rPr>
      </w:pPr>
    </w:p>
    <w:p>
      <w:pPr>
        <w:ind w:left="740" w:right="1779" w:hanging="732"/>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$133,017,000 and $115,637,000 under repurchase agreements with lending institutions as of November 29, 1997 and August 30, 1997, respectively. Included in these contingent liabilities as of November 29, 1997 and August 30, 1997 are approximately $24,577,000 and $24,868,000, respectively, of certain dealer receivables subject to recourse agreements with NationsCredit and Green Tree Financial Corporation.</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periods indicated, the Company paid cash for the following</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(dollars in thousands):</w:t>
      </w:r>
    </w:p>
    <w:p>
      <w:pPr>
        <w:sectPr>
          <w:pgSz w:w="11900" w:h="16838" w:orient="portrait"/>
          <w:cols w:equalWidth="0" w:num="1">
            <w:col w:w="10219"/>
          </w:cols>
          <w:pgMar w:left="240" w:top="919" w:right="1440" w:bottom="5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Interest</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Income taxes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THIRTEEN WEEKS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2720" w:val="left"/>
        </w:tabs>
        <w:rPr>
          <w:sz w:val="20"/>
          <w:szCs w:val="20"/>
          <w:color w:val="auto"/>
        </w:rPr>
      </w:pPr>
      <w:r>
        <w:rPr>
          <w:rFonts w:ascii="Courier New" w:cs="Courier New" w:eastAsia="Courier New" w:hAnsi="Courier New"/>
          <w:sz w:val="18"/>
          <w:szCs w:val="18"/>
          <w:color w:val="auto"/>
        </w:rPr>
        <w:t>November 29,</w:t>
      </w:r>
      <w:r>
        <w:rPr>
          <w:sz w:val="20"/>
          <w:szCs w:val="20"/>
          <w:color w:val="auto"/>
        </w:rPr>
        <w:tab/>
      </w:r>
      <w:r>
        <w:rPr>
          <w:rFonts w:ascii="Courier New" w:cs="Courier New" w:eastAsia="Courier New" w:hAnsi="Courier New"/>
          <w:sz w:val="16"/>
          <w:szCs w:val="16"/>
          <w:color w:val="auto"/>
        </w:rPr>
        <w:t>November 30,</w:t>
      </w:r>
    </w:p>
    <w:p>
      <w:pPr>
        <w:ind w:left="640"/>
        <w:spacing w:after="0" w:line="238" w:lineRule="auto"/>
        <w:tabs>
          <w:tab w:leader="none" w:pos="314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1996</w:t>
      </w:r>
    </w:p>
    <w:p>
      <w:pPr>
        <w:spacing w:after="0" w:line="5"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460" w:val="left"/>
          <w:tab w:leader="none" w:pos="2720" w:val="left"/>
          <w:tab w:leader="none" w:pos="3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186</w:t>
      </w:r>
    </w:p>
    <w:p>
      <w:pPr>
        <w:ind w:left="1580"/>
        <w:spacing w:after="0" w:line="238" w:lineRule="auto"/>
        <w:tabs>
          <w:tab w:leader="none" w:pos="3980" w:val="left"/>
        </w:tabs>
        <w:rPr>
          <w:sz w:val="20"/>
          <w:szCs w:val="20"/>
          <w:color w:val="auto"/>
        </w:rPr>
      </w:pP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8"/>
          <w:szCs w:val="18"/>
          <w:color w:val="auto"/>
        </w:rPr>
        <w:t>4</w:t>
      </w:r>
    </w:p>
    <w:p>
      <w:pPr>
        <w:sectPr>
          <w:pgSz w:w="11900" w:h="16838" w:orient="portrait"/>
          <w:cols w:equalWidth="0" w:num="2">
            <w:col w:w="2020" w:space="720"/>
            <w:col w:w="7479"/>
          </w:cols>
          <w:pgMar w:left="240" w:top="919" w:right="1440" w:bottom="565" w:gutter="0" w:footer="0" w:header="0"/>
          <w:type w:val="continuous"/>
        </w:sectPr>
      </w:pPr>
    </w:p>
    <w:bookmarkStart w:id="6" w:name="page7"/>
    <w:bookmarkEnd w:id="6"/>
    <w:p>
      <w:pPr>
        <w:ind w:left="732" w:right="2319" w:hanging="732"/>
        <w:spacing w:after="0" w:line="237" w:lineRule="auto"/>
        <w:tabs>
          <w:tab w:leader="none" w:pos="7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December 29, 1997, the Company repurchased 1,920,600 shares of Common Stock from the Estate of John K. Hanson. The shares were repurchased for an aggregate purchase price of $17,000,000 ($8.85125 per share).</w:t>
      </w:r>
    </w:p>
    <w:p>
      <w:pPr>
        <w:sectPr>
          <w:pgSz w:w="11900" w:h="16838" w:orient="portrait"/>
          <w:cols w:equalWidth="0" w:num="1">
            <w:col w:w="10211"/>
          </w:cols>
          <w:pgMar w:left="248" w:top="925" w:right="1440" w:bottom="1440" w:gutter="0" w:footer="0" w:header="0"/>
        </w:sectPr>
      </w:pPr>
    </w:p>
    <w:bookmarkStart w:id="7" w:name="page8"/>
    <w:bookmarkEnd w:id="7"/>
    <w:p>
      <w:pPr>
        <w:ind w:left="740" w:right="199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Thirteen weeks ended November 29, 1997 compared to thirteen weeks ended November 30, 1996</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revenues for the 13 weeks ended November 29, 1997 were $125,896,000, an increase of $12,004,000, or 10.5 percent from the 13 week period ended November 30, 1996. Motor home shipments (Class A and C) were 2,062 units, an increase of 104 units, or 5.3 percent, during the first quarter of fiscal 1998 compared to the first quarter of fiscal 1997. Revenues increased by a larger percentage than unit sales in the first quarter of fiscal 1998 due to increased sales of higher priced Class A motor homes. The Company is encouraged by dealer reception to its 1998 products. Taking into account the order backlog the Company has on hand at this time, the Company is experiencing one of the best new product launches in its history.</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profit, as a percent of net revenues, was 14.6 percent for the 13 weeks ended November 29, 1997 compared to 13.2 percent for the 13 weeks ended November 30, 1996. This increase can be attributed primarily to the motor home product mix change experienced during the first quarter of 1998 compared to the first quarter of fiscal 1997.</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and delivery expenses were $5,729,000 or 4.6 percent of net revenues during the first quarter of fiscal 1998 compared to $6,338,000 or 5.6 percent of net revenues during the first quarter of fiscal 1997. The decrease in dollars and percentage can be attributed primarily to the Company's decision to sell its wholly owned subsidiary and European distributor, Winnebago Industries Europe, GmbH (WIE) during fiscal 1997. Also contributing to the decreases were lower advertising expenses. Increased sales volume contributed to the decrease in percentage.</w:t>
      </w:r>
    </w:p>
    <w:p>
      <w:pPr>
        <w:spacing w:after="0" w:line="212"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General and administrative expenses increased by $381,000 to $5,266,000 comparing the 13 weeks ended November 29, 1997 to the 13 weeks ended November 30, 1996 but decreased as a percentage of net revenues to 4.2 percent from 4.3 percent. The increase in dollars was caused primarily by an increase in the Company's product liability costs during fiscal 1998 offset partially by the elimination of WIE general and administrative costs due to the sale in fiscal 1997. The reduction in percentage was caused by the increased sales volume.</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had net financial income of $613,000 for the first quarter of fiscal 1998 compared to net financial income of $369,000 for the comparable quarter of fiscal 1997. During the 13 weeks ended November 29, 1997, the Company recorded $660,000 of interest income and $47,000 of losses in foreign currency transactions. During the 13 weeks ended November 30, 1996, the Company recorded $309,000 of interest income, $121,000 of realized and unrealized gains in its trading securities portfolio and $61,000 of losses in foreign currency transactions.</w:t>
      </w:r>
    </w:p>
    <w:p>
      <w:pPr>
        <w:spacing w:after="0" w:line="21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For the 13 weeks ended November 29, 1997, the Company had income from continuing operations before taxes of $8,041,000 and a provision for taxes of $2,703,000 resulting in income from continuing operations of $5,338,000 or $.21 per share. For the 13 weeks ended November 30, 1996, the Company had income from continuing operations before taxes of $4,225,000 and a provision for taxes of $1,519,000 resulting in income from continuing operations of $2,706,000 or $.11 per share.</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For the 13 weeks ended November 30, 1996, the Company recorded a gain from the sale of the discontinued Cycle-Sat subsidiary of $16,472,000 (net of income taxes of $13,462,000), or $.65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13 weeks ended November 30, 1997, the Company had net income of</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$5,338,000, or $.21 per share, compared to $19,178,000, or $.76 per share for the 13 weeks ended November 29, 1996.</w:t>
      </w:r>
    </w:p>
    <w:p>
      <w:pPr>
        <w:sectPr>
          <w:pgSz w:w="11900" w:h="16838" w:orient="portrait"/>
          <w:cols w:equalWidth="0" w:num="1">
            <w:col w:w="10219"/>
          </w:cols>
          <w:pgMar w:left="240" w:top="92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meets its working capital and capital equipment requirements and cash requirements of subsidiaries with funds generated internally and funds from agreements with financial institutions.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November 29, 1997, working capital was $105,880,000, an increase of</w:t>
      </w:r>
    </w:p>
    <w:p>
      <w:pPr>
        <w:spacing w:after="0" w:line="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$5,945,000 from the amount at August 30, 1997. The Company's principal sources and uses of cash during the 13 weeks ended November 29, 1997 are set forth in the unaudited consolidated condensed statement of cash flows for that period.</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Principal known demands at November 29, 1997 on the Company's liquid assets for the remainder of fiscal 1998 include approximately $3,600,000 of capital expenditures (primarily equipment replacement) and $2,500,000 of cash dividends declared by the Board of Directors on October 16, 1997 (paid January 5, 1998). Subsequent to the first quarter of fiscal 1998, the Company's Board of Directors authorized the repurchase of outstanding shares of the Company's Common Stock for an aggregate purchase price of up to $36,500,000; $17,000,000 was applied to the purchase of 1,920,600 shares of Common Stock from the Estate of John K. Hanson on December 29, 1997. The remaining $19,500,000 may be used by the Company to make open-market purchases of its Common Stock from time to time over the next 18 months.</w:t>
      </w:r>
    </w:p>
    <w:p>
      <w:pPr>
        <w:spacing w:after="0" w:line="21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Management currently expects its cash on hand, funds from operations and borrowings available under existing credit facilities to be sufficient to cover both short-term and long-term operating requirements.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Statement of Financial Accounting Standards ("SFAS") No. 128, "Earnings per Share," was issued in February, 1997 and will be adopted by the Company in the second quarter of fiscal 1998. The adoption of SFAS No. 128 is not expected to have a significant impact on the calculation of earnings per share.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demand from customers, effects of competition, the general state of the economy, interest rates, consumer confidence, changes in the product or customer mix or revenues and in the level of operating expenses and other factors which may be disclosed throughout this Form 10-Q.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11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413"/>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exhibits are being filed as a part of this report.</w:t>
      </w:r>
    </w:p>
    <w:p>
      <w:pPr>
        <w:spacing w:after="0" w:line="206" w:lineRule="exact"/>
        <w:rPr>
          <w:rFonts w:ascii="Courier New" w:cs="Courier New" w:eastAsia="Courier New" w:hAnsi="Courier New"/>
          <w:sz w:val="18"/>
          <w:szCs w:val="18"/>
          <w:color w:val="auto"/>
        </w:rPr>
      </w:pPr>
    </w:p>
    <w:p>
      <w:pPr>
        <w:ind w:left="1580" w:right="2419" w:hanging="413"/>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ectPr>
          <w:pgSz w:w="11900" w:h="16838" w:orient="portrait"/>
          <w:cols w:equalWidth="0" w:num="1">
            <w:col w:w="10219"/>
          </w:cols>
          <w:pgMar w:left="240" w:top="919" w:right="1440" w:bottom="1440" w:gutter="0" w:footer="0" w:header="0"/>
        </w:sectPr>
      </w:pPr>
    </w:p>
    <w:bookmarkStart w:id="10" w:name="page11"/>
    <w:bookmarkEnd w:id="10"/>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January 8,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Fred G. Dohrmann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Fred G. Dohrmann</w:t>
      </w:r>
    </w:p>
    <w:p>
      <w:pPr>
        <w:spacing w:after="0" w:line="238" w:lineRule="auto"/>
        <w:rPr>
          <w:sz w:val="20"/>
          <w:szCs w:val="20"/>
          <w:color w:val="auto"/>
        </w:rPr>
      </w:pPr>
      <w:r>
        <w:rPr>
          <w:rFonts w:ascii="Courier New" w:cs="Courier New" w:eastAsia="Courier New" w:hAnsi="Courier New"/>
          <w:sz w:val="18"/>
          <w:szCs w:val="18"/>
          <w:color w:val="auto"/>
        </w:rPr>
        <w:t>Chairman of the Board and Chief</w:t>
      </w:r>
    </w:p>
    <w:p>
      <w:pPr>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ectPr>
          <w:pgSz w:w="11900" w:h="16838" w:orient="portrait"/>
          <w:cols w:equalWidth="0" w:num="3">
            <w:col w:w="420" w:space="0"/>
            <w:col w:w="3080" w:space="720"/>
            <w:col w:w="5999"/>
          </w:cols>
          <w:pgMar w:left="240" w:top="91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January 8,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Chief Financial Officer</w:t>
      </w:r>
    </w:p>
    <w:p>
      <w:pPr>
        <w:sectPr>
          <w:pgSz w:w="11900" w:h="16838" w:orient="portrait"/>
          <w:cols w:equalWidth="0" w:num="3">
            <w:col w:w="420" w:space="0"/>
            <w:col w:w="3080" w:space="720"/>
            <w:col w:w="5999"/>
          </w:cols>
          <w:pgMar w:left="240" w:top="919"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AUG-29-1998</w:t>
      </w:r>
    </w:p>
    <w:p>
      <w:pPr>
        <w:ind w:left="3160"/>
        <w:spacing w:after="0"/>
        <w:rPr>
          <w:sz w:val="20"/>
          <w:szCs w:val="20"/>
          <w:color w:val="auto"/>
        </w:rPr>
      </w:pPr>
      <w:r>
        <w:rPr>
          <w:rFonts w:ascii="Courier New" w:cs="Courier New" w:eastAsia="Courier New" w:hAnsi="Courier New"/>
          <w:sz w:val="18"/>
          <w:szCs w:val="18"/>
          <w:color w:val="auto"/>
        </w:rPr>
        <w:t>NOV-29-1997</w:t>
      </w:r>
    </w:p>
    <w:p>
      <w:pPr>
        <w:ind w:left="4320"/>
        <w:spacing w:after="0" w:line="237" w:lineRule="auto"/>
        <w:rPr>
          <w:sz w:val="20"/>
          <w:szCs w:val="20"/>
          <w:color w:val="auto"/>
        </w:rPr>
      </w:pPr>
      <w:r>
        <w:rPr>
          <w:rFonts w:ascii="Courier New" w:cs="Courier New" w:eastAsia="Courier New" w:hAnsi="Courier New"/>
          <w:sz w:val="18"/>
          <w:szCs w:val="18"/>
          <w:color w:val="auto"/>
        </w:rPr>
        <w:t>56,972</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42,260</w:t>
      </w:r>
    </w:p>
    <w:p>
      <w:pPr>
        <w:ind w:left="3780"/>
        <w:spacing w:after="0" w:line="237" w:lineRule="auto"/>
        <w:rPr>
          <w:sz w:val="20"/>
          <w:szCs w:val="20"/>
          <w:color w:val="auto"/>
        </w:rPr>
      </w:pPr>
      <w:r>
        <w:rPr>
          <w:rFonts w:ascii="Courier New" w:cs="Courier New" w:eastAsia="Courier New" w:hAnsi="Courier New"/>
          <w:sz w:val="18"/>
          <w:szCs w:val="18"/>
          <w:color w:val="auto"/>
        </w:rPr>
        <w:t>1,652</w:t>
      </w:r>
    </w:p>
    <w:p>
      <w:pPr>
        <w:ind w:left="3780"/>
        <w:spacing w:after="0"/>
        <w:rPr>
          <w:sz w:val="20"/>
          <w:szCs w:val="20"/>
          <w:color w:val="auto"/>
        </w:rPr>
      </w:pPr>
      <w:r>
        <w:rPr>
          <w:rFonts w:ascii="Courier New" w:cs="Courier New" w:eastAsia="Courier New" w:hAnsi="Courier New"/>
          <w:sz w:val="18"/>
          <w:szCs w:val="18"/>
          <w:color w:val="auto"/>
        </w:rPr>
        <w:t>53,329</w:t>
      </w:r>
    </w:p>
    <w:p>
      <w:pPr>
        <w:ind w:left="3160"/>
        <w:spacing w:after="0" w:line="237" w:lineRule="auto"/>
        <w:rPr>
          <w:sz w:val="20"/>
          <w:szCs w:val="20"/>
          <w:color w:val="auto"/>
        </w:rPr>
      </w:pPr>
      <w:r>
        <w:rPr>
          <w:rFonts w:ascii="Courier New" w:cs="Courier New" w:eastAsia="Courier New" w:hAnsi="Courier New"/>
          <w:sz w:val="18"/>
          <w:szCs w:val="18"/>
          <w:color w:val="auto"/>
        </w:rPr>
        <w:t>162,539</w:t>
      </w:r>
    </w:p>
    <w:p>
      <w:pPr>
        <w:ind w:left="4200"/>
        <w:spacing w:after="0"/>
        <w:rPr>
          <w:sz w:val="20"/>
          <w:szCs w:val="20"/>
          <w:color w:val="auto"/>
        </w:rPr>
      </w:pPr>
      <w:r>
        <w:rPr>
          <w:rFonts w:ascii="Courier New" w:cs="Courier New" w:eastAsia="Courier New" w:hAnsi="Courier New"/>
          <w:sz w:val="18"/>
          <w:szCs w:val="18"/>
          <w:color w:val="auto"/>
        </w:rPr>
        <w:t>111,197</w:t>
      </w:r>
    </w:p>
    <w:p>
      <w:pPr>
        <w:ind w:left="3460"/>
        <w:spacing w:after="0" w:line="237" w:lineRule="auto"/>
        <w:rPr>
          <w:sz w:val="20"/>
          <w:szCs w:val="20"/>
          <w:color w:val="auto"/>
        </w:rPr>
      </w:pPr>
      <w:r>
        <w:rPr>
          <w:rFonts w:ascii="Courier New" w:cs="Courier New" w:eastAsia="Courier New" w:hAnsi="Courier New"/>
          <w:sz w:val="18"/>
          <w:szCs w:val="18"/>
          <w:color w:val="auto"/>
        </w:rPr>
        <w:t>78,364</w:t>
      </w:r>
    </w:p>
    <w:p>
      <w:pPr>
        <w:ind w:left="3360"/>
        <w:spacing w:after="0" w:line="238" w:lineRule="auto"/>
        <w:rPr>
          <w:sz w:val="20"/>
          <w:szCs w:val="20"/>
          <w:color w:val="auto"/>
        </w:rPr>
      </w:pPr>
      <w:r>
        <w:rPr>
          <w:rFonts w:ascii="Courier New" w:cs="Courier New" w:eastAsia="Courier New" w:hAnsi="Courier New"/>
          <w:sz w:val="18"/>
          <w:szCs w:val="18"/>
          <w:color w:val="auto"/>
        </w:rPr>
        <w:t>235,185</w:t>
      </w:r>
    </w:p>
    <w:p>
      <w:pPr>
        <w:ind w:left="2740"/>
        <w:spacing w:after="0"/>
        <w:rPr>
          <w:sz w:val="20"/>
          <w:szCs w:val="20"/>
          <w:color w:val="auto"/>
        </w:rPr>
      </w:pPr>
      <w:r>
        <w:rPr>
          <w:rFonts w:ascii="Courier New" w:cs="Courier New" w:eastAsia="Courier New" w:hAnsi="Courier New"/>
          <w:sz w:val="18"/>
          <w:szCs w:val="18"/>
          <w:color w:val="auto"/>
        </w:rPr>
        <w:t>56,659</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12,930</w:t>
      </w:r>
    </w:p>
    <w:p>
      <w:pPr>
        <w:ind w:left="3780"/>
        <w:spacing w:after="0" w:line="237" w:lineRule="auto"/>
        <w:rPr>
          <w:sz w:val="20"/>
          <w:szCs w:val="20"/>
          <w:color w:val="auto"/>
        </w:rPr>
      </w:pPr>
      <w:r>
        <w:rPr>
          <w:rFonts w:ascii="Courier New" w:cs="Courier New" w:eastAsia="Courier New" w:hAnsi="Courier New"/>
          <w:sz w:val="18"/>
          <w:szCs w:val="18"/>
          <w:color w:val="auto"/>
        </w:rPr>
        <w:t>116,336</w:t>
      </w:r>
    </w:p>
    <w:p>
      <w:pPr>
        <w:ind w:left="1880"/>
        <w:spacing w:after="0" w:line="238" w:lineRule="auto"/>
        <w:rPr>
          <w:sz w:val="20"/>
          <w:szCs w:val="20"/>
          <w:color w:val="auto"/>
        </w:rPr>
      </w:pPr>
      <w:r>
        <w:rPr>
          <w:rFonts w:ascii="Courier New" w:cs="Courier New" w:eastAsia="Courier New" w:hAnsi="Courier New"/>
          <w:sz w:val="18"/>
          <w:szCs w:val="18"/>
          <w:color w:val="auto"/>
        </w:rPr>
        <w:t>235,185</w:t>
      </w:r>
    </w:p>
    <w:p>
      <w:pPr>
        <w:ind w:left="4100"/>
        <w:spacing w:after="0"/>
        <w:rPr>
          <w:sz w:val="20"/>
          <w:szCs w:val="20"/>
          <w:color w:val="auto"/>
        </w:rPr>
      </w:pPr>
      <w:r>
        <w:rPr>
          <w:rFonts w:ascii="Courier New" w:cs="Courier New" w:eastAsia="Courier New" w:hAnsi="Courier New"/>
          <w:sz w:val="18"/>
          <w:szCs w:val="18"/>
          <w:color w:val="auto"/>
        </w:rPr>
        <w:t>125,896</w:t>
      </w:r>
    </w:p>
    <w:p>
      <w:pPr>
        <w:ind w:left="3160"/>
        <w:spacing w:after="0" w:line="237" w:lineRule="auto"/>
        <w:rPr>
          <w:sz w:val="20"/>
          <w:szCs w:val="20"/>
          <w:color w:val="auto"/>
        </w:rPr>
      </w:pPr>
      <w:r>
        <w:rPr>
          <w:rFonts w:ascii="Courier New" w:cs="Courier New" w:eastAsia="Courier New" w:hAnsi="Courier New"/>
          <w:sz w:val="18"/>
          <w:szCs w:val="18"/>
          <w:color w:val="auto"/>
        </w:rPr>
        <w:t>125,896</w:t>
      </w:r>
    </w:p>
    <w:p>
      <w:pPr>
        <w:jc w:val="right"/>
        <w:ind w:right="5059"/>
        <w:spacing w:after="0"/>
        <w:rPr>
          <w:sz w:val="20"/>
          <w:szCs w:val="20"/>
          <w:color w:val="auto"/>
        </w:rPr>
      </w:pPr>
      <w:r>
        <w:rPr>
          <w:rFonts w:ascii="Courier New" w:cs="Courier New" w:eastAsia="Courier New" w:hAnsi="Courier New"/>
          <w:sz w:val="18"/>
          <w:szCs w:val="18"/>
          <w:color w:val="auto"/>
        </w:rPr>
        <w:t>107,473</w:t>
      </w:r>
    </w:p>
    <w:p>
      <w:pPr>
        <w:ind w:left="3460"/>
        <w:spacing w:after="0" w:line="237" w:lineRule="auto"/>
        <w:rPr>
          <w:sz w:val="20"/>
          <w:szCs w:val="20"/>
          <w:color w:val="auto"/>
        </w:rPr>
      </w:pPr>
      <w:r>
        <w:rPr>
          <w:rFonts w:ascii="Courier New" w:cs="Courier New" w:eastAsia="Courier New" w:hAnsi="Courier New"/>
          <w:sz w:val="18"/>
          <w:szCs w:val="18"/>
          <w:color w:val="auto"/>
        </w:rPr>
        <w:t>107,473</w:t>
      </w:r>
    </w:p>
    <w:p>
      <w:pPr>
        <w:ind w:left="3260"/>
        <w:spacing w:after="0"/>
        <w:rPr>
          <w:sz w:val="20"/>
          <w:szCs w:val="20"/>
          <w:color w:val="auto"/>
        </w:rPr>
      </w:pPr>
      <w:r>
        <w:rPr>
          <w:rFonts w:ascii="Courier New" w:cs="Courier New" w:eastAsia="Courier New" w:hAnsi="Courier New"/>
          <w:sz w:val="18"/>
          <w:szCs w:val="18"/>
          <w:color w:val="auto"/>
        </w:rPr>
        <w:t>10,995</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(613)</w:t>
      </w:r>
    </w:p>
    <w:p>
      <w:pPr>
        <w:ind w:left="3460"/>
        <w:spacing w:after="0" w:line="237" w:lineRule="auto"/>
        <w:rPr>
          <w:sz w:val="20"/>
          <w:szCs w:val="20"/>
          <w:color w:val="auto"/>
        </w:rPr>
      </w:pPr>
      <w:r>
        <w:rPr>
          <w:rFonts w:ascii="Courier New" w:cs="Courier New" w:eastAsia="Courier New" w:hAnsi="Courier New"/>
          <w:sz w:val="18"/>
          <w:szCs w:val="18"/>
          <w:color w:val="auto"/>
        </w:rPr>
        <w:t>8,041</w:t>
      </w:r>
    </w:p>
    <w:p>
      <w:pPr>
        <w:ind w:left="3780"/>
        <w:spacing w:after="0" w:line="238" w:lineRule="auto"/>
        <w:rPr>
          <w:sz w:val="20"/>
          <w:szCs w:val="20"/>
          <w:color w:val="auto"/>
        </w:rPr>
      </w:pPr>
      <w:r>
        <w:rPr>
          <w:rFonts w:ascii="Courier New" w:cs="Courier New" w:eastAsia="Courier New" w:hAnsi="Courier New"/>
          <w:sz w:val="18"/>
          <w:szCs w:val="18"/>
          <w:color w:val="auto"/>
        </w:rPr>
        <w:t>2,703</w:t>
      </w:r>
    </w:p>
    <w:p>
      <w:pPr>
        <w:ind w:left="3040"/>
        <w:spacing w:after="0"/>
        <w:rPr>
          <w:sz w:val="20"/>
          <w:szCs w:val="20"/>
          <w:color w:val="auto"/>
        </w:rPr>
      </w:pPr>
      <w:r>
        <w:rPr>
          <w:rFonts w:ascii="Courier New" w:cs="Courier New" w:eastAsia="Courier New" w:hAnsi="Courier New"/>
          <w:sz w:val="18"/>
          <w:szCs w:val="18"/>
          <w:color w:val="auto"/>
        </w:rPr>
        <w:t>5,338</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jc w:val="center"/>
        <w:ind w:right="2019"/>
        <w:spacing w:after="0"/>
        <w:rPr>
          <w:sz w:val="20"/>
          <w:szCs w:val="20"/>
          <w:color w:val="auto"/>
        </w:rPr>
      </w:pPr>
      <w:r>
        <w:rPr>
          <w:rFonts w:ascii="Courier New" w:cs="Courier New" w:eastAsia="Courier New" w:hAnsi="Courier New"/>
          <w:sz w:val="18"/>
          <w:szCs w:val="18"/>
          <w:color w:val="auto"/>
        </w:rPr>
        <w:t>5,338</w:t>
      </w:r>
    </w:p>
    <w:p>
      <w:pPr>
        <w:jc w:val="center"/>
        <w:ind w:right="2019"/>
        <w:spacing w:after="0" w:line="237" w:lineRule="auto"/>
        <w:rPr>
          <w:sz w:val="20"/>
          <w:szCs w:val="20"/>
          <w:color w:val="auto"/>
        </w:rPr>
      </w:pPr>
      <w:r>
        <w:rPr>
          <w:rFonts w:ascii="Courier New" w:cs="Courier New" w:eastAsia="Courier New" w:hAnsi="Courier New"/>
          <w:sz w:val="18"/>
          <w:szCs w:val="18"/>
          <w:color w:val="auto"/>
        </w:rPr>
        <w:t>.21</w:t>
      </w:r>
    </w:p>
    <w:p>
      <w:pPr>
        <w:jc w:val="center"/>
        <w:ind w:right="1799"/>
        <w:spacing w:after="0" w:line="238"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2019-12-13T08:30:55Z</dcterms:created>
  <dcterms:modified xsi:type="dcterms:W3CDTF">2019-12-13T08:30:55Z</dcterms:modified>
</cp:coreProperties>
</file>