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Winnebago Industries, Inc. (Winnebago Industries) is filing herewith a press release issued on October 1, 2015, as Exhibit 99.1 which is included herein. The press release was issued to report that on October 15, 2015, Winnebago Industries anticipates announcing its financial results for its fourth quarter Fiscal 2015 ended August 29, 2015 In connection with the announcement, Winnebago Industries will host a conference call on October 15, 2015 at 9:00 a.m. CDT. Details regarding the conference call are contained in the press release included herein.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October 1, 2015.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580" w:type="dxa"/>
            <w:vAlign w:val="bottom"/>
          </w:tcPr>
          <w:p>
            <w:pPr>
              <w:spacing w:after="0"/>
              <w:rPr>
                <w:sz w:val="20"/>
                <w:szCs w:val="20"/>
                <w:color w:val="auto"/>
              </w:rPr>
            </w:pPr>
            <w:r>
              <w:rPr>
                <w:rFonts w:ascii="Arial" w:cs="Arial" w:eastAsia="Arial" w:hAnsi="Arial"/>
                <w:sz w:val="16"/>
                <w:szCs w:val="16"/>
                <w:color w:val="auto"/>
              </w:rPr>
              <w:t>Date:   October 1, 2015</w:t>
            </w:r>
          </w:p>
        </w:tc>
        <w:tc>
          <w:tcPr>
            <w:tcW w:w="1480" w:type="dxa"/>
            <w:vAlign w:val="bottom"/>
          </w:tcPr>
          <w:p>
            <w:pPr>
              <w:ind w:left="840"/>
              <w:spacing w:after="0"/>
              <w:rPr>
                <w:sz w:val="20"/>
                <w:szCs w:val="20"/>
                <w:color w:val="auto"/>
              </w:rPr>
            </w:pPr>
            <w:r>
              <w:rPr>
                <w:rFonts w:ascii="Arial" w:cs="Arial" w:eastAsia="Arial" w:hAnsi="Arial"/>
                <w:sz w:val="16"/>
                <w:szCs w:val="16"/>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 Folkers</w:t>
            </w:r>
          </w:p>
        </w:tc>
      </w:tr>
      <w:tr>
        <w:trPr>
          <w:trHeight w:val="237"/>
        </w:trPr>
        <w:tc>
          <w:tcPr>
            <w:tcW w:w="2580" w:type="dxa"/>
            <w:vAlign w:val="bottom"/>
          </w:tcPr>
          <w:p>
            <w:pPr>
              <w:spacing w:after="0"/>
              <w:rPr>
                <w:sz w:val="20"/>
                <w:szCs w:val="20"/>
                <w:color w:val="auto"/>
              </w:rPr>
            </w:pPr>
          </w:p>
        </w:tc>
        <w:tc>
          <w:tcPr>
            <w:tcW w:w="1480" w:type="dxa"/>
            <w:vAlign w:val="bottom"/>
          </w:tcPr>
          <w:p>
            <w:pPr>
              <w:ind w:left="840"/>
              <w:spacing w:after="0"/>
              <w:rPr>
                <w:sz w:val="20"/>
                <w:szCs w:val="20"/>
                <w:color w:val="auto"/>
              </w:rPr>
            </w:pPr>
            <w:r>
              <w:rPr>
                <w:rFonts w:ascii="Arial" w:cs="Arial" w:eastAsia="Arial" w:hAnsi="Arial"/>
                <w:sz w:val="16"/>
                <w:szCs w:val="16"/>
                <w:color w:val="auto"/>
              </w:rPr>
              <w:t>Name:</w:t>
            </w:r>
          </w:p>
        </w:tc>
        <w:tc>
          <w:tcPr>
            <w:tcW w:w="492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2580" w:type="dxa"/>
            <w:vAlign w:val="bottom"/>
          </w:tcPr>
          <w:p>
            <w:pPr>
              <w:spacing w:after="0"/>
              <w:rPr>
                <w:sz w:val="23"/>
                <w:szCs w:val="23"/>
                <w:color w:val="auto"/>
              </w:rPr>
            </w:pPr>
          </w:p>
        </w:tc>
        <w:tc>
          <w:tcPr>
            <w:tcW w:w="1480" w:type="dxa"/>
            <w:vAlign w:val="bottom"/>
          </w:tcPr>
          <w:p>
            <w:pPr>
              <w:ind w:left="840"/>
              <w:spacing w:after="0"/>
              <w:rPr>
                <w:sz w:val="20"/>
                <w:szCs w:val="20"/>
                <w:color w:val="auto"/>
              </w:rPr>
            </w:pPr>
            <w:r>
              <w:rPr>
                <w:rFonts w:ascii="Arial" w:cs="Arial" w:eastAsia="Arial" w:hAnsi="Arial"/>
                <w:sz w:val="16"/>
                <w:szCs w:val="16"/>
                <w:color w:val="auto"/>
              </w:rPr>
              <w:t>Title:</w:t>
            </w:r>
          </w:p>
        </w:tc>
        <w:tc>
          <w:tcPr>
            <w:tcW w:w="492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80"/>
          </w:cols>
          <w:pgMar w:left="240" w:top="571" w:right="27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466090</wp:posOffset>
            </wp:positionH>
            <wp:positionV relativeFrom="page">
              <wp:posOffset>500380</wp:posOffset>
            </wp:positionV>
            <wp:extent cx="162941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29410" cy="222885"/>
                    </a:xfrm>
                    <a:prstGeom prst="rect">
                      <a:avLst/>
                    </a:prstGeom>
                    <a:noFill/>
                  </pic:spPr>
                </pic:pic>
              </a:graphicData>
            </a:graphic>
          </wp:anchor>
        </w:drawing>
        <w:drawing>
          <wp:anchor simplePos="0" relativeHeight="251657728" behindDoc="1" locked="0" layoutInCell="0" allowOverlap="1">
            <wp:simplePos x="0" y="0"/>
            <wp:positionH relativeFrom="page">
              <wp:posOffset>3750945</wp:posOffset>
            </wp:positionH>
            <wp:positionV relativeFrom="page">
              <wp:posOffset>483235</wp:posOffset>
            </wp:positionV>
            <wp:extent cx="231521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315210" cy="257175"/>
                    </a:xfrm>
                    <a:prstGeom prst="rect">
                      <a:avLst/>
                    </a:prstGeom>
                    <a:noFill/>
                  </pic:spPr>
                </pic:pic>
              </a:graphicData>
            </a:graphic>
          </wp:anchor>
        </w:drawing>
        <w:t>Media Contact: Sam Jefson, Public Relations Specialist - 641-585-6803 - sjefson@wgo.net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Contact: Samantha Dugan - 641-585-6160 - sdugan@wgo.net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WINNEBAGO INDUSTRIES' FOURTH QUARTER AND FISCAL 2015 FINANCIAL RESULTS ANNOUNCEMENT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MADE ON OCTOBER 15, 2015</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Conference Call Scheduled for 9:00 a.m. CDT --</w:t>
      </w:r>
    </w:p>
    <w:p>
      <w:pPr>
        <w:spacing w:after="0" w:line="200" w:lineRule="exact"/>
        <w:rPr>
          <w:sz w:val="20"/>
          <w:szCs w:val="20"/>
          <w:color w:val="auto"/>
        </w:rPr>
      </w:pPr>
    </w:p>
    <w:p>
      <w:pPr>
        <w:spacing w:after="0" w:line="226" w:lineRule="exact"/>
        <w:rPr>
          <w:sz w:val="20"/>
          <w:szCs w:val="20"/>
          <w:color w:val="auto"/>
        </w:rPr>
      </w:pPr>
    </w:p>
    <w:p>
      <w:pPr>
        <w:ind w:right="40"/>
        <w:spacing w:after="0" w:line="355" w:lineRule="auto"/>
        <w:rPr>
          <w:sz w:val="20"/>
          <w:szCs w:val="20"/>
          <w:color w:val="auto"/>
        </w:rPr>
      </w:pPr>
      <w:r>
        <w:rPr>
          <w:rFonts w:ascii="Arial" w:cs="Arial" w:eastAsia="Arial" w:hAnsi="Arial"/>
          <w:sz w:val="16"/>
          <w:szCs w:val="16"/>
          <w:color w:val="auto"/>
        </w:rPr>
        <w:t>FOREST CITY, IOWA, October 1, 2015 - Winnebago Industries, Inc. (NYSE: WGO), a leading United States (U.S.) recreation vehicle manufacturer, will issue an advisory release and host a conference call on Thursday, October 15, 2015. Winnebago Industries plans to issue an advisory release before the market opens on October 15, 2015 notifying the public that a complete and full-text press release discussing the financial results for the Company's fourth quarter and Fiscal 2015 ended August 29, 2015 will be available no earlier than 6:00 a.m. CDT in the “Investor Relations” section of the Company's website at: http://investor.wgo.net.</w:t>
      </w:r>
    </w:p>
    <w:p>
      <w:pPr>
        <w:spacing w:after="0" w:line="300"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The Company will also host a conference call on October 15, 2015 at 9 a.m. CDT to discuss the financial results for its fourth quarter and Fiscal 2015. Winnebago Industries' conference call may be heard live via the Company's website, http://investor.wgo.net. The event will be archived and available for replay for the next 90 days. To access the replay, click on http://phx.corporate-ir.net/phoenix.zhtml?c=85260&amp;p=irol-EventDetails&amp;EventId=5203002.</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Microsoft Windows Media Player or Adobe Flash Player and an internet connection speed of</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32 kbps. The Microsoft Windows Media Player software is downloadable for free at: http://windows.microsoft.com/en-us/windows/windows-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media-player, and the Adobe Flash Player software is downloadable free at: http://get.adobe.com/flashplayer/.</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60" w:lineRule="exact"/>
        <w:rPr>
          <w:sz w:val="20"/>
          <w:szCs w:val="20"/>
          <w:color w:val="auto"/>
        </w:rPr>
      </w:pPr>
    </w:p>
    <w:p>
      <w:pPr>
        <w:ind w:right="80"/>
        <w:spacing w:after="0" w:line="345" w:lineRule="auto"/>
        <w:rPr>
          <w:sz w:val="20"/>
          <w:szCs w:val="20"/>
          <w:color w:val="auto"/>
        </w:rPr>
      </w:pPr>
      <w:r>
        <w:rPr>
          <w:rFonts w:ascii="Arial" w:cs="Arial" w:eastAsia="Arial" w:hAnsi="Arial"/>
          <w:sz w:val="16"/>
          <w:szCs w:val="16"/>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6"/>
          <w:szCs w:val="16"/>
          <w:color w:val="auto"/>
        </w:rPr>
        <w:t>",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and Metro brand names.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http://investor.wgo.net.</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sectPr>
      <w:pgSz w:w="11900" w:h="16838" w:orient="portrait"/>
      <w:cols w:equalWidth="0" w:num="1">
        <w:col w:w="11380"/>
      </w:cols>
      <w:pgMar w:left="240" w:top="142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2019-12-05T17:20:57Z</dcterms:created>
  <dcterms:modified xsi:type="dcterms:W3CDTF">2019-12-05T17:20:57Z</dcterms:modified>
</cp:coreProperties>
</file>