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16"/>
        </w:rPr>
      </w:pPr>
      <w:r>
        <w:rPr>
          <w:rFonts w:ascii="Arial;sans-serif" w:hAnsi="Arial;sans-serif"/>
          <w:b/>
          <w:color w:val="000000"/>
          <w:sz w:val="16"/>
        </w:rPr>
        <w:t>As filed with the Securities and Exchange Commission on December 19, 2025</w:t>
      </w:r>
    </w:p>
    <w:p>
      <w:pPr>
        <w:pStyle w:val="TextBody"/>
        <w:bidi w:val="0"/>
        <w:spacing w:lineRule="auto" w:line="276" w:before="0" w:after="160"/>
        <w:jc w:val="right"/>
        <w:rPr>
          <w:rFonts w:ascii="Arial;sans-serif" w:hAnsi="Arial;sans-serif"/>
          <w:b/>
          <w:color w:val="000000"/>
          <w:sz w:val="16"/>
        </w:rPr>
      </w:pPr>
      <w:r>
        <w:rPr>
          <w:rFonts w:ascii="Arial;sans-serif" w:hAnsi="Arial;sans-serif"/>
          <w:b/>
          <w:color w:val="000000"/>
          <w:sz w:val="16"/>
        </w:rPr>
        <w:t>Registration No. 333-</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76" w:before="0" w:after="20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FORM S-8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REGISTRATION STATEMENT UNDER THE SECURITIES ACT OF 1933</w:t>
      </w:r>
    </w:p>
    <w:p>
      <w:pPr>
        <w:pStyle w:val="TextBody"/>
        <w:bidi w:val="0"/>
        <w:spacing w:before="0" w:after="18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p>
    <w:p>
      <w:pPr>
        <w:pStyle w:val="TextBody"/>
        <w:bidi w:val="0"/>
        <w:spacing w:lineRule="auto" w:line="276" w:before="0" w:after="0"/>
        <w:jc w:val="center"/>
        <w:rPr>
          <w:rFonts w:ascii="Arial;sans-serif" w:hAnsi="Arial;sans-serif"/>
          <w:b/>
          <w:color w:val="000000"/>
          <w:sz w:val="36"/>
        </w:rPr>
      </w:pPr>
      <w:r>
        <w:rPr>
          <w:rFonts w:ascii="Arial;sans-serif" w:hAnsi="Arial;sans-serif"/>
          <w:b/>
          <w:color w:val="000000"/>
          <w:sz w:val="36"/>
        </w:rPr>
        <w:t>WINNEBAGO INDUSTRIES, INC.</w:t>
      </w:r>
    </w:p>
    <w:p>
      <w:pPr>
        <w:pStyle w:val="TextBody"/>
        <w:bidi w:val="0"/>
        <w:spacing w:lineRule="auto" w:line="276" w:before="0" w:after="360"/>
        <w:jc w:val="center"/>
        <w:rPr/>
      </w:pPr>
      <w:r>
        <w:rPr>
          <w:rFonts w:ascii="Times New Roman;serif" w:hAnsi="Times New Roman;serif"/>
          <w:b w:val="false"/>
          <w:color w:val="000000"/>
          <w:sz w:val="20"/>
        </w:rPr>
        <w:t>(</w:t>
      </w:r>
      <w:r>
        <w:rPr>
          <w:rFonts w:ascii="Arial;sans-serif" w:hAnsi="Arial;sans-serif"/>
          <w:b w:val="false"/>
          <w:color w:val="000000"/>
          <w:sz w:val="18"/>
        </w:rPr>
        <w:t>Exact name of registrant as specified in its charter</w:t>
      </w:r>
      <w:r>
        <w:rPr>
          <w:rFonts w:ascii="Times New Roman;serif" w:hAnsi="Times New Roman;serif"/>
          <w:b w:val="false"/>
          <w:color w:val="000000"/>
          <w:sz w:val="20"/>
        </w:rPr>
        <w:t>)</w:t>
      </w:r>
    </w:p>
    <w:tbl>
      <w:tblPr>
        <w:tblW w:w="7642" w:type="dxa"/>
        <w:jc w:val="left"/>
        <w:tblInd w:w="0" w:type="dxa"/>
        <w:tblLayout w:type="fixed"/>
        <w:tblCellMar>
          <w:top w:w="28" w:type="dxa"/>
          <w:left w:w="28" w:type="dxa"/>
          <w:bottom w:w="28" w:type="dxa"/>
          <w:right w:w="28" w:type="dxa"/>
        </w:tblCellMar>
      </w:tblPr>
      <w:tblGrid>
        <w:gridCol w:w="124"/>
        <w:gridCol w:w="109"/>
        <w:gridCol w:w="109"/>
        <w:gridCol w:w="1434"/>
        <w:gridCol w:w="1434"/>
        <w:gridCol w:w="1451"/>
        <w:gridCol w:w="109"/>
        <w:gridCol w:w="109"/>
        <w:gridCol w:w="109"/>
        <w:gridCol w:w="775"/>
        <w:gridCol w:w="775"/>
        <w:gridCol w:w="11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13200 Pioneer Trail, Eden Prairie,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55347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WINNEBAGO INDUSTRIES, INC. AMENDED AND RESTATED 2019 OMNIBUS INCENTIVE PLAN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WINNEBAGO INDUSTRIES, INC. AMENDED AND RESTATED EMPLOYEE STOCK PURCHASE PLAN</w:t>
      </w:r>
    </w:p>
    <w:p>
      <w:pPr>
        <w:pStyle w:val="TextBody"/>
        <w:bidi w:val="0"/>
        <w:spacing w:lineRule="auto" w:line="276" w:before="0" w:after="120"/>
        <w:jc w:val="center"/>
        <w:rPr>
          <w:rFonts w:ascii="Arial;sans-serif" w:hAnsi="Arial;sans-serif"/>
          <w:b w:val="false"/>
          <w:color w:val="000000"/>
          <w:sz w:val="16"/>
        </w:rPr>
      </w:pPr>
      <w:r>
        <w:rPr>
          <w:rFonts w:ascii="Arial;sans-serif" w:hAnsi="Arial;sans-serif"/>
          <w:b w:val="false"/>
          <w:color w:val="000000"/>
          <w:sz w:val="16"/>
        </w:rPr>
        <w:t>(Full title of the plans)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Stacy L. Bogart</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Senior Vice President, Chief Legal Officer, Corporate Secretary and Corporate Responsibility</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13200 Pioneer Trail, Eden Prairie, Minnesota 55347</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(952) 829-8600</w:t>
      </w:r>
    </w:p>
    <w:p>
      <w:pPr>
        <w:pStyle w:val="TextBody"/>
        <w:bidi w:val="0"/>
        <w:spacing w:lineRule="auto" w:line="276" w:before="0" w:after="180"/>
        <w:jc w:val="center"/>
        <w:rPr/>
      </w:pPr>
      <w:r>
        <w:rPr>
          <w:rFonts w:ascii="Arial;sans-serif" w:hAnsi="Arial;sans-serif"/>
          <w:b w:val="false"/>
          <w:color w:val="000000"/>
          <w:sz w:val="20"/>
        </w:rPr>
        <w:t>(</w:t>
      </w:r>
      <w:r>
        <w:rPr>
          <w:rFonts w:ascii="Arial;sans-serif" w:hAnsi="Arial;sans-serif"/>
          <w:b w:val="false"/>
          <w:color w:val="000000"/>
          <w:sz w:val="16"/>
        </w:rPr>
        <w:t>Name, address, and telephone number, including area code, of agent for service</w:t>
      </w:r>
      <w:r>
        <w:rPr>
          <w:rFonts w:ascii="Arial;sans-serif" w:hAnsi="Arial;sans-serif"/>
          <w:b w:val="false"/>
          <w:color w:val="000000"/>
          <w:sz w:val="20"/>
        </w:rPr>
        <w:t>)</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99" w:type="dxa"/>
        <w:jc w:val="left"/>
        <w:tblInd w:w="0" w:type="dxa"/>
        <w:tblLayout w:type="fixed"/>
        <w:tblCellMar>
          <w:top w:w="28" w:type="dxa"/>
          <w:left w:w="28" w:type="dxa"/>
          <w:bottom w:w="28" w:type="dxa"/>
          <w:right w:w="28" w:type="dxa"/>
        </w:tblCellMar>
      </w:tblPr>
      <w:tblGrid>
        <w:gridCol w:w="792"/>
        <w:gridCol w:w="697"/>
        <w:gridCol w:w="701"/>
        <w:gridCol w:w="762"/>
        <w:gridCol w:w="762"/>
        <w:gridCol w:w="1085"/>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Arial;sans-serif" w:hAnsi="Arial;sans-serif"/>
                <w:b w:val="false"/>
                <w:color w:val="000000"/>
                <w:sz w:val="18"/>
              </w:rPr>
              <w:t xml:space="preserve">Large accelerated filer </w:t>
            </w:r>
            <w:r>
              <w:rPr>
                <w:rFonts w:ascii="Wingdings;sans-serif" w:hAnsi="Wingdings;sans-serif"/>
                <w:b w:val="false"/>
                <w:color w:val="000000"/>
                <w:sz w:val="18"/>
              </w:rPr>
              <w:t>x</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Arial;sans-serif" w:hAnsi="Arial;sans-serif"/>
                <w:b w:val="false"/>
                <w:color w:val="000000"/>
                <w:sz w:val="18"/>
              </w:rPr>
              <w:t xml:space="preserve">Accelerated filer </w:t>
            </w:r>
            <w:r>
              <w:rPr>
                <w:color w:val="00000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Arial;sans-serif" w:hAnsi="Arial;sans-serif"/>
                <w:b w:val="false"/>
                <w:color w:val="000000"/>
                <w:sz w:val="18"/>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Arial;sans-serif" w:hAnsi="Arial;sans-serif"/>
                <w:b w:val="false"/>
                <w:color w:val="000000"/>
                <w:sz w:val="18"/>
              </w:rPr>
              <w:t xml:space="preserve">Smaller reporting company </w:t>
            </w:r>
            <w:r>
              <w:rPr>
                <w:color w:val="000000"/>
              </w:rPr>
              <w: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Arial;sans-serif" w:hAnsi="Arial;sans-serif"/>
                <w:b w:val="false"/>
                <w:color w:val="000000"/>
                <w:sz w:val="18"/>
              </w:rPr>
              <w:t xml:space="preserve">Emerging growth company </w:t>
            </w:r>
            <w:r>
              <w:rPr>
                <w:color w:val="000000"/>
              </w:rPr>
              <w:t>☐</w:t>
            </w:r>
          </w:p>
        </w:tc>
      </w:tr>
    </w:tbl>
    <w:p>
      <w:pPr>
        <w:pStyle w:val="TextBody"/>
        <w:bidi w:val="0"/>
        <w:spacing w:lineRule="auto" w:line="276" w:before="0" w:after="36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EXPLANATORY NOTE</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 xml:space="preserve">The shareholders of Winnebago Industries, Inc. (the “Company” or the “Registrant”) approved the Winnebago Industries, Inc. Amended and Restated 2019 Omnibus Incentive Plan (as amended and restated, the “2019 Plan”) and the Winnebago Industries, Inc. Amended and Restated Employee Stock Purchase Plan (as amended and restated, the “ESPP”) on December 16, 2025 (the “Effective Date”). </w:t>
      </w:r>
    </w:p>
    <w:p>
      <w:pPr>
        <w:pStyle w:val="TextBody"/>
        <w:bidi w:val="0"/>
        <w:spacing w:lineRule="auto" w:line="276" w:before="0" w:after="0"/>
        <w:jc w:val="left"/>
        <w:rPr/>
      </w:pPr>
      <w:r>
        <w:rPr>
          <w:rFonts w:ascii="Arial;sans-serif" w:hAnsi="Arial;sans-serif"/>
          <w:b w:val="false"/>
          <w:color w:val="000000"/>
          <w:sz w:val="18"/>
        </w:rPr>
        <w:t>This Registration Statement on Form S-8 is being filed with the Securities and Exchange Commission (the “Commission”) for the purpose of registering an additional 820,000 shares of common stock, $0.50 par value per share, of the Registrant (“Common Stock”) for issuance pursuant to the 2019 Plan and an additional 200,000 shares of Common Stock for issuance pursuant to the ESPP as of the Effective Date. These shares are in addition to the shares previously registered on Registrant’s Registration Statements on Form S-8 with respect to the 2019 Plan pursuant to Registration Statements on Form S-8 (</w:t>
      </w:r>
      <w:hyperlink r:id="rId3">
        <w:r>
          <w:rPr>
            <w:rStyle w:val="InternetLink"/>
            <w:rFonts w:ascii="Arial;sans-serif" w:hAnsi="Arial;sans-serif"/>
            <w:b w:val="false"/>
            <w:color w:val="0000FF"/>
            <w:sz w:val="18"/>
            <w:u w:val="single"/>
          </w:rPr>
          <w:t>No. 333-232220</w:t>
        </w:r>
      </w:hyperlink>
      <w:r>
        <w:rPr>
          <w:color w:val="000000"/>
        </w:rPr>
        <w:t xml:space="preserve"> </w:t>
      </w:r>
      <w:r>
        <w:rPr>
          <w:rFonts w:ascii="Arial;sans-serif" w:hAnsi="Arial;sans-serif"/>
          <w:b w:val="false"/>
          <w:color w:val="000000"/>
          <w:sz w:val="18"/>
        </w:rPr>
        <w:t xml:space="preserve">and </w:t>
      </w:r>
      <w:hyperlink r:id="rId4">
        <w:r>
          <w:rPr>
            <w:rStyle w:val="InternetLink"/>
            <w:rFonts w:ascii="Arial;sans-serif" w:hAnsi="Arial;sans-serif"/>
            <w:b w:val="false"/>
            <w:color w:val="0000FF"/>
            <w:sz w:val="18"/>
            <w:u w:val="single"/>
          </w:rPr>
          <w:t>No. 333-276170</w:t>
        </w:r>
      </w:hyperlink>
      <w:r>
        <w:rPr>
          <w:rFonts w:ascii="Arial;sans-serif" w:hAnsi="Arial;sans-serif"/>
          <w:b w:val="false"/>
          <w:color w:val="000000"/>
          <w:sz w:val="18"/>
        </w:rPr>
        <w:t>) and the ESPP pursuant to Registration Statements on Form S-8 (</w:t>
      </w:r>
      <w:hyperlink r:id="rId5">
        <w:r>
          <w:rPr>
            <w:rStyle w:val="InternetLink"/>
            <w:rFonts w:ascii="Arial;sans-serif" w:hAnsi="Arial;sans-serif"/>
            <w:b w:val="false"/>
            <w:color w:val="0000FF"/>
            <w:sz w:val="18"/>
            <w:u w:val="single"/>
          </w:rPr>
          <w:t>No. 333-222261</w:t>
        </w:r>
      </w:hyperlink>
      <w:r>
        <w:rPr>
          <w:color w:val="000000"/>
        </w:rPr>
        <w:t xml:space="preserve"> </w:t>
      </w:r>
      <w:r>
        <w:rPr>
          <w:rFonts w:ascii="Arial;sans-serif" w:hAnsi="Arial;sans-serif"/>
          <w:b w:val="false"/>
          <w:color w:val="000000"/>
          <w:sz w:val="18"/>
        </w:rPr>
        <w:t xml:space="preserve">and </w:t>
      </w:r>
      <w:hyperlink r:id="rId6">
        <w:r>
          <w:rPr>
            <w:rStyle w:val="InternetLink"/>
            <w:rFonts w:ascii="Arial;sans-serif" w:hAnsi="Arial;sans-serif"/>
            <w:b w:val="false"/>
            <w:color w:val="0000FF"/>
            <w:sz w:val="18"/>
            <w:u w:val="single"/>
          </w:rPr>
          <w:t>No. 333-276170</w:t>
        </w:r>
      </w:hyperlink>
      <w:r>
        <w:rPr>
          <w:rFonts w:ascii="Arial;sans-serif" w:hAnsi="Arial;sans-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PART I</w:t>
      </w:r>
    </w:p>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INFORMATION REQUIRED IN THE SECTION 10(a) PROSPECTUS</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documents containing the information specified in Part I of Form S-8 have been or will be sent or given to participants as specified by Rule 428(b)(1) under the Securities Act of 1933, as amended (the “Securities Act”). These documents and the documents incorporated by reference herein pursuant to Item 3 of Part II hereof, taken together, constitute a prospectus that meets the requirements of Section 10(a)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PART II</w:t>
      </w:r>
    </w:p>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3. Incorporation of Documents by Reference.</w:t>
      </w:r>
    </w:p>
    <w:p>
      <w:pPr>
        <w:pStyle w:val="TextBody"/>
        <w:bidi w:val="0"/>
        <w:spacing w:lineRule="auto" w:line="276" w:before="0" w:after="200"/>
        <w:jc w:val="left"/>
        <w:rPr>
          <w:rFonts w:ascii="Arial;sans-serif" w:hAnsi="Arial;sans-serif"/>
          <w:b w:val="false"/>
          <w:color w:val="000000"/>
          <w:sz w:val="18"/>
        </w:rPr>
      </w:pPr>
      <w:r>
        <w:rPr>
          <w:rFonts w:ascii="Arial;sans-serif" w:hAnsi="Arial;sans-serif"/>
          <w:b w:val="false"/>
          <w:color w:val="000000"/>
          <w:sz w:val="18"/>
        </w:rPr>
        <w:t>The Registrant hereby incorporates by reference into this Registration Statement the following documents filed with the Commission:</w:t>
      </w:r>
    </w:p>
    <w:p>
      <w:pPr>
        <w:pStyle w:val="TextBody"/>
        <w:bidi w:val="0"/>
        <w:spacing w:lineRule="auto" w:line="276" w:before="0" w:after="180"/>
        <w:ind w:left="0" w:right="0" w:hanging="360"/>
        <w:jc w:val="left"/>
        <w:rPr/>
      </w:pPr>
      <w:r>
        <w:rPr>
          <w:rFonts w:ascii="Arial;sans-serif" w:hAnsi="Arial;sans-serif"/>
          <w:b w:val="false"/>
          <w:color w:val="000000"/>
          <w:sz w:val="18"/>
        </w:rPr>
        <w:t xml:space="preserve">1.The Registrant’s Annual Report on </w:t>
      </w:r>
      <w:hyperlink r:id="rId7">
        <w:r>
          <w:rPr>
            <w:rStyle w:val="InternetLink"/>
            <w:rFonts w:ascii="Arial;sans-serif" w:hAnsi="Arial;sans-serif"/>
            <w:b w:val="false"/>
            <w:color w:val="0000FF"/>
            <w:sz w:val="18"/>
            <w:u w:val="single"/>
          </w:rPr>
          <w:t>Form 10-K for the year ended August 30, 2025</w:t>
        </w:r>
      </w:hyperlink>
      <w:r>
        <w:rPr>
          <w:rFonts w:ascii="Arial;sans-serif" w:hAnsi="Arial;sans-serif"/>
          <w:b w:val="false"/>
          <w:color w:val="000000"/>
          <w:sz w:val="18"/>
        </w:rPr>
        <w:t>, including information specifically incorporated by reference into our Annual Report from our definitive proxy statement on Schedule 14A for our 2025 Annual Meeting of Shareholders, filed with the Commission on November 4, 2025;</w:t>
      </w:r>
    </w:p>
    <w:p>
      <w:pPr>
        <w:pStyle w:val="TextBody"/>
        <w:bidi w:val="0"/>
        <w:spacing w:lineRule="auto" w:line="276" w:before="0" w:after="180"/>
        <w:ind w:left="0" w:right="0" w:hanging="360"/>
        <w:jc w:val="left"/>
        <w:rPr/>
      </w:pPr>
      <w:r>
        <w:rPr>
          <w:rFonts w:ascii="Arial;sans-serif" w:hAnsi="Arial;sans-serif"/>
          <w:b w:val="false"/>
          <w:color w:val="000000"/>
          <w:sz w:val="18"/>
        </w:rPr>
        <w:t xml:space="preserve">2.The Registrant’s Quarterly Report on Form 10-Q for the quarter ended </w:t>
      </w:r>
      <w:hyperlink r:id="rId8">
        <w:r>
          <w:rPr>
            <w:rStyle w:val="InternetLink"/>
            <w:rFonts w:ascii="Arial;sans-serif" w:hAnsi="Arial;sans-serif"/>
            <w:b w:val="false"/>
            <w:color w:val="0000FF"/>
            <w:sz w:val="18"/>
            <w:u w:val="single"/>
          </w:rPr>
          <w:t>November 29, 2025</w:t>
        </w:r>
      </w:hyperlink>
      <w:r>
        <w:rPr>
          <w:rFonts w:ascii="Arial;sans-serif" w:hAnsi="Arial;sans-serif"/>
          <w:b w:val="false"/>
          <w:color w:val="000000"/>
          <w:sz w:val="18"/>
        </w:rPr>
        <w:t xml:space="preserve">; </w:t>
      </w:r>
    </w:p>
    <w:p>
      <w:pPr>
        <w:pStyle w:val="TextBody"/>
        <w:bidi w:val="0"/>
        <w:spacing w:lineRule="auto" w:line="276" w:before="0" w:after="180"/>
        <w:ind w:left="0" w:right="0" w:hanging="360"/>
        <w:jc w:val="left"/>
        <w:rPr/>
      </w:pPr>
      <w:r>
        <w:rPr>
          <w:rFonts w:ascii="Arial;sans-serif" w:hAnsi="Arial;sans-serif"/>
          <w:b w:val="false"/>
          <w:color w:val="000000"/>
          <w:sz w:val="18"/>
        </w:rPr>
        <w:t xml:space="preserve">3.The Registrant’s Current Report on Form 8-K filed on </w:t>
      </w:r>
      <w:hyperlink r:id="rId9">
        <w:r>
          <w:rPr>
            <w:rStyle w:val="InternetLink"/>
            <w:rFonts w:ascii="Arial;sans-serif" w:hAnsi="Arial;sans-serif"/>
            <w:b w:val="false"/>
            <w:color w:val="0000FF"/>
            <w:sz w:val="18"/>
            <w:u w:val="single"/>
          </w:rPr>
          <w:t>December 17, 2025</w:t>
        </w:r>
      </w:hyperlink>
      <w:r>
        <w:rPr>
          <w:rFonts w:ascii="Arial;sans-serif" w:hAnsi="Arial;sans-serif"/>
          <w:b w:val="false"/>
          <w:color w:val="000000"/>
          <w:sz w:val="18"/>
        </w:rPr>
        <w:t>; and</w:t>
      </w:r>
    </w:p>
    <w:p>
      <w:pPr>
        <w:pStyle w:val="TextBody"/>
        <w:bidi w:val="0"/>
        <w:spacing w:lineRule="auto" w:line="276" w:before="0" w:after="180"/>
        <w:ind w:left="0" w:right="0" w:hanging="360"/>
        <w:jc w:val="left"/>
        <w:rPr/>
      </w:pPr>
      <w:r>
        <w:rPr>
          <w:rFonts w:ascii="Arial;sans-serif" w:hAnsi="Arial;sans-serif"/>
          <w:b w:val="false"/>
          <w:color w:val="000000"/>
          <w:sz w:val="18"/>
        </w:rPr>
        <w:t xml:space="preserve">4.The description of the Registrant’s Common Stock contained in </w:t>
      </w:r>
      <w:hyperlink r:id="rId10">
        <w:r>
          <w:rPr>
            <w:rStyle w:val="InternetLink"/>
            <w:rFonts w:ascii="Arial;sans-serif" w:hAnsi="Arial;sans-serif"/>
            <w:b w:val="false"/>
            <w:color w:val="0000FF"/>
            <w:sz w:val="18"/>
            <w:u w:val="single"/>
          </w:rPr>
          <w:t>Exhibit 4a</w:t>
        </w:r>
      </w:hyperlink>
      <w:r>
        <w:rPr>
          <w:color w:val="000000"/>
        </w:rPr>
        <w:t xml:space="preserve"> </w:t>
      </w:r>
      <w:r>
        <w:rPr>
          <w:rFonts w:ascii="Arial;sans-serif" w:hAnsi="Arial;sans-serif"/>
          <w:b w:val="false"/>
          <w:color w:val="000000"/>
          <w:sz w:val="18"/>
        </w:rPr>
        <w:t>to the Registrant’s Annual Report on Form 10-K for the year ended August 30, 2022 filed with the Commission on October 19, 2022, and any amendment or report filed for the purpose of updating such description.</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All reports and other documents filed by the Company pursuant to Sections 13(a), 13(c), 14, or 15(d) of the Exchange Act prior to the filing of a post-effective amendment that indicates that all of the shares of Common Stock offered have been sold or that deregisters all shares of the Common Stock then remaining unsold shall be deemed to be incorporated by reference in and a part of this Registration Statement from the date of filing of such documents.</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Notwithstanding the foregoing, nothing in this Registration Statement shall be deemed to incorporate any information deemed to be furnished and not filed with the Commission and exhibits furnished in connection with such items, including the information we disclose under Item 2.02 or Item 7.01 of any Current Report on Form 8-K that we may from time to time furnish with the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4. Description of Securities.</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Company’s Common Stock is registered under Section 12 of the Exchange Act and, therefore, the description of securities is omitted.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5. Interests of Named Experts and Counsel.</w:t>
      </w:r>
    </w:p>
    <w:p>
      <w:pPr>
        <w:pStyle w:val="TextBody"/>
        <w:bidi w:val="0"/>
        <w:spacing w:lineRule="auto" w:line="276" w:before="0" w:after="36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6. Indemnification of Directors and Officers.</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Company is subject to Minnesota Statutes Chapter 302A, the Minnesota Business Corporation Act (the “Corporation Act”). Section 302A.521 of the Corporation Act provides in substance that the Company must indemnify a person, including an officer or director, who is made or threatened to be made a party to a proceeding by reason of the former or present official capacity of the person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seeking indemnification, are (i) that such person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(ii) that such person must have acted in good faith; (iii) that no improper personal benefit was obtained by such person and such person satisfied certain statutory conflicts of interest provisions, if applicable; (iv) that in the case of a criminal proceeding, such person had no reasonable cause to believe that the conduct was unlawful; and (v) that, in the case of acts or omissions occurring in such person’s performance in an official capacity, such person must have acted in a manner such person reasonably believed was in the best interests of the corporation or, in certain limited circumstances, not opposed to the best interests of the corporation. In addition, Section 302A.521, Subdivision 3, requires payment by the Company, upon written request, of reasonable expenses in advance of final disposition in certain instances. A decision as to required indemnification is made by a majority of the disinterested board of directors present at a meeting at which a disinterested quorum is present, or by a designated committee of disinterested directors, by special legal counsel, by the disinterested shareholders, or by a court.</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Company also maintains a director and officer insurance policy to insure its directors and officers against certain liabilities.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7. Exemption from Registration Claimed.</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Not applicable. No securities are to be re-offered or resold pursuant to this Registration Statement.</w:t>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Item 8.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3"/>
        <w:gridCol w:w="284"/>
        <w:gridCol w:w="286"/>
        <w:gridCol w:w="2720"/>
        <w:gridCol w:w="2720"/>
        <w:gridCol w:w="3872"/>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30" w:after="30"/>
              <w:jc w:val="center"/>
              <w:rPr>
                <w:rFonts w:ascii="Arial;sans-serif" w:hAnsi="Arial;sans-serif"/>
                <w:b/>
                <w:color w:val="000000"/>
                <w:sz w:val="18"/>
              </w:rPr>
            </w:pPr>
            <w:r>
              <w:rPr>
                <w:rFonts w:ascii="Arial;sans-serif" w:hAnsi="Arial;sans-serif"/>
                <w:b/>
                <w:color w:val="000000"/>
                <w:sz w:val="18"/>
              </w:rPr>
              <w:t xml:space="preserve">Exhibit </w:t>
            </w:r>
          </w:p>
          <w:p>
            <w:pPr>
              <w:pStyle w:val="TableContents"/>
              <w:bidi w:val="0"/>
              <w:spacing w:lineRule="auto" w:line="276" w:before="30" w:after="30"/>
              <w:jc w:val="center"/>
              <w:rPr>
                <w:color w:val="000000"/>
              </w:rPr>
            </w:pPr>
            <w:r>
              <w:rPr>
                <w:color w:val="000000"/>
              </w:rPr>
              <w:t> </w:t>
            </w:r>
            <w:r>
              <w:rPr>
                <w:rFonts w:ascii="Arial;sans-serif" w:hAnsi="Arial;sans-serif"/>
                <w:b/>
                <w:color w:val="000000"/>
                <w:sz w:val="18"/>
              </w:rPr>
              <w:t xml:space="preserve">Number </w:t>
            </w:r>
          </w:p>
        </w:tc>
        <w:tc>
          <w:tcPr>
            <w:tcW w:w="93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hyperlink r:id="rId11">
              <w:r>
                <w:rPr>
                  <w:rStyle w:val="InternetLink"/>
                  <w:rFonts w:ascii="Arial;sans-serif" w:hAnsi="Arial;sans-serif"/>
                  <w:b w:val="false"/>
                  <w:color w:val="0000FF"/>
                  <w:sz w:val="18"/>
                  <w:u w:val="single"/>
                </w:rPr>
                <w:t>4.1</w:t>
              </w:r>
            </w:hyperlink>
          </w:p>
        </w:tc>
        <w:tc>
          <w:tcPr>
            <w:tcW w:w="9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30" w:after="30"/>
              <w:jc w:val="left"/>
              <w:rPr/>
            </w:pPr>
            <w:hyperlink r:id="rId12">
              <w:r>
                <w:rPr>
                  <w:rStyle w:val="InternetLink"/>
                  <w:rFonts w:ascii="Arial;sans-serif" w:hAnsi="Arial;sans-serif"/>
                  <w:b w:val="false"/>
                  <w:color w:val="0000FF"/>
                  <w:sz w:val="18"/>
                  <w:u w:val="single"/>
                </w:rPr>
                <w:t>Articles of Incorporation of the Registrant. (Incorporated by reference to Exhibit 3.1 of the Company’s Current Report on Form 8-K filed on January 5, 2022.)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13">
              <w:r>
                <w:rPr>
                  <w:rStyle w:val="InternetLink"/>
                  <w:rFonts w:ascii="Arial;sans-serif" w:hAnsi="Arial;sans-serif"/>
                  <w:b w:val="false"/>
                  <w:color w:val="0000FF"/>
                  <w:sz w:val="18"/>
                  <w:u w:val="single"/>
                </w:rPr>
                <w:t>4.2</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r:id="rId14">
              <w:r>
                <w:rPr>
                  <w:rStyle w:val="InternetLink"/>
                  <w:rFonts w:ascii="Arial;sans-serif" w:hAnsi="Arial;sans-serif"/>
                  <w:b w:val="false"/>
                  <w:color w:val="0000FF"/>
                  <w:sz w:val="18"/>
                  <w:u w:val="single"/>
                </w:rPr>
                <w:t>Bylaws of the Registrant. (Incorporated by reference to Exhibit 3.2 of the Company’s Current Report on Form 8-K filed on August 17, 2023.)</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51.htm">
              <w:r>
                <w:rPr>
                  <w:rStyle w:val="InternetLink"/>
                  <w:rFonts w:ascii="Arial;sans-serif" w:hAnsi="Arial;sans-serif"/>
                  <w:b w:val="false"/>
                  <w:color w:val="0000FF"/>
                  <w:sz w:val="18"/>
                  <w:u w:val="single"/>
                </w:rPr>
                <w:t>5.1</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w:anchor="exhibit51.htm">
              <w:r>
                <w:rPr>
                  <w:rStyle w:val="InternetLink"/>
                  <w:rFonts w:ascii="Arial;sans-serif" w:hAnsi="Arial;sans-serif"/>
                  <w:b w:val="false"/>
                  <w:color w:val="0000FF"/>
                  <w:sz w:val="18"/>
                  <w:u w:val="single"/>
                </w:rPr>
                <w:t>Opinion of Faegre Drinker Biddle &amp; Reath LLP. (Filed herewith.)</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r>
              <w:fldChar w:fldCharType="begin"/>
            </w:r>
            <w:r>
              <w:rPr>
                <w:rStyle w:val="InternetLink"/>
                <w:sz w:val="18"/>
                <w:u w:val="single"/>
                <w:b w:val="false"/>
                <w:rFonts w:ascii="Arial;sans-serif" w:hAnsi="Arial;sans-serif"/>
                <w:color w:val="0000FF"/>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10.1</w:t>
            </w:r>
            <w:r>
              <w:rPr>
                <w:rStyle w:val="InternetLink"/>
                <w:sz w:val="18"/>
                <w:u w:val="single"/>
                <w:b w:val="false"/>
                <w:rFonts w:ascii="Arial;sans-serif" w:hAnsi="Arial;sans-serif"/>
                <w:color w:val="0000FF"/>
              </w:rPr>
              <w:fldChar w:fldCharType="end"/>
            </w:r>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r>
              <w:fldChar w:fldCharType="begin"/>
            </w:r>
            <w:r>
              <w:rPr>
                <w:rStyle w:val="InternetLink"/>
                <w:sz w:val="18"/>
                <w:u w:val="single"/>
                <w:b w:val="false"/>
                <w:rFonts w:ascii="Arial;sans-serif" w:hAnsi="Arial;sans-serif"/>
                <w:color w:val="0000FF"/>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Winnebago Industries, Inc. Amended and Restated 2019 Omnibus Incentive Plan. (Incorporated by reference to Appendix A of the Company’s Proxy Statement on Definitive 14A filed on November 4, 2025.)</w:t>
            </w:r>
            <w:r>
              <w:rPr>
                <w:rStyle w:val="InternetLink"/>
                <w:sz w:val="18"/>
                <w:u w:val="single"/>
                <w:b w:val="false"/>
                <w:rFonts w:ascii="Arial;sans-serif" w:hAnsi="Arial;sans-serif"/>
                <w:color w:val="0000FF"/>
              </w:rPr>
              <w:fldChar w:fldCharType="end"/>
            </w:r>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r>
              <w:fldChar w:fldCharType="begin"/>
            </w:r>
            <w:r>
              <w:rPr>
                <w:rStyle w:val="InternetLink"/>
                <w:sz w:val="18"/>
                <w:u w:val="single"/>
                <w:b w:val="false"/>
                <w:rFonts w:ascii="Arial;sans-serif" w:hAnsi="Arial;sans-serif"/>
                <w:color w:val="0000FF"/>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10.2</w:t>
            </w:r>
            <w:r>
              <w:rPr>
                <w:rStyle w:val="InternetLink"/>
                <w:sz w:val="18"/>
                <w:u w:val="single"/>
                <w:b w:val="false"/>
                <w:rFonts w:ascii="Arial;sans-serif" w:hAnsi="Arial;sans-serif"/>
                <w:color w:val="0000FF"/>
              </w:rPr>
              <w:fldChar w:fldCharType="end"/>
            </w:r>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r>
              <w:fldChar w:fldCharType="begin"/>
            </w:r>
            <w:r>
              <w:rPr>
                <w:rStyle w:val="InternetLink"/>
                <w:sz w:val="18"/>
                <w:u w:val="single"/>
                <w:b w:val="false"/>
                <w:rFonts w:ascii="Arial;sans-serif" w:hAnsi="Arial;sans-serif"/>
                <w:color w:val="0000FF"/>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Winnebago Industries, Inc. Amended and Restated Employee Stock Purchase Plan. (Incorporated by reference to Appendix B of the Company’s Proxy Statement on Definitive 14A filed on November 4, 2025.)</w:t>
            </w:r>
            <w:r>
              <w:rPr>
                <w:rStyle w:val="InternetLink"/>
                <w:sz w:val="18"/>
                <w:u w:val="single"/>
                <w:b w:val="false"/>
                <w:rFonts w:ascii="Arial;sans-serif" w:hAnsi="Arial;sans-serif"/>
                <w:color w:val="0000FF"/>
              </w:rPr>
              <w:fldChar w:fldCharType="end"/>
            </w:r>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231.htm">
              <w:r>
                <w:rPr>
                  <w:rStyle w:val="InternetLink"/>
                  <w:rFonts w:ascii="Arial;sans-serif" w:hAnsi="Arial;sans-serif"/>
                  <w:b w:val="false"/>
                  <w:color w:val="0000FF"/>
                  <w:sz w:val="18"/>
                  <w:u w:val="single"/>
                </w:rPr>
                <w:t>23.1</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w:anchor="exhibit231.htm">
              <w:r>
                <w:rPr>
                  <w:rStyle w:val="InternetLink"/>
                  <w:rFonts w:ascii="Arial;sans-serif" w:hAnsi="Arial;sans-serif"/>
                  <w:b w:val="false"/>
                  <w:color w:val="0000FF"/>
                  <w:sz w:val="18"/>
                  <w:u w:val="single"/>
                </w:rPr>
                <w:t>Consent of Independent Registered Public Accounting Firm. (Filed herewith.)</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232.htm">
              <w:r>
                <w:rPr>
                  <w:rStyle w:val="InternetLink"/>
                  <w:rFonts w:ascii="Arial;sans-serif" w:hAnsi="Arial;sans-serif"/>
                  <w:b w:val="false"/>
                  <w:color w:val="0000FF"/>
                  <w:sz w:val="18"/>
                  <w:u w:val="single"/>
                </w:rPr>
                <w:t>23.2</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w:anchor="exhibit232.htm">
              <w:r>
                <w:rPr>
                  <w:rStyle w:val="InternetLink"/>
                  <w:rFonts w:ascii="Arial;sans-serif" w:hAnsi="Arial;sans-serif"/>
                  <w:b w:val="false"/>
                  <w:color w:val="000080"/>
                  <w:sz w:val="18"/>
                  <w:u w:val="single"/>
                </w:rPr>
                <w:t>Consent of Faegre Drinker Biddle &amp; Reath LLP</w:t>
              </w:r>
            </w:hyperlink>
            <w:hyperlink w:anchor="exhibit232.htm">
              <w:r>
                <w:rPr>
                  <w:rStyle w:val="InternetLink"/>
                  <w:rFonts w:ascii="Arial;sans-serif" w:hAnsi="Arial;sans-serif"/>
                  <w:b w:val="false"/>
                  <w:color w:val="000080"/>
                  <w:sz w:val="18"/>
                  <w:u w:val="single"/>
                </w:rPr>
                <w:t xml:space="preserve"> (Filed herewit</w:t>
              </w:r>
            </w:hyperlink>
            <w:hyperlink w:anchor="exhibit232.htm">
              <w:r>
                <w:rPr>
                  <w:rStyle w:val="InternetLink"/>
                  <w:rFonts w:ascii="Arial;sans-serif" w:hAnsi="Arial;sans-serif"/>
                  <w:b w:val="false"/>
                  <w:color w:val="000080"/>
                  <w:sz w:val="18"/>
                  <w:u w:val="single"/>
                </w:rPr>
                <w:t>h</w:t>
              </w:r>
            </w:hyperlink>
            <w:hyperlink w:anchor="exhibit232.htm">
              <w:r>
                <w:rPr>
                  <w:rStyle w:val="InternetLink"/>
                  <w:rFonts w:ascii="Arial;sans-serif" w:hAnsi="Arial;sans-serif"/>
                  <w:b w:val="false"/>
                  <w:color w:val="000080"/>
                  <w:sz w:val="18"/>
                  <w:u w:val="single"/>
                </w:rPr>
                <w:t>.</w:t>
              </w:r>
            </w:hyperlink>
            <w:hyperlink w:anchor="exhibit232.htm">
              <w:r>
                <w:rPr>
                  <w:rStyle w:val="InternetLink"/>
                  <w:rFonts w:ascii="Arial;sans-serif" w:hAnsi="Arial;sans-serif"/>
                  <w:b w:val="false"/>
                  <w:color w:val="000080"/>
                  <w:sz w:val="18"/>
                  <w:u w:val="single"/>
                </w:rPr>
                <w:t>)</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ic44144a7cde9483baaf47de3c40fb32b_58">
              <w:r>
                <w:rPr>
                  <w:rStyle w:val="InternetLink"/>
                  <w:rFonts w:ascii="Arial;sans-serif" w:hAnsi="Arial;sans-serif"/>
                  <w:b w:val="false"/>
                  <w:color w:val="0000FF"/>
                  <w:sz w:val="18"/>
                  <w:u w:val="single"/>
                </w:rPr>
                <w:t>24</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w:anchor="ic44144a7cde9483baaf47de3c40fb32b_58">
              <w:r>
                <w:rPr>
                  <w:rStyle w:val="InternetLink"/>
                  <w:rFonts w:ascii="Arial;sans-serif" w:hAnsi="Arial;sans-serif"/>
                  <w:b w:val="false"/>
                  <w:color w:val="0000FF"/>
                  <w:sz w:val="18"/>
                  <w:u w:val="single"/>
                </w:rPr>
                <w:t>Power of Attorney. (Included on the Signature Page of this Registration Statement.)</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filingfees.htm">
              <w:r>
                <w:rPr>
                  <w:rStyle w:val="InternetLink"/>
                  <w:rFonts w:ascii="Arial;sans-serif" w:hAnsi="Arial;sans-serif"/>
                  <w:b w:val="false"/>
                  <w:color w:val="0000FF"/>
                  <w:sz w:val="18"/>
                  <w:u w:val="single"/>
                </w:rPr>
                <w:t>107</w:t>
              </w:r>
            </w:hyperlink>
          </w:p>
        </w:tc>
        <w:tc>
          <w:tcPr>
            <w:tcW w:w="9312" w:type="dxa"/>
            <w:gridSpan w:val="3"/>
            <w:tcBorders/>
            <w:tcMar>
              <w:top w:w="0" w:type="dxa"/>
              <w:left w:w="0" w:type="dxa"/>
              <w:bottom w:w="0" w:type="dxa"/>
              <w:right w:w="0" w:type="dxa"/>
            </w:tcMar>
            <w:vAlign w:val="center"/>
          </w:tcPr>
          <w:p>
            <w:pPr>
              <w:pStyle w:val="TableContents"/>
              <w:bidi w:val="0"/>
              <w:spacing w:lineRule="auto" w:line="276" w:before="30" w:after="30"/>
              <w:jc w:val="left"/>
              <w:rPr/>
            </w:pPr>
            <w:hyperlink w:anchor="exfilingfees.htm">
              <w:r>
                <w:rPr>
                  <w:rStyle w:val="InternetLink"/>
                  <w:rFonts w:ascii="Arial;sans-serif" w:hAnsi="Arial;sans-serif"/>
                  <w:b w:val="false"/>
                  <w:color w:val="0000FF"/>
                  <w:sz w:val="18"/>
                  <w:u w:val="single"/>
                </w:rPr>
                <w:t>Calculation of Filing Fee Table. (Filed herewith.)</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Item 9. Undertakings.</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A.The Company hereby undertakes:</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1.To file, during any period in which offers or sales are being made, a post-effective amendment to this Registration Statement:</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i.To include any prospectus required by Section 10(a)(3) of the Securities Act of 1933;</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percent change in the maximum aggregate offering price set forth in the “Calculation of Filing Fee Tables” table in the effective Registration Statement; and</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76" w:before="0" w:after="180"/>
        <w:jc w:val="left"/>
        <w:rPr/>
      </w:pPr>
      <w:r>
        <w:rPr>
          <w:rFonts w:ascii="Arial;sans-serif" w:hAnsi="Arial;sans-serif"/>
          <w:b w:val="false"/>
          <w:i/>
          <w:color w:val="000000"/>
          <w:sz w:val="18"/>
        </w:rPr>
        <w:t xml:space="preserve">provided, however, </w:t>
      </w:r>
      <w:r>
        <w:rPr>
          <w:rFonts w:ascii="Arial;sans-serif" w:hAnsi="Arial;sans-serif"/>
          <w:b w:val="false"/>
          <w:color w:val="000000"/>
          <w:sz w:val="18"/>
        </w:rPr>
        <w:t>that paragraphs (A)(1)(i) and (A)(1)(ii) do not apply if the Registration Statement is on Form S-8 and the information required to be included in a post-effective amendment by those paragraphs is contained in reports filed with or furnished to the Securities and Exchange Commission by the Company pursuant to Section 13 or Section 15(d) of the Securities Exchange Act of 1934 that are incorporated by reference in the Registration Statement.</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76" w:before="0" w:after="180"/>
        <w:ind w:left="0" w:right="0" w:hanging="360"/>
        <w:jc w:val="left"/>
        <w:rPr>
          <w:rFonts w:ascii="Arial;sans-serif" w:hAnsi="Arial;sans-serif"/>
          <w:b w:val="false"/>
          <w:color w:val="000000"/>
          <w:sz w:val="18"/>
        </w:rPr>
      </w:pPr>
      <w:r>
        <w:rPr>
          <w:rFonts w:ascii="Arial;sans-serif" w:hAnsi="Arial;sans-serif"/>
          <w:b w:val="false"/>
          <w:color w:val="000000"/>
          <w:sz w:val="18"/>
        </w:rPr>
        <w:t>3.To remove from registration by means of a post-effective amendment any of the securities being registered which remain unsold at the termination of the offering.</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Company hereby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76" w:before="0" w:after="360"/>
        <w:ind w:left="0" w:right="0" w:hanging="360"/>
        <w:jc w:val="left"/>
        <w:rPr>
          <w:rFonts w:ascii="Arial;sans-serif" w:hAnsi="Arial;sans-serif"/>
          <w:b w:val="false"/>
          <w:color w:val="000000"/>
          <w:sz w:val="18"/>
        </w:rPr>
      </w:pPr>
      <w:r>
        <w:rPr>
          <w:rFonts w:ascii="Arial;sans-serif" w:hAnsi="Arial;sans-serif"/>
          <w:b w:val="false"/>
          <w:color w:val="000000"/>
          <w:sz w:val="18"/>
        </w:rPr>
        <w:t>C.Insofar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Eden Prairie, State of Minnesota, on December 19, 2025.</w:t>
      </w:r>
    </w:p>
    <w:tbl>
      <w:tblPr>
        <w:tblW w:w="850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283"/>
        <w:gridCol w:w="2283"/>
        <w:gridCol w:w="3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By:</w:t>
            </w:r>
          </w:p>
        </w:tc>
        <w:tc>
          <w:tcPr>
            <w:tcW w:w="7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 Stacy L. Bogart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Stacy L. Bogart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Senior Vice President – Chief Legal Officer, Corporate Secretary and Corporate Responsibility</w:t>
            </w:r>
          </w:p>
        </w:tc>
      </w:tr>
    </w:tbl>
    <w:p>
      <w:pPr>
        <w:pStyle w:val="TextBody"/>
        <w:bidi w:val="0"/>
        <w:spacing w:lineRule="auto" w:line="276" w:before="0" w:after="180"/>
        <w:jc w:val="center"/>
        <w:rPr>
          <w:rFonts w:ascii="Arial;sans-serif" w:hAnsi="Arial;sans-serif"/>
          <w:b/>
          <w:color w:val="000000"/>
          <w:sz w:val="18"/>
        </w:rPr>
      </w:pPr>
      <w:r>
        <w:rPr>
          <w:rFonts w:ascii="Arial;sans-serif" w:hAnsi="Arial;sans-serif"/>
          <w:b/>
          <w:color w:val="000000"/>
          <w:sz w:val="18"/>
        </w:rPr>
        <w:t>SIGNATURES AND POWER OF ATTORNEY</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undersigned director and/or officer of Winnebago Industries, Inc., a Minnesota corporation (the “Company”), does hereby make, constitute and appoint Michael J. Happe, Bryan L. Hughes and Stacy L. Bogart, and each of them, his or her true and lawful attorneys-in-fact, with full power of substitution, for the undersigned and in his or her name, place and stead, to sign and affix the undersigned’s name as director and/or officer of the Company to a Registration Statement or Registration Statements, on Form S-8 or other applicable form, and all amendments (including post-effective amendments) thereto, to be filed by the Company with the Securities and Exchange Commission (the “SEC”), in connection with the registration under the Securities Act of 1933, as amended, of shares of Common Stock or other securities proposed to be issued or sold by the Company pursuant to the Winnebago Industries, Inc. Amended and Restated 2019 Omnibus Incentive Plan and the Winnebago Industries, Inc. Amended and Restated Employee Stock Purchase Plan and to file the same with the SEC, granting unto these attorneys-in-fact, full power and authority to do and perform any and all acts necessary or incidental to the performance and execution of the powers herein expressly granted.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Pursuant to the requirements of the Securities Act of 1933, this Registration Statement has been signed by the following persons in the capacities indicated on December 19, 2025.</w:t>
      </w:r>
    </w:p>
    <w:tbl>
      <w:tblPr>
        <w:tblW w:w="6194" w:type="dxa"/>
        <w:jc w:val="left"/>
        <w:tblInd w:w="0" w:type="dxa"/>
        <w:tblLayout w:type="fixed"/>
        <w:tblCellMar>
          <w:top w:w="28" w:type="dxa"/>
          <w:left w:w="28" w:type="dxa"/>
          <w:bottom w:w="28" w:type="dxa"/>
          <w:right w:w="28" w:type="dxa"/>
        </w:tblCellMar>
      </w:tblPr>
      <w:tblGrid>
        <w:gridCol w:w="735"/>
        <w:gridCol w:w="643"/>
        <w:gridCol w:w="646"/>
        <w:gridCol w:w="1212"/>
        <w:gridCol w:w="1212"/>
        <w:gridCol w:w="1746"/>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u w:val="single"/>
              </w:rPr>
            </w:pPr>
            <w:r>
              <w:rPr>
                <w:rFonts w:ascii="Arial;sans-serif" w:hAnsi="Arial;sans-serif"/>
                <w:b/>
                <w:color w:val="000000"/>
                <w:sz w:val="18"/>
                <w:u w:val="single"/>
              </w:rPr>
              <w:t>SIGNATURE</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u w:val="single"/>
              </w:rPr>
            </w:pPr>
            <w:r>
              <w:rPr>
                <w:rFonts w:ascii="Arial;sans-serif" w:hAnsi="Arial;sans-serif"/>
                <w:b/>
                <w:color w:val="000000"/>
                <w:sz w:val="18"/>
                <w:u w:val="single"/>
              </w:rPr>
              <w:t>TITLE</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 and 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 xml:space="preserve">Chief Financial Officer and Senior Vice President </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Sara E. Armbruster</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Sara E. Armbruster</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Christopher J. Braun</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Christopher J. Braun</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Kevin E. Bryant</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Kevin E. Bryant</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William C. Fisher</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William C. Fisher</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Staci L. Kroon</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Staci L. Kroon</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David W. Miles</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David W. Miles</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John M. Murabito</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John M. Murabito</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/s/ Michael E. Pack</w:t>
            </w:r>
          </w:p>
        </w:tc>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Michael E. Pack</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0"/>
        <w:jc w:val="center"/>
        <w:rPr/>
      </w:pPr>
      <w:r>
        <w:rPr/>
      </w:r>
    </w:p>
    <w:p>
      <w:pPr>
        <w:pStyle w:val="TextBody"/>
        <w:bidi w:val="0"/>
        <w:spacing w:before="0" w:after="360"/>
        <w:jc w:val="left"/>
        <w:rPr/>
      </w:pPr>
      <w:r>
        <w:rPr/>
      </w:r>
    </w:p>
    <w:p>
      <w:pPr>
        <w:pStyle w:val="TextBody"/>
        <w:bidi w:val="0"/>
        <w:spacing w:before="240" w:after="120"/>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65" w:type="dxa"/>
        <w:jc w:val="left"/>
        <w:tblInd w:w="0" w:type="dxa"/>
        <w:tblLayout w:type="fixed"/>
        <w:tblCellMar>
          <w:top w:w="28" w:type="dxa"/>
          <w:left w:w="28" w:type="dxa"/>
          <w:bottom w:w="28" w:type="dxa"/>
          <w:right w:w="28" w:type="dxa"/>
        </w:tblCellMar>
      </w:tblPr>
      <w:tblGrid>
        <w:gridCol w:w="3811"/>
        <w:gridCol w:w="154"/>
      </w:tblGrid>
      <w:tr>
        <w:trPr/>
        <w:tc>
          <w:tcPr>
            <w:tcW w:w="39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1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b/>
              </w:rPr>
            </w:pPr>
            <w:r>
              <w:rPr>
                <w:b/>
              </w:rPr>
              <w:t xml:space="preserve">WINNEBAGO INDUSTRIES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$0.50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820,000 </w:t>
            </w:r>
          </w:p>
        </w:tc>
        <w:tc>
          <w:tcPr>
            <w:tcW w:w="1214" w:type="dxa"/>
            <w:tcBorders/>
            <w:shd w:fill="E7E7E2" w:val="clear"/>
            <w:vAlign w:val="center"/>
          </w:tcPr>
          <w:p>
            <w:pPr>
              <w:pStyle w:val="TableContents"/>
              <w:bidi w:val="0"/>
              <w:spacing w:before="0" w:after="283"/>
              <w:jc w:val="right"/>
              <w:rPr/>
            </w:pPr>
            <w:r>
              <w:rPr/>
              <w:t xml:space="preserve">$ 39.70 </w:t>
            </w:r>
          </w:p>
        </w:tc>
        <w:tc>
          <w:tcPr>
            <w:tcW w:w="1702" w:type="dxa"/>
            <w:tcBorders/>
            <w:shd w:fill="E7E7E2" w:val="clear"/>
            <w:vAlign w:val="center"/>
          </w:tcPr>
          <w:p>
            <w:pPr>
              <w:pStyle w:val="TableContents"/>
              <w:bidi w:val="0"/>
              <w:spacing w:before="0" w:after="283"/>
              <w:jc w:val="right"/>
              <w:rPr/>
            </w:pPr>
            <w:r>
              <w:rPr/>
              <w:t xml:space="preserve">$ 32,554,000.00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$ 4,495.71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$0.50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200,000 </w:t>
            </w:r>
          </w:p>
        </w:tc>
        <w:tc>
          <w:tcPr>
            <w:tcW w:w="1214" w:type="dxa"/>
            <w:tcBorders/>
            <w:shd w:fill="E7E7E2" w:val="clear"/>
            <w:vAlign w:val="center"/>
          </w:tcPr>
          <w:p>
            <w:pPr>
              <w:pStyle w:val="TableContents"/>
              <w:bidi w:val="0"/>
              <w:spacing w:before="0" w:after="283"/>
              <w:jc w:val="right"/>
              <w:rPr/>
            </w:pPr>
            <w:r>
              <w:rPr/>
              <w:t xml:space="preserve">$ 39.70 </w:t>
            </w:r>
          </w:p>
        </w:tc>
        <w:tc>
          <w:tcPr>
            <w:tcW w:w="1702" w:type="dxa"/>
            <w:tcBorders/>
            <w:shd w:fill="E7E7E2" w:val="clear"/>
            <w:vAlign w:val="center"/>
          </w:tcPr>
          <w:p>
            <w:pPr>
              <w:pStyle w:val="TableContents"/>
              <w:bidi w:val="0"/>
              <w:spacing w:before="0" w:after="283"/>
              <w:jc w:val="right"/>
              <w:rPr/>
            </w:pPr>
            <w:r>
              <w:rPr/>
              <w:t xml:space="preserve">$ 7,940,000.00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$ 1,096.52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4" w:name="MaxAggtOfferingPrice"/>
            <w:bookmarkEnd w:id="4"/>
            <w:r>
              <w:rPr/>
              <w:t xml:space="preserve">$ 40,494,000.00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$ 5,592.23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7" w:name="NetFeeAmt"/>
            <w:bookmarkEnd w:id="7"/>
            <w:r>
              <w:rPr/>
              <w:t xml:space="preserve">$ 5,592.23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6"/>
        <w:gridCol w:w="8705"/>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Common Stock that become issuable under the Winnebago Industries, Inc. Amended and Restated 2019 Omnibus Incentive Plan (as amended and restated, the 2019 Plan) and the Winnebago Industries, Inc. Amended and Restated Employee Stock Purchase Plan (as amended and restated, the ESPP) by reason of any stock split, stock dividend or other similar transaction effected without the receipt of consideration which results in an increase in the number of shares of outstanding Common Stock.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4"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1"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Common Stock that become issuable under the Winnebago Industries, Inc. Amended and Restated 2019 Omnibus Incentive Plan (as amended and restated, the 2019 Plan) and the Winnebago Industries, Inc. Amended and Restated Employee Stock Purchase Plan (as amended and restated, the ESPP) by reason of any stock split, stock dividend or other similar transaction effected without the receipt of consideration which results in an increase in the number of shares of outstanding Common Stock.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0" w:before="0" w:after="0"/>
        <w:jc w:val="right"/>
        <w:rPr>
          <w:rFonts w:ascii="Arial;sans-serif" w:hAnsi="Arial;sans-serif"/>
          <w:b/>
          <w:color w:val="000000"/>
          <w:sz w:val="18"/>
        </w:rPr>
      </w:pPr>
      <w:r>
        <w:rPr>
          <w:rFonts w:ascii="Arial;sans-serif" w:hAnsi="Arial;sans-serif"/>
          <w:b/>
          <w:color w:val="000000"/>
          <w:sz w:val="18"/>
        </w:rPr>
        <w:t>Exhibit 5.1</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Faegre Drinker Biddle &amp; Reath LLP</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2200 Wells Fargo Center, 90 South Seventh Street</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Minneapolis, Minnesota 55402-3901</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Phone +1 612 766 7000</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Fax +1 612 766 1600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December 19, 2025</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13200 Pioneer Trail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Eden Prairie, Minnesota 55347</w:t>
      </w:r>
    </w:p>
    <w:p>
      <w:pPr>
        <w:pStyle w:val="TextBody"/>
        <w:bidi w:val="0"/>
        <w:spacing w:before="0" w:after="0"/>
        <w:jc w:val="left"/>
        <w:rPr/>
      </w:pPr>
      <w:r>
        <w:rPr/>
      </w:r>
    </w:p>
    <w:p>
      <w:pPr>
        <w:pStyle w:val="TextBody"/>
        <w:bidi w:val="0"/>
        <w:spacing w:lineRule="auto" w:line="288" w:before="0" w:after="0"/>
        <w:ind w:left="0" w:right="0" w:firstLine="432"/>
        <w:jc w:val="left"/>
        <w:rPr/>
      </w:pPr>
      <w:r>
        <w:rPr>
          <w:rFonts w:ascii="Arial;sans-serif" w:hAnsi="Arial;sans-serif"/>
          <w:b w:val="false"/>
          <w:color w:val="000000"/>
          <w:sz w:val="18"/>
        </w:rPr>
        <w:t xml:space="preserve">Re: </w:t>
      </w:r>
      <w:r>
        <w:rPr>
          <w:rFonts w:ascii="Arial;sans-serif" w:hAnsi="Arial;sans-serif"/>
          <w:b w:val="false"/>
          <w:color w:val="000000"/>
          <w:sz w:val="18"/>
          <w:u w:val="single"/>
        </w:rPr>
        <w:t>Registration Statement on Form S-8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Ladies and Gentlemen:</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have acted as counsel to Winnebago Industries, Inc., a Minnesota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(i) an additional 820,000 shares of the Company’s Common Stock, $.50 par value per share (the “2019 Plan Shares”), which may be issued pursuant to the Winnebago Industries, Inc. 2019 Amended and Restated Omnibus Incentive Plan (as amended and restated, the “2019 Plan”), and (ii) an additional 200,000 shares of the Company’s Common Stock, $.50 par value per share (the “ESPP Shares” and, together with the 2019 Shares, the “Shares”), which may be issued pursuant to the Winnebago Industries, Inc. Amended and Restated Employee Stock Purchase Plan (as amended, the “ESPP” and, together with the 2019 Plan, the “Plans”).</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For purposes of this opinion letter, we have examined the Plans, the Registration Statement, the Articles of Incorporation, as currently in effect, and the Bylaws, as currently in effect, of the Company, the resolutions of the Company’s board of directors authorizing the issuance of the Shares and such corporate and other records, agreements, instruments, certificates of public officials and documents as we have deemed necessary as a basis for the opinions hereinafter expressed and have made such examination of statutes as we have deemed relevant and necessary in connection with the opinions hereinafter expressed. As to facts material to this opinion letter, we have relied upon certificates, statements, or representations of public officials, of officers and representatives of the Company and of others, without any independent verification thereof.</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records, documents, instruments, certificates and records we have reviewed; and (vii) the absence of any undisclosed modifications to the agreements and instruments reviewed by us.</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applicable Plan and that, when (a) the Shares have been issued and sold as contemplated in the Registration Statement and related prospectus and in accordance with the applicable Plan, and (b) the consideration for the Shares specified in the applicable Plan has been received by the Company, the Shares will be validly issued, fully paid and nonassessable.</w:t>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are admitted to the practice of law in the State of Minnesota.</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Yours very truly,</w:t>
      </w:r>
    </w:p>
    <w:p>
      <w:pPr>
        <w:pStyle w:val="TextBody"/>
        <w:bidi w:val="0"/>
        <w:spacing w:lineRule="auto" w:line="288" w:before="0" w:after="60"/>
        <w:ind w:left="0" w:right="0" w:firstLine="432"/>
        <w:jc w:val="left"/>
        <w:rPr/>
      </w:pPr>
      <w:r>
        <w:rPr>
          <w:color w:val="000000"/>
        </w:rPr>
        <w:t>    </w:t>
      </w:r>
      <w:r>
        <w:rPr>
          <w:color w:val="000000"/>
          <w:u w:val="single"/>
        </w:rPr>
        <w:t xml:space="preserve"> </w:t>
      </w:r>
      <w:r>
        <w:rPr>
          <w:rFonts w:ascii="Arial;sans-serif" w:hAnsi="Arial;sans-serif"/>
          <w:b w:val="false"/>
          <w:i/>
          <w:color w:val="000000"/>
          <w:sz w:val="18"/>
          <w:u w:val="single"/>
        </w:rPr>
        <w:t>/s/ FAEGRE DRINKER BIDDLE &amp; REATH LLP</w:t>
      </w:r>
      <w:r>
        <w:rPr>
          <w:color w:val="000000"/>
          <w:u w:val="single"/>
        </w:rPr>
        <w:t>            </w:t>
      </w:r>
    </w:p>
    <w:p>
      <w:pPr>
        <w:pStyle w:val="TextBody"/>
        <w:bidi w:val="0"/>
        <w:spacing w:lineRule="auto" w:line="288"/>
        <w:jc w:val="left"/>
        <w:rPr>
          <w:color w:val="000000"/>
        </w:rPr>
      </w:pPr>
      <w:r>
        <w:rPr>
          <w:color w:val="000000"/>
        </w:rPr>
        <w:t>                                </w:t>
      </w:r>
      <w:r>
        <w:rPr>
          <w:rFonts w:ascii="Arial;sans-serif" w:hAnsi="Arial;sans-serif"/>
          <w:b w:val="false"/>
          <w:color w:val="000000"/>
          <w:sz w:val="18"/>
        </w:rPr>
        <w:t>FAEGRE DRINKER BIDDLE &amp; REATH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0" w:after="0"/>
        <w:jc w:val="right"/>
        <w:rPr>
          <w:rFonts w:ascii="Arial;sans-serif" w:hAnsi="Arial;sans-serif"/>
          <w:b/>
          <w:color w:val="000000"/>
          <w:sz w:val="18"/>
        </w:rPr>
      </w:pPr>
      <w:r>
        <w:rPr>
          <w:rFonts w:ascii="Arial;sans-serif" w:hAnsi="Arial;sans-serif"/>
          <w:b/>
          <w:color w:val="000000"/>
          <w:sz w:val="18"/>
        </w:rPr>
        <w:t>Exhibit 23.1</w:t>
      </w:r>
    </w:p>
    <w:p>
      <w:pPr>
        <w:pStyle w:val="TextBody"/>
        <w:bidi w:val="0"/>
        <w:spacing w:before="0" w:after="0"/>
        <w:jc w:val="left"/>
        <w:rPr/>
      </w:pPr>
      <w:r>
        <w:rPr/>
      </w:r>
    </w:p>
    <w:p>
      <w:pPr>
        <w:pStyle w:val="TextBody"/>
        <w:bidi w:val="0"/>
        <w:spacing w:lineRule="auto" w:line="280" w:before="0" w:after="0"/>
        <w:jc w:val="left"/>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consent to the incorporation by reference in this Registration Statement on Form S-8 of our reports dated October 22, 2025, relating to the financial statements of Winnebago Industries, Inc. and the effectiveness of Winnebago Industries, Inc.’s internal control over financial reporting, appearing in the Annual Report on Form 10-K of Winnebago Industries, Inc. for the year ended August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Minneapolis, Minnesota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December 19, 2025</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0" w:after="0"/>
        <w:jc w:val="right"/>
        <w:rPr>
          <w:rFonts w:ascii="Arial;sans-serif" w:hAnsi="Arial;sans-serif"/>
          <w:b/>
          <w:color w:val="000000"/>
          <w:sz w:val="18"/>
        </w:rPr>
      </w:pPr>
      <w:r>
        <w:rPr>
          <w:rFonts w:ascii="Arial;sans-serif" w:hAnsi="Arial;sans-serif"/>
          <w:b/>
          <w:color w:val="000000"/>
          <w:sz w:val="18"/>
        </w:rPr>
        <w:t>Exhibit 23.2</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Faegre Drinker Biddle &amp; Reath LLP</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2200 Wells Fargo Center, 90 South Seventh Street</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Minneapolis, Minnesota 55402-3901</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Phone +1 612 766 7000</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Fax +1 612 766 1600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December 19, 2025</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13200 Pioneer Trail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Eden Prairie, Minnesota 55347</w:t>
      </w:r>
    </w:p>
    <w:p>
      <w:pPr>
        <w:pStyle w:val="TextBody"/>
        <w:bidi w:val="0"/>
        <w:spacing w:before="0" w:after="0"/>
        <w:jc w:val="left"/>
        <w:rPr/>
      </w:pPr>
      <w:r>
        <w:rPr/>
      </w:r>
    </w:p>
    <w:p>
      <w:pPr>
        <w:pStyle w:val="TextBody"/>
        <w:bidi w:val="0"/>
        <w:spacing w:lineRule="auto" w:line="288" w:before="0" w:after="0"/>
        <w:ind w:left="0" w:right="0" w:firstLine="432"/>
        <w:jc w:val="left"/>
        <w:rPr/>
      </w:pPr>
      <w:r>
        <w:rPr>
          <w:rFonts w:ascii="Arial;sans-serif" w:hAnsi="Arial;sans-serif"/>
          <w:b w:val="false"/>
          <w:color w:val="000000"/>
          <w:sz w:val="18"/>
        </w:rPr>
        <w:t xml:space="preserve">Re: </w:t>
      </w:r>
      <w:r>
        <w:rPr>
          <w:rFonts w:ascii="Arial;sans-serif" w:hAnsi="Arial;sans-serif"/>
          <w:b w:val="false"/>
          <w:color w:val="000000"/>
          <w:sz w:val="18"/>
          <w:u w:val="single"/>
        </w:rPr>
        <w:t>Registration Statement on Form S-8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Ladies and Gentlemen:</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have acted as counsel to Winnebago Industries, Inc., a Minnesota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(i) an additional 820,000 shares of the Company’s Common Stock, $.50 par value per share (the “2019 Plan Shares”), which may be issued pursuant to the Winnebago Industries, Inc. 2019 Amended and Restated Omnibus Incentive Plan (as amended and restated, the “2019 Plan”), and (ii) an additional 200,000 shares of the Company’s Common Stock, $.50 par value per share (the “ESPP Shares” and, together with the 2019 Shares, the “Shares”), which may be issued pursuant to the Winnebago Industries, Inc. Amended and Restated Employee Stock Purchase Plan (as amended, the “ESPP” and, together with the 2019 Plan, the “Plans”).</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For purposes of this opinion letter, we have examined the Plans, the Registration Statement, the Articles of Incorporation, as currently in effect, and the Bylaws, as currently in effect, of the Company, the resolutions of the Company’s board of directors authorizing the issuance of the Shares and such corporate and other records, agreements, instruments, certificates of public officials and documents as we have deemed necessary as a basis for the opinions hereinafter expressed and have made such examination of statutes as we have deemed relevant and necessary in connection with the opinions hereinafter expressed. As to facts material to this opinion letter, we have relied upon certificates, statements, or representations of public officials, of officers and representatives of the Company and of others, without any independent verification thereof.</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records, documents, instruments, certificates and records we have reviewed; and (vii) the absence of any undisclosed modifications to the agreements and instruments reviewed by us.</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applicable Plan and that, when (a) the Shares have been issued and sold as contemplated in the Registration Statement and related prospectus and in accordance with the applicable Plan, and (b) the consideration for the Shares specified in the applicable Plan has been received by the Company, the Shares will be validly issued, fully paid and nonassessable.</w:t>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are admitted to the practice of law in the State of Minnesota.</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pStyle w:val="TextBody"/>
        <w:bidi w:val="0"/>
        <w:spacing w:before="0" w:after="0"/>
        <w:jc w:val="left"/>
        <w:rPr/>
      </w:pPr>
      <w:r>
        <w:rPr/>
      </w:r>
    </w:p>
    <w:p>
      <w:pPr>
        <w:pStyle w:val="TextBody"/>
        <w:bidi w:val="0"/>
        <w:spacing w:lineRule="auto" w:line="288" w:before="0" w:after="0"/>
        <w:ind w:left="0" w:right="0" w:firstLine="432"/>
        <w:jc w:val="left"/>
        <w:rPr>
          <w:rFonts w:ascii="Arial;sans-serif" w:hAnsi="Arial;sans-serif"/>
          <w:b w:val="false"/>
          <w:color w:val="000000"/>
          <w:sz w:val="18"/>
        </w:rPr>
      </w:pPr>
      <w:r>
        <w:rPr>
          <w:rFonts w:ascii="Arial;sans-serif" w:hAnsi="Arial;sans-serif"/>
          <w:b w:val="false"/>
          <w:color w:val="000000"/>
          <w:sz w:val="18"/>
        </w:rPr>
        <w:t>Yours very truly,</w:t>
      </w:r>
    </w:p>
    <w:p>
      <w:pPr>
        <w:pStyle w:val="TextBody"/>
        <w:bidi w:val="0"/>
        <w:spacing w:lineRule="auto" w:line="288" w:before="0" w:after="60"/>
        <w:ind w:left="0" w:right="0" w:firstLine="432"/>
        <w:jc w:val="left"/>
        <w:rPr/>
      </w:pPr>
      <w:r>
        <w:rPr>
          <w:color w:val="000000"/>
        </w:rPr>
        <w:t>    </w:t>
      </w:r>
      <w:r>
        <w:rPr>
          <w:color w:val="000000"/>
          <w:u w:val="single"/>
        </w:rPr>
        <w:t xml:space="preserve"> </w:t>
      </w:r>
      <w:r>
        <w:rPr>
          <w:rFonts w:ascii="Arial;sans-serif" w:hAnsi="Arial;sans-serif"/>
          <w:b w:val="false"/>
          <w:i/>
          <w:color w:val="000000"/>
          <w:sz w:val="18"/>
          <w:u w:val="single"/>
        </w:rPr>
        <w:t>/s/ FAEGRE DRINKER BIDDLE &amp; REATH LLP</w:t>
      </w:r>
      <w:r>
        <w:rPr>
          <w:color w:val="000000"/>
          <w:u w:val="single"/>
        </w:rPr>
        <w:t>            </w:t>
      </w:r>
    </w:p>
    <w:p>
      <w:pPr>
        <w:pStyle w:val="TextBody"/>
        <w:bidi w:val="0"/>
        <w:spacing w:lineRule="auto" w:line="288"/>
        <w:jc w:val="left"/>
        <w:rPr>
          <w:color w:val="000000"/>
        </w:rPr>
      </w:pPr>
      <w:r>
        <w:rPr>
          <w:color w:val="000000"/>
        </w:rPr>
        <w:t>                                </w:t>
      </w:r>
      <w:r>
        <w:rPr>
          <w:rFonts w:ascii="Arial;sans-serif" w:hAnsi="Arial;sans-serif"/>
          <w:b w:val="false"/>
          <w:color w:val="000000"/>
          <w:sz w:val="18"/>
        </w:rPr>
        <w:t>FAEGRE DRINKER BIDDLE &amp; REATH LLP</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010768719000013/a2019s-8registration.htm" TargetMode="External"/><Relationship Id="rId4" Type="http://schemas.openxmlformats.org/officeDocument/2006/relationships/hyperlink" Target="https://www.sec.gov/Archives/edgar/data/107687/000110465923127768/tm2333256d1_s8.htm" TargetMode="External"/><Relationship Id="rId5" Type="http://schemas.openxmlformats.org/officeDocument/2006/relationships/hyperlink" Target="https://www.sec.gov/Archives/edgar/data/107687/000010768717000131/wgo2017s-8.htm" TargetMode="External"/><Relationship Id="rId6" Type="http://schemas.openxmlformats.org/officeDocument/2006/relationships/hyperlink" Target="https://www.sec.gov/Archives/edgar/data/107687/000110465923127768/tm2333256d1_s8.htm" TargetMode="External"/><Relationship Id="rId7" Type="http://schemas.openxmlformats.org/officeDocument/2006/relationships/hyperlink" Target="https://www.sec.gov/ix?doc=/Archives/edgar/data/0000107687/000010768725000034/wgo-20250830.htm" TargetMode="External"/><Relationship Id="rId8" Type="http://schemas.openxmlformats.org/officeDocument/2006/relationships/hyperlink" Target="https://www.sec.gov/Archives/edgar/data/107687/000010768725000047/wgo-20251129.htm" TargetMode="External"/><Relationship Id="rId9" Type="http://schemas.openxmlformats.org/officeDocument/2006/relationships/hyperlink" Target="https://www.sec.gov/Archives/edgar/data/107687/000010768725000037/wgo-20251216.htm" TargetMode="External"/><Relationship Id="rId10" Type="http://schemas.openxmlformats.org/officeDocument/2006/relationships/hyperlink" Target="https://www.sec.gov/Archives/edgar/data/107687/000010768722000024/exh4a202210-k.htm" TargetMode="External"/><Relationship Id="rId11" Type="http://schemas.openxmlformats.org/officeDocument/2006/relationships/hyperlink" Target="https://www.sec.gov/Archives/edgar/data/107687/000010768722000004/wgo-mnarticlesreincorporat.htm" TargetMode="External"/><Relationship Id="rId12" Type="http://schemas.openxmlformats.org/officeDocument/2006/relationships/hyperlink" Target="https://www.sec.gov/Archives/edgar/data/107687/000010768722000004/wgo-mnarticlesreincorporat.htm" TargetMode="External"/><Relationship Id="rId13" Type="http://schemas.openxmlformats.org/officeDocument/2006/relationships/hyperlink" Target="https://www.sec.gov/Archives/edgar/data/107687/000010768721000035/winnebagoindustriesinc-byl.htm" TargetMode="External"/><Relationship Id="rId14" Type="http://schemas.openxmlformats.org/officeDocument/2006/relationships/hyperlink" Target="https://www.sec.gov/Archives/edgar/data/107687/000010768721000035/winnebagoindustriesinc-byl.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4395</Words>
  <Characters>23895</Characters>
  <CharactersWithSpaces>28209</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