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9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8-K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9" w:lineRule="exact"/>
        <w:rPr>
          <w:sz w:val="24"/>
          <w:szCs w:val="24"/>
          <w:color w:val="auto"/>
        </w:rPr>
      </w:pPr>
    </w:p>
    <w:p>
      <w:pPr>
        <w:ind w:left="2560"/>
        <w:spacing w:after="0"/>
        <w:tabs>
          <w:tab w:leader="none" w:pos="67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October 13,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3739515</wp:posOffset>
            </wp:positionH>
            <wp:positionV relativeFrom="paragraph">
              <wp:posOffset>-13970</wp:posOffset>
            </wp:positionV>
            <wp:extent cx="18916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1665"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2484755</wp:posOffset>
            </wp:positionH>
            <wp:positionV relativeFrom="paragraph">
              <wp:posOffset>-13970</wp:posOffset>
            </wp:positionV>
            <wp:extent cx="22879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7905"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1660" w:type="dxa"/>
        <w:tblCellMar>
          <w:top w:w="0" w:type="dxa"/>
          <w:left w:w="0" w:type="dxa"/>
          <w:bottom w:w="0" w:type="dxa"/>
          <w:right w:w="0" w:type="dxa"/>
        </w:tblCellMar>
      </w:tblPr>
      <w:tr>
        <w:trPr>
          <w:trHeight w:val="222"/>
        </w:trPr>
        <w:tc>
          <w:tcPr>
            <w:tcW w:w="3140" w:type="dxa"/>
            <w:vAlign w:val="bottom"/>
            <w:gridSpan w:val="3"/>
          </w:tcPr>
          <w:p>
            <w:pPr>
              <w:jc w:val="center"/>
              <w:ind w:right="380"/>
              <w:spacing w:after="0"/>
              <w:rPr>
                <w:sz w:val="20"/>
                <w:szCs w:val="20"/>
                <w:color w:val="auto"/>
              </w:rPr>
            </w:pPr>
            <w:r>
              <w:rPr>
                <w:rFonts w:ascii="Arial" w:cs="Arial" w:eastAsia="Arial" w:hAnsi="Arial"/>
                <w:sz w:val="18"/>
                <w:szCs w:val="18"/>
                <w:color w:val="auto"/>
                <w:w w:val="94"/>
              </w:rPr>
              <w:t>Iowa</w:t>
            </w:r>
          </w:p>
        </w:tc>
        <w:tc>
          <w:tcPr>
            <w:tcW w:w="2100" w:type="dxa"/>
            <w:vAlign w:val="bottom"/>
            <w:gridSpan w:val="4"/>
          </w:tcPr>
          <w:p>
            <w:pPr>
              <w:jc w:val="right"/>
              <w:ind w:right="680"/>
              <w:spacing w:after="0"/>
              <w:rPr>
                <w:sz w:val="20"/>
                <w:szCs w:val="20"/>
                <w:color w:val="auto"/>
              </w:rPr>
            </w:pPr>
            <w:r>
              <w:rPr>
                <w:rFonts w:ascii="Arial" w:cs="Arial" w:eastAsia="Arial" w:hAnsi="Arial"/>
                <w:sz w:val="18"/>
                <w:szCs w:val="18"/>
                <w:color w:val="auto"/>
              </w:rPr>
              <w:t>001-06403</w:t>
            </w:r>
          </w:p>
        </w:tc>
        <w:tc>
          <w:tcPr>
            <w:tcW w:w="1980" w:type="dxa"/>
            <w:vAlign w:val="bottom"/>
            <w:gridSpan w:val="3"/>
          </w:tcPr>
          <w:p>
            <w:pPr>
              <w:jc w:val="center"/>
              <w:ind w:left="992"/>
              <w:spacing w:after="0"/>
              <w:rPr>
                <w:sz w:val="20"/>
                <w:szCs w:val="20"/>
                <w:color w:val="auto"/>
              </w:rPr>
            </w:pPr>
            <w:r>
              <w:rPr>
                <w:rFonts w:ascii="Arial" w:cs="Arial" w:eastAsia="Arial" w:hAnsi="Arial"/>
                <w:sz w:val="18"/>
                <w:szCs w:val="18"/>
                <w:color w:val="auto"/>
                <w:w w:val="89"/>
              </w:rPr>
              <w:t>42-0802678</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10"/>
        </w:trPr>
        <w:tc>
          <w:tcPr>
            <w:tcW w:w="27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343"/>
        </w:trPr>
        <w:tc>
          <w:tcPr>
            <w:tcW w:w="314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(State or other jurisdiction</w:t>
            </w:r>
          </w:p>
        </w:tc>
        <w:tc>
          <w:tcPr>
            <w:tcW w:w="2100" w:type="dxa"/>
            <w:vAlign w:val="bottom"/>
            <w:gridSpan w:val="4"/>
          </w:tcPr>
          <w:p>
            <w:pPr>
              <w:jc w:val="center"/>
              <w:ind w:right="40"/>
              <w:spacing w:after="0"/>
              <w:rPr>
                <w:sz w:val="20"/>
                <w:szCs w:val="20"/>
                <w:color w:val="auto"/>
              </w:rPr>
            </w:pPr>
            <w:r>
              <w:rPr>
                <w:rFonts w:ascii="Arial" w:cs="Arial" w:eastAsia="Arial" w:hAnsi="Arial"/>
                <w:sz w:val="18"/>
                <w:szCs w:val="18"/>
                <w:color w:val="auto"/>
                <w:w w:val="90"/>
              </w:rPr>
              <w:t>(Commission File Number)</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(IRS Employer</w:t>
            </w:r>
          </w:p>
        </w:tc>
        <w:tc>
          <w:tcPr>
            <w:tcW w:w="80" w:type="dxa"/>
            <w:vAlign w:val="bottom"/>
          </w:tcPr>
          <w:p>
            <w:pPr>
              <w:spacing w:after="0"/>
              <w:rPr>
                <w:sz w:val="24"/>
                <w:szCs w:val="24"/>
                <w:color w:val="auto"/>
              </w:rPr>
            </w:pPr>
          </w:p>
        </w:tc>
      </w:tr>
      <w:tr>
        <w:trPr>
          <w:trHeight w:val="243"/>
        </w:trPr>
        <w:tc>
          <w:tcPr>
            <w:tcW w:w="314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of incorporation)</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Identification No.)</w:t>
            </w:r>
          </w:p>
        </w:tc>
        <w:tc>
          <w:tcPr>
            <w:tcW w:w="80" w:type="dxa"/>
            <w:vAlign w:val="bottom"/>
          </w:tcPr>
          <w:p>
            <w:pPr>
              <w:spacing w:after="0"/>
              <w:rPr>
                <w:sz w:val="21"/>
                <w:szCs w:val="21"/>
                <w:color w:val="auto"/>
              </w:rPr>
            </w:pPr>
          </w:p>
        </w:tc>
      </w:tr>
      <w:tr>
        <w:trPr>
          <w:trHeight w:val="459"/>
        </w:trPr>
        <w:tc>
          <w:tcPr>
            <w:tcW w:w="314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P.O. Box 152, Forest City, Iowa</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80" w:type="dxa"/>
            <w:vAlign w:val="bottom"/>
            <w:gridSpan w:val="3"/>
          </w:tcPr>
          <w:p>
            <w:pPr>
              <w:jc w:val="right"/>
              <w:ind w:right="832"/>
              <w:spacing w:after="0"/>
              <w:rPr>
                <w:sz w:val="20"/>
                <w:szCs w:val="20"/>
                <w:color w:val="auto"/>
              </w:rPr>
            </w:pPr>
            <w:r>
              <w:rPr>
                <w:rFonts w:ascii="Arial" w:cs="Arial" w:eastAsia="Arial" w:hAnsi="Arial"/>
                <w:sz w:val="18"/>
                <w:szCs w:val="18"/>
                <w:color w:val="auto"/>
              </w:rPr>
              <w:t>50436</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0"/>
        </w:trPr>
        <w:tc>
          <w:tcPr>
            <w:tcW w:w="3900" w:type="dxa"/>
            <w:vAlign w:val="bottom"/>
            <w:tcBorders>
              <w:bottom w:val="single" w:sz="8" w:color="auto"/>
            </w:tcBorders>
            <w:gridSpan w:val="4"/>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316"/>
        </w:trPr>
        <w:tc>
          <w:tcPr>
            <w:tcW w:w="5240" w:type="dxa"/>
            <w:vAlign w:val="bottom"/>
            <w:gridSpan w:val="7"/>
          </w:tcPr>
          <w:p>
            <w:pPr>
              <w:jc w:val="center"/>
              <w:ind w:right="1340"/>
              <w:spacing w:after="0"/>
              <w:rPr>
                <w:sz w:val="20"/>
                <w:szCs w:val="20"/>
                <w:color w:val="auto"/>
              </w:rPr>
            </w:pPr>
            <w:r>
              <w:rPr>
                <w:rFonts w:ascii="Arial" w:cs="Arial" w:eastAsia="Arial" w:hAnsi="Arial"/>
                <w:sz w:val="18"/>
                <w:szCs w:val="18"/>
                <w:color w:val="auto"/>
                <w:w w:val="90"/>
              </w:rPr>
              <w:t>(Address of principal executive offices)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2"/>
          </w:tcPr>
          <w:p>
            <w:pPr>
              <w:jc w:val="center"/>
              <w:ind w:right="1400"/>
              <w:spacing w:after="0"/>
              <w:rPr>
                <w:sz w:val="20"/>
                <w:szCs w:val="20"/>
                <w:color w:val="auto"/>
              </w:rPr>
            </w:pPr>
            <w:r>
              <w:rPr>
                <w:rFonts w:ascii="Arial" w:cs="Arial" w:eastAsia="Arial" w:hAnsi="Arial"/>
                <w:sz w:val="18"/>
                <w:szCs w:val="18"/>
                <w:color w:val="auto"/>
                <w:w w:val="89"/>
              </w:rPr>
              <w:t>(Zip Code)</w:t>
            </w:r>
          </w:p>
        </w:tc>
        <w:tc>
          <w:tcPr>
            <w:tcW w:w="80" w:type="dxa"/>
            <w:vAlign w:val="bottom"/>
          </w:tcPr>
          <w:p>
            <w:pPr>
              <w:spacing w:after="0"/>
              <w:rPr>
                <w:sz w:val="24"/>
                <w:szCs w:val="24"/>
                <w:color w:val="auto"/>
              </w:rPr>
            </w:pPr>
          </w:p>
        </w:tc>
      </w:tr>
      <w:tr>
        <w:trPr>
          <w:trHeight w:val="394"/>
        </w:trPr>
        <w:tc>
          <w:tcPr>
            <w:tcW w:w="4520" w:type="dxa"/>
            <w:vAlign w:val="bottom"/>
            <w:gridSpan w:val="6"/>
          </w:tcPr>
          <w:p>
            <w:pPr>
              <w:ind w:left="880"/>
              <w:spacing w:after="0"/>
              <w:rPr>
                <w:sz w:val="20"/>
                <w:szCs w:val="20"/>
                <w:color w:val="auto"/>
              </w:rPr>
            </w:pPr>
            <w:r>
              <w:rPr>
                <w:rFonts w:ascii="Arial" w:cs="Arial" w:eastAsia="Arial" w:hAnsi="Arial"/>
                <w:sz w:val="18"/>
                <w:szCs w:val="18"/>
                <w:color w:val="auto"/>
                <w:w w:val="88"/>
              </w:rPr>
              <w:t>Registrant's telephone number, including area code</w:t>
            </w:r>
          </w:p>
        </w:tc>
        <w:tc>
          <w:tcPr>
            <w:tcW w:w="7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8"/>
                <w:szCs w:val="18"/>
                <w:color w:val="auto"/>
                <w:w w:val="96"/>
              </w:rPr>
              <w:t>641-585-3535</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905510</wp:posOffset>
            </wp:positionH>
            <wp:positionV relativeFrom="paragraph">
              <wp:posOffset>154305</wp:posOffset>
            </wp:positionV>
            <wp:extent cx="5445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left="1300" w:right="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9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Winnebago Industries, Inc. is filing herewith a press release issued on October 13, 2005, as Exhibit 99.1 which is included herein. The press release was issued to report earnings for the fourth quarter and fiscal 2005 ended August 27, 2005.</w:t>
      </w:r>
    </w:p>
    <w:p>
      <w:pPr>
        <w:spacing w:after="0" w:line="261"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99" w:lineRule="exact"/>
        <w:rPr>
          <w:sz w:val="24"/>
          <w:szCs w:val="24"/>
          <w:color w:val="auto"/>
        </w:rPr>
      </w:pPr>
    </w:p>
    <w:p>
      <w:pPr>
        <w:ind w:left="640" w:hanging="36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580"/>
        <w:spacing w:after="0"/>
        <w:tabs>
          <w:tab w:leader="none" w:pos="16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46" w:lineRule="exact"/>
        <w:rPr>
          <w:sz w:val="24"/>
          <w:szCs w:val="24"/>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October 13, 2005.</w:t>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99"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331"/>
        </w:trPr>
        <w:tc>
          <w:tcPr>
            <w:tcW w:w="3900" w:type="dxa"/>
            <w:vAlign w:val="bottom"/>
          </w:tcPr>
          <w:p>
            <w:pPr>
              <w:spacing w:after="0"/>
              <w:rPr>
                <w:sz w:val="20"/>
                <w:szCs w:val="20"/>
                <w:color w:val="auto"/>
              </w:rPr>
            </w:pPr>
            <w:r>
              <w:rPr>
                <w:rFonts w:ascii="Arial" w:cs="Arial" w:eastAsia="Arial" w:hAnsi="Arial"/>
                <w:sz w:val="18"/>
                <w:szCs w:val="18"/>
                <w:color w:val="auto"/>
              </w:rPr>
              <w:t>Dated: October 13, 2005</w:t>
            </w:r>
          </w:p>
        </w:tc>
        <w:tc>
          <w:tcPr>
            <w:tcW w:w="7020" w:type="dxa"/>
            <w:vAlign w:val="bottom"/>
            <w:gridSpan w:val="3"/>
          </w:tcPr>
          <w:p>
            <w:pPr>
              <w:ind w:left="2180"/>
              <w:spacing w:after="0"/>
              <w:rPr>
                <w:sz w:val="20"/>
                <w:szCs w:val="20"/>
                <w:color w:val="auto"/>
              </w:rPr>
            </w:pPr>
            <w:r>
              <w:rPr>
                <w:rFonts w:ascii="Arial" w:cs="Arial" w:eastAsia="Arial" w:hAnsi="Arial"/>
                <w:sz w:val="26"/>
                <w:szCs w:val="26"/>
                <w:color w:val="auto"/>
              </w:rPr>
              <w:t>W</w:t>
            </w:r>
            <w:r>
              <w:rPr>
                <w:rFonts w:ascii="Arial" w:cs="Arial" w:eastAsia="Arial" w:hAnsi="Arial"/>
                <w:sz w:val="17"/>
                <w:szCs w:val="17"/>
                <w:color w:val="auto"/>
              </w:rPr>
              <w:t>INNEBAGO</w:t>
            </w:r>
            <w:r>
              <w:rPr>
                <w:rFonts w:ascii="Arial" w:cs="Arial" w:eastAsia="Arial" w:hAnsi="Arial"/>
                <w:sz w:val="26"/>
                <w:szCs w:val="26"/>
                <w:color w:val="auto"/>
              </w:rPr>
              <w:t xml:space="preserve"> I</w:t>
            </w:r>
            <w:r>
              <w:rPr>
                <w:rFonts w:ascii="Arial" w:cs="Arial" w:eastAsia="Arial" w:hAnsi="Arial"/>
                <w:sz w:val="17"/>
                <w:szCs w:val="17"/>
                <w:color w:val="auto"/>
              </w:rPr>
              <w:t>NDUSTRIES,</w:t>
            </w:r>
            <w:r>
              <w:rPr>
                <w:rFonts w:ascii="Arial" w:cs="Arial" w:eastAsia="Arial" w:hAnsi="Arial"/>
                <w:sz w:val="26"/>
                <w:szCs w:val="26"/>
                <w:color w:val="auto"/>
              </w:rPr>
              <w:t xml:space="preserve"> I</w:t>
            </w:r>
            <w:r>
              <w:rPr>
                <w:rFonts w:ascii="Arial" w:cs="Arial" w:eastAsia="Arial" w:hAnsi="Arial"/>
                <w:sz w:val="17"/>
                <w:szCs w:val="17"/>
                <w:color w:val="auto"/>
              </w:rPr>
              <w:t>NC.</w:t>
            </w:r>
          </w:p>
        </w:tc>
      </w:tr>
      <w:tr>
        <w:trPr>
          <w:trHeight w:val="435"/>
        </w:trPr>
        <w:tc>
          <w:tcPr>
            <w:tcW w:w="3900" w:type="dxa"/>
            <w:vAlign w:val="bottom"/>
          </w:tcPr>
          <w:p>
            <w:pPr>
              <w:spacing w:after="0"/>
              <w:rPr>
                <w:sz w:val="24"/>
                <w:szCs w:val="24"/>
                <w:color w:val="auto"/>
              </w:rPr>
            </w:pPr>
          </w:p>
        </w:tc>
        <w:tc>
          <w:tcPr>
            <w:tcW w:w="2700" w:type="dxa"/>
            <w:vAlign w:val="bottom"/>
          </w:tcPr>
          <w:p>
            <w:pPr>
              <w:ind w:left="218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62"/>
        </w:trPr>
        <w:tc>
          <w:tcPr>
            <w:tcW w:w="3900" w:type="dxa"/>
            <w:vAlign w:val="bottom"/>
          </w:tcPr>
          <w:p>
            <w:pPr>
              <w:spacing w:after="0"/>
              <w:rPr>
                <w:sz w:val="22"/>
                <w:szCs w:val="22"/>
                <w:color w:val="auto"/>
              </w:rPr>
            </w:pPr>
          </w:p>
        </w:tc>
        <w:tc>
          <w:tcPr>
            <w:tcW w:w="2700" w:type="dxa"/>
            <w:vAlign w:val="bottom"/>
          </w:tcPr>
          <w:p>
            <w:pPr>
              <w:ind w:left="2180"/>
              <w:spacing w:after="0"/>
              <w:rPr>
                <w:sz w:val="20"/>
                <w:szCs w:val="20"/>
                <w:color w:val="auto"/>
              </w:rPr>
            </w:pPr>
            <w:r>
              <w:rPr>
                <w:rFonts w:ascii="Arial" w:cs="Arial" w:eastAsia="Arial" w:hAnsi="Arial"/>
                <w:sz w:val="18"/>
                <w:szCs w:val="18"/>
                <w:color w:val="auto"/>
                <w:w w:val="94"/>
              </w:rPr>
              <w:t>Name:</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Bruce D. Hertzke</w:t>
            </w:r>
          </w:p>
        </w:tc>
      </w:tr>
      <w:tr>
        <w:trPr>
          <w:trHeight w:val="243"/>
        </w:trPr>
        <w:tc>
          <w:tcPr>
            <w:tcW w:w="3900" w:type="dxa"/>
            <w:vAlign w:val="bottom"/>
          </w:tcPr>
          <w:p>
            <w:pPr>
              <w:spacing w:after="0"/>
              <w:rPr>
                <w:sz w:val="21"/>
                <w:szCs w:val="21"/>
                <w:color w:val="auto"/>
              </w:rPr>
            </w:pPr>
          </w:p>
        </w:tc>
        <w:tc>
          <w:tcPr>
            <w:tcW w:w="2700" w:type="dxa"/>
            <w:vAlign w:val="bottom"/>
          </w:tcPr>
          <w:p>
            <w:pPr>
              <w:ind w:left="2180"/>
              <w:spacing w:after="0"/>
              <w:rPr>
                <w:sz w:val="20"/>
                <w:szCs w:val="20"/>
                <w:color w:val="auto"/>
              </w:rPr>
            </w:pPr>
            <w:r>
              <w:rPr>
                <w:rFonts w:ascii="Arial" w:cs="Arial" w:eastAsia="Arial" w:hAnsi="Arial"/>
                <w:sz w:val="18"/>
                <w:szCs w:val="18"/>
                <w:color w:val="auto"/>
              </w:rPr>
              <w:t>Title:</w:t>
            </w:r>
          </w:p>
        </w:tc>
        <w:tc>
          <w:tcPr>
            <w:tcW w:w="4320" w:type="dxa"/>
            <w:vAlign w:val="bottom"/>
            <w:gridSpan w:val="2"/>
          </w:tcPr>
          <w:p>
            <w:pPr>
              <w:ind w:left="6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360"/>
          </w:cols>
          <w:pgMar w:left="240" w:top="1003" w:right="299" w:bottom="0" w:gutter="0" w:footer="0" w:header="0"/>
        </w:sectPr>
      </w:pPr>
    </w:p>
    <w:bookmarkStart w:id="1" w:name="page2"/>
    <w:bookmarkEnd w:id="1"/>
    <w:p>
      <w:pPr>
        <w:jc w:val="right"/>
        <w:ind w:right="3799"/>
        <w:spacing w:after="0"/>
        <w:rPr>
          <w:sz w:val="20"/>
          <w:szCs w:val="20"/>
          <w:color w:val="auto"/>
        </w:rPr>
      </w:pPr>
      <w:r>
        <w:rPr>
          <w:rFonts w:ascii="Arial" w:cs="Arial" w:eastAsia="Arial" w:hAnsi="Arial"/>
          <w:sz w:val="21"/>
          <w:szCs w:val="21"/>
          <w:b w:val="1"/>
          <w:bCs w:val="1"/>
          <w:color w:val="auto"/>
        </w:rPr>
        <w:t>E</w:t>
      </w:r>
      <w:r>
        <w:rPr>
          <w:rFonts w:ascii="Arial" w:cs="Arial" w:eastAsia="Arial" w:hAnsi="Arial"/>
          <w:sz w:val="17"/>
          <w:szCs w:val="17"/>
          <w:b w:val="1"/>
          <w:bCs w:val="1"/>
          <w:color w:val="auto"/>
        </w:rPr>
        <w:t>XHIBIT</w:t>
      </w:r>
      <w:r>
        <w:rPr>
          <w:rFonts w:ascii="Arial" w:cs="Arial" w:eastAsia="Arial" w:hAnsi="Arial"/>
          <w:sz w:val="21"/>
          <w:szCs w:val="21"/>
          <w:b w:val="1"/>
          <w:bCs w:val="1"/>
          <w:color w:val="auto"/>
        </w:rPr>
        <w:t xml:space="preserve"> I</w:t>
      </w:r>
      <w:r>
        <w:rPr>
          <w:rFonts w:ascii="Arial" w:cs="Arial" w:eastAsia="Arial" w:hAnsi="Arial"/>
          <w:sz w:val="17"/>
          <w:szCs w:val="17"/>
          <w:b w:val="1"/>
          <w:bCs w:val="1"/>
          <w:color w:val="auto"/>
        </w:rPr>
        <w:t>NDEX</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46"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October 13,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695325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639"/>
          </w:cols>
          <w:pgMar w:left="820" w:top="887"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Contact: Sheila Davis – PR/IR Mgr. – 641-585-6803 – sdavis@winnebagoind.com</w:t>
      </w: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WINNEBAGO INDUSTRIES REPORTS RESULTS</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FOR FOURTH QUARTER AND FISCAL 2005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—Cash Dividend Announced —</w:t>
      </w:r>
    </w:p>
    <w:p>
      <w:pPr>
        <w:spacing w:after="0" w:line="282"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FOREST CITY, IOWA, October 13, 2005 – Winnebago Industries, Inc. (NYSE:WGO), a leading United States motor home manufacturer, today reported net income for the fourth quarter ended August 27, 2005 of $15.4 million, compared to $19.0 million for the fourth quarter of fiscal 2004. On a diluted per share basis, the Company earned 46 cents a share for the fourth quarter of fiscal 2005, compared to 55 cents a share for the fourth quarter last year.</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for the fourth quarter of fiscal 2005 were $231.5 million, compared to revenues of $283.0 million for the fourth quarter last year.</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Net income for fiscal 2005 was $65.1 million, compared to $70.6 million for fiscal 2004. On a diluted per share basis, the Company earned $1.92 a share, compared to $2.03 a share for fiscal 2004.</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for fiscal 2005 were $992.0 million, compared to $1.1 billion for the previous fiscal year.</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“Winnebago Industries’ fiscal 2005 results represent the second best year in the Company’s 47-year history,” said Winnebago Industries’ Chairman and CEO Bruce Hertzke. “While revenues and earnings were lower than last year, I am still extremely proud of the performance of the Company.”</w:t>
      </w:r>
    </w:p>
    <w:p>
      <w:pPr>
        <w:spacing w:after="0" w:line="13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Hertzke continued, “Results for Winnebago Industries’ fourth quarter were negatively impacted by lower sales volume and a shift in product mix to lower priced motor homes, particularly Class C’s, offset in part by lower incentive compensation expenses.”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Company’s sales order backlog was 2,059 units at August 27, 2005 compared to the backlog of 2,541 units at August 28, 2004. “We believe the decrease in backlog at fiscal 2005 year end is due to lower consumer confidence levels, driven primarily by the volatility of fuel costs. We anticipate these factors, along with a continued shift in product mix, to continue into fiscal 2006 and as a result, have adjusted factory output to meet the current market environment,” said Hertzke.</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a meeting held yesterday, Winnebago Industries’ Board of Directors declared a quarterly cash dividend of nine cents a share, payable on January 9, 2006 to shareholders of record as of December 9, 2005.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986790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Quarter/Fiscal 2005 Results – Page 2</w:t>
      </w:r>
    </w:p>
    <w:p>
      <w:pPr>
        <w:spacing w:after="0" w:line="138"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During fiscal 2005, Winnebago Industries repurchased 860,321 shares of the Company’s common stock for an aggregate price of approximately $27 million. The Company currently has an open authorization for the purchase of outstanding shares of Winnebago Industries’ common stock for an aggregate price of up to $30 million.</w:t>
      </w:r>
    </w:p>
    <w:p>
      <w:pPr>
        <w:spacing w:after="0" w:line="19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 xml:space="preserve">Winnebago Industries will conduct a conference call in conjunction with this release at 10 a.m. ET today, Thursday, October 13, 2005. Members of the news media, investors and the general public are invited to access a live broadcast of the conference call via the Investor Relations page of the Company’s website at </w:t>
      </w:r>
      <w:r>
        <w:rPr>
          <w:rFonts w:ascii="Arial" w:cs="Arial" w:eastAsia="Arial" w:hAnsi="Arial"/>
          <w:sz w:val="18"/>
          <w:szCs w:val="18"/>
          <w:u w:val="single" w:color="auto"/>
          <w:color w:val="auto"/>
        </w:rPr>
        <w:t>www.winnebagoind.com</w:t>
      </w:r>
      <w:r>
        <w:rPr>
          <w:rFonts w:ascii="Arial" w:cs="Arial" w:eastAsia="Arial" w:hAnsi="Arial"/>
          <w:sz w:val="18"/>
          <w:szCs w:val="18"/>
          <w:color w:val="auto"/>
        </w:rPr>
        <w:t xml:space="preserve">, or from </w:t>
      </w:r>
      <w:r>
        <w:rPr>
          <w:rFonts w:ascii="Arial" w:cs="Arial" w:eastAsia="Arial" w:hAnsi="Arial"/>
          <w:sz w:val="18"/>
          <w:szCs w:val="18"/>
          <w:u w:val="single" w:color="auto"/>
          <w:color w:val="auto"/>
        </w:rPr>
        <w:t>http://www.b2i.us/external.asp?b=1255&amp;id=189&amp;from=wc&amp;L=e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www.vcall.com</w:t>
      </w:r>
      <w:r>
        <w:rPr>
          <w:rFonts w:ascii="Arial" w:cs="Arial" w:eastAsia="Arial" w:hAnsi="Arial"/>
          <w:sz w:val="18"/>
          <w:szCs w:val="18"/>
          <w:color w:val="auto"/>
        </w:rPr>
        <w:t>. The event will be archived and available for replay for the next 90 days.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Winnebago Industries</w:t>
      </w:r>
    </w:p>
    <w:p>
      <w:pPr>
        <w:spacing w:after="0" w:line="23"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http://www.winnebagoind.com/html/company/investorRelations.html</w:t>
      </w:r>
    </w:p>
    <w:p>
      <w:pPr>
        <w:spacing w:after="0" w:line="174" w:lineRule="exact"/>
        <w:rPr>
          <w:sz w:val="20"/>
          <w:szCs w:val="20"/>
          <w:color w:val="auto"/>
        </w:rPr>
      </w:pPr>
    </w:p>
    <w:p>
      <w:pPr>
        <w:ind w:right="360" w:firstLine="348"/>
        <w:spacing w:after="0" w:line="318" w:lineRule="auto"/>
        <w:rPr>
          <w:sz w:val="20"/>
          <w:szCs w:val="20"/>
          <w:color w:val="auto"/>
        </w:rPr>
      </w:pPr>
      <w:r>
        <w:rPr>
          <w:rFonts w:ascii="Arial" w:cs="Arial" w:eastAsia="Arial" w:hAnsi="Arial"/>
          <w:sz w:val="15"/>
          <w:szCs w:val="15"/>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reactions to actual or threatened terrorist attacks, a further decline in consumer confidence, the availability and price of fuel, a significant increase in interest rates, a slowdown in the economy, availability of chassis and other key component parts, sales order cancellations, slower than anticipated sales of new or existing products, new products introduced by competitors and other factors. Additional information concerning certain risks and</w:t>
      </w:r>
    </w:p>
    <w:p>
      <w:pPr>
        <w:sectPr>
          <w:pgSz w:w="11900" w:h="16838" w:orient="portrait"/>
          <w:cols w:equalWidth="0" w:num="1">
            <w:col w:w="11420"/>
          </w:cols>
          <w:pgMar w:left="240" w:top="895" w:right="239" w:bottom="0" w:gutter="0" w:footer="0" w:header="0"/>
        </w:sectPr>
      </w:pPr>
    </w:p>
    <w:bookmarkStart w:id="3" w:name="page4"/>
    <w:bookmarkEnd w:id="3"/>
    <w:p>
      <w:pPr>
        <w:ind w:right="380"/>
        <w:spacing w:after="0" w:line="332" w:lineRule="auto"/>
        <w:rPr>
          <w:sz w:val="20"/>
          <w:szCs w:val="20"/>
          <w:color w:val="auto"/>
        </w:rPr>
      </w:pPr>
      <w:r>
        <w:rPr>
          <w:rFonts w:ascii="Arial" w:cs="Arial" w:eastAsia="Arial" w:hAnsi="Arial"/>
          <w:sz w:val="16"/>
          <w:szCs w:val="16"/>
          <w:color w:val="auto"/>
        </w:rPr>
        <w:t>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932180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Unaudited Consolidated Statements of Income</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Quarter Ended</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275"/>
              <w:spacing w:after="0"/>
              <w:rPr>
                <w:sz w:val="20"/>
                <w:szCs w:val="20"/>
                <w:color w:val="auto"/>
              </w:rPr>
            </w:pPr>
            <w:r>
              <w:rPr>
                <w:rFonts w:ascii="Arial" w:cs="Arial" w:eastAsia="Arial" w:hAnsi="Arial"/>
                <w:sz w:val="14"/>
                <w:szCs w:val="14"/>
                <w:b w:val="1"/>
                <w:bCs w:val="1"/>
                <w:color w:val="auto"/>
              </w:rPr>
              <w:t>8/27/2005</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8/28/2004</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275"/>
              <w:spacing w:after="0"/>
              <w:rPr>
                <w:sz w:val="20"/>
                <w:szCs w:val="20"/>
                <w:color w:val="auto"/>
              </w:rPr>
            </w:pPr>
            <w:r>
              <w:rPr>
                <w:rFonts w:ascii="Arial" w:cs="Arial" w:eastAsia="Arial" w:hAnsi="Arial"/>
                <w:sz w:val="14"/>
                <w:szCs w:val="14"/>
                <w:b w:val="1"/>
                <w:bCs w:val="1"/>
                <w:color w:val="auto"/>
              </w:rPr>
              <w:t>8/27/2005</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253"/>
              <w:spacing w:after="0"/>
              <w:rPr>
                <w:sz w:val="20"/>
                <w:szCs w:val="20"/>
                <w:color w:val="auto"/>
              </w:rPr>
            </w:pPr>
            <w:r>
              <w:rPr>
                <w:rFonts w:ascii="Arial" w:cs="Arial" w:eastAsia="Arial" w:hAnsi="Arial"/>
                <w:sz w:val="14"/>
                <w:szCs w:val="14"/>
                <w:b w:val="1"/>
                <w:bCs w:val="1"/>
                <w:color w:val="auto"/>
                <w:w w:val="93"/>
              </w:rPr>
              <w:t>8/28/2004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231,461</w:t>
            </w:r>
          </w:p>
        </w:tc>
        <w:tc>
          <w:tcPr>
            <w:tcW w:w="580" w:type="dxa"/>
            <w:vAlign w:val="bottom"/>
            <w:shd w:val="clear" w:color="auto" w:fill="D6F3E8"/>
          </w:tcPr>
          <w:p>
            <w:pPr>
              <w:spacing w:after="0"/>
              <w:rPr>
                <w:sz w:val="18"/>
                <w:szCs w:val="18"/>
                <w:color w:val="auto"/>
              </w:rPr>
            </w:pPr>
          </w:p>
        </w:tc>
        <w:tc>
          <w:tcPr>
            <w:tcW w:w="24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283,002</w:t>
            </w: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991,975</w:t>
            </w:r>
          </w:p>
        </w:tc>
        <w:tc>
          <w:tcPr>
            <w:tcW w:w="560" w:type="dxa"/>
            <w:vAlign w:val="bottom"/>
            <w:shd w:val="clear" w:color="auto" w:fill="D6F3E8"/>
          </w:tcPr>
          <w:p>
            <w:pPr>
              <w:spacing w:after="0"/>
              <w:rPr>
                <w:sz w:val="18"/>
                <w:szCs w:val="18"/>
                <w:color w:val="auto"/>
              </w:rPr>
            </w:pP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1,114,154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199,002</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241,346</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854,997</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951,985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32,459</w:t>
            </w:r>
          </w:p>
        </w:tc>
        <w:tc>
          <w:tcPr>
            <w:tcW w:w="5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41,656</w:t>
            </w: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136,978</w:t>
            </w:r>
          </w:p>
        </w:tc>
        <w:tc>
          <w:tcPr>
            <w:tcW w:w="56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162,169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2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Selling</w:t>
            </w:r>
          </w:p>
        </w:tc>
        <w:tc>
          <w:tcPr>
            <w:tcW w:w="2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6,516</w:t>
            </w:r>
          </w:p>
        </w:tc>
        <w:tc>
          <w:tcPr>
            <w:tcW w:w="5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6,986</w:t>
            </w: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19,936</w:t>
            </w:r>
          </w:p>
        </w:tc>
        <w:tc>
          <w:tcPr>
            <w:tcW w:w="56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20,764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2,895</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5,643</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18,787</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D6F3E8"/>
          </w:tcPr>
          <w:p>
            <w:pPr>
              <w:ind w:left="24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9,411</w:t>
            </w:r>
          </w:p>
        </w:tc>
        <w:tc>
          <w:tcPr>
            <w:tcW w:w="5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12,629</w:t>
            </w: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38,723</w:t>
            </w:r>
          </w:p>
        </w:tc>
        <w:tc>
          <w:tcPr>
            <w:tcW w:w="56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51,371</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6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23,048</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29,027</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98,255</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110,798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Financial income</w:t>
            </w:r>
          </w:p>
        </w:tc>
        <w:tc>
          <w:tcPr>
            <w:tcW w:w="2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741</w:t>
            </w:r>
          </w:p>
        </w:tc>
        <w:tc>
          <w:tcPr>
            <w:tcW w:w="5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484</w:t>
            </w: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2,635</w:t>
            </w:r>
          </w:p>
        </w:tc>
        <w:tc>
          <w:tcPr>
            <w:tcW w:w="56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1,436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60" w:type="dxa"/>
            <w:vAlign w:val="bottom"/>
            <w:gridSpan w:val="3"/>
          </w:tcPr>
          <w:p>
            <w:pPr>
              <w:spacing w:after="0"/>
              <w:rPr>
                <w:sz w:val="20"/>
                <w:szCs w:val="20"/>
                <w:color w:val="auto"/>
              </w:rPr>
            </w:pPr>
            <w:r>
              <w:rPr>
                <w:rFonts w:ascii="Arial" w:cs="Arial" w:eastAsia="Arial" w:hAnsi="Arial"/>
                <w:sz w:val="18"/>
                <w:szCs w:val="18"/>
                <w:color w:val="auto"/>
              </w:rPr>
              <w:t>Pre-tax income</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23,789</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29,511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100,890</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112,234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Provision for taxes</w:t>
            </w:r>
          </w:p>
        </w:tc>
        <w:tc>
          <w:tcPr>
            <w:tcW w:w="2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8,411</w:t>
            </w:r>
          </w:p>
        </w:tc>
        <w:tc>
          <w:tcPr>
            <w:tcW w:w="5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10,521</w:t>
            </w: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35,817</w:t>
            </w:r>
          </w:p>
        </w:tc>
        <w:tc>
          <w:tcPr>
            <w:tcW w:w="56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41,593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15,378</w:t>
            </w:r>
          </w:p>
        </w:tc>
        <w:tc>
          <w:tcPr>
            <w:tcW w:w="580" w:type="dxa"/>
            <w:vAlign w:val="bottom"/>
          </w:tcPr>
          <w:p>
            <w:pPr>
              <w:spacing w:after="0"/>
              <w:rPr>
                <w:sz w:val="24"/>
                <w:szCs w:val="24"/>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18,990</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65,073</w:t>
            </w:r>
          </w:p>
        </w:tc>
        <w:tc>
          <w:tcPr>
            <w:tcW w:w="56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70,641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Income per share*</w:t>
            </w:r>
          </w:p>
        </w:tc>
        <w:tc>
          <w:tcPr>
            <w:tcW w:w="22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0.47</w:t>
            </w:r>
          </w:p>
        </w:tc>
        <w:tc>
          <w:tcPr>
            <w:tcW w:w="5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0.56</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c>
          <w:tcPr>
            <w:tcW w:w="56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0.46</w:t>
            </w:r>
          </w:p>
        </w:tc>
        <w:tc>
          <w:tcPr>
            <w:tcW w:w="580" w:type="dxa"/>
            <w:vAlign w:val="bottom"/>
            <w:shd w:val="clear" w:color="auto" w:fill="D6F3E8"/>
          </w:tcPr>
          <w:p>
            <w:pPr>
              <w:spacing w:after="0"/>
              <w:rPr>
                <w:sz w:val="18"/>
                <w:szCs w:val="18"/>
                <w:color w:val="auto"/>
              </w:rPr>
            </w:pPr>
          </w:p>
        </w:tc>
        <w:tc>
          <w:tcPr>
            <w:tcW w:w="24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0.55</w:t>
            </w: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1.92</w:t>
            </w:r>
          </w:p>
        </w:tc>
        <w:tc>
          <w:tcPr>
            <w:tcW w:w="560" w:type="dxa"/>
            <w:vAlign w:val="bottom"/>
            <w:shd w:val="clear" w:color="auto" w:fill="D6F3E8"/>
          </w:tcPr>
          <w:p>
            <w:pPr>
              <w:spacing w:after="0"/>
              <w:rPr>
                <w:sz w:val="18"/>
                <w:szCs w:val="18"/>
                <w:color w:val="auto"/>
              </w:rPr>
            </w:pP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24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4260" w:type="dxa"/>
            <w:vAlign w:val="bottom"/>
            <w:gridSpan w:val="3"/>
          </w:tcPr>
          <w:p>
            <w:pPr>
              <w:spacing w:after="0"/>
              <w:rPr>
                <w:sz w:val="20"/>
                <w:szCs w:val="20"/>
                <w:color w:val="auto"/>
              </w:rPr>
            </w:pPr>
            <w:r>
              <w:rPr>
                <w:rFonts w:ascii="Arial" w:cs="Arial" w:eastAsia="Arial" w:hAnsi="Arial"/>
                <w:sz w:val="18"/>
                <w:szCs w:val="18"/>
                <w:color w:val="auto"/>
              </w:rPr>
              <w:t>Number of shares used in</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2"/>
          </w:tcPr>
          <w:p>
            <w:pPr>
              <w:ind w:left="120"/>
              <w:spacing w:after="0"/>
              <w:rPr>
                <w:sz w:val="20"/>
                <w:szCs w:val="20"/>
                <w:color w:val="auto"/>
              </w:rPr>
            </w:pPr>
            <w:r>
              <w:rPr>
                <w:rFonts w:ascii="Arial" w:cs="Arial" w:eastAsia="Arial" w:hAnsi="Arial"/>
                <w:sz w:val="18"/>
                <w:szCs w:val="18"/>
                <w:color w:val="auto"/>
              </w:rPr>
              <w:t>per share calculations*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32,946</w:t>
            </w:r>
          </w:p>
        </w:tc>
        <w:tc>
          <w:tcPr>
            <w:tcW w:w="5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33,670</w:t>
            </w:r>
          </w:p>
        </w:tc>
        <w:tc>
          <w:tcPr>
            <w:tcW w:w="7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33,382</w:t>
            </w:r>
          </w:p>
        </w:tc>
        <w:tc>
          <w:tcPr>
            <w:tcW w:w="56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34,214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33,342</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34,244</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33,812</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34,789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-1641475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-1641475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-1641475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-1641475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-1641475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-1641475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-1641475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-1641475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-1203960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-1203960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-1203960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-1203960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-1203960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-1203960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-1203960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-1203960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-904240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-904240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-904240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-904240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-904240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-904240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-904240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-904240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-329565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-329565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-329565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-329565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-329565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-329565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-329565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-329565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*Adjusted for 2-for-1 stock split on March 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2839085</wp:posOffset>
            </wp:positionV>
            <wp:extent cx="725043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2"/>
          </w:tcPr>
          <w:p>
            <w:pPr>
              <w:ind w:left="60"/>
              <w:spacing w:after="0"/>
              <w:rPr>
                <w:sz w:val="20"/>
                <w:szCs w:val="20"/>
                <w:color w:val="auto"/>
              </w:rPr>
            </w:pPr>
            <w:r>
              <w:rPr>
                <w:rFonts w:ascii="Arial" w:cs="Arial" w:eastAsia="Arial" w:hAnsi="Arial"/>
                <w:sz w:val="14"/>
                <w:szCs w:val="14"/>
                <w:b w:val="1"/>
                <w:bCs w:val="1"/>
                <w:color w:val="auto"/>
              </w:rPr>
              <w:t>Aug. 27, 2005</w:t>
            </w:r>
          </w:p>
        </w:tc>
        <w:tc>
          <w:tcPr>
            <w:tcW w:w="18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Aug. 28,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19,484</w:t>
            </w:r>
          </w:p>
        </w:tc>
        <w:tc>
          <w:tcPr>
            <w:tcW w:w="900" w:type="dxa"/>
            <w:vAlign w:val="bottom"/>
            <w:shd w:val="clear" w:color="auto" w:fill="D6F3E8"/>
          </w:tcPr>
          <w:p>
            <w:pPr>
              <w:spacing w:after="0"/>
              <w:rPr>
                <w:sz w:val="18"/>
                <w:szCs w:val="18"/>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24,445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93,100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Receivables</w:t>
            </w:r>
          </w:p>
        </w:tc>
        <w:tc>
          <w:tcPr>
            <w:tcW w:w="18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40,910</w:t>
            </w:r>
          </w:p>
        </w:tc>
        <w:tc>
          <w:tcPr>
            <w:tcW w:w="9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46,112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120,655</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130,733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13,943</w:t>
            </w:r>
          </w:p>
        </w:tc>
        <w:tc>
          <w:tcPr>
            <w:tcW w:w="9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17,679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780" w:type="dxa"/>
            <w:vAlign w:val="bottom"/>
            <w:gridSpan w:val="2"/>
          </w:tcPr>
          <w:p>
            <w:pPr>
              <w:ind w:left="2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288,092</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270,069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63,853</w:t>
            </w:r>
          </w:p>
        </w:tc>
        <w:tc>
          <w:tcPr>
            <w:tcW w:w="9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63,995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24,997</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25,166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Investment in life insurance</w:t>
            </w:r>
          </w:p>
        </w:tc>
        <w:tc>
          <w:tcPr>
            <w:tcW w:w="18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22,066</w:t>
            </w:r>
          </w:p>
        </w:tc>
        <w:tc>
          <w:tcPr>
            <w:tcW w:w="9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22,863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13,952</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12,463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D6F3E8"/>
          </w:tcPr>
          <w:p>
            <w:pPr>
              <w:ind w:left="24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412,960</w:t>
            </w:r>
          </w:p>
        </w:tc>
        <w:tc>
          <w:tcPr>
            <w:tcW w:w="900" w:type="dxa"/>
            <w:vAlign w:val="bottom"/>
            <w:shd w:val="clear" w:color="auto" w:fill="D6F3E8"/>
          </w:tcPr>
          <w:p>
            <w:pPr>
              <w:spacing w:after="0"/>
              <w:rPr>
                <w:sz w:val="18"/>
                <w:szCs w:val="18"/>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394,556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78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2"/>
        </w:trPr>
        <w:tc>
          <w:tcPr>
            <w:tcW w:w="7800" w:type="dxa"/>
            <w:vAlign w:val="bottom"/>
            <w:gridSpan w:val="3"/>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37,229</w:t>
            </w:r>
          </w:p>
        </w:tc>
        <w:tc>
          <w:tcPr>
            <w:tcW w:w="9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46,659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D6F3E8"/>
          </w:tcPr>
          <w:p>
            <w:pPr>
              <w:ind w:left="12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4,458</w:t>
            </w:r>
          </w:p>
        </w:tc>
        <w:tc>
          <w:tcPr>
            <w:tcW w:w="9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4,334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gridSpan w:val="2"/>
          </w:tcPr>
          <w:p>
            <w:pPr>
              <w:ind w:left="12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48,000</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54,285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D6F3E8"/>
          </w:tcPr>
          <w:p>
            <w:pPr>
              <w:ind w:left="24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89,687</w:t>
            </w:r>
          </w:p>
        </w:tc>
        <w:tc>
          <w:tcPr>
            <w:tcW w:w="9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105,278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Post retirement health care and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gridSpan w:val="2"/>
          </w:tcPr>
          <w:p>
            <w:pPr>
              <w:ind w:left="80"/>
              <w:spacing w:after="0"/>
              <w:rPr>
                <w:sz w:val="20"/>
                <w:szCs w:val="20"/>
                <w:color w:val="auto"/>
              </w:rPr>
            </w:pPr>
            <w:r>
              <w:rPr>
                <w:rFonts w:ascii="Arial" w:cs="Arial" w:eastAsia="Arial" w:hAnsi="Arial"/>
                <w:sz w:val="18"/>
                <w:szCs w:val="18"/>
                <w:color w:val="auto"/>
              </w:rPr>
              <w:t>deferred compensation benefits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87,386</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87,403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235,887</w:t>
            </w:r>
          </w:p>
        </w:tc>
        <w:tc>
          <w:tcPr>
            <w:tcW w:w="9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201,875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80" w:type="dxa"/>
            <w:vAlign w:val="bottom"/>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780" w:type="dxa"/>
            <w:vAlign w:val="bottom"/>
            <w:gridSpan w:val="2"/>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412,960</w:t>
            </w:r>
          </w:p>
        </w:tc>
        <w:tc>
          <w:tcPr>
            <w:tcW w:w="9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394,556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-2010410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-2010410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-2010410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-2010410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information has been reclassified to conform to the current year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2839085</wp:posOffset>
            </wp:positionV>
            <wp:extent cx="725043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Fiscal Year Ended</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266"/>
              <w:spacing w:after="0"/>
              <w:rPr>
                <w:sz w:val="20"/>
                <w:szCs w:val="20"/>
                <w:color w:val="auto"/>
              </w:rPr>
            </w:pPr>
            <w:r>
              <w:rPr>
                <w:rFonts w:ascii="Arial" w:cs="Arial" w:eastAsia="Arial" w:hAnsi="Arial"/>
                <w:sz w:val="14"/>
                <w:szCs w:val="14"/>
                <w:b w:val="1"/>
                <w:bCs w:val="1"/>
                <w:color w:val="auto"/>
              </w:rPr>
              <w:t>8/27/2005</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62"/>
              <w:spacing w:after="0"/>
              <w:rPr>
                <w:sz w:val="20"/>
                <w:szCs w:val="20"/>
                <w:color w:val="auto"/>
              </w:rPr>
            </w:pPr>
            <w:r>
              <w:rPr>
                <w:rFonts w:ascii="Arial" w:cs="Arial" w:eastAsia="Arial" w:hAnsi="Arial"/>
                <w:sz w:val="14"/>
                <w:szCs w:val="14"/>
                <w:b w:val="1"/>
                <w:bCs w:val="1"/>
                <w:color w:val="auto"/>
                <w:w w:val="96"/>
              </w:rPr>
              <w:t>8/28/2004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D6F3E8"/>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65,073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400" w:type="dxa"/>
            <w:vAlign w:val="bottom"/>
            <w:shd w:val="clear" w:color="auto" w:fill="D6F3E8"/>
          </w:tcPr>
          <w:p>
            <w:pPr>
              <w:spacing w:after="0"/>
              <w:rPr>
                <w:sz w:val="14"/>
                <w:szCs w:val="14"/>
                <w:color w:val="auto"/>
              </w:rPr>
            </w:pPr>
          </w:p>
        </w:tc>
        <w:tc>
          <w:tcPr>
            <w:tcW w:w="220" w:type="dxa"/>
            <w:vAlign w:val="bottom"/>
            <w:shd w:val="clear" w:color="auto" w:fill="D6F3E8"/>
          </w:tcPr>
          <w:p>
            <w:pPr>
              <w:spacing w:after="0"/>
              <w:rPr>
                <w:sz w:val="14"/>
                <w:szCs w:val="14"/>
                <w:color w:val="auto"/>
              </w:rPr>
            </w:pPr>
          </w:p>
        </w:tc>
        <w:tc>
          <w:tcPr>
            <w:tcW w:w="1020" w:type="dxa"/>
            <w:vAlign w:val="bottom"/>
            <w:shd w:val="clear" w:color="auto" w:fill="D6F3E8"/>
          </w:tcPr>
          <w:p>
            <w:pPr>
              <w:spacing w:after="0"/>
              <w:rPr>
                <w:sz w:val="14"/>
                <w:szCs w:val="14"/>
                <w:color w:val="auto"/>
              </w:rPr>
            </w:pPr>
          </w:p>
        </w:tc>
        <w:tc>
          <w:tcPr>
            <w:tcW w:w="680" w:type="dxa"/>
            <w:vAlign w:val="bottom"/>
            <w:shd w:val="clear" w:color="auto" w:fill="D6F3E8"/>
          </w:tcPr>
          <w:p>
            <w:pPr>
              <w:spacing w:after="0"/>
              <w:rPr>
                <w:sz w:val="14"/>
                <w:szCs w:val="14"/>
                <w:color w:val="auto"/>
              </w:rPr>
            </w:pPr>
          </w:p>
        </w:tc>
        <w:tc>
          <w:tcPr>
            <w:tcW w:w="160" w:type="dxa"/>
            <w:vAlign w:val="bottom"/>
            <w:shd w:val="clear" w:color="auto" w:fill="D6F3E8"/>
          </w:tcPr>
          <w:p>
            <w:pPr>
              <w:spacing w:after="0"/>
              <w:rPr>
                <w:sz w:val="14"/>
                <w:szCs w:val="14"/>
                <w:color w:val="auto"/>
              </w:rPr>
            </w:pPr>
          </w:p>
        </w:tc>
        <w:tc>
          <w:tcPr>
            <w:tcW w:w="860" w:type="dxa"/>
            <w:vAlign w:val="bottom"/>
            <w:shd w:val="clear" w:color="auto" w:fill="D6F3E8"/>
          </w:tcPr>
          <w:p>
            <w:pPr>
              <w:spacing w:after="0"/>
              <w:rPr>
                <w:sz w:val="14"/>
                <w:szCs w:val="14"/>
                <w:color w:val="auto"/>
              </w:rPr>
            </w:pPr>
          </w:p>
        </w:tc>
        <w:tc>
          <w:tcPr>
            <w:tcW w:w="60" w:type="dxa"/>
            <w:vAlign w:val="bottom"/>
            <w:shd w:val="clear" w:color="auto" w:fill="D6F3E8"/>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833"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9,999</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D6F3E8"/>
          </w:tcPr>
          <w:p>
            <w:pPr>
              <w:ind w:left="120"/>
              <w:spacing w:after="0"/>
              <w:rPr>
                <w:sz w:val="20"/>
                <w:szCs w:val="20"/>
                <w:color w:val="auto"/>
              </w:rPr>
            </w:pPr>
            <w:r>
              <w:rPr>
                <w:rFonts w:ascii="Arial" w:cs="Arial" w:eastAsia="Arial" w:hAnsi="Arial"/>
                <w:sz w:val="18"/>
                <w:szCs w:val="18"/>
                <w:color w:val="auto"/>
              </w:rPr>
              <w:t>Tax benefit of stock options</w:t>
            </w:r>
          </w:p>
        </w:tc>
        <w:tc>
          <w:tcPr>
            <w:tcW w:w="36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1,177</w:t>
            </w:r>
          </w:p>
        </w:tc>
        <w:tc>
          <w:tcPr>
            <w:tcW w:w="6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2,573</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1,043</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D6F3E8"/>
          </w:tcPr>
          <w:p>
            <w:pPr>
              <w:spacing w:after="0"/>
              <w:rPr>
                <w:sz w:val="20"/>
                <w:szCs w:val="20"/>
                <w:color w:val="auto"/>
              </w:rPr>
            </w:pPr>
            <w:r>
              <w:rPr>
                <w:rFonts w:ascii="Arial" w:cs="Arial" w:eastAsia="Arial" w:hAnsi="Arial"/>
                <w:sz w:val="18"/>
                <w:szCs w:val="18"/>
                <w:color w:val="auto"/>
              </w:rPr>
              <w:t>Change in assets and liabilities:</w:t>
            </w:r>
          </w:p>
        </w:tc>
        <w:tc>
          <w:tcPr>
            <w:tcW w:w="36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Decrease (increase) in receivables and other assets</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5,522</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D6F3E8"/>
          </w:tcPr>
          <w:p>
            <w:pPr>
              <w:ind w:left="120"/>
              <w:spacing w:after="0"/>
              <w:rPr>
                <w:sz w:val="20"/>
                <w:szCs w:val="20"/>
                <w:color w:val="auto"/>
              </w:rPr>
            </w:pPr>
            <w:r>
              <w:rPr>
                <w:rFonts w:ascii="Arial" w:cs="Arial" w:eastAsia="Arial" w:hAnsi="Arial"/>
                <w:sz w:val="18"/>
                <w:szCs w:val="18"/>
                <w:color w:val="auto"/>
              </w:rPr>
              <w:t>Decrease (increase) in inventories</w:t>
            </w:r>
          </w:p>
        </w:tc>
        <w:tc>
          <w:tcPr>
            <w:tcW w:w="36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10,078</w:t>
            </w:r>
          </w:p>
        </w:tc>
        <w:tc>
          <w:tcPr>
            <w:tcW w:w="6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Decrease (increase) in deferred income taxes</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3,424</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D6F3E8"/>
          </w:tcPr>
          <w:p>
            <w:pPr>
              <w:ind w:left="120"/>
              <w:spacing w:after="0"/>
              <w:rPr>
                <w:sz w:val="20"/>
                <w:szCs w:val="20"/>
                <w:color w:val="auto"/>
              </w:rPr>
            </w:pPr>
            <w:r>
              <w:rPr>
                <w:rFonts w:ascii="Arial" w:cs="Arial" w:eastAsia="Arial" w:hAnsi="Arial"/>
                <w:sz w:val="18"/>
                <w:szCs w:val="18"/>
                <w:color w:val="auto"/>
              </w:rPr>
              <w:t>(Decrease) increase in accounts payable/accrued expenses</w:t>
            </w:r>
          </w:p>
        </w:tc>
        <w:tc>
          <w:tcPr>
            <w:tcW w:w="36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620"/>
              <w:spacing w:after="0"/>
              <w:rPr>
                <w:sz w:val="20"/>
                <w:szCs w:val="20"/>
                <w:color w:val="auto"/>
              </w:rPr>
            </w:pPr>
            <w:r>
              <w:rPr>
                <w:rFonts w:ascii="Arial" w:cs="Arial" w:eastAsia="Arial" w:hAnsi="Arial"/>
                <w:sz w:val="18"/>
                <w:szCs w:val="18"/>
                <w:color w:val="auto"/>
              </w:rPr>
              <w:t>(15,715)</w:t>
            </w:r>
          </w:p>
        </w:tc>
        <w:tc>
          <w:tcPr>
            <w:tcW w:w="24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6,195</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Increase in income taxes payable</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D6F3E8"/>
          </w:tcPr>
          <w:p>
            <w:pPr>
              <w:ind w:left="120"/>
              <w:spacing w:after="0"/>
              <w:rPr>
                <w:sz w:val="20"/>
                <w:szCs w:val="20"/>
                <w:color w:val="auto"/>
              </w:rPr>
            </w:pPr>
            <w:r>
              <w:rPr>
                <w:rFonts w:ascii="Arial" w:cs="Arial" w:eastAsia="Arial" w:hAnsi="Arial"/>
                <w:sz w:val="18"/>
                <w:szCs w:val="18"/>
                <w:color w:val="auto"/>
              </w:rPr>
              <w:t>(Decrease) increase in postretirement benefits</w:t>
            </w:r>
          </w:p>
        </w:tc>
        <w:tc>
          <w:tcPr>
            <w:tcW w:w="36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620"/>
              <w:spacing w:after="0"/>
              <w:rPr>
                <w:sz w:val="20"/>
                <w:szCs w:val="20"/>
                <w:color w:val="auto"/>
              </w:rPr>
            </w:pPr>
            <w:r>
              <w:rPr>
                <w:rFonts w:ascii="Arial" w:cs="Arial" w:eastAsia="Arial" w:hAnsi="Arial"/>
                <w:sz w:val="18"/>
                <w:szCs w:val="18"/>
                <w:color w:val="auto"/>
              </w:rPr>
              <w:t>(1,081)</w:t>
            </w:r>
          </w:p>
        </w:tc>
        <w:tc>
          <w:tcPr>
            <w:tcW w:w="24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12,061</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20" w:type="dxa"/>
            <w:vAlign w:val="bottom"/>
            <w:gridSpan w:val="2"/>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4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79,644</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66,684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8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D6F3E8"/>
          </w:tcPr>
          <w:p>
            <w:pPr>
              <w:spacing w:after="0"/>
              <w:rPr>
                <w:sz w:val="20"/>
                <w:szCs w:val="20"/>
                <w:color w:val="auto"/>
              </w:rPr>
            </w:pPr>
            <w:r>
              <w:rPr>
                <w:rFonts w:ascii="Arial" w:cs="Arial" w:eastAsia="Arial" w:hAnsi="Arial"/>
                <w:sz w:val="18"/>
                <w:szCs w:val="18"/>
                <w:color w:val="auto"/>
              </w:rPr>
              <w:t>Cash flows (used in) provided by investing activities:</w:t>
            </w:r>
          </w:p>
        </w:tc>
        <w:tc>
          <w:tcPr>
            <w:tcW w:w="36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8"/>
                <w:szCs w:val="18"/>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(10,091)</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D6F3E8"/>
          </w:tcPr>
          <w:p>
            <w:pPr>
              <w:ind w:left="120"/>
              <w:spacing w:after="0"/>
              <w:rPr>
                <w:sz w:val="20"/>
                <w:szCs w:val="20"/>
                <w:color w:val="auto"/>
              </w:rPr>
            </w:pPr>
            <w:r>
              <w:rPr>
                <w:rFonts w:ascii="Arial" w:cs="Arial" w:eastAsia="Arial" w:hAnsi="Arial"/>
                <w:sz w:val="18"/>
                <w:szCs w:val="18"/>
                <w:color w:val="auto"/>
              </w:rPr>
              <w:t>Purchases of short-term investments</w:t>
            </w:r>
          </w:p>
        </w:tc>
        <w:tc>
          <w:tcPr>
            <w:tcW w:w="36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620"/>
              <w:spacing w:after="0"/>
              <w:rPr>
                <w:sz w:val="20"/>
                <w:szCs w:val="20"/>
                <w:color w:val="auto"/>
              </w:rPr>
            </w:pPr>
            <w:r>
              <w:rPr>
                <w:rFonts w:ascii="Arial" w:cs="Arial" w:eastAsia="Arial" w:hAnsi="Arial"/>
                <w:sz w:val="18"/>
                <w:szCs w:val="18"/>
                <w:color w:val="auto"/>
              </w:rPr>
              <w:t>(255,023)</w:t>
            </w:r>
          </w:p>
        </w:tc>
        <w:tc>
          <w:tcPr>
            <w:tcW w:w="240" w:type="dxa"/>
            <w:vAlign w:val="bottom"/>
            <w:shd w:val="clear" w:color="auto" w:fill="D6F3E8"/>
          </w:tcPr>
          <w:p>
            <w:pPr>
              <w:spacing w:after="0"/>
              <w:rPr>
                <w:sz w:val="18"/>
                <w:szCs w:val="18"/>
                <w:color w:val="auto"/>
              </w:rPr>
            </w:pP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(145,382)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Proceeds from the sale of short-term investments</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213,023</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D6F3E8"/>
          </w:tcPr>
          <w:p>
            <w:pPr>
              <w:ind w:left="1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620"/>
              <w:spacing w:after="0"/>
              <w:rPr>
                <w:sz w:val="20"/>
                <w:szCs w:val="20"/>
                <w:color w:val="auto"/>
              </w:rPr>
            </w:pPr>
            <w:r>
              <w:rPr>
                <w:rFonts w:ascii="Arial" w:cs="Arial" w:eastAsia="Arial" w:hAnsi="Arial"/>
                <w:sz w:val="18"/>
                <w:szCs w:val="18"/>
                <w:color w:val="auto"/>
              </w:rPr>
              <w:t>(276)</w:t>
            </w:r>
          </w:p>
        </w:tc>
        <w:tc>
          <w:tcPr>
            <w:tcW w:w="240" w:type="dxa"/>
            <w:vAlign w:val="bottom"/>
            <w:shd w:val="clear" w:color="auto" w:fill="D6F3E8"/>
          </w:tcPr>
          <w:p>
            <w:pPr>
              <w:spacing w:after="0"/>
              <w:rPr>
                <w:sz w:val="18"/>
                <w:szCs w:val="18"/>
                <w:color w:val="auto"/>
              </w:rPr>
            </w:pP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108"/>
        </w:trPr>
        <w:tc>
          <w:tcPr>
            <w:tcW w:w="8420" w:type="dxa"/>
            <w:vAlign w:val="bottom"/>
            <w:gridSpan w:val="2"/>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420" w:type="dxa"/>
            <w:vAlign w:val="bottom"/>
            <w:gridSpan w:val="2"/>
          </w:tcPr>
          <w:p>
            <w:pPr>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Pr>
          <w:p>
            <w:pPr>
              <w:spacing w:after="0"/>
              <w:rPr>
                <w:sz w:val="24"/>
                <w:szCs w:val="24"/>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(52,367)</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8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D6F3E8"/>
          </w:tcPr>
          <w:p>
            <w:pPr>
              <w:spacing w:after="0"/>
              <w:rPr>
                <w:sz w:val="20"/>
                <w:szCs w:val="20"/>
                <w:color w:val="auto"/>
              </w:rPr>
            </w:pPr>
            <w:r>
              <w:rPr>
                <w:rFonts w:ascii="Arial" w:cs="Arial" w:eastAsia="Arial" w:hAnsi="Arial"/>
                <w:sz w:val="18"/>
                <w:szCs w:val="18"/>
                <w:color w:val="auto"/>
              </w:rPr>
              <w:t>Cash flows used in financing activities and capital transactions:</w:t>
            </w:r>
          </w:p>
        </w:tc>
        <w:tc>
          <w:tcPr>
            <w:tcW w:w="36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Payments for purchase of common stock</w:t>
            </w:r>
          </w:p>
        </w:tc>
        <w:tc>
          <w:tcPr>
            <w:tcW w:w="360" w:type="dxa"/>
            <w:vAlign w:val="bottom"/>
          </w:tcPr>
          <w:p>
            <w:pPr>
              <w:spacing w:after="0"/>
              <w:rPr>
                <w:sz w:val="18"/>
                <w:szCs w:val="18"/>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(26,796)</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(77,668)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D6F3E8"/>
          </w:tcPr>
          <w:p>
            <w:pPr>
              <w:ind w:left="120"/>
              <w:spacing w:after="0"/>
              <w:rPr>
                <w:sz w:val="20"/>
                <w:szCs w:val="20"/>
                <w:color w:val="auto"/>
              </w:rPr>
            </w:pPr>
            <w:r>
              <w:rPr>
                <w:rFonts w:ascii="Arial" w:cs="Arial" w:eastAsia="Arial" w:hAnsi="Arial"/>
                <w:sz w:val="18"/>
                <w:szCs w:val="18"/>
                <w:color w:val="auto"/>
              </w:rPr>
              <w:t>Payment of cash dividends</w:t>
            </w:r>
          </w:p>
        </w:tc>
        <w:tc>
          <w:tcPr>
            <w:tcW w:w="36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620"/>
              <w:spacing w:after="0"/>
              <w:rPr>
                <w:sz w:val="20"/>
                <w:szCs w:val="20"/>
                <w:color w:val="auto"/>
              </w:rPr>
            </w:pPr>
            <w:r>
              <w:rPr>
                <w:rFonts w:ascii="Arial" w:cs="Arial" w:eastAsia="Arial" w:hAnsi="Arial"/>
                <w:sz w:val="18"/>
                <w:szCs w:val="18"/>
                <w:color w:val="auto"/>
              </w:rPr>
              <w:t>(9,985)</w:t>
            </w:r>
          </w:p>
        </w:tc>
        <w:tc>
          <w:tcPr>
            <w:tcW w:w="240" w:type="dxa"/>
            <w:vAlign w:val="bottom"/>
            <w:shd w:val="clear" w:color="auto" w:fill="D6F3E8"/>
          </w:tcPr>
          <w:p>
            <w:pPr>
              <w:spacing w:after="0"/>
              <w:rPr>
                <w:sz w:val="18"/>
                <w:szCs w:val="18"/>
                <w:color w:val="auto"/>
              </w:rPr>
            </w:pP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(6,899)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Proceeds from issuance of common and treasury stock</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4,543</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D6F3E8"/>
          </w:tcPr>
          <w:p>
            <w:pPr>
              <w:spacing w:after="0"/>
              <w:rPr>
                <w:sz w:val="20"/>
                <w:szCs w:val="20"/>
                <w:color w:val="auto"/>
              </w:rPr>
            </w:pPr>
            <w:r>
              <w:rPr>
                <w:rFonts w:ascii="Arial" w:cs="Arial" w:eastAsia="Arial" w:hAnsi="Arial"/>
                <w:sz w:val="18"/>
                <w:szCs w:val="18"/>
                <w:color w:val="auto"/>
              </w:rPr>
              <w:t>Net cash used in financing activities and capital transactions</w:t>
            </w:r>
          </w:p>
        </w:tc>
        <w:tc>
          <w:tcPr>
            <w:tcW w:w="36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620"/>
              <w:spacing w:after="0"/>
              <w:rPr>
                <w:sz w:val="20"/>
                <w:szCs w:val="20"/>
                <w:color w:val="auto"/>
              </w:rPr>
            </w:pPr>
            <w:r>
              <w:rPr>
                <w:rFonts w:ascii="Arial" w:cs="Arial" w:eastAsia="Arial" w:hAnsi="Arial"/>
                <w:sz w:val="18"/>
                <w:szCs w:val="18"/>
                <w:color w:val="auto"/>
              </w:rPr>
              <w:t>(32,238)</w:t>
            </w:r>
          </w:p>
        </w:tc>
        <w:tc>
          <w:tcPr>
            <w:tcW w:w="240" w:type="dxa"/>
            <w:vAlign w:val="bottom"/>
            <w:shd w:val="clear" w:color="auto" w:fill="D6F3E8"/>
          </w:tcPr>
          <w:p>
            <w:pPr>
              <w:spacing w:after="0"/>
              <w:rPr>
                <w:sz w:val="18"/>
                <w:szCs w:val="18"/>
                <w:color w:val="auto"/>
              </w:rPr>
            </w:pP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(79,614)</w:t>
            </w:r>
          </w:p>
        </w:tc>
        <w:tc>
          <w:tcPr>
            <w:tcW w:w="0" w:type="dxa"/>
            <w:vAlign w:val="bottom"/>
          </w:tcPr>
          <w:p>
            <w:pPr>
              <w:spacing w:after="0"/>
              <w:rPr>
                <w:sz w:val="1"/>
                <w:szCs w:val="1"/>
                <w:color w:val="auto"/>
              </w:rPr>
            </w:pPr>
          </w:p>
        </w:tc>
      </w:tr>
      <w:tr>
        <w:trPr>
          <w:trHeight w:val="108"/>
        </w:trPr>
        <w:tc>
          <w:tcPr>
            <w:tcW w:w="8420" w:type="dxa"/>
            <w:vAlign w:val="bottom"/>
            <w:gridSpan w:val="2"/>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842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Pr>
          <w:p>
            <w:pPr>
              <w:spacing w:after="0"/>
              <w:rPr>
                <w:sz w:val="24"/>
                <w:szCs w:val="24"/>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(4,961)</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8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24,445</w:t>
            </w:r>
          </w:p>
        </w:tc>
        <w:tc>
          <w:tcPr>
            <w:tcW w:w="6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9,272</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20" w:type="dxa"/>
            <w:vAlign w:val="bottom"/>
            <w:gridSpan w:val="2"/>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8420" w:type="dxa"/>
            <w:vAlign w:val="bottom"/>
            <w:gridSpan w:val="2"/>
          </w:tcPr>
          <w:p>
            <w:pPr>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19,484</w:t>
            </w:r>
          </w:p>
        </w:tc>
        <w:tc>
          <w:tcPr>
            <w:tcW w:w="68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24,445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420" w:type="dxa"/>
            <w:vAlign w:val="bottom"/>
            <w:gridSpan w:val="2"/>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8"/>
        </w:trPr>
        <w:tc>
          <w:tcPr>
            <w:tcW w:w="8420" w:type="dxa"/>
            <w:vAlign w:val="bottom"/>
            <w:gridSpan w:val="2"/>
          </w:tcPr>
          <w:p>
            <w:pPr>
              <w:spacing w:after="0"/>
              <w:rPr>
                <w:sz w:val="20"/>
                <w:szCs w:val="20"/>
                <w:color w:val="auto"/>
              </w:rPr>
            </w:pPr>
            <w:r>
              <w:rPr>
                <w:rFonts w:ascii="Arial" w:cs="Arial" w:eastAsia="Arial" w:hAnsi="Arial"/>
                <w:sz w:val="18"/>
                <w:szCs w:val="18"/>
                <w:color w:val="auto"/>
              </w:rPr>
              <w:t>Certain prior period information has been reclassified to conform to the current year presentation.</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6126480</wp:posOffset>
            </wp:positionH>
            <wp:positionV relativeFrom="paragraph">
              <wp:posOffset>-523240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-523240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-523240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-523240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976630</wp:posOffset>
            </wp:positionV>
            <wp:extent cx="725043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Unaudited Motor Home Deliveries</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800" w:type="dxa"/>
            <w:vAlign w:val="bottom"/>
            <w:gridSpan w:val="4"/>
          </w:tcPr>
          <w:p>
            <w:pPr>
              <w:jc w:val="right"/>
              <w:ind w:right="1260"/>
              <w:spacing w:after="0"/>
              <w:rPr>
                <w:sz w:val="20"/>
                <w:szCs w:val="20"/>
                <w:color w:val="auto"/>
              </w:rPr>
            </w:pPr>
            <w:r>
              <w:rPr>
                <w:rFonts w:ascii="Arial" w:cs="Arial" w:eastAsia="Arial" w:hAnsi="Arial"/>
                <w:sz w:val="14"/>
                <w:szCs w:val="14"/>
                <w:b w:val="1"/>
                <w:bCs w:val="1"/>
                <w:color w:val="auto"/>
              </w:rPr>
              <w:t>Quarter Ended</w:t>
            </w:r>
          </w:p>
        </w:tc>
        <w:tc>
          <w:tcPr>
            <w:tcW w:w="1960" w:type="dxa"/>
            <w:vAlign w:val="bottom"/>
            <w:gridSpan w:val="4"/>
          </w:tcPr>
          <w:p>
            <w:pPr>
              <w:ind w:left="44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860" w:type="dxa"/>
            <w:vAlign w:val="bottom"/>
          </w:tcPr>
          <w:p>
            <w:pPr>
              <w:jc w:val="right"/>
              <w:ind w:right="79"/>
              <w:spacing w:after="0"/>
              <w:rPr>
                <w:sz w:val="20"/>
                <w:szCs w:val="20"/>
                <w:color w:val="auto"/>
              </w:rPr>
            </w:pPr>
            <w:r>
              <w:rPr>
                <w:rFonts w:ascii="Arial" w:cs="Arial" w:eastAsia="Arial" w:hAnsi="Arial"/>
                <w:sz w:val="14"/>
                <w:szCs w:val="14"/>
                <w:b w:val="1"/>
                <w:bCs w:val="1"/>
                <w:color w:val="auto"/>
              </w:rPr>
              <w:t>8/27/2005</w:t>
            </w:r>
          </w:p>
        </w:tc>
        <w:tc>
          <w:tcPr>
            <w:tcW w:w="460" w:type="dxa"/>
            <w:vAlign w:val="bottom"/>
          </w:tcPr>
          <w:p>
            <w:pPr>
              <w:spacing w:after="0"/>
              <w:rPr>
                <w:sz w:val="15"/>
                <w:szCs w:val="15"/>
                <w:color w:val="auto"/>
              </w:rPr>
            </w:pPr>
          </w:p>
        </w:tc>
        <w:tc>
          <w:tcPr>
            <w:tcW w:w="860" w:type="dxa"/>
            <w:vAlign w:val="bottom"/>
          </w:tcPr>
          <w:p>
            <w:pPr>
              <w:jc w:val="right"/>
              <w:ind w:right="76"/>
              <w:spacing w:after="0"/>
              <w:rPr>
                <w:sz w:val="20"/>
                <w:szCs w:val="20"/>
                <w:color w:val="auto"/>
              </w:rPr>
            </w:pPr>
            <w:r>
              <w:rPr>
                <w:rFonts w:ascii="Arial" w:cs="Arial" w:eastAsia="Arial" w:hAnsi="Arial"/>
                <w:sz w:val="14"/>
                <w:szCs w:val="14"/>
                <w:b w:val="1"/>
                <w:bCs w:val="1"/>
                <w:color w:val="auto"/>
              </w:rPr>
              <w:t>8/28/2004</w:t>
            </w:r>
          </w:p>
        </w:tc>
        <w:tc>
          <w:tcPr>
            <w:tcW w:w="620" w:type="dxa"/>
            <w:vAlign w:val="bottom"/>
          </w:tcPr>
          <w:p>
            <w:pPr>
              <w:spacing w:after="0"/>
              <w:rPr>
                <w:sz w:val="15"/>
                <w:szCs w:val="15"/>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rPr>
              <w:t>8/27/2005</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8/28/2004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D6F3E8"/>
          </w:tcPr>
          <w:p>
            <w:pPr>
              <w:spacing w:after="0"/>
              <w:rPr>
                <w:sz w:val="20"/>
                <w:szCs w:val="20"/>
                <w:color w:val="auto"/>
              </w:rPr>
            </w:pPr>
            <w:r>
              <w:rPr>
                <w:rFonts w:ascii="Arial" w:cs="Arial" w:eastAsia="Arial" w:hAnsi="Arial"/>
                <w:sz w:val="18"/>
                <w:szCs w:val="18"/>
                <w:color w:val="auto"/>
              </w:rPr>
              <w:t>Unit deliveries</w:t>
            </w:r>
          </w:p>
        </w:tc>
        <w:tc>
          <w:tcPr>
            <w:tcW w:w="8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62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80"/>
              <w:spacing w:after="0"/>
              <w:rPr>
                <w:sz w:val="20"/>
                <w:szCs w:val="20"/>
                <w:color w:val="auto"/>
              </w:rPr>
            </w:pPr>
            <w:r>
              <w:rPr>
                <w:rFonts w:ascii="Arial" w:cs="Arial" w:eastAsia="Arial" w:hAnsi="Arial"/>
                <w:sz w:val="18"/>
                <w:szCs w:val="18"/>
                <w:color w:val="auto"/>
              </w:rPr>
              <w:t>Class A gas</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1,026</w:t>
            </w:r>
          </w:p>
        </w:tc>
        <w:tc>
          <w:tcPr>
            <w:tcW w:w="860" w:type="dxa"/>
            <w:vAlign w:val="bottom"/>
          </w:tcPr>
          <w:p>
            <w:pPr>
              <w:jc w:val="right"/>
              <w:spacing w:after="0"/>
              <w:rPr>
                <w:sz w:val="20"/>
                <w:szCs w:val="20"/>
                <w:color w:val="auto"/>
              </w:rPr>
            </w:pPr>
            <w:r>
              <w:rPr>
                <w:rFonts w:ascii="Arial" w:cs="Arial" w:eastAsia="Arial" w:hAnsi="Arial"/>
                <w:sz w:val="18"/>
                <w:szCs w:val="18"/>
                <w:color w:val="auto"/>
              </w:rPr>
              <w:t>1,289</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4,527</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D6F3E8"/>
          </w:tcPr>
          <w:p>
            <w:pPr>
              <w:ind w:left="80"/>
              <w:spacing w:after="0"/>
              <w:rPr>
                <w:sz w:val="20"/>
                <w:szCs w:val="20"/>
                <w:color w:val="auto"/>
              </w:rPr>
            </w:pPr>
            <w:r>
              <w:rPr>
                <w:rFonts w:ascii="Arial" w:cs="Arial" w:eastAsia="Arial" w:hAnsi="Arial"/>
                <w:sz w:val="18"/>
                <w:szCs w:val="18"/>
                <w:color w:val="auto"/>
              </w:rPr>
              <w:t>Class A diesel</w:t>
            </w:r>
          </w:p>
        </w:tc>
        <w:tc>
          <w:tcPr>
            <w:tcW w:w="132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440</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686</w:t>
            </w:r>
          </w:p>
        </w:tc>
        <w:tc>
          <w:tcPr>
            <w:tcW w:w="6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2,147</w:t>
            </w:r>
          </w:p>
        </w:tc>
        <w:tc>
          <w:tcPr>
            <w:tcW w:w="108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80"/>
              <w:spacing w:after="0"/>
              <w:rPr>
                <w:sz w:val="20"/>
                <w:szCs w:val="20"/>
                <w:color w:val="auto"/>
              </w:rPr>
            </w:pPr>
            <w:r>
              <w:rPr>
                <w:rFonts w:ascii="Arial" w:cs="Arial" w:eastAsia="Arial" w:hAnsi="Arial"/>
                <w:sz w:val="18"/>
                <w:szCs w:val="18"/>
                <w:color w:val="auto"/>
              </w:rPr>
              <w:t>Class C</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1,085</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1,113</w:t>
            </w:r>
          </w:p>
        </w:tc>
        <w:tc>
          <w:tcPr>
            <w:tcW w:w="880" w:type="dxa"/>
            <w:vAlign w:val="bottom"/>
          </w:tcPr>
          <w:p>
            <w:pPr>
              <w:jc w:val="right"/>
              <w:spacing w:after="0"/>
              <w:rPr>
                <w:sz w:val="20"/>
                <w:szCs w:val="20"/>
                <w:color w:val="auto"/>
              </w:rPr>
            </w:pPr>
            <w:r>
              <w:rPr>
                <w:rFonts w:ascii="Arial" w:cs="Arial" w:eastAsia="Arial" w:hAnsi="Arial"/>
                <w:sz w:val="18"/>
                <w:szCs w:val="18"/>
                <w:color w:val="auto"/>
              </w:rPr>
              <w:t>3,963</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Total deliveries</w:t>
            </w:r>
          </w:p>
        </w:tc>
        <w:tc>
          <w:tcPr>
            <w:tcW w:w="132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2,551</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3,088</w:t>
            </w:r>
          </w:p>
        </w:tc>
        <w:tc>
          <w:tcPr>
            <w:tcW w:w="62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10,637</w:t>
            </w:r>
          </w:p>
        </w:tc>
        <w:tc>
          <w:tcPr>
            <w:tcW w:w="108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12,516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Backlog and Dealer Inventory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(Units)</w:t>
      </w:r>
    </w:p>
    <w:p>
      <w:pPr>
        <w:sectPr>
          <w:pgSz w:w="11900" w:h="16838" w:orient="portrait"/>
          <w:cols w:equalWidth="0" w:num="1">
            <w:col w:w="11420"/>
          </w:cols>
          <w:pgMar w:left="240" w:top="131" w:right="239" w:bottom="0" w:gutter="0" w:footer="0" w:header="0"/>
        </w:sectPr>
      </w:pPr>
    </w:p>
    <w:bookmarkStart w:id="6" w:name="page7"/>
    <w:bookmarkEnd w:id="6"/>
    <w:tbl>
      <w:tblPr>
        <w:tblLayout w:type="fixed"/>
        <w:tblInd w:w="171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900" w:type="dxa"/>
            <w:vAlign w:val="bottom"/>
          </w:tcPr>
          <w:p>
            <w:pPr>
              <w:jc w:val="right"/>
              <w:ind w:right="95"/>
              <w:spacing w:after="0"/>
              <w:rPr>
                <w:sz w:val="20"/>
                <w:szCs w:val="20"/>
                <w:color w:val="auto"/>
              </w:rPr>
            </w:pPr>
            <w:r>
              <w:rPr>
                <w:rFonts w:ascii="Arial" w:cs="Arial" w:eastAsia="Arial" w:hAnsi="Arial"/>
                <w:sz w:val="14"/>
                <w:szCs w:val="14"/>
                <w:b w:val="1"/>
                <w:bCs w:val="1"/>
                <w:color w:val="auto"/>
              </w:rPr>
              <w:t>8/27/2005</w:t>
            </w:r>
          </w:p>
        </w:tc>
        <w:tc>
          <w:tcPr>
            <w:tcW w:w="8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8/28/2004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D6F3E8"/>
          </w:tcPr>
          <w:p>
            <w:pPr>
              <w:spacing w:after="0"/>
              <w:rPr>
                <w:sz w:val="20"/>
                <w:szCs w:val="20"/>
                <w:color w:val="auto"/>
              </w:rPr>
            </w:pPr>
            <w:r>
              <w:rPr>
                <w:rFonts w:ascii="Arial" w:cs="Arial" w:eastAsia="Arial" w:hAnsi="Arial"/>
                <w:sz w:val="18"/>
                <w:szCs w:val="18"/>
                <w:color w:val="auto"/>
              </w:rPr>
              <w:t>Sales order backlog</w:t>
            </w:r>
          </w:p>
        </w:tc>
        <w:tc>
          <w:tcPr>
            <w:tcW w:w="90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0"/>
              <w:spacing w:after="0"/>
              <w:rPr>
                <w:sz w:val="20"/>
                <w:szCs w:val="20"/>
                <w:color w:val="auto"/>
              </w:rPr>
            </w:pPr>
            <w:r>
              <w:rPr>
                <w:rFonts w:ascii="Arial" w:cs="Arial" w:eastAsia="Arial" w:hAnsi="Arial"/>
                <w:sz w:val="18"/>
                <w:szCs w:val="18"/>
                <w:color w:val="auto"/>
              </w:rPr>
              <w:t>Class A gas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637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D6F3E8"/>
          </w:tcPr>
          <w:p>
            <w:pPr>
              <w:ind w:left="80"/>
              <w:spacing w:after="0"/>
              <w:rPr>
                <w:sz w:val="20"/>
                <w:szCs w:val="20"/>
                <w:color w:val="auto"/>
              </w:rPr>
            </w:pPr>
            <w:r>
              <w:rPr>
                <w:rFonts w:ascii="Arial" w:cs="Arial" w:eastAsia="Arial" w:hAnsi="Arial"/>
                <w:sz w:val="18"/>
                <w:szCs w:val="18"/>
                <w:color w:val="auto"/>
              </w:rPr>
              <w:t>Class A diesel</w:t>
            </w:r>
          </w:p>
        </w:tc>
        <w:tc>
          <w:tcPr>
            <w:tcW w:w="9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336</w:t>
            </w:r>
          </w:p>
        </w:tc>
        <w:tc>
          <w:tcPr>
            <w:tcW w:w="14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80"/>
              <w:spacing w:after="0"/>
              <w:rPr>
                <w:sz w:val="20"/>
                <w:szCs w:val="20"/>
                <w:color w:val="auto"/>
              </w:rPr>
            </w:pPr>
            <w:r>
              <w:rPr>
                <w:rFonts w:ascii="Arial" w:cs="Arial" w:eastAsia="Arial" w:hAnsi="Arial"/>
                <w:sz w:val="18"/>
                <w:szCs w:val="18"/>
                <w:color w:val="auto"/>
              </w:rPr>
              <w:t>Class C</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1,086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Total backlog*</w:t>
            </w:r>
          </w:p>
        </w:tc>
        <w:tc>
          <w:tcPr>
            <w:tcW w:w="9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2,059</w:t>
            </w:r>
          </w:p>
        </w:tc>
        <w:tc>
          <w:tcPr>
            <w:tcW w:w="14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2,541</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approximate revenue dollars (in thousands)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   170,000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   220,000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D6F3E8"/>
          </w:tcPr>
          <w:p>
            <w:pPr>
              <w:spacing w:after="0"/>
              <w:rPr>
                <w:sz w:val="20"/>
                <w:szCs w:val="20"/>
                <w:color w:val="auto"/>
              </w:rPr>
            </w:pPr>
            <w:r>
              <w:rPr>
                <w:rFonts w:ascii="Arial" w:cs="Arial" w:eastAsia="Arial" w:hAnsi="Arial"/>
                <w:sz w:val="18"/>
                <w:szCs w:val="18"/>
                <w:color w:val="auto"/>
              </w:rPr>
              <w:t>Dealer inventory</w:t>
            </w:r>
          </w:p>
        </w:tc>
        <w:tc>
          <w:tcPr>
            <w:tcW w:w="9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4,794</w:t>
            </w:r>
          </w:p>
        </w:tc>
        <w:tc>
          <w:tcPr>
            <w:tcW w:w="14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4,978</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8" w:firstLine="8"/>
        <w:spacing w:after="0" w:line="332" w:lineRule="auto"/>
        <w:tabs>
          <w:tab w:leader="none" w:pos="12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includes in its backlog all accepted orders from dealers shippable within the next six months. Orders in backlog can be cancelled or postponed at the option of the purchaser at any time without penalty and, therefore, backlog may not necessarily be an accurate measure of future sales.</w:t>
      </w:r>
    </w:p>
    <w:p>
      <w:pPr>
        <w:spacing w:after="0" w:line="126" w:lineRule="exact"/>
        <w:rPr>
          <w:rFonts w:ascii="Arial" w:cs="Arial" w:eastAsia="Arial" w:hAnsi="Arial"/>
          <w:sz w:val="16"/>
          <w:szCs w:val="16"/>
          <w:color w:val="auto"/>
        </w:rPr>
      </w:pPr>
    </w:p>
    <w:p>
      <w:pPr>
        <w:ind w:left="5652" w:hanging="216"/>
        <w:spacing w:after="0"/>
        <w:tabs>
          <w:tab w:leader="none" w:pos="5652" w:val="left"/>
        </w:tabs>
        <w:numPr>
          <w:ilvl w:val="1"/>
          <w:numId w:val="3"/>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982980</wp:posOffset>
            </wp:positionV>
            <wp:extent cx="725043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332"/>
      </w:cols>
      <w:pgMar w:left="248" w:top="11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2019-12-13T08:32:30Z</dcterms:created>
  <dcterms:modified xsi:type="dcterms:W3CDTF">2019-12-13T08:32:30Z</dcterms:modified>
</cp:coreProperties>
</file>