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2,207,786</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2,207,786</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2,207,786</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2,207,786</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7.86%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2,207,786</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2,207,786</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319"/>
        <w:spacing w:after="0" w:line="275" w:lineRule="auto"/>
        <w:rPr>
          <w:sz w:val="20"/>
          <w:szCs w:val="20"/>
          <w:color w:val="auto"/>
        </w:rPr>
      </w:pPr>
      <w:r>
        <w:rPr>
          <w:rFonts w:ascii="Courier New" w:cs="Courier New" w:eastAsia="Courier New" w:hAnsi="Courier New"/>
          <w:sz w:val="16"/>
          <w:szCs w:val="16"/>
          <w:color w:val="auto"/>
        </w:rPr>
        <w:t>The interest of one account, Royce Pennsylvania Mutual Fund an investment company registered under the Investment Company Act of 1940 and managed by Royce &amp; Associates, LLC, amounted to 1,504,450 shares or 5.35%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2019-12-05T16:51:59Z</dcterms:created>
  <dcterms:modified xsi:type="dcterms:W3CDTF">2019-12-05T16:51:59Z</dcterms:modified>
</cp:coreProperties>
</file>