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82" w:lineRule="exact"/>
        <w:rPr>
          <w:sz w:val="24"/>
          <w:szCs w:val="24"/>
          <w:color w:val="auto"/>
        </w:rPr>
      </w:pPr>
    </w:p>
    <w:p>
      <w:pPr>
        <w:ind w:left="20"/>
        <w:spacing w:after="0"/>
        <w:rPr>
          <w:sz w:val="20"/>
          <w:szCs w:val="20"/>
          <w:color w:val="auto"/>
        </w:rPr>
      </w:pPr>
      <w:r>
        <w:rPr>
          <w:rFonts w:ascii="Arial" w:cs="Arial" w:eastAsia="Arial" w:hAnsi="Arial"/>
          <w:sz w:val="16"/>
          <w:szCs w:val="16"/>
          <w:color w:val="auto"/>
        </w:rPr>
        <w:t>(Mark One)</w:t>
      </w:r>
    </w:p>
    <w:p>
      <w:pPr>
        <w:spacing w:after="0" w:line="44"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44" w:lineRule="exact"/>
        <w:rPr>
          <w:sz w:val="24"/>
          <w:szCs w:val="24"/>
          <w:color w:val="auto"/>
        </w:rPr>
      </w:pPr>
    </w:p>
    <w:p>
      <w:pPr>
        <w:ind w:left="360"/>
        <w:spacing w:after="0"/>
        <w:rPr>
          <w:sz w:val="20"/>
          <w:szCs w:val="20"/>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81" w:lineRule="exact"/>
        <w:rPr>
          <w:sz w:val="24"/>
          <w:szCs w:val="24"/>
          <w:color w:val="auto"/>
        </w:rPr>
      </w:pPr>
    </w:p>
    <w:p>
      <w:pPr>
        <w:ind w:left="3800"/>
        <w:spacing w:after="0"/>
        <w:rPr>
          <w:sz w:val="20"/>
          <w:szCs w:val="20"/>
          <w:color w:val="auto"/>
        </w:rPr>
      </w:pPr>
      <w:r>
        <w:rPr>
          <w:rFonts w:ascii="Arial" w:cs="Arial" w:eastAsia="Arial" w:hAnsi="Arial"/>
          <w:sz w:val="16"/>
          <w:szCs w:val="16"/>
          <w:color w:val="auto"/>
        </w:rPr>
        <w:t>For the quarterly period ended November 28, 2020</w:t>
      </w:r>
    </w:p>
    <w:p>
      <w:pPr>
        <w:spacing w:after="0" w:line="46" w:lineRule="exact"/>
        <w:rPr>
          <w:sz w:val="24"/>
          <w:szCs w:val="24"/>
          <w:color w:val="auto"/>
        </w:rPr>
      </w:pPr>
    </w:p>
    <w:p>
      <w:pPr>
        <w:ind w:left="2860"/>
        <w:spacing w:after="0"/>
        <w:rPr>
          <w:sz w:val="20"/>
          <w:szCs w:val="20"/>
          <w:color w:val="auto"/>
        </w:rPr>
      </w:pPr>
      <w:r>
        <w:rPr>
          <w:rFonts w:ascii="Arial" w:cs="Arial" w:eastAsia="Arial" w:hAnsi="Arial"/>
          <w:sz w:val="16"/>
          <w:szCs w:val="16"/>
          <w:color w:val="auto"/>
        </w:rPr>
        <w:t>or</w:t>
      </w:r>
    </w:p>
    <w:p>
      <w:pPr>
        <w:spacing w:after="0" w:line="66" w:lineRule="exact"/>
        <w:rPr>
          <w:sz w:val="24"/>
          <w:szCs w:val="24"/>
          <w:color w:val="auto"/>
        </w:rPr>
      </w:pPr>
    </w:p>
    <w:p>
      <w:pPr>
        <w:ind w:left="2900" w:right="2680" w:hanging="2874"/>
        <w:spacing w:after="0" w:line="352" w:lineRule="auto"/>
        <w:tabs>
          <w:tab w:leader="none" w:pos="285"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 to _________________</w:t>
      </w:r>
    </w:p>
    <w:p>
      <w:pPr>
        <w:ind w:left="3720"/>
        <w:spacing w:after="0"/>
        <w:rPr>
          <w:rFonts w:ascii="MS PGothic" w:cs="MS PGothic" w:eastAsia="MS PGothic" w:hAnsi="MS PGothic"/>
          <w:sz w:val="16"/>
          <w:szCs w:val="16"/>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92075</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390" w:lineRule="exact"/>
        <w:rPr>
          <w:sz w:val="24"/>
          <w:szCs w:val="24"/>
          <w:color w:val="auto"/>
        </w:rPr>
      </w:pPr>
    </w:p>
    <w:tbl>
      <w:tblPr>
        <w:tblLayout w:type="fixed"/>
        <w:tblInd w:w="10" w:type="dxa"/>
        <w:tblCellMar>
          <w:top w:w="0" w:type="dxa"/>
          <w:left w:w="0" w:type="dxa"/>
          <w:bottom w:w="0" w:type="dxa"/>
          <w:right w:w="0" w:type="dxa"/>
        </w:tblCellMar>
      </w:tblPr>
      <w:tr>
        <w:trPr>
          <w:trHeight w:val="218"/>
        </w:trPr>
        <w:tc>
          <w:tcPr>
            <w:tcW w:w="15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2"/>
          </w:tcPr>
          <w:p>
            <w:pPr>
              <w:jc w:val="center"/>
              <w:ind w:right="1439"/>
              <w:spacing w:after="0"/>
              <w:rPr>
                <w:sz w:val="20"/>
                <w:szCs w:val="20"/>
                <w:color w:val="auto"/>
              </w:rPr>
            </w:pPr>
            <w:r>
              <w:rPr>
                <w:rFonts w:ascii="Arial" w:cs="Arial" w:eastAsia="Arial" w:hAnsi="Arial"/>
                <w:sz w:val="16"/>
                <w:szCs w:val="16"/>
                <w:b w:val="1"/>
                <w:bCs w:val="1"/>
                <w:color w:val="auto"/>
              </w:rPr>
              <w:t>Iowa</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760" w:type="dxa"/>
            <w:vAlign w:val="bottom"/>
            <w:tcBorders>
              <w:bottom w:val="single" w:sz="8" w:color="auto"/>
            </w:tcBorders>
            <w:gridSpan w:val="2"/>
          </w:tcPr>
          <w:p>
            <w:pPr>
              <w:jc w:val="right"/>
              <w:ind w:right="2460"/>
              <w:spacing w:after="0"/>
              <w:rPr>
                <w:sz w:val="20"/>
                <w:szCs w:val="20"/>
                <w:color w:val="auto"/>
              </w:rPr>
            </w:pPr>
            <w:r>
              <w:rPr>
                <w:rFonts w:ascii="Arial" w:cs="Arial" w:eastAsia="Arial" w:hAnsi="Arial"/>
                <w:sz w:val="16"/>
                <w:szCs w:val="16"/>
                <w:b w:val="1"/>
                <w:bCs w:val="1"/>
                <w:color w:val="auto"/>
              </w:rPr>
              <w:t>42-0802678</w:t>
            </w:r>
          </w:p>
        </w:tc>
      </w:tr>
      <w:tr>
        <w:trPr>
          <w:trHeight w:val="207"/>
        </w:trPr>
        <w:tc>
          <w:tcPr>
            <w:tcW w:w="4660" w:type="dxa"/>
            <w:vAlign w:val="bottom"/>
            <w:gridSpan w:val="3"/>
          </w:tcPr>
          <w:p>
            <w:pPr>
              <w:jc w:val="center"/>
              <w:spacing w:after="0"/>
              <w:rPr>
                <w:sz w:val="20"/>
                <w:szCs w:val="20"/>
                <w:color w:val="auto"/>
              </w:rPr>
            </w:pPr>
            <w:r>
              <w:rPr>
                <w:rFonts w:ascii="Arial" w:cs="Arial" w:eastAsia="Arial" w:hAnsi="Arial"/>
                <w:sz w:val="16"/>
                <w:szCs w:val="16"/>
                <w:color w:val="auto"/>
              </w:rPr>
              <w:t>(State or other jurisdiction of incorporation or organization)</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760" w:type="dxa"/>
            <w:vAlign w:val="bottom"/>
            <w:gridSpan w:val="2"/>
          </w:tcPr>
          <w:p>
            <w:pPr>
              <w:jc w:val="center"/>
              <w:ind w:right="1040"/>
              <w:spacing w:after="0"/>
              <w:rPr>
                <w:sz w:val="20"/>
                <w:szCs w:val="20"/>
                <w:color w:val="auto"/>
              </w:rPr>
            </w:pPr>
            <w:r>
              <w:rPr>
                <w:rFonts w:ascii="Arial" w:cs="Arial" w:eastAsia="Arial" w:hAnsi="Arial"/>
                <w:sz w:val="16"/>
                <w:szCs w:val="16"/>
                <w:color w:val="auto"/>
              </w:rPr>
              <w:t>(I.R.S. Employer Identification No.)</w:t>
            </w:r>
          </w:p>
        </w:tc>
      </w:tr>
      <w:tr>
        <w:trPr>
          <w:trHeight w:val="367"/>
        </w:trPr>
        <w:tc>
          <w:tcPr>
            <w:tcW w:w="152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P. O. Box 152</w:t>
            </w:r>
          </w:p>
        </w:tc>
        <w:tc>
          <w:tcPr>
            <w:tcW w:w="3140" w:type="dxa"/>
            <w:vAlign w:val="bottom"/>
            <w:tcBorders>
              <w:bottom w:val="single" w:sz="8" w:color="auto"/>
            </w:tcBorders>
            <w:gridSpan w:val="2"/>
          </w:tcPr>
          <w:p>
            <w:pPr>
              <w:ind w:left="260"/>
              <w:spacing w:after="0"/>
              <w:rPr>
                <w:sz w:val="20"/>
                <w:szCs w:val="20"/>
                <w:color w:val="auto"/>
              </w:rPr>
            </w:pPr>
            <w:r>
              <w:rPr>
                <w:rFonts w:ascii="Arial" w:cs="Arial" w:eastAsia="Arial" w:hAnsi="Arial"/>
                <w:sz w:val="16"/>
                <w:szCs w:val="16"/>
                <w:b w:val="1"/>
                <w:bCs w:val="1"/>
                <w:color w:val="auto"/>
              </w:rPr>
              <w:t>Forest City   Iowa</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gridSpan w:val="2"/>
          </w:tcPr>
          <w:p>
            <w:pPr>
              <w:jc w:val="right"/>
              <w:ind w:right="2680"/>
              <w:spacing w:after="0"/>
              <w:rPr>
                <w:sz w:val="20"/>
                <w:szCs w:val="20"/>
                <w:color w:val="auto"/>
              </w:rPr>
            </w:pPr>
            <w:r>
              <w:rPr>
                <w:rFonts w:ascii="Arial" w:cs="Arial" w:eastAsia="Arial" w:hAnsi="Arial"/>
                <w:sz w:val="16"/>
                <w:szCs w:val="16"/>
                <w:b w:val="1"/>
                <w:bCs w:val="1"/>
                <w:color w:val="auto"/>
              </w:rPr>
              <w:t>50436</w:t>
            </w:r>
          </w:p>
        </w:tc>
      </w:tr>
      <w:tr>
        <w:trPr>
          <w:trHeight w:val="207"/>
        </w:trPr>
        <w:tc>
          <w:tcPr>
            <w:tcW w:w="4660" w:type="dxa"/>
            <w:vAlign w:val="bottom"/>
            <w:gridSpan w:val="3"/>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760" w:type="dxa"/>
            <w:vAlign w:val="bottom"/>
            <w:gridSpan w:val="2"/>
          </w:tcPr>
          <w:p>
            <w:pPr>
              <w:jc w:val="center"/>
              <w:ind w:right="1040"/>
              <w:spacing w:after="0"/>
              <w:rPr>
                <w:sz w:val="20"/>
                <w:szCs w:val="20"/>
                <w:color w:val="auto"/>
              </w:rPr>
            </w:pPr>
            <w:r>
              <w:rPr>
                <w:rFonts w:ascii="Arial" w:cs="Arial" w:eastAsia="Arial" w:hAnsi="Arial"/>
                <w:sz w:val="16"/>
                <w:szCs w:val="16"/>
                <w:color w:val="auto"/>
              </w:rPr>
              <w:t>(Zip Code)</w:t>
            </w:r>
          </w:p>
        </w:tc>
      </w:tr>
      <w:tr>
        <w:trPr>
          <w:trHeight w:val="327"/>
        </w:trPr>
        <w:tc>
          <w:tcPr>
            <w:tcW w:w="1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6"/>
                <w:szCs w:val="16"/>
                <w:b w:val="1"/>
                <w:bCs w:val="1"/>
                <w:color w:val="auto"/>
              </w:rPr>
              <w:t>641- 585-3535</w:t>
            </w:r>
          </w:p>
        </w:tc>
        <w:tc>
          <w:tcPr>
            <w:tcW w:w="1860" w:type="dxa"/>
            <w:vAlign w:val="bottom"/>
            <w:tcBorders>
              <w:bottom w:val="single" w:sz="8" w:color="auto"/>
            </w:tcBorders>
          </w:tcPr>
          <w:p>
            <w:pPr>
              <w:spacing w:after="0"/>
              <w:rPr>
                <w:sz w:val="24"/>
                <w:szCs w:val="24"/>
                <w:color w:val="auto"/>
              </w:rPr>
            </w:pPr>
          </w:p>
        </w:tc>
        <w:tc>
          <w:tcPr>
            <w:tcW w:w="2900" w:type="dxa"/>
            <w:vAlign w:val="bottom"/>
          </w:tcPr>
          <w:p>
            <w:pPr>
              <w:spacing w:after="0"/>
              <w:rPr>
                <w:sz w:val="24"/>
                <w:szCs w:val="24"/>
                <w:color w:val="auto"/>
              </w:rPr>
            </w:pPr>
          </w:p>
        </w:tc>
      </w:tr>
      <w:tr>
        <w:trPr>
          <w:trHeight w:val="193"/>
        </w:trPr>
        <w:tc>
          <w:tcPr>
            <w:tcW w:w="15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440" w:type="dxa"/>
            <w:vAlign w:val="bottom"/>
            <w:gridSpan w:val="6"/>
          </w:tcPr>
          <w:p>
            <w:pPr>
              <w:jc w:val="center"/>
              <w:ind w:right="2840"/>
              <w:spacing w:after="0"/>
              <w:rPr>
                <w:sz w:val="20"/>
                <w:szCs w:val="20"/>
                <w:color w:val="auto"/>
              </w:rPr>
            </w:pPr>
            <w:r>
              <w:rPr>
                <w:rFonts w:ascii="Arial" w:cs="Arial" w:eastAsia="Arial" w:hAnsi="Arial"/>
                <w:sz w:val="16"/>
                <w:szCs w:val="16"/>
                <w:color w:val="auto"/>
              </w:rPr>
              <w:t>(Registrant's telephone number, including area code)</w:t>
            </w:r>
          </w:p>
        </w:tc>
      </w:tr>
      <w:tr>
        <w:trPr>
          <w:trHeight w:val="567"/>
        </w:trPr>
        <w:tc>
          <w:tcPr>
            <w:tcW w:w="46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r>
        <w:trPr>
          <w:trHeight w:val="213"/>
        </w:trPr>
        <w:tc>
          <w:tcPr>
            <w:tcW w:w="1520" w:type="dxa"/>
            <w:vAlign w:val="bottom"/>
            <w:tcBorders>
              <w:left w:val="single" w:sz="8" w:color="auto"/>
              <w:bottom w:val="single" w:sz="8" w:color="auto"/>
            </w:tcBorders>
          </w:tcPr>
          <w:p>
            <w:pPr>
              <w:spacing w:after="0"/>
              <w:rPr>
                <w:sz w:val="18"/>
                <w:szCs w:val="18"/>
                <w:color w:val="auto"/>
              </w:rPr>
            </w:pPr>
          </w:p>
        </w:tc>
        <w:tc>
          <w:tcPr>
            <w:tcW w:w="3140" w:type="dxa"/>
            <w:vAlign w:val="bottom"/>
            <w:tcBorders>
              <w:bottom w:val="single" w:sz="8" w:color="auto"/>
            </w:tcBorders>
            <w:gridSpan w:val="2"/>
          </w:tcPr>
          <w:p>
            <w:pPr>
              <w:jc w:val="center"/>
              <w:ind w:right="1319"/>
              <w:spacing w:after="0"/>
              <w:rPr>
                <w:sz w:val="20"/>
                <w:szCs w:val="20"/>
                <w:color w:val="auto"/>
              </w:rPr>
            </w:pPr>
            <w:r>
              <w:rPr>
                <w:rFonts w:ascii="Arial" w:cs="Arial" w:eastAsia="Arial" w:hAnsi="Arial"/>
                <w:sz w:val="16"/>
                <w:szCs w:val="16"/>
                <w:color w:val="auto"/>
              </w:rPr>
              <w:t>Title of each class</w:t>
            </w:r>
          </w:p>
        </w:tc>
        <w:tc>
          <w:tcPr>
            <w:tcW w:w="1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660" w:type="dxa"/>
            <w:vAlign w:val="bottom"/>
            <w:tcBorders>
              <w:left w:val="single" w:sz="8" w:color="auto"/>
              <w:bottom w:val="single" w:sz="8" w:color="auto"/>
            </w:tcBorders>
            <w:gridSpan w:val="3"/>
          </w:tcPr>
          <w:p>
            <w:pPr>
              <w:jc w:val="center"/>
              <w:ind w:left="39"/>
              <w:spacing w:after="0"/>
              <w:rPr>
                <w:sz w:val="20"/>
                <w:szCs w:val="20"/>
                <w:color w:val="auto"/>
              </w:rPr>
            </w:pPr>
            <w:r>
              <w:rPr>
                <w:rFonts w:ascii="Arial" w:cs="Arial" w:eastAsia="Arial" w:hAnsi="Arial"/>
                <w:sz w:val="16"/>
                <w:szCs w:val="16"/>
                <w:color w:val="auto"/>
              </w:rPr>
              <w:t>Common Stock, $0.50 par value per share</w:t>
            </w:r>
          </w:p>
        </w:tc>
        <w:tc>
          <w:tcPr>
            <w:tcW w:w="1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color w:val="auto"/>
              </w:rPr>
              <w:t>WGO</w:t>
            </w:r>
          </w:p>
        </w:tc>
        <w:tc>
          <w:tcPr>
            <w:tcW w:w="476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color w:val="auto"/>
              </w:rPr>
              <w:t>New York Stock Exchange</w:t>
            </w:r>
          </w:p>
        </w:tc>
      </w:tr>
    </w:tbl>
    <w:p>
      <w:pPr>
        <w:spacing w:after="0" w:line="353" w:lineRule="exact"/>
        <w:rPr>
          <w:sz w:val="24"/>
          <w:szCs w:val="24"/>
          <w:color w:val="auto"/>
        </w:rPr>
      </w:pPr>
    </w:p>
    <w:p>
      <w:pPr>
        <w:jc w:val="both"/>
        <w:ind w:right="48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1" w:lineRule="exact"/>
        <w:rPr>
          <w:sz w:val="24"/>
          <w:szCs w:val="24"/>
          <w:color w:val="auto"/>
        </w:rPr>
      </w:pPr>
    </w:p>
    <w:p>
      <w:pPr>
        <w:ind w:right="20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1" w:lineRule="exact"/>
        <w:rPr>
          <w:sz w:val="24"/>
          <w:szCs w:val="24"/>
          <w:color w:val="auto"/>
        </w:rPr>
      </w:pPr>
    </w:p>
    <w:p>
      <w:pPr>
        <w:ind w:right="4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6" w:lineRule="exact"/>
        <w:rPr>
          <w:sz w:val="24"/>
          <w:szCs w:val="24"/>
          <w:color w:val="auto"/>
        </w:rPr>
      </w:pPr>
    </w:p>
    <w:p>
      <w:pPr>
        <w:spacing w:after="0" w:line="184" w:lineRule="exact"/>
        <w:tabs>
          <w:tab w:leader="none" w:pos="2020" w:val="left"/>
          <w:tab w:leader="none" w:pos="362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43" w:lineRule="exact"/>
        <w:rPr>
          <w:sz w:val="24"/>
          <w:szCs w:val="24"/>
          <w:color w:val="auto"/>
        </w:rPr>
      </w:pPr>
    </w:p>
    <w:p>
      <w:pPr>
        <w:ind w:left="180"/>
        <w:spacing w:after="0" w:line="184" w:lineRule="exact"/>
        <w:tabs>
          <w:tab w:leader="none" w:pos="2760" w:val="left"/>
        </w:tabs>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2" w:lineRule="exact"/>
        <w:rPr>
          <w:sz w:val="24"/>
          <w:szCs w:val="24"/>
          <w:color w:val="auto"/>
        </w:rPr>
      </w:pPr>
    </w:p>
    <w:p>
      <w:pPr>
        <w:ind w:right="16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90"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common stock, par value $0.50 per share, outstanding on December 10, 2020 was 33,554,500.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481965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Winnebago Industries,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0" w:type="dxa"/>
            <w:vAlign w:val="bottom"/>
          </w:tcPr>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PART I.</w:t>
              </w:r>
            </w:hyperlink>
          </w:p>
        </w:tc>
        <w:tc>
          <w:tcPr>
            <w:tcW w:w="8420" w:type="dxa"/>
            <w:vAlign w:val="bottom"/>
          </w:tcPr>
          <w:p>
            <w:pPr>
              <w:ind w:left="180"/>
              <w:spacing w:after="0"/>
              <w:rPr>
                <w:rFonts w:ascii="Arial" w:cs="Arial" w:eastAsia="Arial" w:hAnsi="Arial"/>
                <w:sz w:val="16"/>
                <w:szCs w:val="16"/>
                <w:b w:val="1"/>
                <w:bCs w:val="1"/>
                <w:color w:val="0000FF"/>
              </w:rPr>
            </w:pPr>
            <w:hyperlink w:anchor="page2">
              <w:r>
                <w:rPr>
                  <w:rFonts w:ascii="Arial" w:cs="Arial" w:eastAsia="Arial" w:hAnsi="Arial"/>
                  <w:sz w:val="16"/>
                  <w:szCs w:val="16"/>
                  <w:b w:val="1"/>
                  <w:bCs w:val="1"/>
                  <w:u w:val="single" w:color="auto"/>
                  <w:color w:val="0000FF"/>
                </w:rPr>
                <w:t>FINANCIAL INFORMATION</w:t>
              </w:r>
              <w:r>
                <w:rPr>
                  <w:rFonts w:ascii="Arial" w:cs="Arial" w:eastAsia="Arial" w:hAnsi="Arial"/>
                  <w:sz w:val="16"/>
                  <w:szCs w:val="16"/>
                  <w:b w:val="1"/>
                  <w:bCs w:val="1"/>
                  <w:color w:val="0000FF"/>
                </w:rPr>
                <w:t>.</w:t>
              </w:r>
            </w:hyperlink>
          </w:p>
        </w:tc>
        <w:tc>
          <w:tcPr>
            <w:tcW w:w="2000" w:type="dxa"/>
            <w:vAlign w:val="bottom"/>
          </w:tcPr>
          <w:p>
            <w:pPr>
              <w:jc w:val="right"/>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3</w:t>
              </w:r>
            </w:hyperlink>
          </w:p>
        </w:tc>
      </w:tr>
      <w:tr>
        <w:trPr>
          <w:trHeight w:val="216"/>
        </w:trPr>
        <w:tc>
          <w:tcPr>
            <w:tcW w:w="780" w:type="dxa"/>
            <w:vAlign w:val="bottom"/>
          </w:tcPr>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Item 1.</w:t>
              </w:r>
            </w:hyperlink>
          </w:p>
        </w:tc>
        <w:tc>
          <w:tcPr>
            <w:tcW w:w="8420" w:type="dxa"/>
            <w:vAlign w:val="bottom"/>
          </w:tcPr>
          <w:p>
            <w:pPr>
              <w:ind w:left="180"/>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Condensed Consolidated Financial Statements.</w:t>
              </w:r>
            </w:hyperlink>
          </w:p>
        </w:tc>
        <w:tc>
          <w:tcPr>
            <w:tcW w:w="2000" w:type="dxa"/>
            <w:vAlign w:val="bottom"/>
          </w:tcPr>
          <w:p>
            <w:pPr>
              <w:jc w:val="right"/>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3</w:t>
              </w:r>
            </w:hyperlink>
          </w:p>
        </w:tc>
      </w:tr>
      <w:tr>
        <w:trPr>
          <w:trHeight w:val="216"/>
        </w:trPr>
        <w:tc>
          <w:tcPr>
            <w:tcW w:w="780" w:type="dxa"/>
            <w:vAlign w:val="bottom"/>
          </w:tcPr>
          <w:p>
            <w:pPr>
              <w:spacing w:after="0"/>
              <w:rPr>
                <w:sz w:val="18"/>
                <w:szCs w:val="18"/>
                <w:color w:val="auto"/>
              </w:rPr>
            </w:pPr>
          </w:p>
        </w:tc>
        <w:tc>
          <w:tcPr>
            <w:tcW w:w="8420" w:type="dxa"/>
            <w:vAlign w:val="bottom"/>
          </w:tcPr>
          <w:p>
            <w:pPr>
              <w:ind w:left="380"/>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Condensed Consolidated Statements of Income and Comprehensive Income</w:t>
              </w:r>
            </w:hyperlink>
          </w:p>
        </w:tc>
        <w:tc>
          <w:tcPr>
            <w:tcW w:w="2000" w:type="dxa"/>
            <w:vAlign w:val="bottom"/>
          </w:tcPr>
          <w:p>
            <w:pPr>
              <w:jc w:val="right"/>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3</w:t>
              </w:r>
            </w:hyperlink>
          </w:p>
        </w:tc>
      </w:tr>
      <w:tr>
        <w:trPr>
          <w:trHeight w:val="216"/>
        </w:trPr>
        <w:tc>
          <w:tcPr>
            <w:tcW w:w="780" w:type="dxa"/>
            <w:vAlign w:val="bottom"/>
          </w:tcPr>
          <w:p>
            <w:pPr>
              <w:spacing w:after="0"/>
              <w:rPr>
                <w:sz w:val="18"/>
                <w:szCs w:val="18"/>
                <w:color w:val="auto"/>
              </w:rPr>
            </w:pPr>
          </w:p>
        </w:tc>
        <w:tc>
          <w:tcPr>
            <w:tcW w:w="8420" w:type="dxa"/>
            <w:vAlign w:val="bottom"/>
          </w:tcPr>
          <w:p>
            <w:pPr>
              <w:ind w:left="380"/>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Condensed Consolidated Balance Sheets</w:t>
              </w:r>
            </w:hyperlink>
          </w:p>
        </w:tc>
        <w:tc>
          <w:tcPr>
            <w:tcW w:w="2000" w:type="dxa"/>
            <w:vAlign w:val="bottom"/>
          </w:tcPr>
          <w:p>
            <w:pPr>
              <w:jc w:val="right"/>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4</w:t>
              </w:r>
            </w:hyperlink>
          </w:p>
        </w:tc>
      </w:tr>
      <w:tr>
        <w:trPr>
          <w:trHeight w:val="216"/>
        </w:trPr>
        <w:tc>
          <w:tcPr>
            <w:tcW w:w="780" w:type="dxa"/>
            <w:vAlign w:val="bottom"/>
          </w:tcPr>
          <w:p>
            <w:pPr>
              <w:spacing w:after="0"/>
              <w:rPr>
                <w:sz w:val="18"/>
                <w:szCs w:val="18"/>
                <w:color w:val="auto"/>
              </w:rPr>
            </w:pPr>
          </w:p>
        </w:tc>
        <w:tc>
          <w:tcPr>
            <w:tcW w:w="8420" w:type="dxa"/>
            <w:vAlign w:val="bottom"/>
          </w:tcPr>
          <w:p>
            <w:pPr>
              <w:ind w:left="380"/>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Condensed Consolidated Statements of Cash Flows</w:t>
              </w:r>
            </w:hyperlink>
          </w:p>
        </w:tc>
        <w:tc>
          <w:tcPr>
            <w:tcW w:w="2000" w:type="dxa"/>
            <w:vAlign w:val="bottom"/>
          </w:tcPr>
          <w:p>
            <w:pPr>
              <w:jc w:val="right"/>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5</w:t>
              </w:r>
            </w:hyperlink>
          </w:p>
        </w:tc>
      </w:tr>
      <w:tr>
        <w:trPr>
          <w:trHeight w:val="216"/>
        </w:trPr>
        <w:tc>
          <w:tcPr>
            <w:tcW w:w="780" w:type="dxa"/>
            <w:vAlign w:val="bottom"/>
          </w:tcPr>
          <w:p>
            <w:pPr>
              <w:spacing w:after="0"/>
              <w:rPr>
                <w:sz w:val="18"/>
                <w:szCs w:val="18"/>
                <w:color w:val="auto"/>
              </w:rPr>
            </w:pPr>
          </w:p>
        </w:tc>
        <w:tc>
          <w:tcPr>
            <w:tcW w:w="8420" w:type="dxa"/>
            <w:vAlign w:val="bottom"/>
          </w:tcPr>
          <w:p>
            <w:pPr>
              <w:ind w:left="380"/>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Condensed Consolidated Statements of Changes in Stockholders' Equity</w:t>
              </w:r>
            </w:hyperlink>
          </w:p>
        </w:tc>
        <w:tc>
          <w:tcPr>
            <w:tcW w:w="2000" w:type="dxa"/>
            <w:vAlign w:val="bottom"/>
          </w:tcPr>
          <w:p>
            <w:pPr>
              <w:jc w:val="right"/>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7</w:t>
              </w:r>
            </w:hyperlink>
          </w:p>
        </w:tc>
      </w:tr>
      <w:tr>
        <w:trPr>
          <w:trHeight w:val="216"/>
        </w:trPr>
        <w:tc>
          <w:tcPr>
            <w:tcW w:w="780" w:type="dxa"/>
            <w:vAlign w:val="bottom"/>
          </w:tcPr>
          <w:p>
            <w:pPr>
              <w:spacing w:after="0"/>
              <w:rPr>
                <w:sz w:val="18"/>
                <w:szCs w:val="18"/>
                <w:color w:val="auto"/>
              </w:rPr>
            </w:pPr>
          </w:p>
        </w:tc>
        <w:tc>
          <w:tcPr>
            <w:tcW w:w="8420" w:type="dxa"/>
            <w:vAlign w:val="bottom"/>
          </w:tcPr>
          <w:p>
            <w:pPr>
              <w:ind w:left="380"/>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Notes to Condensed Consolidated Financial Statements</w:t>
              </w:r>
            </w:hyperlink>
          </w:p>
        </w:tc>
        <w:tc>
          <w:tcPr>
            <w:tcW w:w="2000" w:type="dxa"/>
            <w:vAlign w:val="bottom"/>
          </w:tcPr>
          <w:p>
            <w:pPr>
              <w:jc w:val="right"/>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8</w:t>
              </w:r>
            </w:hyperlink>
          </w:p>
        </w:tc>
      </w:tr>
      <w:tr>
        <w:trPr>
          <w:trHeight w:val="216"/>
        </w:trPr>
        <w:tc>
          <w:tcPr>
            <w:tcW w:w="780" w:type="dxa"/>
            <w:vAlign w:val="bottom"/>
          </w:tcPr>
          <w:p>
            <w:pPr>
              <w:spacing w:after="0"/>
              <w:rPr>
                <w:rFonts w:ascii="Arial" w:cs="Arial" w:eastAsia="Arial" w:hAnsi="Arial"/>
                <w:sz w:val="16"/>
                <w:szCs w:val="16"/>
                <w:u w:val="single" w:color="auto"/>
                <w:color w:val="0000FF"/>
              </w:rPr>
            </w:pPr>
            <w:hyperlink w:anchor="page22">
              <w:r>
                <w:rPr>
                  <w:rFonts w:ascii="Arial" w:cs="Arial" w:eastAsia="Arial" w:hAnsi="Arial"/>
                  <w:sz w:val="16"/>
                  <w:szCs w:val="16"/>
                  <w:u w:val="single" w:color="auto"/>
                  <w:color w:val="0000FF"/>
                </w:rPr>
                <w:t>Item 2.</w:t>
              </w:r>
            </w:hyperlink>
          </w:p>
        </w:tc>
        <w:tc>
          <w:tcPr>
            <w:tcW w:w="8420" w:type="dxa"/>
            <w:vAlign w:val="bottom"/>
          </w:tcPr>
          <w:p>
            <w:pPr>
              <w:ind w:left="180"/>
              <w:spacing w:after="0"/>
              <w:rPr>
                <w:rFonts w:ascii="Arial" w:cs="Arial" w:eastAsia="Arial" w:hAnsi="Arial"/>
                <w:sz w:val="16"/>
                <w:szCs w:val="16"/>
                <w:u w:val="single" w:color="auto"/>
                <w:color w:val="0000FF"/>
              </w:rPr>
            </w:pPr>
            <w:hyperlink w:anchor="page22">
              <w:r>
                <w:rPr>
                  <w:rFonts w:ascii="Arial" w:cs="Arial" w:eastAsia="Arial" w:hAnsi="Arial"/>
                  <w:sz w:val="16"/>
                  <w:szCs w:val="16"/>
                  <w:u w:val="single" w:color="auto"/>
                  <w:color w:val="0000FF"/>
                </w:rPr>
                <w:t>Management's Discussion and Analysis of Financial Condition and Results of Operations.</w:t>
              </w:r>
            </w:hyperlink>
          </w:p>
        </w:tc>
        <w:tc>
          <w:tcPr>
            <w:tcW w:w="2000" w:type="dxa"/>
            <w:vAlign w:val="bottom"/>
          </w:tcPr>
          <w:p>
            <w:pPr>
              <w:jc w:val="right"/>
              <w:spacing w:after="0"/>
              <w:rPr>
                <w:rFonts w:ascii="Arial" w:cs="Arial" w:eastAsia="Arial" w:hAnsi="Arial"/>
                <w:sz w:val="16"/>
                <w:szCs w:val="16"/>
                <w:u w:val="single" w:color="auto"/>
                <w:color w:val="0000FF"/>
              </w:rPr>
            </w:pPr>
            <w:hyperlink w:anchor="page22">
              <w:r>
                <w:rPr>
                  <w:rFonts w:ascii="Arial" w:cs="Arial" w:eastAsia="Arial" w:hAnsi="Arial"/>
                  <w:sz w:val="16"/>
                  <w:szCs w:val="16"/>
                  <w:u w:val="single" w:color="auto"/>
                  <w:color w:val="0000FF"/>
                </w:rPr>
                <w:t>23</w:t>
              </w:r>
            </w:hyperlink>
          </w:p>
        </w:tc>
      </w:tr>
      <w:tr>
        <w:trPr>
          <w:trHeight w:val="216"/>
        </w:trPr>
        <w:tc>
          <w:tcPr>
            <w:tcW w:w="780" w:type="dxa"/>
            <w:vAlign w:val="bottom"/>
          </w:tcPr>
          <w:p>
            <w:pPr>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Item 3.</w:t>
              </w:r>
            </w:hyperlink>
          </w:p>
        </w:tc>
        <w:tc>
          <w:tcPr>
            <w:tcW w:w="8420" w:type="dxa"/>
            <w:vAlign w:val="bottom"/>
          </w:tcPr>
          <w:p>
            <w:pPr>
              <w:ind w:left="180"/>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Quantitative and Qualitative Disclosures About Market Risk.</w:t>
              </w:r>
            </w:hyperlink>
          </w:p>
        </w:tc>
        <w:tc>
          <w:tcPr>
            <w:tcW w:w="2000" w:type="dxa"/>
            <w:vAlign w:val="bottom"/>
          </w:tcPr>
          <w:p>
            <w:pPr>
              <w:jc w:val="right"/>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31</w:t>
              </w:r>
            </w:hyperlink>
          </w:p>
        </w:tc>
      </w:tr>
      <w:tr>
        <w:trPr>
          <w:trHeight w:val="216"/>
        </w:trPr>
        <w:tc>
          <w:tcPr>
            <w:tcW w:w="780" w:type="dxa"/>
            <w:vAlign w:val="bottom"/>
          </w:tcPr>
          <w:p>
            <w:pPr>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Item 4.</w:t>
              </w:r>
            </w:hyperlink>
          </w:p>
        </w:tc>
        <w:tc>
          <w:tcPr>
            <w:tcW w:w="8420" w:type="dxa"/>
            <w:vAlign w:val="bottom"/>
          </w:tcPr>
          <w:p>
            <w:pPr>
              <w:ind w:left="180"/>
              <w:spacing w:after="0"/>
              <w:rPr>
                <w:rFonts w:ascii="Arial" w:cs="Arial" w:eastAsia="Arial" w:hAnsi="Arial"/>
                <w:sz w:val="16"/>
                <w:szCs w:val="16"/>
                <w:color w:val="0000FF"/>
              </w:rPr>
            </w:pPr>
            <w:hyperlink w:anchor="page31">
              <w:r>
                <w:rPr>
                  <w:rFonts w:ascii="Arial" w:cs="Arial" w:eastAsia="Arial" w:hAnsi="Arial"/>
                  <w:sz w:val="16"/>
                  <w:szCs w:val="16"/>
                  <w:u w:val="single" w:color="auto"/>
                  <w:color w:val="0000FF"/>
                </w:rPr>
                <w:t>Controls and Procedures</w:t>
              </w:r>
              <w:r>
                <w:rPr>
                  <w:rFonts w:ascii="Arial" w:cs="Arial" w:eastAsia="Arial" w:hAnsi="Arial"/>
                  <w:sz w:val="16"/>
                  <w:szCs w:val="16"/>
                  <w:color w:val="0000FF"/>
                </w:rPr>
                <w:t>.</w:t>
              </w:r>
            </w:hyperlink>
          </w:p>
        </w:tc>
        <w:tc>
          <w:tcPr>
            <w:tcW w:w="2000" w:type="dxa"/>
            <w:vAlign w:val="bottom"/>
          </w:tcPr>
          <w:p>
            <w:pPr>
              <w:jc w:val="right"/>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31</w:t>
              </w:r>
            </w:hyperlink>
          </w:p>
        </w:tc>
      </w:tr>
      <w:tr>
        <w:trPr>
          <w:trHeight w:val="473"/>
        </w:trPr>
        <w:tc>
          <w:tcPr>
            <w:tcW w:w="780" w:type="dxa"/>
            <w:vAlign w:val="bottom"/>
          </w:tcPr>
          <w:p>
            <w:pPr>
              <w:spacing w:after="0"/>
              <w:rPr>
                <w:rFonts w:ascii="Arial" w:cs="Arial" w:eastAsia="Arial" w:hAnsi="Arial"/>
                <w:sz w:val="16"/>
                <w:szCs w:val="16"/>
                <w:b w:val="1"/>
                <w:bCs w:val="1"/>
                <w:color w:val="0000FF"/>
              </w:rPr>
            </w:pPr>
            <w:hyperlink w:anchor="page31">
              <w:r>
                <w:rPr>
                  <w:rFonts w:ascii="Arial" w:cs="Arial" w:eastAsia="Arial" w:hAnsi="Arial"/>
                  <w:sz w:val="16"/>
                  <w:szCs w:val="16"/>
                  <w:b w:val="1"/>
                  <w:bCs w:val="1"/>
                  <w:u w:val="single" w:color="auto"/>
                  <w:color w:val="0000FF"/>
                </w:rPr>
                <w:t>PART II</w:t>
              </w:r>
              <w:r>
                <w:rPr>
                  <w:rFonts w:ascii="Arial" w:cs="Arial" w:eastAsia="Arial" w:hAnsi="Arial"/>
                  <w:sz w:val="16"/>
                  <w:szCs w:val="16"/>
                  <w:b w:val="1"/>
                  <w:bCs w:val="1"/>
                  <w:color w:val="0000FF"/>
                </w:rPr>
                <w:t>.</w:t>
              </w:r>
            </w:hyperlink>
          </w:p>
        </w:tc>
        <w:tc>
          <w:tcPr>
            <w:tcW w:w="8420" w:type="dxa"/>
            <w:vAlign w:val="bottom"/>
          </w:tcPr>
          <w:p>
            <w:pPr>
              <w:ind w:left="180"/>
              <w:spacing w:after="0"/>
              <w:rPr>
                <w:rFonts w:ascii="Arial" w:cs="Arial" w:eastAsia="Arial" w:hAnsi="Arial"/>
                <w:sz w:val="16"/>
                <w:szCs w:val="16"/>
                <w:b w:val="1"/>
                <w:bCs w:val="1"/>
                <w:u w:val="single" w:color="auto"/>
                <w:color w:val="0000FF"/>
              </w:rPr>
            </w:pPr>
            <w:hyperlink w:anchor="page31">
              <w:r>
                <w:rPr>
                  <w:rFonts w:ascii="Arial" w:cs="Arial" w:eastAsia="Arial" w:hAnsi="Arial"/>
                  <w:sz w:val="16"/>
                  <w:szCs w:val="16"/>
                  <w:b w:val="1"/>
                  <w:bCs w:val="1"/>
                  <w:u w:val="single" w:color="auto"/>
                  <w:color w:val="0000FF"/>
                </w:rPr>
                <w:t>OTHER INFORMATION.</w:t>
              </w:r>
            </w:hyperlink>
          </w:p>
        </w:tc>
        <w:tc>
          <w:tcPr>
            <w:tcW w:w="2000" w:type="dxa"/>
            <w:vAlign w:val="bottom"/>
          </w:tcPr>
          <w:p>
            <w:pPr>
              <w:jc w:val="right"/>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32</w:t>
              </w:r>
            </w:hyperlink>
          </w:p>
        </w:tc>
      </w:tr>
      <w:tr>
        <w:trPr>
          <w:trHeight w:val="216"/>
        </w:trPr>
        <w:tc>
          <w:tcPr>
            <w:tcW w:w="780" w:type="dxa"/>
            <w:vAlign w:val="bottom"/>
          </w:tcPr>
          <w:p>
            <w:pPr>
              <w:spacing w:after="0"/>
              <w:rPr>
                <w:rFonts w:ascii="Arial" w:cs="Arial" w:eastAsia="Arial" w:hAnsi="Arial"/>
                <w:sz w:val="16"/>
                <w:szCs w:val="16"/>
                <w:u w:val="single" w:color="auto"/>
                <w:color w:val="0000FF"/>
              </w:rPr>
            </w:pPr>
            <w:hyperlink w:anchor="page32">
              <w:r>
                <w:rPr>
                  <w:rFonts w:ascii="Arial" w:cs="Arial" w:eastAsia="Arial" w:hAnsi="Arial"/>
                  <w:sz w:val="16"/>
                  <w:szCs w:val="16"/>
                  <w:u w:val="single" w:color="auto"/>
                  <w:color w:val="0000FF"/>
                </w:rPr>
                <w:t>Item 1.</w:t>
              </w:r>
            </w:hyperlink>
          </w:p>
        </w:tc>
        <w:tc>
          <w:tcPr>
            <w:tcW w:w="8420" w:type="dxa"/>
            <w:vAlign w:val="bottom"/>
          </w:tcPr>
          <w:p>
            <w:pPr>
              <w:ind w:left="180"/>
              <w:spacing w:after="0"/>
              <w:rPr>
                <w:rFonts w:ascii="Arial" w:cs="Arial" w:eastAsia="Arial" w:hAnsi="Arial"/>
                <w:sz w:val="16"/>
                <w:szCs w:val="16"/>
                <w:u w:val="single" w:color="auto"/>
                <w:color w:val="0000FF"/>
              </w:rPr>
            </w:pPr>
            <w:hyperlink w:anchor="page32">
              <w:r>
                <w:rPr>
                  <w:rFonts w:ascii="Arial" w:cs="Arial" w:eastAsia="Arial" w:hAnsi="Arial"/>
                  <w:sz w:val="16"/>
                  <w:szCs w:val="16"/>
                  <w:u w:val="single" w:color="auto"/>
                  <w:color w:val="0000FF"/>
                </w:rPr>
                <w:t>Legal Proceedings.</w:t>
              </w:r>
            </w:hyperlink>
          </w:p>
        </w:tc>
        <w:tc>
          <w:tcPr>
            <w:tcW w:w="2000" w:type="dxa"/>
            <w:vAlign w:val="bottom"/>
          </w:tcPr>
          <w:p>
            <w:pPr>
              <w:jc w:val="right"/>
              <w:spacing w:after="0"/>
              <w:rPr>
                <w:rFonts w:ascii="Arial" w:cs="Arial" w:eastAsia="Arial" w:hAnsi="Arial"/>
                <w:sz w:val="16"/>
                <w:szCs w:val="16"/>
                <w:u w:val="single" w:color="auto"/>
                <w:color w:val="0000FF"/>
              </w:rPr>
            </w:pPr>
            <w:hyperlink w:anchor="page32">
              <w:r>
                <w:rPr>
                  <w:rFonts w:ascii="Arial" w:cs="Arial" w:eastAsia="Arial" w:hAnsi="Arial"/>
                  <w:sz w:val="16"/>
                  <w:szCs w:val="16"/>
                  <w:u w:val="single" w:color="auto"/>
                  <w:color w:val="0000FF"/>
                </w:rPr>
                <w:t>32</w:t>
              </w:r>
            </w:hyperlink>
          </w:p>
        </w:tc>
      </w:tr>
      <w:tr>
        <w:trPr>
          <w:trHeight w:val="216"/>
        </w:trPr>
        <w:tc>
          <w:tcPr>
            <w:tcW w:w="780" w:type="dxa"/>
            <w:vAlign w:val="bottom"/>
          </w:tcPr>
          <w:p>
            <w:pPr>
              <w:spacing w:after="0"/>
              <w:rPr>
                <w:rFonts w:ascii="Arial" w:cs="Arial" w:eastAsia="Arial" w:hAnsi="Arial"/>
                <w:sz w:val="16"/>
                <w:szCs w:val="16"/>
                <w:u w:val="single" w:color="auto"/>
                <w:color w:val="0000FF"/>
              </w:rPr>
            </w:pPr>
            <w:hyperlink w:anchor="page32">
              <w:r>
                <w:rPr>
                  <w:rFonts w:ascii="Arial" w:cs="Arial" w:eastAsia="Arial" w:hAnsi="Arial"/>
                  <w:sz w:val="16"/>
                  <w:szCs w:val="16"/>
                  <w:u w:val="single" w:color="auto"/>
                  <w:color w:val="0000FF"/>
                </w:rPr>
                <w:t>Item 1A.</w:t>
              </w:r>
            </w:hyperlink>
          </w:p>
        </w:tc>
        <w:tc>
          <w:tcPr>
            <w:tcW w:w="8420" w:type="dxa"/>
            <w:vAlign w:val="bottom"/>
          </w:tcPr>
          <w:p>
            <w:pPr>
              <w:ind w:left="180"/>
              <w:spacing w:after="0"/>
              <w:rPr>
                <w:rFonts w:ascii="Arial" w:cs="Arial" w:eastAsia="Arial" w:hAnsi="Arial"/>
                <w:sz w:val="16"/>
                <w:szCs w:val="16"/>
                <w:color w:val="0000FF"/>
              </w:rPr>
            </w:pPr>
            <w:hyperlink w:anchor="page32">
              <w:r>
                <w:rPr>
                  <w:rFonts w:ascii="Arial" w:cs="Arial" w:eastAsia="Arial" w:hAnsi="Arial"/>
                  <w:sz w:val="16"/>
                  <w:szCs w:val="16"/>
                  <w:u w:val="single" w:color="auto"/>
                  <w:color w:val="0000FF"/>
                </w:rPr>
                <w:t>Risk Factors</w:t>
              </w:r>
              <w:r>
                <w:rPr>
                  <w:rFonts w:ascii="Arial" w:cs="Arial" w:eastAsia="Arial" w:hAnsi="Arial"/>
                  <w:sz w:val="16"/>
                  <w:szCs w:val="16"/>
                  <w:color w:val="0000FF"/>
                </w:rPr>
                <w:t>.</w:t>
              </w:r>
            </w:hyperlink>
          </w:p>
        </w:tc>
        <w:tc>
          <w:tcPr>
            <w:tcW w:w="2000" w:type="dxa"/>
            <w:vAlign w:val="bottom"/>
          </w:tcPr>
          <w:p>
            <w:pPr>
              <w:jc w:val="right"/>
              <w:spacing w:after="0"/>
              <w:rPr>
                <w:rFonts w:ascii="Arial" w:cs="Arial" w:eastAsia="Arial" w:hAnsi="Arial"/>
                <w:sz w:val="16"/>
                <w:szCs w:val="16"/>
                <w:u w:val="single" w:color="auto"/>
                <w:color w:val="0000FF"/>
              </w:rPr>
            </w:pPr>
            <w:hyperlink w:anchor="page32">
              <w:r>
                <w:rPr>
                  <w:rFonts w:ascii="Arial" w:cs="Arial" w:eastAsia="Arial" w:hAnsi="Arial"/>
                  <w:sz w:val="16"/>
                  <w:szCs w:val="16"/>
                  <w:u w:val="single" w:color="auto"/>
                  <w:color w:val="0000FF"/>
                </w:rPr>
                <w:t>32</w:t>
              </w:r>
            </w:hyperlink>
          </w:p>
        </w:tc>
      </w:tr>
      <w:tr>
        <w:trPr>
          <w:trHeight w:val="216"/>
        </w:trPr>
        <w:tc>
          <w:tcPr>
            <w:tcW w:w="780" w:type="dxa"/>
            <w:vAlign w:val="bottom"/>
          </w:tcPr>
          <w:p>
            <w:pPr>
              <w:spacing w:after="0"/>
              <w:rPr>
                <w:rFonts w:ascii="Arial" w:cs="Arial" w:eastAsia="Arial" w:hAnsi="Arial"/>
                <w:sz w:val="16"/>
                <w:szCs w:val="16"/>
                <w:u w:val="single" w:color="auto"/>
                <w:color w:val="0000FF"/>
              </w:rPr>
            </w:pPr>
            <w:hyperlink w:anchor="page32">
              <w:r>
                <w:rPr>
                  <w:rFonts w:ascii="Arial" w:cs="Arial" w:eastAsia="Arial" w:hAnsi="Arial"/>
                  <w:sz w:val="16"/>
                  <w:szCs w:val="16"/>
                  <w:u w:val="single" w:color="auto"/>
                  <w:color w:val="0000FF"/>
                </w:rPr>
                <w:t>Item 2.</w:t>
              </w:r>
            </w:hyperlink>
          </w:p>
        </w:tc>
        <w:tc>
          <w:tcPr>
            <w:tcW w:w="8420" w:type="dxa"/>
            <w:vAlign w:val="bottom"/>
          </w:tcPr>
          <w:p>
            <w:pPr>
              <w:ind w:left="180"/>
              <w:spacing w:after="0"/>
              <w:rPr>
                <w:rFonts w:ascii="Arial" w:cs="Arial" w:eastAsia="Arial" w:hAnsi="Arial"/>
                <w:sz w:val="16"/>
                <w:szCs w:val="16"/>
                <w:u w:val="single" w:color="auto"/>
                <w:color w:val="0000FF"/>
              </w:rPr>
            </w:pPr>
            <w:hyperlink w:anchor="page32">
              <w:r>
                <w:rPr>
                  <w:rFonts w:ascii="Arial" w:cs="Arial" w:eastAsia="Arial" w:hAnsi="Arial"/>
                  <w:sz w:val="16"/>
                  <w:szCs w:val="16"/>
                  <w:u w:val="single" w:color="auto"/>
                  <w:color w:val="0000FF"/>
                </w:rPr>
                <w:t>Unregistered Sales of Equity Securities and Use of Proceeds.</w:t>
              </w:r>
            </w:hyperlink>
          </w:p>
        </w:tc>
        <w:tc>
          <w:tcPr>
            <w:tcW w:w="2000" w:type="dxa"/>
            <w:vAlign w:val="bottom"/>
          </w:tcPr>
          <w:p>
            <w:pPr>
              <w:jc w:val="right"/>
              <w:spacing w:after="0"/>
              <w:rPr>
                <w:rFonts w:ascii="Arial" w:cs="Arial" w:eastAsia="Arial" w:hAnsi="Arial"/>
                <w:sz w:val="16"/>
                <w:szCs w:val="16"/>
                <w:u w:val="single" w:color="auto"/>
                <w:color w:val="0000FF"/>
              </w:rPr>
            </w:pPr>
            <w:hyperlink w:anchor="page32">
              <w:r>
                <w:rPr>
                  <w:rFonts w:ascii="Arial" w:cs="Arial" w:eastAsia="Arial" w:hAnsi="Arial"/>
                  <w:sz w:val="16"/>
                  <w:szCs w:val="16"/>
                  <w:u w:val="single" w:color="auto"/>
                  <w:color w:val="0000FF"/>
                </w:rPr>
                <w:t>32</w:t>
              </w:r>
            </w:hyperlink>
          </w:p>
        </w:tc>
      </w:tr>
      <w:tr>
        <w:trPr>
          <w:trHeight w:val="216"/>
        </w:trPr>
        <w:tc>
          <w:tcPr>
            <w:tcW w:w="780" w:type="dxa"/>
            <w:vAlign w:val="bottom"/>
          </w:tcPr>
          <w:p>
            <w:pPr>
              <w:spacing w:after="0"/>
              <w:rPr>
                <w:rFonts w:ascii="Arial" w:cs="Arial" w:eastAsia="Arial" w:hAnsi="Arial"/>
                <w:sz w:val="16"/>
                <w:szCs w:val="16"/>
                <w:u w:val="single" w:color="auto"/>
                <w:color w:val="0000FF"/>
              </w:rPr>
            </w:pPr>
            <w:hyperlink w:anchor="page32">
              <w:r>
                <w:rPr>
                  <w:rFonts w:ascii="Arial" w:cs="Arial" w:eastAsia="Arial" w:hAnsi="Arial"/>
                  <w:sz w:val="16"/>
                  <w:szCs w:val="16"/>
                  <w:u w:val="single" w:color="auto"/>
                  <w:color w:val="0000FF"/>
                </w:rPr>
                <w:t>Item 6.</w:t>
              </w:r>
            </w:hyperlink>
          </w:p>
        </w:tc>
        <w:tc>
          <w:tcPr>
            <w:tcW w:w="8420" w:type="dxa"/>
            <w:vAlign w:val="bottom"/>
          </w:tcPr>
          <w:p>
            <w:pPr>
              <w:ind w:left="180"/>
              <w:spacing w:after="0"/>
              <w:rPr>
                <w:rFonts w:ascii="Arial" w:cs="Arial" w:eastAsia="Arial" w:hAnsi="Arial"/>
                <w:sz w:val="16"/>
                <w:szCs w:val="16"/>
                <w:u w:val="single" w:color="auto"/>
                <w:color w:val="0000FF"/>
              </w:rPr>
            </w:pPr>
            <w:hyperlink w:anchor="page32">
              <w:r>
                <w:rPr>
                  <w:rFonts w:ascii="Arial" w:cs="Arial" w:eastAsia="Arial" w:hAnsi="Arial"/>
                  <w:sz w:val="16"/>
                  <w:szCs w:val="16"/>
                  <w:u w:val="single" w:color="auto"/>
                  <w:color w:val="0000FF"/>
                </w:rPr>
                <w:t>Exhibits.</w:t>
              </w:r>
            </w:hyperlink>
          </w:p>
        </w:tc>
        <w:tc>
          <w:tcPr>
            <w:tcW w:w="2000" w:type="dxa"/>
            <w:vAlign w:val="bottom"/>
          </w:tcPr>
          <w:p>
            <w:pPr>
              <w:jc w:val="right"/>
              <w:spacing w:after="0"/>
              <w:rPr>
                <w:rFonts w:ascii="Arial" w:cs="Arial" w:eastAsia="Arial" w:hAnsi="Arial"/>
                <w:sz w:val="16"/>
                <w:szCs w:val="16"/>
                <w:u w:val="single" w:color="auto"/>
                <w:color w:val="0000FF"/>
              </w:rPr>
            </w:pPr>
            <w:hyperlink w:anchor="page32">
              <w:r>
                <w:rPr>
                  <w:rFonts w:ascii="Arial" w:cs="Arial" w:eastAsia="Arial" w:hAnsi="Arial"/>
                  <w:sz w:val="16"/>
                  <w:szCs w:val="16"/>
                  <w:u w:val="single" w:color="auto"/>
                  <w:color w:val="0000FF"/>
                </w:rPr>
                <w:t>33</w:t>
              </w:r>
            </w:hyperlink>
          </w:p>
        </w:tc>
      </w:tr>
      <w:tr>
        <w:trPr>
          <w:trHeight w:val="473"/>
        </w:trPr>
        <w:tc>
          <w:tcPr>
            <w:tcW w:w="9200" w:type="dxa"/>
            <w:vAlign w:val="bottom"/>
            <w:gridSpan w:val="2"/>
          </w:tcPr>
          <w:p>
            <w:pPr>
              <w:spacing w:after="0"/>
              <w:rPr>
                <w:rFonts w:ascii="Arial" w:cs="Arial" w:eastAsia="Arial" w:hAnsi="Arial"/>
                <w:sz w:val="16"/>
                <w:szCs w:val="16"/>
                <w:b w:val="1"/>
                <w:bCs w:val="1"/>
                <w:u w:val="single" w:color="auto"/>
                <w:color w:val="0000FF"/>
              </w:rPr>
            </w:pPr>
            <w:hyperlink w:anchor="page33">
              <w:r>
                <w:rPr>
                  <w:rFonts w:ascii="Arial" w:cs="Arial" w:eastAsia="Arial" w:hAnsi="Arial"/>
                  <w:sz w:val="16"/>
                  <w:szCs w:val="16"/>
                  <w:b w:val="1"/>
                  <w:bCs w:val="1"/>
                  <w:u w:val="single" w:color="auto"/>
                  <w:color w:val="0000FF"/>
                </w:rPr>
                <w:t>SIGNATURES</w:t>
              </w:r>
            </w:hyperlink>
          </w:p>
        </w:tc>
        <w:tc>
          <w:tcPr>
            <w:tcW w:w="2000" w:type="dxa"/>
            <w:vAlign w:val="bottom"/>
          </w:tcPr>
          <w:p>
            <w:pPr>
              <w:jc w:val="right"/>
              <w:spacing w:after="0"/>
              <w:rPr>
                <w:rFonts w:ascii="Arial" w:cs="Arial" w:eastAsia="Arial" w:hAnsi="Arial"/>
                <w:sz w:val="16"/>
                <w:szCs w:val="16"/>
                <w:u w:val="single" w:color="auto"/>
                <w:color w:val="0000FF"/>
              </w:rPr>
            </w:pPr>
            <w:hyperlink w:anchor="page33">
              <w:r>
                <w:rPr>
                  <w:rFonts w:ascii="Arial" w:cs="Arial" w:eastAsia="Arial" w:hAnsi="Arial"/>
                  <w:sz w:val="16"/>
                  <w:szCs w:val="16"/>
                  <w:u w:val="single" w:color="auto"/>
                  <w:color w:val="0000FF"/>
                </w:rPr>
                <w:t>34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012" w:right="35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FINANCIAL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Condensed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ind w:right="5340"/>
        <w:spacing w:after="0" w:line="259" w:lineRule="auto"/>
        <w:rPr>
          <w:sz w:val="20"/>
          <w:szCs w:val="20"/>
          <w:color w:val="auto"/>
        </w:rPr>
      </w:pPr>
      <w:r>
        <w:rPr>
          <w:rFonts w:ascii="Arial" w:cs="Arial" w:eastAsia="Arial" w:hAnsi="Arial"/>
          <w:sz w:val="16"/>
          <w:szCs w:val="16"/>
          <w:b w:val="1"/>
          <w:bCs w:val="1"/>
          <w:color w:val="auto"/>
        </w:rPr>
        <w:t>Condensed Consolidated Statements of Income and Comprehensive Income (Unaudited)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59"/>
        </w:trPr>
        <w:tc>
          <w:tcPr>
            <w:tcW w:w="7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200" w:type="dxa"/>
            <w:vAlign w:val="bottom"/>
          </w:tcPr>
          <w:p>
            <w:pPr>
              <w:spacing w:after="0"/>
              <w:rPr>
                <w:sz w:val="13"/>
                <w:szCs w:val="13"/>
                <w:color w:val="auto"/>
              </w:rPr>
            </w:pPr>
          </w:p>
        </w:tc>
        <w:tc>
          <w:tcPr>
            <w:tcW w:w="154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November 28,</w:t>
            </w:r>
          </w:p>
        </w:tc>
        <w:tc>
          <w:tcPr>
            <w:tcW w:w="200" w:type="dxa"/>
            <w:vAlign w:val="bottom"/>
          </w:tcPr>
          <w:p>
            <w:pPr>
              <w:spacing w:after="0"/>
              <w:rPr>
                <w:sz w:val="13"/>
                <w:szCs w:val="13"/>
                <w:color w:val="auto"/>
              </w:rPr>
            </w:pPr>
          </w:p>
        </w:tc>
        <w:tc>
          <w:tcPr>
            <w:tcW w:w="1440" w:type="dxa"/>
            <w:vAlign w:val="bottom"/>
          </w:tcPr>
          <w:p>
            <w:pPr>
              <w:jc w:val="right"/>
              <w:ind w:right="199"/>
              <w:spacing w:after="0" w:line="158" w:lineRule="exact"/>
              <w:rPr>
                <w:sz w:val="20"/>
                <w:szCs w:val="20"/>
                <w:color w:val="auto"/>
              </w:rPr>
            </w:pPr>
            <w:r>
              <w:rPr>
                <w:rFonts w:ascii="Arial" w:cs="Arial" w:eastAsia="Arial" w:hAnsi="Arial"/>
                <w:sz w:val="16"/>
                <w:szCs w:val="16"/>
                <w:b w:val="1"/>
                <w:bCs w:val="1"/>
                <w:color w:val="auto"/>
              </w:rPr>
              <w:t>November 30,</w:t>
            </w:r>
          </w:p>
        </w:tc>
        <w:tc>
          <w:tcPr>
            <w:tcW w:w="0" w:type="dxa"/>
            <w:vAlign w:val="bottom"/>
          </w:tcPr>
          <w:p>
            <w:pPr>
              <w:spacing w:after="0"/>
              <w:rPr>
                <w:sz w:val="1"/>
                <w:szCs w:val="1"/>
                <w:color w:val="auto"/>
              </w:rPr>
            </w:pPr>
          </w:p>
        </w:tc>
      </w:tr>
      <w:tr>
        <w:trPr>
          <w:trHeight w:val="215"/>
        </w:trPr>
        <w:tc>
          <w:tcPr>
            <w:tcW w:w="78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793,131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588,458</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656,127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509,845</w:t>
            </w:r>
          </w:p>
        </w:tc>
        <w:tc>
          <w:tcPr>
            <w:tcW w:w="0" w:type="dxa"/>
            <w:vAlign w:val="bottom"/>
          </w:tcPr>
          <w:p>
            <w:pPr>
              <w:spacing w:after="0"/>
              <w:rPr>
                <w:sz w:val="1"/>
                <w:szCs w:val="1"/>
                <w:color w:val="auto"/>
              </w:rPr>
            </w:pP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137,004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78,613</w:t>
            </w:r>
          </w:p>
        </w:tc>
        <w:tc>
          <w:tcPr>
            <w:tcW w:w="0" w:type="dxa"/>
            <w:vAlign w:val="bottom"/>
          </w:tcPr>
          <w:p>
            <w:pPr>
              <w:spacing w:after="0"/>
              <w:rPr>
                <w:sz w:val="1"/>
                <w:szCs w:val="1"/>
                <w:color w:val="auto"/>
              </w:rPr>
            </w:pPr>
          </w:p>
        </w:tc>
      </w:tr>
      <w:tr>
        <w:trPr>
          <w:trHeight w:val="209"/>
        </w:trPr>
        <w:tc>
          <w:tcPr>
            <w:tcW w:w="786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48,399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51,105</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3,614</w:t>
            </w:r>
          </w:p>
        </w:tc>
        <w:tc>
          <w:tcPr>
            <w:tcW w:w="0" w:type="dxa"/>
            <w:vAlign w:val="bottom"/>
          </w:tcPr>
          <w:p>
            <w:pPr>
              <w:spacing w:after="0"/>
              <w:rPr>
                <w:sz w:val="1"/>
                <w:szCs w:val="1"/>
                <w:color w:val="auto"/>
              </w:rPr>
            </w:pPr>
          </w:p>
        </w:tc>
      </w:tr>
      <w:tr>
        <w:trPr>
          <w:trHeight w:val="21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51,989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54,719</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23,894</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9,941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6,049</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loss (income)</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09"/>
        </w:trPr>
        <w:tc>
          <w:tcPr>
            <w:tcW w:w="786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74,980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17,961</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17,557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3,893</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57,423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14,068</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Income per common share:</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0" w:type="dxa"/>
            <w:vAlign w:val="bottom"/>
          </w:tcPr>
          <w:p>
            <w:pPr>
              <w:spacing w:after="0"/>
              <w:rPr>
                <w:sz w:val="1"/>
                <w:szCs w:val="1"/>
                <w:color w:val="auto"/>
              </w:rPr>
            </w:pPr>
          </w:p>
        </w:tc>
      </w:tr>
      <w:tr>
        <w:trPr>
          <w:trHeight w:val="213"/>
        </w:trPr>
        <w:tc>
          <w:tcPr>
            <w:tcW w:w="7860" w:type="dxa"/>
            <w:vAlign w:val="bottom"/>
          </w:tcPr>
          <w:p>
            <w:pPr>
              <w:ind w:left="220"/>
              <w:spacing w:after="0"/>
              <w:rPr>
                <w:sz w:val="20"/>
                <w:szCs w:val="20"/>
                <w:color w:val="auto"/>
              </w:rPr>
            </w:pPr>
            <w:r>
              <w:rPr>
                <w:rFonts w:ascii="Arial" w:cs="Arial" w:eastAsia="Arial" w:hAnsi="Arial"/>
                <w:sz w:val="16"/>
                <w:szCs w:val="16"/>
                <w:color w:val="auto"/>
              </w:rPr>
              <w:t>Diluted</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0.44</w:t>
            </w:r>
          </w:p>
        </w:tc>
        <w:tc>
          <w:tcPr>
            <w:tcW w:w="0" w:type="dxa"/>
            <w:vAlign w:val="bottom"/>
          </w:tcPr>
          <w:p>
            <w:pPr>
              <w:spacing w:after="0"/>
              <w:rPr>
                <w:sz w:val="1"/>
                <w:szCs w:val="1"/>
                <w:color w:val="auto"/>
              </w:rPr>
            </w:pPr>
          </w:p>
        </w:tc>
      </w:tr>
      <w:tr>
        <w:trPr>
          <w:trHeight w:val="260"/>
        </w:trPr>
        <w:tc>
          <w:tcPr>
            <w:tcW w:w="78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32,067</w:t>
            </w:r>
          </w:p>
        </w:tc>
        <w:tc>
          <w:tcPr>
            <w:tcW w:w="0" w:type="dxa"/>
            <w:vAlign w:val="bottom"/>
          </w:tcPr>
          <w:p>
            <w:pPr>
              <w:spacing w:after="0"/>
              <w:rPr>
                <w:sz w:val="1"/>
                <w:szCs w:val="1"/>
                <w:color w:val="auto"/>
              </w:rPr>
            </w:pPr>
          </w:p>
        </w:tc>
      </w:tr>
      <w:tr>
        <w:trPr>
          <w:trHeight w:val="213"/>
        </w:trPr>
        <w:tc>
          <w:tcPr>
            <w:tcW w:w="7860" w:type="dxa"/>
            <w:vAlign w:val="bottom"/>
          </w:tcPr>
          <w:p>
            <w:pPr>
              <w:ind w:left="220"/>
              <w:spacing w:after="0"/>
              <w:rPr>
                <w:sz w:val="20"/>
                <w:szCs w:val="20"/>
                <w:color w:val="auto"/>
              </w:rPr>
            </w:pPr>
            <w:r>
              <w:rPr>
                <w:rFonts w:ascii="Arial" w:cs="Arial" w:eastAsia="Arial" w:hAnsi="Arial"/>
                <w:sz w:val="16"/>
                <w:szCs w:val="16"/>
                <w:color w:val="auto"/>
              </w:rPr>
              <w:t>Diluted</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33,839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32,267</w:t>
            </w:r>
          </w:p>
        </w:tc>
        <w:tc>
          <w:tcPr>
            <w:tcW w:w="0" w:type="dxa"/>
            <w:vAlign w:val="bottom"/>
          </w:tcPr>
          <w:p>
            <w:pPr>
              <w:spacing w:after="0"/>
              <w:rPr>
                <w:sz w:val="1"/>
                <w:szCs w:val="1"/>
                <w:color w:val="auto"/>
              </w:rPr>
            </w:pPr>
          </w:p>
        </w:tc>
      </w:tr>
      <w:tr>
        <w:trPr>
          <w:trHeight w:val="260"/>
        </w:trPr>
        <w:tc>
          <w:tcPr>
            <w:tcW w:w="78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57,423</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14,068</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20"/>
              <w:spacing w:after="0"/>
              <w:rPr>
                <w:sz w:val="20"/>
                <w:szCs w:val="20"/>
                <w:color w:val="auto"/>
              </w:rPr>
            </w:pPr>
            <w:r>
              <w:rPr>
                <w:rFonts w:ascii="Arial" w:cs="Arial" w:eastAsia="Arial" w:hAnsi="Arial"/>
                <w:sz w:val="16"/>
                <w:szCs w:val="16"/>
                <w:color w:val="auto"/>
              </w:rPr>
              <w:t>Amortization of net actuarial loss (net of tax of $3 and $3)</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rate swap activity (net of tax of $— and $22)</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0"/>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other comprehensive income (loss)</w:t>
            </w:r>
          </w:p>
        </w:tc>
        <w:tc>
          <w:tcPr>
            <w:tcW w:w="2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3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57,432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14,008</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200" w:type="dxa"/>
            <w:vAlign w:val="bottom"/>
          </w:tcPr>
          <w:p>
            <w:pPr>
              <w:spacing w:after="0"/>
              <w:rPr>
                <w:sz w:val="16"/>
                <w:szCs w:val="16"/>
                <w:color w:val="auto"/>
              </w:rPr>
            </w:pPr>
          </w:p>
        </w:tc>
        <w:tc>
          <w:tcPr>
            <w:tcW w:w="1540" w:type="dxa"/>
            <w:vAlign w:val="bottom"/>
            <w:gridSpan w:val="2"/>
          </w:tcPr>
          <w:p>
            <w:pPr>
              <w:ind w:left="100"/>
              <w:spacing w:after="0"/>
              <w:rPr>
                <w:sz w:val="20"/>
                <w:szCs w:val="20"/>
                <w:color w:val="auto"/>
              </w:rPr>
            </w:pPr>
            <w:r>
              <w:rPr>
                <w:rFonts w:ascii="Arial" w:cs="Arial" w:eastAsia="Arial" w:hAnsi="Arial"/>
                <w:sz w:val="16"/>
                <w:szCs w:val="16"/>
                <w:b w:val="1"/>
                <w:bCs w:val="1"/>
                <w:color w:val="auto"/>
              </w:rPr>
              <w:t>November 28,</w:t>
            </w:r>
          </w:p>
        </w:tc>
        <w:tc>
          <w:tcPr>
            <w:tcW w:w="260" w:type="dxa"/>
            <w:vAlign w:val="bottom"/>
          </w:tcPr>
          <w:p>
            <w:pPr>
              <w:spacing w:after="0"/>
              <w:rPr>
                <w:sz w:val="16"/>
                <w:szCs w:val="16"/>
                <w:color w:val="auto"/>
              </w:rPr>
            </w:pPr>
          </w:p>
        </w:tc>
        <w:tc>
          <w:tcPr>
            <w:tcW w:w="138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29,</w:t>
            </w:r>
          </w:p>
        </w:tc>
        <w:tc>
          <w:tcPr>
            <w:tcW w:w="0" w:type="dxa"/>
            <w:vAlign w:val="bottom"/>
          </w:tcPr>
          <w:p>
            <w:pPr>
              <w:spacing w:after="0"/>
              <w:rPr>
                <w:sz w:val="1"/>
                <w:szCs w:val="1"/>
                <w:color w:val="auto"/>
              </w:rPr>
            </w:pPr>
          </w:p>
        </w:tc>
      </w:tr>
      <w:tr>
        <w:trPr>
          <w:trHeight w:val="215"/>
        </w:trPr>
        <w:tc>
          <w:tcPr>
            <w:tcW w:w="78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272,939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292,575</w:t>
            </w:r>
          </w:p>
        </w:tc>
        <w:tc>
          <w:tcPr>
            <w:tcW w:w="0" w:type="dxa"/>
            <w:vAlign w:val="bottom"/>
          </w:tcPr>
          <w:p>
            <w:pPr>
              <w:spacing w:after="0"/>
              <w:rPr>
                <w:sz w:val="1"/>
                <w:szCs w:val="1"/>
                <w:color w:val="auto"/>
              </w:rPr>
            </w:pP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Receivables, less allowance for doubtful accounts ($349 and $353, respectively)</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231,182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220,798</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 net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263,137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182,941</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21,162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17,296</w:t>
            </w:r>
          </w:p>
        </w:tc>
        <w:tc>
          <w:tcPr>
            <w:tcW w:w="0" w:type="dxa"/>
            <w:vAlign w:val="bottom"/>
          </w:tcPr>
          <w:p>
            <w:pPr>
              <w:spacing w:after="0"/>
              <w:rPr>
                <w:sz w:val="1"/>
                <w:szCs w:val="1"/>
                <w:color w:val="auto"/>
              </w:rPr>
            </w:pPr>
          </w:p>
        </w:tc>
      </w:tr>
      <w:tr>
        <w:trPr>
          <w:trHeight w:val="209"/>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788,420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713,610</w:t>
            </w:r>
          </w:p>
        </w:tc>
        <w:tc>
          <w:tcPr>
            <w:tcW w:w="0" w:type="dxa"/>
            <w:vAlign w:val="bottom"/>
          </w:tcPr>
          <w:p>
            <w:pPr>
              <w:spacing w:after="0"/>
              <w:rPr>
                <w:sz w:val="1"/>
                <w:szCs w:val="1"/>
                <w:color w:val="auto"/>
              </w:rPr>
            </w:pPr>
          </w:p>
        </w:tc>
      </w:tr>
      <w:tr>
        <w:trPr>
          <w:trHeight w:val="209"/>
        </w:trPr>
        <w:tc>
          <w:tcPr>
            <w:tcW w:w="786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171,210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174,945</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348,058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348,058</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intangible assets, net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401,178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404,768</w:t>
            </w:r>
          </w:p>
        </w:tc>
        <w:tc>
          <w:tcPr>
            <w:tcW w:w="0" w:type="dxa"/>
            <w:vAlign w:val="bottom"/>
          </w:tcPr>
          <w:p>
            <w:pPr>
              <w:spacing w:after="0"/>
              <w:rPr>
                <w:sz w:val="1"/>
                <w:szCs w:val="1"/>
                <w:color w:val="auto"/>
              </w:rPr>
            </w:pP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Investment in life insurance</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27,904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27,838</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assets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29,463</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15,382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15,018</w:t>
            </w:r>
          </w:p>
        </w:tc>
        <w:tc>
          <w:tcPr>
            <w:tcW w:w="0" w:type="dxa"/>
            <w:vAlign w:val="bottom"/>
          </w:tcPr>
          <w:p>
            <w:pPr>
              <w:spacing w:after="0"/>
              <w:rPr>
                <w:sz w:val="1"/>
                <w:szCs w:val="1"/>
                <w:color w:val="auto"/>
              </w:rPr>
            </w:pP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1,780,990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1,713,700</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132,490</w:t>
            </w:r>
          </w:p>
        </w:tc>
        <w:tc>
          <w:tcPr>
            <w:tcW w:w="0" w:type="dxa"/>
            <w:vAlign w:val="bottom"/>
          </w:tcPr>
          <w:p>
            <w:pPr>
              <w:spacing w:after="0"/>
              <w:rPr>
                <w:sz w:val="1"/>
                <w:szCs w:val="1"/>
                <w:color w:val="auto"/>
              </w:rPr>
            </w:pP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Income taxes payable</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25,565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8,840</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20"/>
              <w:spacing w:after="0"/>
              <w:rPr>
                <w:sz w:val="20"/>
                <w:szCs w:val="20"/>
                <w:color w:val="auto"/>
              </w:rPr>
            </w:pPr>
            <w:r>
              <w:rPr>
                <w:rFonts w:ascii="Arial" w:cs="Arial" w:eastAsia="Arial" w:hAnsi="Arial"/>
                <w:sz w:val="16"/>
                <w:szCs w:val="16"/>
                <w:color w:val="auto"/>
              </w:rPr>
              <w:t>Accrued compensation</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33,620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36,533</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Product warranties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64,031</w:t>
            </w:r>
          </w:p>
        </w:tc>
        <w:tc>
          <w:tcPr>
            <w:tcW w:w="0" w:type="dxa"/>
            <w:vAlign w:val="bottom"/>
          </w:tcPr>
          <w:p>
            <w:pPr>
              <w:spacing w:after="0"/>
              <w:rPr>
                <w:sz w:val="1"/>
                <w:szCs w:val="1"/>
                <w:color w:val="auto"/>
              </w:rPr>
            </w:pPr>
          </w:p>
        </w:tc>
      </w:tr>
      <w:tr>
        <w:trPr>
          <w:trHeight w:val="213"/>
        </w:trPr>
        <w:tc>
          <w:tcPr>
            <w:tcW w:w="7860" w:type="dxa"/>
            <w:vAlign w:val="bottom"/>
          </w:tcPr>
          <w:p>
            <w:pPr>
              <w:ind w:left="220"/>
              <w:spacing w:after="0"/>
              <w:rPr>
                <w:sz w:val="20"/>
                <w:szCs w:val="20"/>
                <w:color w:val="auto"/>
              </w:rPr>
            </w:pPr>
            <w:r>
              <w:rPr>
                <w:rFonts w:ascii="Arial" w:cs="Arial" w:eastAsia="Arial" w:hAnsi="Arial"/>
                <w:sz w:val="16"/>
                <w:szCs w:val="16"/>
                <w:color w:val="auto"/>
              </w:rPr>
              <w:t>Self-insurance</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18,410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17,437</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Promotional</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12,543</w:t>
            </w:r>
          </w:p>
        </w:tc>
        <w:tc>
          <w:tcPr>
            <w:tcW w:w="0" w:type="dxa"/>
            <w:vAlign w:val="bottom"/>
          </w:tcPr>
          <w:p>
            <w:pPr>
              <w:spacing w:after="0"/>
              <w:rPr>
                <w:sz w:val="1"/>
                <w:szCs w:val="1"/>
                <w:color w:val="auto"/>
              </w:rPr>
            </w:pPr>
          </w:p>
        </w:tc>
      </w:tr>
      <w:tr>
        <w:trPr>
          <w:trHeight w:val="213"/>
        </w:trPr>
        <w:tc>
          <w:tcPr>
            <w:tcW w:w="7860" w:type="dxa"/>
            <w:vAlign w:val="bottom"/>
          </w:tcPr>
          <w:p>
            <w:pPr>
              <w:ind w:left="220"/>
              <w:spacing w:after="0"/>
              <w:rPr>
                <w:sz w:val="20"/>
                <w:szCs w:val="20"/>
                <w:color w:val="auto"/>
              </w:rPr>
            </w:pPr>
            <w:r>
              <w:rPr>
                <w:rFonts w:ascii="Arial" w:cs="Arial" w:eastAsia="Arial" w:hAnsi="Arial"/>
                <w:sz w:val="16"/>
                <w:szCs w:val="16"/>
                <w:color w:val="auto"/>
              </w:rPr>
              <w:t>Accrued interest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8,184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4,652</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22,975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23,864</w:t>
            </w:r>
          </w:p>
        </w:tc>
        <w:tc>
          <w:tcPr>
            <w:tcW w:w="0" w:type="dxa"/>
            <w:vAlign w:val="bottom"/>
          </w:tcPr>
          <w:p>
            <w:pPr>
              <w:spacing w:after="0"/>
              <w:rPr>
                <w:sz w:val="1"/>
                <w:szCs w:val="1"/>
                <w:color w:val="auto"/>
              </w:rPr>
            </w:pPr>
          </w:p>
        </w:tc>
      </w:tr>
      <w:tr>
        <w:trPr>
          <w:trHeight w:val="209"/>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313,401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300,390</w:t>
            </w:r>
          </w:p>
        </w:tc>
        <w:tc>
          <w:tcPr>
            <w:tcW w:w="0" w:type="dxa"/>
            <w:vAlign w:val="bottom"/>
          </w:tcPr>
          <w:p>
            <w:pPr>
              <w:spacing w:after="0"/>
              <w:rPr>
                <w:sz w:val="1"/>
                <w:szCs w:val="1"/>
                <w:color w:val="auto"/>
              </w:rPr>
            </w:pPr>
          </w:p>
        </w:tc>
      </w:tr>
      <w:tr>
        <w:trPr>
          <w:trHeight w:val="19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Long-term debt, less current maturities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516,527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512,630</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15,608</w:t>
            </w:r>
          </w:p>
        </w:tc>
        <w:tc>
          <w:tcPr>
            <w:tcW w:w="0" w:type="dxa"/>
            <w:vAlign w:val="bottom"/>
          </w:tcPr>
          <w:p>
            <w:pPr>
              <w:spacing w:after="0"/>
              <w:rPr>
                <w:sz w:val="1"/>
                <w:szCs w:val="1"/>
                <w:color w:val="auto"/>
              </w:rPr>
            </w:pP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Unrecognized tax benefits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6,692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6,511</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liabilities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27,048</w:t>
            </w:r>
          </w:p>
        </w:tc>
        <w:tc>
          <w:tcPr>
            <w:tcW w:w="0" w:type="dxa"/>
            <w:vAlign w:val="bottom"/>
          </w:tcPr>
          <w:p>
            <w:pPr>
              <w:spacing w:after="0"/>
              <w:rPr>
                <w:sz w:val="1"/>
                <w:szCs w:val="1"/>
                <w:color w:val="auto"/>
              </w:rPr>
            </w:pP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Deferred compensation benefits, net of current portion</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10,884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11,130</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18,953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12,917</w:t>
            </w:r>
          </w:p>
        </w:tc>
        <w:tc>
          <w:tcPr>
            <w:tcW w:w="0" w:type="dxa"/>
            <w:vAlign w:val="bottom"/>
          </w:tcPr>
          <w:p>
            <w:pPr>
              <w:spacing w:after="0"/>
              <w:rPr>
                <w:sz w:val="1"/>
                <w:szCs w:val="1"/>
                <w:color w:val="auto"/>
              </w:rPr>
            </w:pPr>
          </w:p>
        </w:tc>
      </w:tr>
      <w:tr>
        <w:trPr>
          <w:trHeight w:val="210"/>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non-current liabilities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596,031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585,844</w:t>
            </w:r>
          </w:p>
        </w:tc>
        <w:tc>
          <w:tcPr>
            <w:tcW w:w="0" w:type="dxa"/>
            <w:vAlign w:val="bottom"/>
          </w:tcPr>
          <w:p>
            <w:pPr>
              <w:spacing w:after="0"/>
              <w:rPr>
                <w:sz w:val="1"/>
                <w:szCs w:val="1"/>
                <w:color w:val="auto"/>
              </w:rPr>
            </w:pPr>
          </w:p>
        </w:tc>
      </w:tr>
      <w:tr>
        <w:trPr>
          <w:trHeight w:val="19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liabilities and commitments (Note 11)</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Preferred stock, par value $0.01: Authorized-10,000 shares; Issued-zero</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Common stock, par value $0.50: Authorized-60,000 shares; Issued-51,776 shares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25,888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25,888</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204,551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203,791</w:t>
            </w:r>
          </w:p>
        </w:tc>
        <w:tc>
          <w:tcPr>
            <w:tcW w:w="0" w:type="dxa"/>
            <w:vAlign w:val="bottom"/>
          </w:tcPr>
          <w:p>
            <w:pPr>
              <w:spacing w:after="0"/>
              <w:rPr>
                <w:sz w:val="1"/>
                <w:szCs w:val="1"/>
                <w:color w:val="auto"/>
              </w:rPr>
            </w:pP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966,945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913,610</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Treasury stock, at cost: 18,275 and 18,133 shares, respectively</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(325,309)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(315,297)</w:t>
            </w:r>
          </w:p>
        </w:tc>
        <w:tc>
          <w:tcPr>
            <w:tcW w:w="0" w:type="dxa"/>
            <w:vAlign w:val="bottom"/>
          </w:tcPr>
          <w:p>
            <w:pPr>
              <w:spacing w:after="0"/>
              <w:rPr>
                <w:sz w:val="1"/>
                <w:szCs w:val="1"/>
                <w:color w:val="auto"/>
              </w:rPr>
            </w:pPr>
          </w:p>
        </w:tc>
      </w:tr>
      <w:tr>
        <w:trPr>
          <w:trHeight w:val="209"/>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871,558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827,466</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1,780,990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1,713,700</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95"/>
        </w:trPr>
        <w:tc>
          <w:tcPr>
            <w:tcW w:w="7860" w:type="dxa"/>
            <w:vAlign w:val="bottom"/>
          </w:tcPr>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65"/>
        </w:trPr>
        <w:tc>
          <w:tcPr>
            <w:tcW w:w="7860" w:type="dxa"/>
            <w:vAlign w:val="bottom"/>
          </w:tcPr>
          <w:p>
            <w:pPr>
              <w:spacing w:after="0"/>
              <w:rPr>
                <w:sz w:val="20"/>
                <w:szCs w:val="20"/>
                <w:color w:val="auto"/>
              </w:rPr>
            </w:pPr>
            <w:r>
              <w:rPr>
                <w:rFonts w:ascii="Arial" w:cs="Arial" w:eastAsia="Arial" w:hAnsi="Arial"/>
                <w:sz w:val="16"/>
                <w:szCs w:val="16"/>
                <w:b w:val="1"/>
                <w:bCs w:val="1"/>
                <w:color w:val="auto"/>
              </w:rPr>
              <w:t>Winnebago Industries, Inc.</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860" w:type="dxa"/>
            <w:vAlign w:val="bottom"/>
          </w:tcPr>
          <w:p>
            <w:pPr>
              <w:spacing w:after="0"/>
              <w:rPr>
                <w:sz w:val="20"/>
                <w:szCs w:val="20"/>
                <w:color w:val="auto"/>
              </w:rPr>
            </w:pPr>
            <w:r>
              <w:rPr>
                <w:rFonts w:ascii="Arial" w:cs="Arial" w:eastAsia="Arial" w:hAnsi="Arial"/>
                <w:sz w:val="16"/>
                <w:szCs w:val="16"/>
                <w:b w:val="1"/>
                <w:bCs w:val="1"/>
                <w:color w:val="auto"/>
              </w:rPr>
              <w:t>Condensed Consolidated Statements of Cash Flows</w:t>
            </w: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860" w:type="dxa"/>
            <w:vAlign w:val="bottom"/>
          </w:tcPr>
          <w:p>
            <w:pPr>
              <w:spacing w:after="0"/>
              <w:rPr>
                <w:sz w:val="20"/>
                <w:szCs w:val="20"/>
                <w:color w:val="auto"/>
              </w:rPr>
            </w:pPr>
            <w:r>
              <w:rPr>
                <w:rFonts w:ascii="Arial" w:cs="Arial" w:eastAsia="Arial" w:hAnsi="Arial"/>
                <w:sz w:val="16"/>
                <w:szCs w:val="16"/>
                <w:b w:val="1"/>
                <w:bCs w:val="1"/>
                <w:color w:val="auto"/>
              </w:rPr>
              <w:t>(Unaudited)</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58"/>
        </w:trPr>
        <w:tc>
          <w:tcPr>
            <w:tcW w:w="7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3"/>
                <w:szCs w:val="13"/>
                <w:color w:val="auto"/>
              </w:rPr>
            </w:pPr>
          </w:p>
        </w:tc>
        <w:tc>
          <w:tcPr>
            <w:tcW w:w="154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November 28,</w:t>
            </w:r>
          </w:p>
        </w:tc>
        <w:tc>
          <w:tcPr>
            <w:tcW w:w="200" w:type="dxa"/>
            <w:vAlign w:val="bottom"/>
          </w:tcPr>
          <w:p>
            <w:pPr>
              <w:spacing w:after="0"/>
              <w:rPr>
                <w:sz w:val="13"/>
                <w:szCs w:val="13"/>
                <w:color w:val="auto"/>
              </w:rPr>
            </w:pPr>
          </w:p>
        </w:tc>
        <w:tc>
          <w:tcPr>
            <w:tcW w:w="1440" w:type="dxa"/>
            <w:vAlign w:val="bottom"/>
          </w:tcPr>
          <w:p>
            <w:pPr>
              <w:jc w:val="right"/>
              <w:ind w:right="199"/>
              <w:spacing w:after="0" w:line="158" w:lineRule="exact"/>
              <w:rPr>
                <w:sz w:val="20"/>
                <w:szCs w:val="20"/>
                <w:color w:val="auto"/>
              </w:rPr>
            </w:pPr>
            <w:r>
              <w:rPr>
                <w:rFonts w:ascii="Arial" w:cs="Arial" w:eastAsia="Arial" w:hAnsi="Arial"/>
                <w:sz w:val="16"/>
                <w:szCs w:val="16"/>
                <w:b w:val="1"/>
                <w:bCs w:val="1"/>
                <w:color w:val="auto"/>
              </w:rPr>
              <w:t>November 30,</w:t>
            </w:r>
          </w:p>
        </w:tc>
        <w:tc>
          <w:tcPr>
            <w:tcW w:w="0" w:type="dxa"/>
            <w:vAlign w:val="bottom"/>
          </w:tcPr>
          <w:p>
            <w:pPr>
              <w:spacing w:after="0"/>
              <w:rPr>
                <w:sz w:val="1"/>
                <w:szCs w:val="1"/>
                <w:color w:val="auto"/>
              </w:rPr>
            </w:pPr>
          </w:p>
        </w:tc>
      </w:tr>
      <w:tr>
        <w:trPr>
          <w:trHeight w:val="215"/>
        </w:trPr>
        <w:tc>
          <w:tcPr>
            <w:tcW w:w="78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57,423</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14,068</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(used in) provided by operating activities: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20"/>
              <w:spacing w:after="0"/>
              <w:rPr>
                <w:sz w:val="20"/>
                <w:szCs w:val="20"/>
                <w:color w:val="auto"/>
              </w:rPr>
            </w:pPr>
            <w:r>
              <w:rPr>
                <w:rFonts w:ascii="Arial" w:cs="Arial" w:eastAsia="Arial" w:hAnsi="Arial"/>
                <w:sz w:val="16"/>
                <w:szCs w:val="16"/>
                <w:color w:val="auto"/>
              </w:rPr>
              <w:t>Depreciation</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4,160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3,586</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3,614</w:t>
            </w:r>
          </w:p>
        </w:tc>
        <w:tc>
          <w:tcPr>
            <w:tcW w:w="0" w:type="dxa"/>
            <w:vAlign w:val="bottom"/>
          </w:tcPr>
          <w:p>
            <w:pPr>
              <w:spacing w:after="0"/>
              <w:rPr>
                <w:sz w:val="1"/>
                <w:szCs w:val="1"/>
                <w:color w:val="auto"/>
              </w:rPr>
            </w:pPr>
          </w:p>
        </w:tc>
      </w:tr>
      <w:tr>
        <w:trPr>
          <w:trHeight w:val="213"/>
        </w:trPr>
        <w:tc>
          <w:tcPr>
            <w:tcW w:w="7860" w:type="dxa"/>
            <w:vAlign w:val="bottom"/>
          </w:tcPr>
          <w:p>
            <w:pPr>
              <w:ind w:left="220"/>
              <w:spacing w:after="0"/>
              <w:rPr>
                <w:sz w:val="20"/>
                <w:szCs w:val="20"/>
                <w:color w:val="auto"/>
              </w:rPr>
            </w:pPr>
            <w:r>
              <w:rPr>
                <w:rFonts w:ascii="Arial" w:cs="Arial" w:eastAsia="Arial" w:hAnsi="Arial"/>
                <w:sz w:val="16"/>
                <w:szCs w:val="16"/>
                <w:color w:val="auto"/>
              </w:rPr>
              <w:t>Non-cash interest expense, net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1,023</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issuance costs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w:t>
            </w:r>
          </w:p>
        </w:tc>
        <w:tc>
          <w:tcPr>
            <w:tcW w:w="0" w:type="dxa"/>
            <w:vAlign w:val="bottom"/>
          </w:tcPr>
          <w:p>
            <w:pPr>
              <w:spacing w:after="0"/>
              <w:rPr>
                <w:sz w:val="1"/>
                <w:szCs w:val="1"/>
                <w:color w:val="auto"/>
              </w:rPr>
            </w:pPr>
          </w:p>
        </w:tc>
      </w:tr>
      <w:tr>
        <w:trPr>
          <w:trHeight w:val="213"/>
        </w:trPr>
        <w:tc>
          <w:tcPr>
            <w:tcW w:w="7860" w:type="dxa"/>
            <w:vAlign w:val="bottom"/>
          </w:tcPr>
          <w:p>
            <w:pPr>
              <w:ind w:left="220"/>
              <w:spacing w:after="0"/>
              <w:rPr>
                <w:sz w:val="20"/>
                <w:szCs w:val="20"/>
                <w:color w:val="auto"/>
              </w:rPr>
            </w:pPr>
            <w:r>
              <w:rPr>
                <w:rFonts w:ascii="Arial" w:cs="Arial" w:eastAsia="Arial" w:hAnsi="Arial"/>
                <w:sz w:val="16"/>
                <w:szCs w:val="16"/>
                <w:color w:val="auto"/>
              </w:rPr>
              <w:t>Last-in, first-out expense</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w:t>
            </w:r>
          </w:p>
        </w:tc>
        <w:tc>
          <w:tcPr>
            <w:tcW w:w="0" w:type="dxa"/>
            <w:vAlign w:val="bottom"/>
          </w:tcPr>
          <w:p>
            <w:pPr>
              <w:spacing w:after="0"/>
              <w:rPr>
                <w:sz w:val="1"/>
                <w:szCs w:val="1"/>
                <w:color w:val="auto"/>
              </w:rPr>
            </w:pPr>
          </w:p>
        </w:tc>
      </w:tr>
      <w:tr>
        <w:trPr>
          <w:trHeight w:val="213"/>
        </w:trPr>
        <w:tc>
          <w:tcPr>
            <w:tcW w:w="786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731</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net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Change in assets and liabilities: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Receivables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27,906</w:t>
            </w:r>
          </w:p>
        </w:tc>
        <w:tc>
          <w:tcPr>
            <w:tcW w:w="0" w:type="dxa"/>
            <w:vAlign w:val="bottom"/>
          </w:tcPr>
          <w:p>
            <w:pPr>
              <w:spacing w:after="0"/>
              <w:rPr>
                <w:sz w:val="1"/>
                <w:szCs w:val="1"/>
                <w:color w:val="auto"/>
              </w:rPr>
            </w:pPr>
          </w:p>
        </w:tc>
      </w:tr>
      <w:tr>
        <w:trPr>
          <w:trHeight w:val="213"/>
        </w:trPr>
        <w:tc>
          <w:tcPr>
            <w:tcW w:w="786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(80,472)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20,082</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3"/>
        </w:trPr>
        <w:tc>
          <w:tcPr>
            <w:tcW w:w="786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(8,371)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(4,214)</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taxes and unrecognized tax benefits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3,217</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Accrued expenses and other liabilities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10,111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6,364</w:t>
            </w:r>
          </w:p>
        </w:tc>
        <w:tc>
          <w:tcPr>
            <w:tcW w:w="0" w:type="dxa"/>
            <w:vAlign w:val="bottom"/>
          </w:tcPr>
          <w:p>
            <w:pPr>
              <w:spacing w:after="0"/>
              <w:rPr>
                <w:sz w:val="1"/>
                <w:szCs w:val="1"/>
                <w:color w:val="auto"/>
              </w:rPr>
            </w:pP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operating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79,033</w:t>
            </w:r>
          </w:p>
        </w:tc>
        <w:tc>
          <w:tcPr>
            <w:tcW w:w="0" w:type="dxa"/>
            <w:vAlign w:val="bottom"/>
          </w:tcPr>
          <w:p>
            <w:pPr>
              <w:spacing w:after="0"/>
              <w:rPr>
                <w:sz w:val="1"/>
                <w:szCs w:val="1"/>
                <w:color w:val="auto"/>
              </w:rPr>
            </w:pPr>
          </w:p>
        </w:tc>
      </w:tr>
      <w:tr>
        <w:trPr>
          <w:trHeight w:val="185"/>
        </w:trPr>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Purchases of property and equipment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(8,689)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(6,624)</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of business, net of cash acquired</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(264,280)</w:t>
            </w:r>
          </w:p>
        </w:tc>
        <w:tc>
          <w:tcPr>
            <w:tcW w:w="0" w:type="dxa"/>
            <w:vAlign w:val="bottom"/>
          </w:tcPr>
          <w:p>
            <w:pPr>
              <w:spacing w:after="0"/>
              <w:rPr>
                <w:sz w:val="1"/>
                <w:szCs w:val="1"/>
                <w:color w:val="auto"/>
              </w:rPr>
            </w:pP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Proceeds from sale of property and equipment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7,775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(270,661)</w:t>
            </w:r>
          </w:p>
        </w:tc>
        <w:tc>
          <w:tcPr>
            <w:tcW w:w="0" w:type="dxa"/>
            <w:vAlign w:val="bottom"/>
          </w:tcPr>
          <w:p>
            <w:pPr>
              <w:spacing w:after="0"/>
              <w:rPr>
                <w:sz w:val="1"/>
                <w:szCs w:val="1"/>
                <w:color w:val="auto"/>
              </w:rPr>
            </w:pPr>
          </w:p>
        </w:tc>
      </w:tr>
      <w:tr>
        <w:trPr>
          <w:trHeight w:val="185"/>
        </w:trPr>
        <w:tc>
          <w:tcPr>
            <w:tcW w:w="7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Borrowings on long-term debt</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798,359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903,292</w:t>
            </w:r>
          </w:p>
        </w:tc>
        <w:tc>
          <w:tcPr>
            <w:tcW w:w="0" w:type="dxa"/>
            <w:vAlign w:val="bottom"/>
          </w:tcPr>
          <w:p>
            <w:pPr>
              <w:spacing w:after="0"/>
              <w:rPr>
                <w:sz w:val="1"/>
                <w:szCs w:val="1"/>
                <w:color w:val="auto"/>
              </w:rPr>
            </w:pP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Repayments on long-term debt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(798,359)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(603,292)</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of convertible bond hedge</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(70,800)</w:t>
            </w:r>
          </w:p>
        </w:tc>
        <w:tc>
          <w:tcPr>
            <w:tcW w:w="0" w:type="dxa"/>
            <w:vAlign w:val="bottom"/>
          </w:tcPr>
          <w:p>
            <w:pPr>
              <w:spacing w:after="0"/>
              <w:rPr>
                <w:sz w:val="1"/>
                <w:szCs w:val="1"/>
                <w:color w:val="auto"/>
              </w:rPr>
            </w:pP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Proceeds from issuance of warrants</w:t>
            </w:r>
          </w:p>
        </w:tc>
        <w:tc>
          <w:tcPr>
            <w:tcW w:w="2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42,210</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of cash dividends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(3,469)</w:t>
            </w:r>
          </w:p>
        </w:tc>
        <w:tc>
          <w:tcPr>
            <w:tcW w:w="0" w:type="dxa"/>
            <w:vAlign w:val="bottom"/>
          </w:tcPr>
          <w:p>
            <w:pPr>
              <w:spacing w:after="0"/>
              <w:rPr>
                <w:sz w:val="1"/>
                <w:szCs w:val="1"/>
                <w:color w:val="auto"/>
              </w:rPr>
            </w:pP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Payments for repurchases of common stock</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(11,606)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(1,663)</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of debt issuance costs</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(10,707)</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(15,818)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255,525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(decrease) increase in cash and cash equivalents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62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(19,636)</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63,897</w:t>
            </w:r>
          </w:p>
        </w:tc>
      </w:tr>
      <w:tr>
        <w:trPr>
          <w:trHeight w:val="219"/>
        </w:trPr>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292,575</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37,431</w:t>
            </w:r>
          </w:p>
        </w:tc>
      </w:tr>
      <w:tr>
        <w:trPr>
          <w:trHeight w:val="209"/>
        </w:trPr>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272,939</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101,328</w:t>
            </w:r>
          </w:p>
        </w:tc>
      </w:tr>
      <w:tr>
        <w:trPr>
          <w:trHeight w:val="24"/>
        </w:trPr>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140" w:space="720"/>
            <w:col w:w="3380"/>
          </w:cols>
          <w:pgMar w:left="320" w:top="14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6360" w:type="dxa"/>
            <w:vAlign w:val="bottom"/>
          </w:tcPr>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tc>
        <w:tc>
          <w:tcPr>
            <w:tcW w:w="2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934"/>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Supplement cash flow disclosure:</w:t>
            </w:r>
          </w:p>
        </w:tc>
        <w:tc>
          <w:tcPr>
            <w:tcW w:w="2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received, net</w:t>
            </w:r>
          </w:p>
        </w:tc>
        <w:tc>
          <w:tcPr>
            <w:tcW w:w="21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6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Interest paid</w:t>
            </w:r>
          </w:p>
        </w:tc>
        <w:tc>
          <w:tcPr>
            <w:tcW w:w="21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2,377</w:t>
            </w:r>
          </w:p>
        </w:tc>
        <w:tc>
          <w:tcPr>
            <w:tcW w:w="6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5,193</w:t>
            </w:r>
          </w:p>
        </w:tc>
      </w:tr>
      <w:tr>
        <w:trPr>
          <w:trHeight w:val="259"/>
        </w:trPr>
        <w:tc>
          <w:tcPr>
            <w:tcW w:w="6360" w:type="dxa"/>
            <w:vAlign w:val="bottom"/>
            <w:shd w:val="clear" w:color="auto" w:fill="CCEEFF"/>
          </w:tcPr>
          <w:p>
            <w:pPr>
              <w:spacing w:after="0"/>
              <w:rPr>
                <w:sz w:val="22"/>
                <w:szCs w:val="22"/>
                <w:color w:val="auto"/>
              </w:rPr>
            </w:pPr>
          </w:p>
        </w:tc>
        <w:tc>
          <w:tcPr>
            <w:tcW w:w="21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15"/>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Non-cash transactions:</w:t>
            </w:r>
          </w:p>
        </w:tc>
        <w:tc>
          <w:tcPr>
            <w:tcW w:w="2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7"/>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Winnebago common stock for acquisition of business</w:t>
            </w:r>
          </w:p>
        </w:tc>
        <w:tc>
          <w:tcPr>
            <w:tcW w:w="21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92,572</w:t>
            </w:r>
          </w:p>
        </w:tc>
      </w:tr>
      <w:tr>
        <w:trPr>
          <w:trHeight w:val="210"/>
        </w:trPr>
        <w:tc>
          <w:tcPr>
            <w:tcW w:w="6360" w:type="dxa"/>
            <w:vAlign w:val="bottom"/>
          </w:tcPr>
          <w:p>
            <w:pPr>
              <w:ind w:left="140"/>
              <w:spacing w:after="0"/>
              <w:rPr>
                <w:sz w:val="20"/>
                <w:szCs w:val="20"/>
                <w:color w:val="auto"/>
              </w:rPr>
            </w:pPr>
            <w:r>
              <w:rPr>
                <w:rFonts w:ascii="Arial" w:cs="Arial" w:eastAsia="Arial" w:hAnsi="Arial"/>
                <w:sz w:val="16"/>
                <w:szCs w:val="16"/>
                <w:color w:val="auto"/>
              </w:rPr>
              <w:t>Capital expenditures in accounts payable</w:t>
            </w:r>
          </w:p>
        </w:tc>
        <w:tc>
          <w:tcPr>
            <w:tcW w:w="21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613</w:t>
            </w:r>
          </w:p>
        </w:tc>
        <w:tc>
          <w:tcPr>
            <w:tcW w:w="6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2,063</w:t>
            </w:r>
          </w:p>
        </w:tc>
      </w:tr>
    </w:tbl>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ind w:right="5600"/>
        <w:spacing w:after="0" w:line="260" w:lineRule="auto"/>
        <w:rPr>
          <w:sz w:val="20"/>
          <w:szCs w:val="20"/>
          <w:color w:val="auto"/>
        </w:rPr>
      </w:pPr>
      <w:r>
        <w:rPr>
          <w:rFonts w:ascii="Arial" w:cs="Arial" w:eastAsia="Arial" w:hAnsi="Arial"/>
          <w:sz w:val="16"/>
          <w:szCs w:val="16"/>
          <w:b w:val="1"/>
          <w:bCs w:val="1"/>
          <w:color w:val="auto"/>
        </w:rPr>
        <w:t>Condensed Consolidated Statements of Changes in Stockholders' Equity (Unaudited)</w:t>
      </w:r>
    </w:p>
    <w:p>
      <w:pPr>
        <w:spacing w:after="0" w:line="59" w:lineRule="exact"/>
        <w:rPr>
          <w:sz w:val="20"/>
          <w:szCs w:val="20"/>
          <w:color w:val="auto"/>
        </w:rPr>
      </w:pPr>
    </w:p>
    <w:tbl>
      <w:tblPr>
        <w:tblLayout w:type="fixed"/>
        <w:tblInd w:w="160" w:type="dxa"/>
        <w:tblCellMar>
          <w:top w:w="0" w:type="dxa"/>
          <w:left w:w="0" w:type="dxa"/>
          <w:bottom w:w="0" w:type="dxa"/>
          <w:right w:w="0" w:type="dxa"/>
        </w:tblCellMar>
      </w:tblPr>
      <w:tr>
        <w:trPr>
          <w:trHeight w:val="189"/>
        </w:trPr>
        <w:tc>
          <w:tcPr>
            <w:tcW w:w="26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5"/>
          </w:tcPr>
          <w:p>
            <w:pPr>
              <w:jc w:val="right"/>
              <w:ind w:right="308"/>
              <w:spacing w:after="0"/>
              <w:rPr>
                <w:sz w:val="20"/>
                <w:szCs w:val="20"/>
                <w:color w:val="auto"/>
              </w:rPr>
            </w:pPr>
            <w:r>
              <w:rPr>
                <w:rFonts w:ascii="Arial" w:cs="Arial" w:eastAsia="Arial" w:hAnsi="Arial"/>
                <w:sz w:val="14"/>
                <w:szCs w:val="14"/>
                <w:b w:val="1"/>
                <w:bCs w:val="1"/>
                <w:color w:val="auto"/>
              </w:rPr>
              <w:t>Three Months Ended November 28, 2020</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2660" w:type="dxa"/>
            <w:vAlign w:val="bottom"/>
          </w:tcPr>
          <w:p>
            <w:pPr>
              <w:spacing w:after="0"/>
              <w:rPr>
                <w:sz w:val="24"/>
                <w:szCs w:val="24"/>
                <w:color w:val="auto"/>
              </w:rPr>
            </w:pPr>
          </w:p>
        </w:tc>
        <w:tc>
          <w:tcPr>
            <w:tcW w:w="1800" w:type="dxa"/>
            <w:vAlign w:val="bottom"/>
            <w:gridSpan w:val="3"/>
          </w:tcPr>
          <w:p>
            <w:pPr>
              <w:jc w:val="center"/>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24"/>
                <w:szCs w:val="24"/>
                <w:color w:val="auto"/>
              </w:rPr>
            </w:pPr>
          </w:p>
        </w:tc>
        <w:tc>
          <w:tcPr>
            <w:tcW w:w="860" w:type="dxa"/>
            <w:vAlign w:val="bottom"/>
          </w:tcPr>
          <w:p>
            <w:pPr>
              <w:jc w:val="center"/>
              <w:ind w:right="4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 Other</w:t>
            </w:r>
          </w:p>
        </w:tc>
        <w:tc>
          <w:tcPr>
            <w:tcW w:w="1840" w:type="dxa"/>
            <w:vAlign w:val="bottom"/>
            <w:gridSpan w:val="3"/>
          </w:tcPr>
          <w:p>
            <w:pPr>
              <w:jc w:val="right"/>
              <w:ind w:right="32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660" w:type="dxa"/>
            <w:vAlign w:val="bottom"/>
            <w:vMerge w:val="restart"/>
          </w:tcPr>
          <w:p>
            <w:pPr>
              <w:ind w:left="20"/>
              <w:spacing w:after="0" w:line="122" w:lineRule="exact"/>
              <w:rPr>
                <w:sz w:val="20"/>
                <w:szCs w:val="20"/>
                <w:color w:val="auto"/>
              </w:rPr>
            </w:pPr>
            <w:r>
              <w:rPr>
                <w:rFonts w:ascii="Arial" w:cs="Arial" w:eastAsia="Arial" w:hAnsi="Arial"/>
                <w:sz w:val="14"/>
                <w:szCs w:val="14"/>
                <w:b w:val="1"/>
                <w:bCs w:val="1"/>
                <w:color w:val="auto"/>
              </w:rPr>
              <w:t>(in thousands,</w:t>
            </w:r>
          </w:p>
        </w:tc>
        <w:tc>
          <w:tcPr>
            <w:tcW w:w="8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vMerge w:val="restart"/>
          </w:tcPr>
          <w:p>
            <w:pPr>
              <w:jc w:val="center"/>
              <w:ind w:right="28"/>
              <w:spacing w:after="0" w:line="122"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3"/>
                <w:szCs w:val="3"/>
                <w:color w:val="auto"/>
              </w:rPr>
            </w:pPr>
          </w:p>
        </w:tc>
        <w:tc>
          <w:tcPr>
            <w:tcW w:w="820" w:type="dxa"/>
            <w:vAlign w:val="bottom"/>
            <w:vMerge w:val="restart"/>
          </w:tcPr>
          <w:p>
            <w:pPr>
              <w:jc w:val="right"/>
              <w:ind w:right="108"/>
              <w:spacing w:after="0" w:line="122"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3"/>
                <w:szCs w:val="3"/>
                <w:color w:val="auto"/>
              </w:rPr>
            </w:pPr>
          </w:p>
        </w:tc>
        <w:tc>
          <w:tcPr>
            <w:tcW w:w="1280" w:type="dxa"/>
            <w:vAlign w:val="bottom"/>
            <w:vMerge w:val="restart"/>
          </w:tcPr>
          <w:p>
            <w:pPr>
              <w:jc w:val="center"/>
              <w:ind w:right="48"/>
              <w:spacing w:after="0" w:line="122" w:lineRule="exact"/>
              <w:rPr>
                <w:sz w:val="20"/>
                <w:szCs w:val="20"/>
                <w:color w:val="auto"/>
              </w:rPr>
            </w:pPr>
            <w:r>
              <w:rPr>
                <w:rFonts w:ascii="Arial" w:cs="Arial" w:eastAsia="Arial" w:hAnsi="Arial"/>
                <w:sz w:val="14"/>
                <w:szCs w:val="14"/>
                <w:b w:val="1"/>
                <w:bCs w:val="1"/>
                <w:color w:val="auto"/>
              </w:rPr>
              <w:t>Comprehensive</w:t>
            </w:r>
          </w:p>
        </w:tc>
        <w:tc>
          <w:tcPr>
            <w:tcW w:w="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20" w:type="dxa"/>
            <w:vAlign w:val="bottom"/>
            <w:gridSpan w:val="2"/>
            <w:vMerge w:val="restart"/>
          </w:tcPr>
          <w:p>
            <w:pPr>
              <w:jc w:val="center"/>
              <w:spacing w:after="0" w:line="122" w:lineRule="exact"/>
              <w:rPr>
                <w:sz w:val="20"/>
                <w:szCs w:val="20"/>
                <w:color w:val="auto"/>
              </w:rPr>
            </w:pPr>
            <w:r>
              <w:rPr>
                <w:rFonts w:ascii="Arial" w:cs="Arial" w:eastAsia="Arial" w:hAnsi="Arial"/>
                <w:sz w:val="14"/>
                <w:szCs w:val="14"/>
                <w:b w:val="1"/>
                <w:bCs w:val="1"/>
                <w:color w:val="auto"/>
              </w:rPr>
              <w:t>Total Stockholders'</w:t>
            </w:r>
          </w:p>
        </w:tc>
        <w:tc>
          <w:tcPr>
            <w:tcW w:w="0" w:type="dxa"/>
            <w:vAlign w:val="bottom"/>
          </w:tcPr>
          <w:p>
            <w:pPr>
              <w:spacing w:after="0"/>
              <w:rPr>
                <w:sz w:val="1"/>
                <w:szCs w:val="1"/>
                <w:color w:val="auto"/>
              </w:rPr>
            </w:pPr>
          </w:p>
        </w:tc>
      </w:tr>
      <w:tr>
        <w:trPr>
          <w:trHeight w:val="61"/>
        </w:trPr>
        <w:tc>
          <w:tcPr>
            <w:tcW w:w="2660" w:type="dxa"/>
            <w:vAlign w:val="bottom"/>
            <w:vMerge w:val="continue"/>
          </w:tcPr>
          <w:p>
            <w:pPr>
              <w:spacing w:after="0"/>
              <w:rPr>
                <w:sz w:val="5"/>
                <w:szCs w:val="5"/>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5"/>
                <w:szCs w:val="5"/>
                <w:color w:val="auto"/>
              </w:rPr>
            </w:pPr>
          </w:p>
        </w:tc>
        <w:tc>
          <w:tcPr>
            <w:tcW w:w="8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5"/>
                <w:szCs w:val="5"/>
                <w:color w:val="auto"/>
              </w:rPr>
            </w:pPr>
          </w:p>
        </w:tc>
        <w:tc>
          <w:tcPr>
            <w:tcW w:w="8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except per share data)</w:t>
            </w:r>
          </w:p>
        </w:tc>
        <w:tc>
          <w:tcPr>
            <w:tcW w:w="8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Income (Loss)</w:t>
            </w:r>
          </w:p>
        </w:tc>
        <w:tc>
          <w:tcPr>
            <w:tcW w:w="8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August 29, 2020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51,776</w:t>
            </w:r>
          </w:p>
        </w:tc>
        <w:tc>
          <w:tcPr>
            <w:tcW w:w="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25,888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203,791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913,610</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(18,133)</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(315,297)</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827,466</w:t>
            </w:r>
          </w:p>
        </w:tc>
        <w:tc>
          <w:tcPr>
            <w:tcW w:w="0" w:type="dxa"/>
            <w:vAlign w:val="bottom"/>
          </w:tcPr>
          <w:p>
            <w:pPr>
              <w:spacing w:after="0"/>
              <w:rPr>
                <w:sz w:val="1"/>
                <w:szCs w:val="1"/>
                <w:color w:val="auto"/>
              </w:rPr>
            </w:pPr>
          </w:p>
        </w:tc>
      </w:tr>
      <w:tr>
        <w:trPr>
          <w:trHeight w:val="153"/>
        </w:trPr>
        <w:tc>
          <w:tcPr>
            <w:tcW w:w="2660" w:type="dxa"/>
            <w:vAlign w:val="bottom"/>
          </w:tcPr>
          <w:p>
            <w:pPr>
              <w:ind w:left="140"/>
              <w:spacing w:after="0" w:line="153" w:lineRule="exact"/>
              <w:rPr>
                <w:sz w:val="20"/>
                <w:szCs w:val="20"/>
                <w:color w:val="auto"/>
              </w:rPr>
            </w:pPr>
            <w:r>
              <w:rPr>
                <w:rFonts w:ascii="Arial" w:cs="Arial" w:eastAsia="Arial" w:hAnsi="Arial"/>
                <w:sz w:val="14"/>
                <w:szCs w:val="14"/>
                <w:color w:val="auto"/>
              </w:rPr>
              <w:t>Stock-based compensation, net of</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2,346</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3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2,354</w:t>
            </w:r>
          </w:p>
        </w:tc>
        <w:tc>
          <w:tcPr>
            <w:tcW w:w="0" w:type="dxa"/>
            <w:vAlign w:val="bottom"/>
          </w:tcPr>
          <w:p>
            <w:pPr>
              <w:spacing w:after="0"/>
              <w:rPr>
                <w:sz w:val="1"/>
                <w:szCs w:val="1"/>
                <w:color w:val="auto"/>
              </w:rPr>
            </w:pPr>
          </w:p>
        </w:tc>
      </w:tr>
      <w:tr>
        <w:trPr>
          <w:trHeight w:val="171"/>
        </w:trPr>
        <w:tc>
          <w:tcPr>
            <w:tcW w:w="2660" w:type="dxa"/>
            <w:vAlign w:val="bottom"/>
          </w:tcPr>
          <w:p>
            <w:pPr>
              <w:ind w:left="140"/>
              <w:spacing w:after="0"/>
              <w:rPr>
                <w:sz w:val="20"/>
                <w:szCs w:val="20"/>
                <w:color w:val="auto"/>
              </w:rPr>
            </w:pPr>
            <w:r>
              <w:rPr>
                <w:rFonts w:ascii="Arial" w:cs="Arial" w:eastAsia="Arial" w:hAnsi="Arial"/>
                <w:sz w:val="14"/>
                <w:szCs w:val="14"/>
                <w:color w:val="auto"/>
              </w:rPr>
              <w:t>forfeitures</w:t>
            </w: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stock, net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(1,586)</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1,586</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660" w:type="dxa"/>
            <w:vAlign w:val="bottom"/>
          </w:tcPr>
          <w:p>
            <w:pPr>
              <w:ind w:left="140"/>
              <w:spacing w:after="0"/>
              <w:rPr>
                <w:sz w:val="20"/>
                <w:szCs w:val="20"/>
                <w:color w:val="auto"/>
              </w:rPr>
            </w:pPr>
            <w:r>
              <w:rPr>
                <w:rFonts w:ascii="Arial" w:cs="Arial" w:eastAsia="Arial" w:hAnsi="Arial"/>
                <w:sz w:val="14"/>
                <w:szCs w:val="14"/>
                <w:color w:val="auto"/>
              </w:rPr>
              <w:t>Repurchase of common stock</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(233)</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(11,606)</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(11,606)</w:t>
            </w:r>
          </w:p>
        </w:tc>
        <w:tc>
          <w:tcPr>
            <w:tcW w:w="0" w:type="dxa"/>
            <w:vAlign w:val="bottom"/>
          </w:tcPr>
          <w:p>
            <w:pPr>
              <w:spacing w:after="0"/>
              <w:rPr>
                <w:sz w:val="1"/>
                <w:szCs w:val="1"/>
                <w:color w:val="auto"/>
              </w:rPr>
            </w:pPr>
          </w:p>
        </w:tc>
      </w:tr>
      <w:tr>
        <w:trPr>
          <w:trHeight w:val="153"/>
        </w:trPr>
        <w:tc>
          <w:tcPr>
            <w:tcW w:w="266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Common stock dividends; $0.12 per</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(4,088)</w:t>
            </w:r>
          </w:p>
        </w:tc>
        <w:tc>
          <w:tcPr>
            <w:tcW w:w="14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(4,088)</w:t>
            </w:r>
          </w:p>
        </w:tc>
        <w:tc>
          <w:tcPr>
            <w:tcW w:w="0" w:type="dxa"/>
            <w:vAlign w:val="bottom"/>
          </w:tcPr>
          <w:p>
            <w:pPr>
              <w:spacing w:after="0"/>
              <w:rPr>
                <w:sz w:val="1"/>
                <w:szCs w:val="1"/>
                <w:color w:val="auto"/>
              </w:rPr>
            </w:pPr>
          </w:p>
        </w:tc>
      </w:tr>
      <w:tr>
        <w:trPr>
          <w:trHeight w:val="105"/>
        </w:trPr>
        <w:tc>
          <w:tcPr>
            <w:tcW w:w="266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share</w:t>
            </w:r>
          </w:p>
        </w:tc>
        <w:tc>
          <w:tcPr>
            <w:tcW w:w="80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80" w:type="dxa"/>
            <w:vAlign w:val="bottom"/>
            <w:vMerge w:val="continue"/>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660" w:type="dxa"/>
            <w:vAlign w:val="bottom"/>
            <w:vMerge w:val="continue"/>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660" w:type="dxa"/>
            <w:vAlign w:val="bottom"/>
          </w:tcPr>
          <w:p>
            <w:pPr>
              <w:ind w:left="140"/>
              <w:spacing w:after="0"/>
              <w:rPr>
                <w:sz w:val="20"/>
                <w:szCs w:val="20"/>
                <w:color w:val="auto"/>
              </w:rPr>
            </w:pPr>
            <w:r>
              <w:rPr>
                <w:rFonts w:ascii="Arial" w:cs="Arial" w:eastAsia="Arial" w:hAnsi="Arial"/>
                <w:sz w:val="14"/>
                <w:szCs w:val="14"/>
                <w:color w:val="auto"/>
              </w:rPr>
              <w:t>Actuarial loss, net of tax</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57,423</w:t>
            </w:r>
          </w:p>
        </w:tc>
        <w:tc>
          <w:tcPr>
            <w:tcW w:w="14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57,423</w:t>
            </w:r>
          </w:p>
        </w:tc>
        <w:tc>
          <w:tcPr>
            <w:tcW w:w="0" w:type="dxa"/>
            <w:vAlign w:val="bottom"/>
          </w:tcPr>
          <w:p>
            <w:pPr>
              <w:spacing w:after="0"/>
              <w:rPr>
                <w:sz w:val="1"/>
                <w:szCs w:val="1"/>
                <w:color w:val="auto"/>
              </w:rPr>
            </w:pPr>
          </w:p>
        </w:tc>
      </w:tr>
      <w:tr>
        <w:trPr>
          <w:trHeight w:val="183"/>
        </w:trPr>
        <w:tc>
          <w:tcPr>
            <w:tcW w:w="2660" w:type="dxa"/>
            <w:vAlign w:val="bottom"/>
          </w:tcPr>
          <w:p>
            <w:pPr>
              <w:ind w:left="20"/>
              <w:spacing w:after="0"/>
              <w:rPr>
                <w:sz w:val="20"/>
                <w:szCs w:val="20"/>
                <w:color w:val="auto"/>
              </w:rPr>
            </w:pPr>
            <w:r>
              <w:rPr>
                <w:rFonts w:ascii="Arial" w:cs="Arial" w:eastAsia="Arial" w:hAnsi="Arial"/>
                <w:sz w:val="14"/>
                <w:szCs w:val="14"/>
                <w:color w:val="auto"/>
              </w:rPr>
              <w:t>Balances at November 28, 2020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51,776</w:t>
            </w: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25,888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204,551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966,945</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(18,275)</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(325,309)</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871,558</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gridSpan w:val="5"/>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266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3200" w:type="dxa"/>
            <w:vAlign w:val="bottom"/>
            <w:tcBorders>
              <w:bottom w:val="single" w:sz="8" w:color="auto"/>
            </w:tcBorders>
            <w:gridSpan w:val="5"/>
          </w:tcPr>
          <w:p>
            <w:pPr>
              <w:jc w:val="right"/>
              <w:ind w:right="308"/>
              <w:spacing w:after="0"/>
              <w:rPr>
                <w:sz w:val="20"/>
                <w:szCs w:val="20"/>
                <w:color w:val="auto"/>
              </w:rPr>
            </w:pPr>
            <w:r>
              <w:rPr>
                <w:rFonts w:ascii="Arial" w:cs="Arial" w:eastAsia="Arial" w:hAnsi="Arial"/>
                <w:sz w:val="14"/>
                <w:szCs w:val="14"/>
                <w:b w:val="1"/>
                <w:bCs w:val="1"/>
                <w:color w:val="auto"/>
              </w:rPr>
              <w:t>Three Months Ended November 30, 2019</w:t>
            </w: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72"/>
        </w:trPr>
        <w:tc>
          <w:tcPr>
            <w:tcW w:w="2660" w:type="dxa"/>
            <w:vAlign w:val="bottom"/>
          </w:tcPr>
          <w:p>
            <w:pPr>
              <w:spacing w:after="0"/>
              <w:rPr>
                <w:sz w:val="24"/>
                <w:szCs w:val="24"/>
                <w:color w:val="auto"/>
              </w:rPr>
            </w:pPr>
          </w:p>
        </w:tc>
        <w:tc>
          <w:tcPr>
            <w:tcW w:w="1800" w:type="dxa"/>
            <w:vAlign w:val="bottom"/>
            <w:gridSpan w:val="3"/>
          </w:tcPr>
          <w:p>
            <w:pPr>
              <w:jc w:val="center"/>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24"/>
                <w:szCs w:val="24"/>
                <w:color w:val="auto"/>
              </w:rPr>
            </w:pPr>
          </w:p>
        </w:tc>
        <w:tc>
          <w:tcPr>
            <w:tcW w:w="860" w:type="dxa"/>
            <w:vAlign w:val="bottom"/>
          </w:tcPr>
          <w:p>
            <w:pPr>
              <w:jc w:val="center"/>
              <w:ind w:right="4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 Other</w:t>
            </w:r>
          </w:p>
        </w:tc>
        <w:tc>
          <w:tcPr>
            <w:tcW w:w="1840" w:type="dxa"/>
            <w:vAlign w:val="bottom"/>
            <w:gridSpan w:val="3"/>
          </w:tcPr>
          <w:p>
            <w:pPr>
              <w:jc w:val="right"/>
              <w:ind w:right="32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660" w:type="dxa"/>
            <w:vAlign w:val="bottom"/>
            <w:vMerge w:val="restart"/>
          </w:tcPr>
          <w:p>
            <w:pPr>
              <w:ind w:left="20"/>
              <w:spacing w:after="0" w:line="122" w:lineRule="exact"/>
              <w:rPr>
                <w:sz w:val="20"/>
                <w:szCs w:val="20"/>
                <w:color w:val="auto"/>
              </w:rPr>
            </w:pPr>
            <w:r>
              <w:rPr>
                <w:rFonts w:ascii="Arial" w:cs="Arial" w:eastAsia="Arial" w:hAnsi="Arial"/>
                <w:sz w:val="14"/>
                <w:szCs w:val="14"/>
                <w:b w:val="1"/>
                <w:bCs w:val="1"/>
                <w:color w:val="auto"/>
              </w:rPr>
              <w:t>(in thousands,</w:t>
            </w:r>
          </w:p>
        </w:tc>
        <w:tc>
          <w:tcPr>
            <w:tcW w:w="8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vMerge w:val="restart"/>
          </w:tcPr>
          <w:p>
            <w:pPr>
              <w:jc w:val="center"/>
              <w:ind w:right="28"/>
              <w:spacing w:after="0" w:line="122"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3"/>
                <w:szCs w:val="3"/>
                <w:color w:val="auto"/>
              </w:rPr>
            </w:pPr>
          </w:p>
        </w:tc>
        <w:tc>
          <w:tcPr>
            <w:tcW w:w="820" w:type="dxa"/>
            <w:vAlign w:val="bottom"/>
            <w:vMerge w:val="restart"/>
          </w:tcPr>
          <w:p>
            <w:pPr>
              <w:jc w:val="right"/>
              <w:ind w:right="108"/>
              <w:spacing w:after="0" w:line="122"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3"/>
                <w:szCs w:val="3"/>
                <w:color w:val="auto"/>
              </w:rPr>
            </w:pPr>
          </w:p>
        </w:tc>
        <w:tc>
          <w:tcPr>
            <w:tcW w:w="1280" w:type="dxa"/>
            <w:vAlign w:val="bottom"/>
            <w:vMerge w:val="restart"/>
          </w:tcPr>
          <w:p>
            <w:pPr>
              <w:jc w:val="center"/>
              <w:ind w:right="48"/>
              <w:spacing w:after="0" w:line="122" w:lineRule="exact"/>
              <w:rPr>
                <w:sz w:val="20"/>
                <w:szCs w:val="20"/>
                <w:color w:val="auto"/>
              </w:rPr>
            </w:pPr>
            <w:r>
              <w:rPr>
                <w:rFonts w:ascii="Arial" w:cs="Arial" w:eastAsia="Arial" w:hAnsi="Arial"/>
                <w:sz w:val="14"/>
                <w:szCs w:val="14"/>
                <w:b w:val="1"/>
                <w:bCs w:val="1"/>
                <w:color w:val="auto"/>
              </w:rPr>
              <w:t>Comprehensive</w:t>
            </w:r>
          </w:p>
        </w:tc>
        <w:tc>
          <w:tcPr>
            <w:tcW w:w="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20" w:type="dxa"/>
            <w:vAlign w:val="bottom"/>
            <w:gridSpan w:val="2"/>
            <w:vMerge w:val="restart"/>
          </w:tcPr>
          <w:p>
            <w:pPr>
              <w:jc w:val="center"/>
              <w:spacing w:after="0" w:line="122" w:lineRule="exact"/>
              <w:rPr>
                <w:sz w:val="20"/>
                <w:szCs w:val="20"/>
                <w:color w:val="auto"/>
              </w:rPr>
            </w:pPr>
            <w:r>
              <w:rPr>
                <w:rFonts w:ascii="Arial" w:cs="Arial" w:eastAsia="Arial" w:hAnsi="Arial"/>
                <w:sz w:val="14"/>
                <w:szCs w:val="14"/>
                <w:b w:val="1"/>
                <w:bCs w:val="1"/>
                <w:color w:val="auto"/>
              </w:rPr>
              <w:t>Total Stockholders'</w:t>
            </w:r>
          </w:p>
        </w:tc>
        <w:tc>
          <w:tcPr>
            <w:tcW w:w="0" w:type="dxa"/>
            <w:vAlign w:val="bottom"/>
          </w:tcPr>
          <w:p>
            <w:pPr>
              <w:spacing w:after="0"/>
              <w:rPr>
                <w:sz w:val="1"/>
                <w:szCs w:val="1"/>
                <w:color w:val="auto"/>
              </w:rPr>
            </w:pPr>
          </w:p>
        </w:tc>
      </w:tr>
      <w:tr>
        <w:trPr>
          <w:trHeight w:val="61"/>
        </w:trPr>
        <w:tc>
          <w:tcPr>
            <w:tcW w:w="2660" w:type="dxa"/>
            <w:vAlign w:val="bottom"/>
            <w:vMerge w:val="continue"/>
          </w:tcPr>
          <w:p>
            <w:pPr>
              <w:spacing w:after="0"/>
              <w:rPr>
                <w:sz w:val="5"/>
                <w:szCs w:val="5"/>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5"/>
                <w:szCs w:val="5"/>
                <w:color w:val="auto"/>
              </w:rPr>
            </w:pPr>
          </w:p>
        </w:tc>
        <w:tc>
          <w:tcPr>
            <w:tcW w:w="8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5"/>
                <w:szCs w:val="5"/>
                <w:color w:val="auto"/>
              </w:rPr>
            </w:pPr>
          </w:p>
        </w:tc>
        <w:tc>
          <w:tcPr>
            <w:tcW w:w="8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except per share data)</w:t>
            </w:r>
          </w:p>
        </w:tc>
        <w:tc>
          <w:tcPr>
            <w:tcW w:w="8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Income (Loss)</w:t>
            </w:r>
          </w:p>
        </w:tc>
        <w:tc>
          <w:tcPr>
            <w:tcW w:w="8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August 31, 2019</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51,776</w:t>
            </w:r>
          </w:p>
        </w:tc>
        <w:tc>
          <w:tcPr>
            <w:tcW w:w="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25,888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91,185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866,886</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(20,262)</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(351,256)</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632,212</w:t>
            </w:r>
          </w:p>
        </w:tc>
        <w:tc>
          <w:tcPr>
            <w:tcW w:w="0" w:type="dxa"/>
            <w:vAlign w:val="bottom"/>
          </w:tcPr>
          <w:p>
            <w:pPr>
              <w:spacing w:after="0"/>
              <w:rPr>
                <w:sz w:val="1"/>
                <w:szCs w:val="1"/>
                <w:color w:val="auto"/>
              </w:rPr>
            </w:pPr>
          </w:p>
        </w:tc>
      </w:tr>
      <w:tr>
        <w:trPr>
          <w:trHeight w:val="153"/>
        </w:trPr>
        <w:tc>
          <w:tcPr>
            <w:tcW w:w="2660" w:type="dxa"/>
            <w:vAlign w:val="bottom"/>
          </w:tcPr>
          <w:p>
            <w:pPr>
              <w:ind w:left="140"/>
              <w:spacing w:after="0" w:line="153" w:lineRule="exact"/>
              <w:rPr>
                <w:sz w:val="20"/>
                <w:szCs w:val="20"/>
                <w:color w:val="auto"/>
              </w:rPr>
            </w:pPr>
            <w:r>
              <w:rPr>
                <w:rFonts w:ascii="Arial" w:cs="Arial" w:eastAsia="Arial" w:hAnsi="Arial"/>
                <w:sz w:val="14"/>
                <w:szCs w:val="14"/>
                <w:color w:val="auto"/>
              </w:rPr>
              <w:t>Stock-based compensation, net of</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1,574</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3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1,583</w:t>
            </w:r>
          </w:p>
        </w:tc>
        <w:tc>
          <w:tcPr>
            <w:tcW w:w="0" w:type="dxa"/>
            <w:vAlign w:val="bottom"/>
          </w:tcPr>
          <w:p>
            <w:pPr>
              <w:spacing w:after="0"/>
              <w:rPr>
                <w:sz w:val="1"/>
                <w:szCs w:val="1"/>
                <w:color w:val="auto"/>
              </w:rPr>
            </w:pPr>
          </w:p>
        </w:tc>
      </w:tr>
      <w:tr>
        <w:trPr>
          <w:trHeight w:val="105"/>
        </w:trPr>
        <w:tc>
          <w:tcPr>
            <w:tcW w:w="2660" w:type="dxa"/>
            <w:vAlign w:val="bottom"/>
            <w:vMerge w:val="restart"/>
          </w:tcPr>
          <w:p>
            <w:pPr>
              <w:ind w:left="140"/>
              <w:spacing w:after="0"/>
              <w:rPr>
                <w:sz w:val="20"/>
                <w:szCs w:val="20"/>
                <w:color w:val="auto"/>
              </w:rPr>
            </w:pPr>
            <w:r>
              <w:rPr>
                <w:rFonts w:ascii="Arial" w:cs="Arial" w:eastAsia="Arial" w:hAnsi="Arial"/>
                <w:sz w:val="14"/>
                <w:szCs w:val="14"/>
                <w:color w:val="auto"/>
              </w:rPr>
              <w:t>forfeitures</w:t>
            </w:r>
          </w:p>
        </w:tc>
        <w:tc>
          <w:tcPr>
            <w:tcW w:w="8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6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restricted stock</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(2,219)</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2,219</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660" w:type="dxa"/>
            <w:vAlign w:val="bottom"/>
          </w:tcPr>
          <w:p>
            <w:pPr>
              <w:ind w:left="140"/>
              <w:spacing w:after="0"/>
              <w:rPr>
                <w:sz w:val="20"/>
                <w:szCs w:val="20"/>
                <w:color w:val="auto"/>
              </w:rPr>
            </w:pPr>
            <w:r>
              <w:rPr>
                <w:rFonts w:ascii="Arial" w:cs="Arial" w:eastAsia="Arial" w:hAnsi="Arial"/>
                <w:sz w:val="14"/>
                <w:szCs w:val="14"/>
                <w:color w:val="auto"/>
              </w:rPr>
              <w:t>Issuance of stock for acquisition</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57,811</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2,000</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34,761</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92,572</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of common stock</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(1,663)</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(1,663)</w:t>
            </w:r>
          </w:p>
        </w:tc>
        <w:tc>
          <w:tcPr>
            <w:tcW w:w="0" w:type="dxa"/>
            <w:vAlign w:val="bottom"/>
          </w:tcPr>
          <w:p>
            <w:pPr>
              <w:spacing w:after="0"/>
              <w:rPr>
                <w:sz w:val="1"/>
                <w:szCs w:val="1"/>
                <w:color w:val="auto"/>
              </w:rPr>
            </w:pPr>
          </w:p>
        </w:tc>
      </w:tr>
      <w:tr>
        <w:trPr>
          <w:trHeight w:val="153"/>
        </w:trPr>
        <w:tc>
          <w:tcPr>
            <w:tcW w:w="2660" w:type="dxa"/>
            <w:vAlign w:val="bottom"/>
          </w:tcPr>
          <w:p>
            <w:pPr>
              <w:ind w:left="140"/>
              <w:spacing w:after="0" w:line="153" w:lineRule="exact"/>
              <w:rPr>
                <w:sz w:val="20"/>
                <w:szCs w:val="20"/>
                <w:color w:val="auto"/>
              </w:rPr>
            </w:pPr>
            <w:r>
              <w:rPr>
                <w:rFonts w:ascii="Arial" w:cs="Arial" w:eastAsia="Arial" w:hAnsi="Arial"/>
                <w:sz w:val="14"/>
                <w:szCs w:val="14"/>
                <w:color w:val="auto"/>
              </w:rPr>
              <w:t>Common stock dividends; $0.11 per</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(3,485)</w:t>
            </w:r>
          </w:p>
        </w:tc>
        <w:tc>
          <w:tcPr>
            <w:tcW w:w="140" w:type="dxa"/>
            <w:vAlign w:val="bottom"/>
          </w:tcPr>
          <w:p>
            <w:pPr>
              <w:spacing w:after="0"/>
              <w:rPr>
                <w:sz w:val="13"/>
                <w:szCs w:val="13"/>
                <w:color w:val="auto"/>
              </w:rPr>
            </w:pP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(3,485)</w:t>
            </w:r>
          </w:p>
        </w:tc>
        <w:tc>
          <w:tcPr>
            <w:tcW w:w="0" w:type="dxa"/>
            <w:vAlign w:val="bottom"/>
          </w:tcPr>
          <w:p>
            <w:pPr>
              <w:spacing w:after="0"/>
              <w:rPr>
                <w:sz w:val="1"/>
                <w:szCs w:val="1"/>
                <w:color w:val="auto"/>
              </w:rPr>
            </w:pPr>
          </w:p>
        </w:tc>
      </w:tr>
      <w:tr>
        <w:trPr>
          <w:trHeight w:val="105"/>
        </w:trPr>
        <w:tc>
          <w:tcPr>
            <w:tcW w:w="2660" w:type="dxa"/>
            <w:vAlign w:val="bottom"/>
            <w:vMerge w:val="restart"/>
          </w:tcPr>
          <w:p>
            <w:pPr>
              <w:ind w:left="140"/>
              <w:spacing w:after="0"/>
              <w:rPr>
                <w:sz w:val="20"/>
                <w:szCs w:val="20"/>
                <w:color w:val="auto"/>
              </w:rPr>
            </w:pPr>
            <w:r>
              <w:rPr>
                <w:rFonts w:ascii="Arial" w:cs="Arial" w:eastAsia="Arial" w:hAnsi="Arial"/>
                <w:sz w:val="14"/>
                <w:szCs w:val="14"/>
                <w:color w:val="auto"/>
              </w:rPr>
              <w:t>share</w:t>
            </w:r>
          </w:p>
        </w:tc>
        <w:tc>
          <w:tcPr>
            <w:tcW w:w="8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6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-635</wp:posOffset>
            </wp:positionV>
            <wp:extent cx="7029450" cy="1200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29450" cy="12001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p>
      <w:pPr>
        <w:spacing w:after="0" w:line="1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Actuarial loss, net of tax</w:t>
      </w:r>
    </w:p>
    <w:p>
      <w:pPr>
        <w:spacing w:after="0" w:line="28" w:lineRule="exact"/>
        <w:rPr>
          <w:sz w:val="20"/>
          <w:szCs w:val="20"/>
          <w:color w:val="auto"/>
        </w:rPr>
      </w:pPr>
    </w:p>
    <w:p>
      <w:pPr>
        <w:ind w:left="300"/>
        <w:spacing w:after="0"/>
        <w:rPr>
          <w:sz w:val="20"/>
          <w:szCs w:val="20"/>
          <w:color w:val="auto"/>
        </w:rPr>
      </w:pPr>
      <w:r>
        <w:rPr>
          <w:rFonts w:ascii="Arial" w:cs="Arial" w:eastAsia="Arial" w:hAnsi="Arial"/>
          <w:sz w:val="14"/>
          <w:szCs w:val="14"/>
          <w:color w:val="auto"/>
        </w:rPr>
        <w:t>Interest rate swap activity, net of tax</w:t>
      </w:r>
    </w:p>
    <w:p>
      <w:pPr>
        <w:spacing w:after="0" w:line="28" w:lineRule="exact"/>
        <w:rPr>
          <w:sz w:val="20"/>
          <w:szCs w:val="20"/>
          <w:color w:val="auto"/>
        </w:rPr>
      </w:pPr>
    </w:p>
    <w:p>
      <w:pPr>
        <w:ind w:left="300"/>
        <w:spacing w:after="0" w:line="219" w:lineRule="auto"/>
        <w:rPr>
          <w:sz w:val="20"/>
          <w:szCs w:val="20"/>
          <w:color w:val="auto"/>
        </w:rPr>
      </w:pPr>
      <w:r>
        <w:rPr>
          <w:rFonts w:ascii="Arial" w:cs="Arial" w:eastAsia="Arial" w:hAnsi="Arial"/>
          <w:sz w:val="14"/>
          <w:szCs w:val="14"/>
          <w:color w:val="auto"/>
        </w:rPr>
        <w:t>Equity component of convertible senior notes and offering costs, net of tax of $20,915</w:t>
      </w:r>
    </w:p>
    <w:p>
      <w:pPr>
        <w:spacing w:after="0" w:line="18" w:lineRule="exact"/>
        <w:rPr>
          <w:sz w:val="20"/>
          <w:szCs w:val="20"/>
          <w:color w:val="auto"/>
        </w:rPr>
      </w:pPr>
    </w:p>
    <w:p>
      <w:pPr>
        <w:ind w:left="300" w:right="80"/>
        <w:spacing w:after="0" w:line="229" w:lineRule="auto"/>
        <w:rPr>
          <w:sz w:val="20"/>
          <w:szCs w:val="20"/>
          <w:color w:val="auto"/>
        </w:rPr>
      </w:pPr>
      <w:r>
        <w:rPr>
          <w:rFonts w:ascii="Arial" w:cs="Arial" w:eastAsia="Arial" w:hAnsi="Arial"/>
          <w:sz w:val="14"/>
          <w:szCs w:val="14"/>
          <w:color w:val="auto"/>
        </w:rPr>
        <w:t>Convertible note hedge purchase, net of tax of $17,417</w:t>
      </w:r>
    </w:p>
    <w:p>
      <w:pPr>
        <w:spacing w:after="0" w:line="1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Warrant transactions</w:t>
      </w:r>
    </w:p>
    <w:p>
      <w:pPr>
        <w:spacing w:after="0" w:line="28" w:lineRule="exact"/>
        <w:rPr>
          <w:sz w:val="20"/>
          <w:szCs w:val="20"/>
          <w:color w:val="auto"/>
        </w:rPr>
      </w:pPr>
    </w:p>
    <w:p>
      <w:pPr>
        <w:ind w:left="300"/>
        <w:spacing w:after="0"/>
        <w:rPr>
          <w:sz w:val="20"/>
          <w:szCs w:val="20"/>
          <w:color w:val="auto"/>
        </w:rPr>
      </w:pPr>
      <w:r>
        <w:rPr>
          <w:rFonts w:ascii="Arial" w:cs="Arial" w:eastAsia="Arial" w:hAnsi="Arial"/>
          <w:sz w:val="14"/>
          <w:szCs w:val="14"/>
          <w:color w:val="auto"/>
        </w:rPr>
        <w:t>Net income</w:t>
      </w:r>
    </w:p>
    <w:p>
      <w:pPr>
        <w:spacing w:after="0" w:line="6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Balances at November 30, 2019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8</w:t>
            </w:r>
          </w:p>
        </w:tc>
        <w:tc>
          <w:tcPr>
            <w:tcW w:w="700" w:type="dxa"/>
            <w:vAlign w:val="bottom"/>
          </w:tcPr>
          <w:p>
            <w:pPr>
              <w:ind w:left="5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89"/>
        </w:trPr>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(68)</w:t>
            </w:r>
          </w:p>
        </w:tc>
        <w:tc>
          <w:tcPr>
            <w:tcW w:w="700" w:type="dxa"/>
            <w:vAlign w:val="bottom"/>
          </w:tcPr>
          <w:p>
            <w:pPr>
              <w:ind w:left="5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459"/>
        </w:trPr>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61,555</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24"/>
                <w:szCs w:val="24"/>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ind w:left="5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61,555</w:t>
            </w:r>
          </w:p>
        </w:tc>
      </w:tr>
      <w:tr>
        <w:trPr>
          <w:trHeight w:val="324"/>
        </w:trPr>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(53,383)</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24"/>
                <w:szCs w:val="24"/>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ind w:left="5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(53,383)</w:t>
            </w:r>
          </w:p>
        </w:tc>
      </w:tr>
      <w:tr>
        <w:trPr>
          <w:trHeight w:val="189"/>
        </w:trPr>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42,210</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6"/>
                <w:szCs w:val="16"/>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ind w:left="5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42,210</w:t>
            </w:r>
          </w:p>
        </w:tc>
      </w:tr>
      <w:tr>
        <w:trPr>
          <w:trHeight w:val="187"/>
        </w:trPr>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14,068</w:t>
            </w: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14,068</w:t>
            </w:r>
          </w:p>
        </w:tc>
      </w:tr>
      <w:tr>
        <w:trPr>
          <w:trHeight w:val="183"/>
        </w:trPr>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51,776</w:t>
            </w:r>
          </w:p>
        </w:tc>
        <w:tc>
          <w:tcPr>
            <w:tcW w:w="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25,888</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198,733</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877,469</w:t>
            </w:r>
          </w:p>
        </w:tc>
        <w:tc>
          <w:tcPr>
            <w:tcW w:w="6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(551)</w:t>
            </w: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(18,177)</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(315,930)</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785,609</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-899795</wp:posOffset>
            </wp:positionV>
            <wp:extent cx="7029450" cy="291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29450" cy="291465"/>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-402590</wp:posOffset>
            </wp:positionV>
            <wp:extent cx="7029450" cy="120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29450" cy="120015"/>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-162560</wp:posOffset>
            </wp:positionV>
            <wp:extent cx="702945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29450" cy="146050"/>
                    </a:xfrm>
                    <a:prstGeom prst="rect">
                      <a:avLst/>
                    </a:prstGeom>
                    <a:noFill/>
                  </pic:spPr>
                </pic:pic>
              </a:graphicData>
            </a:graphic>
          </wp:anchor>
        </w:drawing>
      </w:r>
    </w:p>
    <w:p>
      <w:pPr>
        <w:spacing w:after="0" w:line="110" w:lineRule="exact"/>
        <w:rPr>
          <w:sz w:val="20"/>
          <w:szCs w:val="20"/>
          <w:color w:val="auto"/>
        </w:rPr>
      </w:pPr>
    </w:p>
    <w:p>
      <w:pPr>
        <w:sectPr>
          <w:pgSz w:w="11900" w:h="16838" w:orient="portrait"/>
          <w:cols w:equalWidth="0" w:num="2">
            <w:col w:w="2780" w:space="40"/>
            <w:col w:w="8420"/>
          </w:cols>
          <w:pgMar w:left="320" w:top="141" w:right="339" w:bottom="1440" w:gutter="0" w:footer="0" w:header="0"/>
          <w:type w:val="continuous"/>
        </w:sectPr>
      </w:pPr>
    </w:p>
    <w:p>
      <w:pPr>
        <w:ind w:left="180"/>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Basis of Presentation</w:t>
      </w:r>
    </w:p>
    <w:p>
      <w:pPr>
        <w:spacing w:after="0" w:line="268" w:lineRule="exact"/>
        <w:rPr>
          <w:sz w:val="20"/>
          <w:szCs w:val="20"/>
          <w:color w:val="auto"/>
        </w:rPr>
      </w:pPr>
    </w:p>
    <w:p>
      <w:pPr>
        <w:ind w:right="860"/>
        <w:spacing w:after="0" w:line="260" w:lineRule="auto"/>
        <w:rPr>
          <w:sz w:val="20"/>
          <w:szCs w:val="20"/>
          <w:color w:val="auto"/>
        </w:rPr>
      </w:pPr>
      <w:r>
        <w:rPr>
          <w:rFonts w:ascii="Arial" w:cs="Arial" w:eastAsia="Arial" w:hAnsi="Arial"/>
          <w:sz w:val="16"/>
          <w:szCs w:val="16"/>
          <w:color w:val="auto"/>
        </w:rPr>
        <w:t>Unless the context otherwise requires, the use of the terms "Winnebago," "Company," "WGO," "we," "us," and "our" in these Notes to Condensed Consolidated Financial Statements refers to Winnebago Industries, Inc. and its wholly-owned subsidiaries.</w:t>
      </w:r>
    </w:p>
    <w:p>
      <w:pPr>
        <w:spacing w:after="0" w:line="222"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In the opinion of management, the accompanying Condensed Consolidated Financial Statements contain all adjustments necessary for a fair presentation as prescribed by accounting principles generally accepted in the United States (“GAAP”). All adjustments were comprised of normal recurring adjustments, except as noted in these Notes to Condensed Consolidated Financial Statements.</w:t>
      </w:r>
    </w:p>
    <w:p>
      <w:pPr>
        <w:spacing w:after="0" w:line="22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Interim results are not necessarily indicative of the results to be expected for the full year. The interim Condensed Consolidated Financial Statements included in this Quarterly Report on Form 10-Q should be read in conjunction with the audited Consolidated Financial Statements included in the Company's Annual Report on Form 10-K for the fiscal year ended August 29, 2020.</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Period</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Company follows a 52-/53-week fiscal year, ending the last Saturday in August. Fiscal 2021 and Fiscal 2020 are both a 52-week year.</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w:t>
      </w:r>
    </w:p>
    <w:p>
      <w:pPr>
        <w:spacing w:after="0" w:line="133"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Cash equivalents include all investments with original maturities of three months or less or which are readily convertible into known amounts of cash and are not legally restricted. Accounts at each banking institution are insured by the Federal Deposit Insurance Corporation up to $250,000, while the remaining balances are uninsured.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Events</w:t>
      </w:r>
    </w:p>
    <w:p>
      <w:pPr>
        <w:spacing w:after="0" w:line="133" w:lineRule="exact"/>
        <w:rPr>
          <w:sz w:val="20"/>
          <w:szCs w:val="20"/>
          <w:color w:val="auto"/>
        </w:rPr>
      </w:pPr>
    </w:p>
    <w:p>
      <w:pPr>
        <w:ind w:right="740"/>
        <w:spacing w:after="0" w:line="260" w:lineRule="auto"/>
        <w:rPr>
          <w:sz w:val="20"/>
          <w:szCs w:val="20"/>
          <w:color w:val="auto"/>
        </w:rPr>
      </w:pPr>
      <w:r>
        <w:rPr>
          <w:rFonts w:ascii="Arial" w:cs="Arial" w:eastAsia="Arial" w:hAnsi="Arial"/>
          <w:sz w:val="16"/>
          <w:szCs w:val="16"/>
          <w:color w:val="auto"/>
        </w:rPr>
        <w:t>In preparing the accompanying unaudited Condensed Consolidated Financial Statements, the Company evaluated subsequent events for potential recognition and disclosure through the date of this filing. There were no material subsequent events, except for the item noted below.</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w:t>
      </w:r>
    </w:p>
    <w:p>
      <w:pPr>
        <w:spacing w:after="0" w:line="21"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On December 16, 2020, the Company's Board of Directors declared a quarterly cash dividend of $0.12 per share payable on January 27, 2021 to common stockholders of record at the close of business on January 13, 2021.</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Amendment to Articles of Incorporation</w:t>
      </w:r>
    </w:p>
    <w:p>
      <w:pPr>
        <w:spacing w:after="0" w:line="8" w:lineRule="exact"/>
        <w:rPr>
          <w:sz w:val="20"/>
          <w:szCs w:val="20"/>
          <w:color w:val="auto"/>
        </w:rPr>
      </w:pPr>
    </w:p>
    <w:p>
      <w:pPr>
        <w:spacing w:after="0" w:line="235" w:lineRule="auto"/>
        <w:rPr>
          <w:sz w:val="20"/>
          <w:szCs w:val="20"/>
          <w:color w:val="auto"/>
        </w:rPr>
      </w:pPr>
      <w:r>
        <w:rPr>
          <w:rFonts w:ascii="Arial" w:cs="Arial" w:eastAsia="Arial" w:hAnsi="Arial"/>
          <w:sz w:val="16"/>
          <w:szCs w:val="16"/>
          <w:color w:val="auto"/>
        </w:rPr>
        <w:t>On October 14, 2020, the Board adopted, subject to shareholder approval, an amendment to the Company’s Articles of Incorporation to increase the number of authorized shares of common stock, par value $0.50 per share, by 60 million shares to a total of 120 million shares. This amendment was approved by the Company’s shareholders at the 2020 Annual Meeting of Shareholders on December 15, 2020. The amendment, along with an amended and restated Articles of Incorporation, were made effective upon filing with the Secretary of State of the State of Iowa on December 16, 2020.</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Coronavirus (COVID-19) pandemic</w:t>
      </w:r>
    </w:p>
    <w:p>
      <w:pPr>
        <w:spacing w:after="0" w:line="120" w:lineRule="exact"/>
        <w:rPr>
          <w:sz w:val="20"/>
          <w:szCs w:val="20"/>
          <w:color w:val="auto"/>
        </w:rPr>
      </w:pPr>
    </w:p>
    <w:p>
      <w:pPr>
        <w:ind w:right="40"/>
        <w:spacing w:after="0" w:line="232" w:lineRule="auto"/>
        <w:rPr>
          <w:sz w:val="20"/>
          <w:szCs w:val="20"/>
          <w:color w:val="auto"/>
        </w:rPr>
      </w:pPr>
      <w:r>
        <w:rPr>
          <w:rFonts w:ascii="Arial" w:cs="Arial" w:eastAsia="Arial" w:hAnsi="Arial"/>
          <w:sz w:val="16"/>
          <w:szCs w:val="16"/>
          <w:color w:val="auto"/>
        </w:rPr>
        <w:t>The Company is closely monitoring the impact of the novel coronavirus, or COVID-19, on all aspects of its business. COVID-19 was declared a global pandemic by the World Health Organization on March 11, 2020 and the President of the United States declared the COVID-19 outbreak a national emergency on March 13, 2020. The Coronavirus Aid, Relief, and Economic Security (CARES) Act was signed into law on March 27, 2020. The Company is taking advantage of the employer payroll tax (FICA) deferral offered by the CARES Act, which allows the Company to defer the payment of employer payroll taxes for the period from March 27, 2020 to December 31, 2020. The deferred FICA liability as of November 28, 2020 was $1.2 million and will be payable in equal installments at December 2021 and December 2022. Additionally, the Company took advantage of a tax credit granted to companies under the CARES Act who continued to pay their employees when operations were fully or partially suspended. The refundable tax credit through the end of the third quarter of Fiscal 2020, reflected in cost of goods sold and within other current assets, is approximately $4.0 million and will be received in Fiscal 2021.</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Adopted Accounting Pronouncements</w:t>
      </w:r>
    </w:p>
    <w:p>
      <w:pPr>
        <w:spacing w:after="0" w:line="104"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 xml:space="preserve">The Company adopted Accounting Standards Codification ("ASC") Topic 326, </w:t>
      </w:r>
      <w:r>
        <w:rPr>
          <w:rFonts w:ascii="Arial" w:cs="Arial" w:eastAsia="Arial" w:hAnsi="Arial"/>
          <w:sz w:val="16"/>
          <w:szCs w:val="16"/>
          <w:i w:val="1"/>
          <w:iCs w:val="1"/>
          <w:color w:val="auto"/>
        </w:rPr>
        <w:t>Financial Instruments—Credit Losses</w:t>
      </w:r>
      <w:r>
        <w:rPr>
          <w:rFonts w:ascii="Arial" w:cs="Arial" w:eastAsia="Arial" w:hAnsi="Arial"/>
          <w:sz w:val="16"/>
          <w:szCs w:val="16"/>
          <w:color w:val="auto"/>
        </w:rPr>
        <w:t xml:space="preserve"> (“Topic 326”), effective August 30, 2020. The new impairment model (known as the current expected credit loss ("CECL") model) is based on expected losses rather than incurred losses. Topic 326 is applicable to financial assets measured at amortized cost, such as accounts receivable and deposits. It requires historical loss data to be adjusted to reflect changes in asset-specific considerations, current conditions and reasonable and supportable forecasts of future economic conditions. The expected credit losses are adjusted each period for changes in expected lifetime credit losses. The Company adopted Topic 326 using the modified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40"/>
        <w:spacing w:after="0" w:line="235" w:lineRule="auto"/>
        <w:rPr>
          <w:sz w:val="20"/>
          <w:szCs w:val="20"/>
          <w:color w:val="auto"/>
        </w:rPr>
      </w:pPr>
      <w:r>
        <w:rPr>
          <w:rFonts w:ascii="Arial" w:cs="Arial" w:eastAsia="Arial" w:hAnsi="Arial"/>
          <w:sz w:val="16"/>
          <w:szCs w:val="16"/>
          <w:color w:val="auto"/>
        </w:rPr>
        <w:t>retrospective transition approach, which involves recognizing the cumulative effect of initial adoption of Topic 326 as an adjustment to its opening retained earnings as of August 30, 2020. Therefore, comparative information prior to the adoption date has not been adjusted. As a result of adoption of Topic 326, the Company did not recognize an incremental allowance for credit losses on its accounts receivable for the period ended November 28, 2020. The adoption of this standard did not materially impact the Company's Condensed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04" w:lineRule="exact"/>
        <w:rPr>
          <w:sz w:val="20"/>
          <w:szCs w:val="20"/>
          <w:color w:val="auto"/>
        </w:rPr>
      </w:pPr>
    </w:p>
    <w:p>
      <w:pPr>
        <w:ind w:right="60"/>
        <w:spacing w:after="0"/>
        <w:rPr>
          <w:sz w:val="20"/>
          <w:szCs w:val="20"/>
          <w:color w:val="auto"/>
        </w:rPr>
      </w:pPr>
      <w:r>
        <w:rPr>
          <w:rFonts w:ascii="Arial" w:cs="Arial" w:eastAsia="Arial" w:hAnsi="Arial"/>
          <w:sz w:val="16"/>
          <w:szCs w:val="16"/>
          <w:color w:val="auto"/>
        </w:rPr>
        <w:t xml:space="preserve">In August 2020, the Financial Accounting Standards Board ("FASB") issued Accounting Standards Update ("ASU") 2020-06, </w:t>
      </w:r>
      <w:r>
        <w:rPr>
          <w:rFonts w:ascii="Arial" w:cs="Arial" w:eastAsia="Arial" w:hAnsi="Arial"/>
          <w:sz w:val="16"/>
          <w:szCs w:val="16"/>
          <w:i w:val="1"/>
          <w:iCs w:val="1"/>
          <w:color w:val="auto"/>
        </w:rPr>
        <w:t>Debt - Debt with Conversion</w:t>
      </w:r>
      <w:r>
        <w:rPr>
          <w:rFonts w:ascii="Arial" w:cs="Arial" w:eastAsia="Arial" w:hAnsi="Arial"/>
          <w:sz w:val="16"/>
          <w:szCs w:val="16"/>
          <w:color w:val="auto"/>
        </w:rPr>
        <w:t xml:space="preserve"> </w:t>
      </w:r>
      <w:r>
        <w:rPr>
          <w:rFonts w:ascii="Arial" w:cs="Arial" w:eastAsia="Arial" w:hAnsi="Arial"/>
          <w:sz w:val="16"/>
          <w:szCs w:val="16"/>
          <w:i w:val="1"/>
          <w:iCs w:val="1"/>
          <w:color w:val="auto"/>
        </w:rPr>
        <w:t>and Other Options (Subtopic 470-20) and Derivatives and Hedging - Contracts in Entity's Own Equity (Subtopic 815-40)</w:t>
      </w:r>
      <w:r>
        <w:rPr>
          <w:rFonts w:ascii="Arial" w:cs="Arial" w:eastAsia="Arial" w:hAnsi="Arial"/>
          <w:sz w:val="16"/>
          <w:szCs w:val="16"/>
          <w:color w:val="auto"/>
        </w:rPr>
        <w:t>. ASU 2020-06 reduces the number</w:t>
      </w:r>
      <w:r>
        <w:rPr>
          <w:rFonts w:ascii="Arial" w:cs="Arial" w:eastAsia="Arial" w:hAnsi="Arial"/>
          <w:sz w:val="16"/>
          <w:szCs w:val="16"/>
          <w:i w:val="1"/>
          <w:iCs w:val="1"/>
          <w:color w:val="auto"/>
        </w:rPr>
        <w:t xml:space="preserve"> </w:t>
      </w:r>
      <w:r>
        <w:rPr>
          <w:rFonts w:ascii="Arial" w:cs="Arial" w:eastAsia="Arial" w:hAnsi="Arial"/>
          <w:sz w:val="16"/>
          <w:szCs w:val="16"/>
          <w:color w:val="auto"/>
        </w:rPr>
        <w:t>of models used to account for convertible instruments, amends diluted EPS calculations for convertible instruments, and amends the requirements for a contract (or embedded derivative) that is potentially settled in an entity's own shares to be classified in equity. The amendments add certain disclosure requirements to increase transparency and decision-usefulness about a convertible instrument's terms and features. Under the amendment, the Company must use the if-converted method for including convertible instruments in diluted EPS as opposed to the treasury stock method. ASU 2020-06 is effective for annual reporting periods beginning after December 15, 2021 (the Company's Fiscal 2023). Early adoption is allowed under the standard with either a modified retrospective or full retrospective method. The Company expects to adopt the new guidance in the first quarter of Fiscal 2023. While it will change the Company's diluted EPS reporting, the extent to which the standard will have a material impact on the Company's consolidated financial statements is uncertain at this time.</w:t>
      </w:r>
    </w:p>
    <w:p>
      <w:pPr>
        <w:spacing w:after="0" w:line="342"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Effects of Reference Rate Reform on Financial Reporting</w:t>
      </w:r>
      <w:r>
        <w:rPr>
          <w:rFonts w:ascii="Arial" w:cs="Arial" w:eastAsia="Arial" w:hAnsi="Arial"/>
          <w:sz w:val="16"/>
          <w:szCs w:val="16"/>
          <w:color w:val="auto"/>
        </w:rPr>
        <w:t>. ASU 2020-04 provides practical expedients and exceptions for applying GAAP to contracts, hedging relationships, and other transactions affected by reference rate reform if certain criteria are met. The expedients and exceptions provided by the amendments in this update apply only to contracts, hedging relationships, and other transactions that reference the London interbank offered rate (“LIBOR”) or another reference rate expected to be discontinued as a result of reference rate reform. These amendments are not applicable to contract modifications made and hedging relationships entered into or evaluated after December 31, 2022. ASU No. 2020-04 is effective as of March 12, 2020 through December 31, 2022 and may be applied to contract modifications and hedging relationships from the beginning of an interim period that includes or is subsequent to March 12, 2020. The Company will adopt this standard when LIBOR is discontinued, and does not expect a material impact to its consolidated financial statements.</w:t>
      </w:r>
    </w:p>
    <w:p>
      <w:pPr>
        <w:spacing w:after="0" w:line="225" w:lineRule="exact"/>
        <w:rPr>
          <w:sz w:val="20"/>
          <w:szCs w:val="20"/>
          <w:color w:val="auto"/>
        </w:rPr>
      </w:pPr>
    </w:p>
    <w:p>
      <w:pPr>
        <w:ind w:right="180"/>
        <w:spacing w:after="0" w:line="258"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ASU 2019-12 simplifies the accounting for income taxes by removing certain exceptions to the general principles of Topic 740. The standard is effective for annual reporting periods beginning after December 15, 2020 (the Company's Fiscal 2022), including interim periods within those annual reporting periods. The Company expects to adopt the new guidance in the first quarter of Fiscal 2022, and does not expect a material impact to its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Business Combinations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Newmar Corporation</w:t>
      </w:r>
    </w:p>
    <w:p>
      <w:pPr>
        <w:spacing w:after="0" w:line="133"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On November 8, 2019, pursuant to the terms of the Stock Purchase Agreement dated September 15, 2019 (the "Purchase Agreement"), Winnebago completed the acquisition of 100% of Newmar Corporation, Dutch Real Estate Corp., New-Way Transport, and New-Serv (collectively “Newmar”). Newmar is a leading manufacturer of Class A and Super C motorized recreation vehicles that are sold through an established network of independent authorized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00" w:type="dxa"/>
            <w:vAlign w:val="bottom"/>
          </w:tcPr>
          <w:p>
            <w:pPr>
              <w:spacing w:after="0"/>
              <w:rPr>
                <w:sz w:val="20"/>
                <w:szCs w:val="20"/>
                <w:color w:val="auto"/>
              </w:rPr>
            </w:pPr>
            <w:r>
              <w:rPr>
                <w:rFonts w:ascii="Arial" w:cs="Arial" w:eastAsia="Arial" w:hAnsi="Arial"/>
                <w:sz w:val="16"/>
                <w:szCs w:val="16"/>
                <w:color w:val="auto"/>
              </w:rPr>
              <w:t>dealers throughout North America.</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378"/>
        </w:trPr>
        <w:tc>
          <w:tcPr>
            <w:tcW w:w="9600" w:type="dxa"/>
            <w:vAlign w:val="bottom"/>
          </w:tcPr>
          <w:p>
            <w:pPr>
              <w:spacing w:after="0"/>
              <w:rPr>
                <w:sz w:val="20"/>
                <w:szCs w:val="20"/>
                <w:color w:val="auto"/>
              </w:rPr>
            </w:pPr>
            <w:r>
              <w:rPr>
                <w:rFonts w:ascii="Arial" w:cs="Arial" w:eastAsia="Arial" w:hAnsi="Arial"/>
                <w:sz w:val="16"/>
                <w:szCs w:val="16"/>
                <w:color w:val="auto"/>
              </w:rPr>
              <w:t>The following table summarizes the total consideration paid for Newmar as stipulated in the Purchase Agreement:</w:t>
            </w: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75"/>
        </w:trPr>
        <w:tc>
          <w:tcPr>
            <w:tcW w:w="9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November 8, 2019</w:t>
            </w:r>
          </w:p>
        </w:tc>
      </w:tr>
      <w:tr>
        <w:trPr>
          <w:trHeight w:val="213"/>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264,433</w:t>
            </w:r>
          </w:p>
        </w:tc>
      </w:tr>
      <w:tr>
        <w:trPr>
          <w:trHeight w:val="213"/>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Winnebago Industries shares: 2,000,000 at $46.29</w:t>
            </w: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92,572</w:t>
            </w:r>
          </w:p>
        </w:tc>
      </w:tr>
      <w:tr>
        <w:trPr>
          <w:trHeight w:val="238"/>
        </w:trPr>
        <w:tc>
          <w:tcPr>
            <w:tcW w:w="9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357,005</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 xml:space="preserve">The cash portion of the purchase price of the acquisition and certain transaction expenses were funded through the private placement of convertible senior notes (as further described in Note 9, </w:t>
      </w:r>
      <w:r>
        <w:rPr>
          <w:rFonts w:ascii="Arial" w:cs="Arial" w:eastAsia="Arial" w:hAnsi="Arial"/>
          <w:sz w:val="16"/>
          <w:szCs w:val="16"/>
          <w:i w:val="1"/>
          <w:iCs w:val="1"/>
          <w:color w:val="auto"/>
        </w:rPr>
        <w:t>Long-Term Debt</w:t>
      </w:r>
      <w:r>
        <w:rPr>
          <w:rFonts w:ascii="Arial" w:cs="Arial" w:eastAsia="Arial" w:hAnsi="Arial"/>
          <w:sz w:val="16"/>
          <w:szCs w:val="16"/>
          <w:color w:val="auto"/>
        </w:rPr>
        <w:t>) and cash on hand. The stock consideration was discounted by 7.0% due to lack of marketability because of the one year lock-up restrictions.</w:t>
      </w:r>
    </w:p>
    <w:p>
      <w:pPr>
        <w:spacing w:after="0" w:line="228"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total purchase price was allocated to the net tangible and intangible assets of Newmar acquired, based on their fair values at the date of the acquisition. The Company believes that the information provides a reasonable basis for estimating the fair values. During the third quarter of Fiscal 2020, the Company finalized the valuation and completed the purchase price allocation, which included purchase price adjustments of $3.3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5"/>
        </w:trPr>
        <w:tc>
          <w:tcPr>
            <w:tcW w:w="9600" w:type="dxa"/>
            <w:vAlign w:val="bottom"/>
          </w:tcPr>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891"/>
        </w:trPr>
        <w:tc>
          <w:tcPr>
            <w:tcW w:w="9600" w:type="dxa"/>
            <w:vAlign w:val="bottom"/>
          </w:tcPr>
          <w:p>
            <w:pPr>
              <w:spacing w:after="0"/>
              <w:rPr>
                <w:sz w:val="20"/>
                <w:szCs w:val="20"/>
                <w:color w:val="auto"/>
              </w:rPr>
            </w:pPr>
            <w:r>
              <w:rPr>
                <w:rFonts w:ascii="Arial" w:cs="Arial" w:eastAsia="Arial" w:hAnsi="Arial"/>
                <w:sz w:val="16"/>
                <w:szCs w:val="16"/>
                <w:color w:val="auto"/>
              </w:rPr>
              <w:t>The following table summarizes the fair values assigned to the Newmar net assets acquired and the determination of net assets:</w:t>
            </w: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33"/>
        </w:trPr>
        <w:tc>
          <w:tcPr>
            <w:tcW w:w="9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November 8, 2019</w:t>
            </w:r>
          </w:p>
        </w:tc>
      </w:tr>
      <w:tr>
        <w:trPr>
          <w:trHeight w:val="212"/>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3,469</w:t>
            </w:r>
          </w:p>
        </w:tc>
      </w:tr>
      <w:tr>
        <w:trPr>
          <w:trHeight w:val="213"/>
        </w:trPr>
        <w:tc>
          <w:tcPr>
            <w:tcW w:w="960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37,147</w:t>
            </w:r>
          </w:p>
        </w:tc>
      </w:tr>
      <w:tr>
        <w:trPr>
          <w:trHeight w:val="219"/>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82,621</w:t>
            </w:r>
          </w:p>
        </w:tc>
      </w:tr>
      <w:tr>
        <w:trPr>
          <w:trHeight w:val="213"/>
        </w:trPr>
        <w:tc>
          <w:tcPr>
            <w:tcW w:w="9600" w:type="dxa"/>
            <w:vAlign w:val="bottom"/>
          </w:tcPr>
          <w:p>
            <w:pPr>
              <w:ind w:left="20"/>
              <w:spacing w:after="0"/>
              <w:rPr>
                <w:sz w:val="20"/>
                <w:szCs w:val="20"/>
                <w:color w:val="auto"/>
              </w:rPr>
            </w:pPr>
            <w:r>
              <w:rPr>
                <w:rFonts w:ascii="Arial" w:cs="Arial" w:eastAsia="Arial" w:hAnsi="Arial"/>
                <w:sz w:val="16"/>
                <w:szCs w:val="16"/>
                <w:color w:val="auto"/>
              </w:rPr>
              <w:t>Prepaid expenses and other assets</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9,830</w:t>
            </w:r>
          </w:p>
        </w:tc>
      </w:tr>
      <w:tr>
        <w:trPr>
          <w:trHeight w:val="219"/>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31,143</w:t>
            </w:r>
          </w:p>
        </w:tc>
      </w:tr>
      <w:tr>
        <w:trPr>
          <w:trHeight w:val="213"/>
        </w:trPr>
        <w:tc>
          <w:tcPr>
            <w:tcW w:w="9600" w:type="dxa"/>
            <w:vAlign w:val="bottom"/>
          </w:tcPr>
          <w:p>
            <w:pPr>
              <w:ind w:left="20"/>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73,127</w:t>
            </w:r>
          </w:p>
        </w:tc>
      </w:tr>
      <w:tr>
        <w:trPr>
          <w:trHeight w:val="216"/>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w:t>
            </w: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172,100</w:t>
            </w:r>
          </w:p>
        </w:tc>
      </w:tr>
      <w:tr>
        <w:trPr>
          <w:trHeight w:val="209"/>
        </w:trPr>
        <w:tc>
          <w:tcPr>
            <w:tcW w:w="9600" w:type="dxa"/>
            <w:vAlign w:val="bottom"/>
          </w:tcPr>
          <w:p>
            <w:pPr>
              <w:ind w:left="140"/>
              <w:spacing w:after="0"/>
              <w:rPr>
                <w:sz w:val="20"/>
                <w:szCs w:val="20"/>
                <w:color w:val="auto"/>
              </w:rPr>
            </w:pPr>
            <w:r>
              <w:rPr>
                <w:rFonts w:ascii="Arial" w:cs="Arial" w:eastAsia="Arial" w:hAnsi="Arial"/>
                <w:sz w:val="16"/>
                <w:szCs w:val="16"/>
                <w:color w:val="auto"/>
              </w:rPr>
              <w:t>Total assets acquired</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409,437</w:t>
            </w:r>
          </w:p>
        </w:tc>
      </w:tr>
      <w:tr>
        <w:trPr>
          <w:trHeight w:val="219"/>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14,023</w:t>
            </w:r>
          </w:p>
        </w:tc>
      </w:tr>
      <w:tr>
        <w:trPr>
          <w:trHeight w:val="213"/>
        </w:trPr>
        <w:tc>
          <w:tcPr>
            <w:tcW w:w="9600" w:type="dxa"/>
            <w:vAlign w:val="bottom"/>
          </w:tcPr>
          <w:p>
            <w:pPr>
              <w:ind w:left="20"/>
              <w:spacing w:after="0"/>
              <w:rPr>
                <w:sz w:val="20"/>
                <w:szCs w:val="20"/>
                <w:color w:val="auto"/>
              </w:rPr>
            </w:pPr>
            <w:r>
              <w:rPr>
                <w:rFonts w:ascii="Arial" w:cs="Arial" w:eastAsia="Arial" w:hAnsi="Arial"/>
                <w:sz w:val="16"/>
                <w:szCs w:val="16"/>
                <w:color w:val="auto"/>
              </w:rPr>
              <w:t>Accrued compensation</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4,306</w:t>
            </w:r>
          </w:p>
        </w:tc>
      </w:tr>
      <w:tr>
        <w:trPr>
          <w:trHeight w:val="219"/>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 warranties</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15,147</w:t>
            </w:r>
          </w:p>
        </w:tc>
      </w:tr>
      <w:tr>
        <w:trPr>
          <w:trHeight w:val="213"/>
        </w:trPr>
        <w:tc>
          <w:tcPr>
            <w:tcW w:w="9600" w:type="dxa"/>
            <w:vAlign w:val="bottom"/>
          </w:tcPr>
          <w:p>
            <w:pPr>
              <w:ind w:left="20"/>
              <w:spacing w:after="0"/>
              <w:rPr>
                <w:sz w:val="20"/>
                <w:szCs w:val="20"/>
                <w:color w:val="auto"/>
              </w:rPr>
            </w:pPr>
            <w:r>
              <w:rPr>
                <w:rFonts w:ascii="Arial" w:cs="Arial" w:eastAsia="Arial" w:hAnsi="Arial"/>
                <w:sz w:val="16"/>
                <w:szCs w:val="16"/>
                <w:color w:val="auto"/>
              </w:rPr>
              <w:t>Promotional</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6,351</w:t>
            </w:r>
          </w:p>
        </w:tc>
      </w:tr>
      <w:tr>
        <w:trPr>
          <w:trHeight w:val="219"/>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11,637</w:t>
            </w:r>
          </w:p>
        </w:tc>
      </w:tr>
      <w:tr>
        <w:trPr>
          <w:trHeight w:val="213"/>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tax liabilities</w:t>
            </w: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968</w:t>
            </w:r>
          </w:p>
        </w:tc>
      </w:tr>
      <w:tr>
        <w:trPr>
          <w:trHeight w:val="210"/>
        </w:trPr>
        <w:tc>
          <w:tcPr>
            <w:tcW w:w="9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liabilities assumed</w:t>
            </w: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52,432</w:t>
            </w:r>
          </w:p>
        </w:tc>
      </w:tr>
      <w:tr>
        <w:trPr>
          <w:trHeight w:val="213"/>
        </w:trPr>
        <w:tc>
          <w:tcPr>
            <w:tcW w:w="9600" w:type="dxa"/>
            <w:vAlign w:val="bottom"/>
          </w:tcPr>
          <w:p>
            <w:pPr>
              <w:ind w:left="20"/>
              <w:spacing w:after="0"/>
              <w:rPr>
                <w:sz w:val="20"/>
                <w:szCs w:val="20"/>
                <w:color w:val="auto"/>
              </w:rPr>
            </w:pPr>
            <w:r>
              <w:rPr>
                <w:rFonts w:ascii="Arial" w:cs="Arial" w:eastAsia="Arial" w:hAnsi="Arial"/>
                <w:sz w:val="16"/>
                <w:szCs w:val="16"/>
                <w:color w:val="auto"/>
              </w:rPr>
              <w:t>Total purchase price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357,005</w:t>
            </w:r>
          </w:p>
        </w:tc>
      </w:tr>
      <w:tr>
        <w:trPr>
          <w:trHeight w:val="20"/>
        </w:trPr>
        <w:tc>
          <w:tcPr>
            <w:tcW w:w="9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The goodwill, recognized in the Company's Motorhome segment, is primarily attributable to the value of the workforce, reputation of founders, customer and dealer growth opportunities, and expected synergies. Key areas of cost synergies include increased purchasing power for raw materials and supply chain consolidation. The full amount of goodwill is deductible for tax purposes.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80" w:type="dxa"/>
            <w:vAlign w:val="bottom"/>
          </w:tcPr>
          <w:p>
            <w:pPr>
              <w:spacing w:after="0"/>
              <w:rPr>
                <w:sz w:val="20"/>
                <w:szCs w:val="20"/>
                <w:color w:val="auto"/>
              </w:rPr>
            </w:pPr>
            <w:r>
              <w:rPr>
                <w:rFonts w:ascii="Arial" w:cs="Arial" w:eastAsia="Arial" w:hAnsi="Arial"/>
                <w:sz w:val="16"/>
                <w:szCs w:val="16"/>
                <w:color w:val="auto"/>
              </w:rPr>
              <w:t>The following table summarizes the other intangible assets acquired:</w:t>
            </w:r>
          </w:p>
        </w:tc>
        <w:tc>
          <w:tcPr>
            <w:tcW w:w="1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32"/>
        </w:trPr>
        <w:tc>
          <w:tcPr>
            <w:tcW w:w="6380" w:type="dxa"/>
            <w:vAlign w:val="bottom"/>
          </w:tcPr>
          <w:p>
            <w:pPr>
              <w:ind w:left="20"/>
              <w:spacing w:after="0"/>
              <w:rPr>
                <w:sz w:val="20"/>
                <w:szCs w:val="20"/>
                <w:color w:val="auto"/>
              </w:rPr>
            </w:pPr>
            <w:r>
              <w:rPr>
                <w:rFonts w:ascii="Arial" w:cs="Arial" w:eastAsia="Arial" w:hAnsi="Arial"/>
                <w:sz w:val="16"/>
                <w:szCs w:val="16"/>
                <w:b w:val="1"/>
                <w:bCs w:val="1"/>
                <w:color w:val="auto"/>
              </w:rPr>
              <w:t>($ in thousands)</w:t>
            </w:r>
          </w:p>
        </w:tc>
        <w:tc>
          <w:tcPr>
            <w:tcW w:w="1540" w:type="dxa"/>
            <w:vAlign w:val="bottom"/>
          </w:tcPr>
          <w:p>
            <w:pPr>
              <w:spacing w:after="0"/>
              <w:rPr>
                <w:sz w:val="20"/>
                <w:szCs w:val="20"/>
                <w:color w:val="auto"/>
              </w:rPr>
            </w:pPr>
          </w:p>
        </w:tc>
        <w:tc>
          <w:tcPr>
            <w:tcW w:w="1640" w:type="dxa"/>
            <w:vAlign w:val="bottom"/>
            <w:gridSpan w:val="2"/>
          </w:tcPr>
          <w:p>
            <w:pPr>
              <w:ind w:left="20"/>
              <w:spacing w:after="0"/>
              <w:rPr>
                <w:sz w:val="20"/>
                <w:szCs w:val="20"/>
                <w:color w:val="auto"/>
              </w:rPr>
            </w:pPr>
            <w:r>
              <w:rPr>
                <w:rFonts w:ascii="Arial" w:cs="Arial" w:eastAsia="Arial" w:hAnsi="Arial"/>
                <w:sz w:val="16"/>
                <w:szCs w:val="16"/>
                <w:b w:val="1"/>
                <w:bCs w:val="1"/>
                <w:color w:val="auto"/>
              </w:rPr>
              <w:t>November 8, 2019</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Useful Life-Years</w:t>
            </w:r>
          </w:p>
        </w:tc>
      </w:tr>
      <w:tr>
        <w:trPr>
          <w:trHeight w:val="213"/>
        </w:trPr>
        <w:tc>
          <w:tcPr>
            <w:tcW w:w="6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Trade name</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98,000</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Indefinite</w:t>
            </w:r>
          </w:p>
        </w:tc>
      </w:tr>
      <w:tr>
        <w:trPr>
          <w:trHeight w:val="213"/>
        </w:trPr>
        <w:tc>
          <w:tcPr>
            <w:tcW w:w="6380" w:type="dxa"/>
            <w:vAlign w:val="bottom"/>
          </w:tcPr>
          <w:p>
            <w:pPr>
              <w:ind w:left="20"/>
              <w:spacing w:after="0"/>
              <w:rPr>
                <w:sz w:val="20"/>
                <w:szCs w:val="20"/>
                <w:color w:val="auto"/>
              </w:rPr>
            </w:pPr>
            <w:r>
              <w:rPr>
                <w:rFonts w:ascii="Arial" w:cs="Arial" w:eastAsia="Arial" w:hAnsi="Arial"/>
                <w:sz w:val="16"/>
                <w:szCs w:val="16"/>
                <w:color w:val="auto"/>
              </w:rPr>
              <w:t>Dealer network</w:t>
            </w:r>
          </w:p>
        </w:tc>
        <w:tc>
          <w:tcPr>
            <w:tcW w:w="15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64,000</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12.0</w:t>
            </w:r>
          </w:p>
        </w:tc>
      </w:tr>
      <w:tr>
        <w:trPr>
          <w:trHeight w:val="219"/>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Backlog</w:t>
            </w:r>
          </w:p>
        </w:tc>
        <w:tc>
          <w:tcPr>
            <w:tcW w:w="15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8,800</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0.5</w:t>
            </w:r>
          </w:p>
        </w:tc>
      </w:tr>
      <w:tr>
        <w:trPr>
          <w:trHeight w:val="210"/>
        </w:trPr>
        <w:tc>
          <w:tcPr>
            <w:tcW w:w="6380" w:type="dxa"/>
            <w:vAlign w:val="bottom"/>
          </w:tcPr>
          <w:p>
            <w:pPr>
              <w:ind w:left="20"/>
              <w:spacing w:after="0"/>
              <w:rPr>
                <w:sz w:val="20"/>
                <w:szCs w:val="20"/>
                <w:color w:val="auto"/>
              </w:rPr>
            </w:pPr>
            <w:r>
              <w:rPr>
                <w:rFonts w:ascii="Arial" w:cs="Arial" w:eastAsia="Arial" w:hAnsi="Arial"/>
                <w:sz w:val="16"/>
                <w:szCs w:val="16"/>
                <w:color w:val="auto"/>
              </w:rPr>
              <w:t>Non-compete agreements</w:t>
            </w:r>
          </w:p>
        </w:tc>
        <w:tc>
          <w:tcPr>
            <w:tcW w:w="15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1,300</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8"/>
              </w:rPr>
              <w:t>5.0</w:t>
            </w:r>
          </w:p>
        </w:tc>
      </w:tr>
    </w:tbl>
    <w:p>
      <w:pPr>
        <w:spacing w:after="0" w:line="359"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fair value of the trade name and dealer network were estimated using an income approach. Under the income approach, an intangible asset's fair value is equal to the present value of the future economic benefits to be derived from ownership of the asset. The fair value of the trade name was estimated using an income approach, specifically the relief from royalty method. The relief from royalty method is based on the hypothetical royalty stream that would be received if we were to license the trade name and was based on expected revenues. The fair value of the dealer network was estimated using an income approach, specifically the cost to recreate/cost saving method. This method uses the replacement of the asset as an indicator of the fair value of the asset. The useful life of the intangibles was determined considering the expected cash flows used to measure the fair value of the intangible assets adjusted for the entity-specific factors including legal, regulatory, contractual, competitive, economic or other factors that may limit the useful life of intangible assets. On the acquisition date, amortizable intangible assets had a weighted-average useful life of approximately 10.5 years.</w:t>
      </w:r>
    </w:p>
    <w:p>
      <w:pPr>
        <w:spacing w:after="0" w:line="234"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The results of Newmar's operations have been included in the Company's Condensed Consolidated Financial Statements from the close of the acquisition within the Motorhome segment. The following table provides net revenues and operating income from the Newmar operating segment included in the Company's consolidated results following the November 8, 2019 closing date: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Three Months Ended</w:t>
            </w:r>
          </w:p>
        </w:tc>
        <w:tc>
          <w:tcPr>
            <w:tcW w:w="720" w:type="dxa"/>
            <w:vAlign w:val="bottom"/>
            <w:tcBorders>
              <w:bottom w:val="single" w:sz="8" w:color="auto"/>
            </w:tcBorders>
          </w:tcPr>
          <w:p>
            <w:pPr>
              <w:spacing w:after="0"/>
              <w:rPr>
                <w:sz w:val="18"/>
                <w:szCs w:val="18"/>
                <w:color w:val="auto"/>
              </w:rPr>
            </w:pPr>
          </w:p>
        </w:tc>
      </w:tr>
      <w:tr>
        <w:trPr>
          <w:trHeight w:val="215"/>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740" w:type="dxa"/>
            <w:vAlign w:val="bottom"/>
            <w:gridSpan w:val="3"/>
          </w:tcPr>
          <w:p>
            <w:pPr>
              <w:ind w:left="80"/>
              <w:spacing w:after="0"/>
              <w:rPr>
                <w:sz w:val="20"/>
                <w:szCs w:val="20"/>
                <w:color w:val="auto"/>
              </w:rPr>
            </w:pPr>
            <w:r>
              <w:rPr>
                <w:rFonts w:ascii="Arial" w:cs="Arial" w:eastAsia="Arial" w:hAnsi="Arial"/>
                <w:sz w:val="16"/>
                <w:szCs w:val="16"/>
                <w:b w:val="1"/>
                <w:bCs w:val="1"/>
                <w:color w:val="auto"/>
              </w:rPr>
              <w:t>November 28, 2020</w:t>
            </w: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auto"/>
              </w:rPr>
              <w:t>November 30, 2019</w:t>
            </w:r>
          </w:p>
        </w:tc>
      </w:tr>
      <w:tr>
        <w:trPr>
          <w:trHeight w:val="210"/>
        </w:trPr>
        <w:tc>
          <w:tcPr>
            <w:tcW w:w="7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50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118,779</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35,663</w:t>
            </w:r>
          </w:p>
        </w:tc>
      </w:tr>
      <w:tr>
        <w:trPr>
          <w:trHeight w:val="210"/>
        </w:trPr>
        <w:tc>
          <w:tcPr>
            <w:tcW w:w="786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4,084</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The following information represents the Company's actual results of operations for the three months ended November 28, 2020, and proforma information for the three months ended November 30, 2019 as if the Fiscal 2020 acquisition of Newmar had occurred at the beginning of Fiscal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780" w:type="dxa"/>
            <w:vAlign w:val="bottom"/>
            <w:tcBorders>
              <w:bottom w:val="single" w:sz="8" w:color="auto"/>
            </w:tcBorders>
          </w:tcPr>
          <w:p>
            <w:pPr>
              <w:spacing w:after="0"/>
              <w:rPr>
                <w:sz w:val="18"/>
                <w:szCs w:val="18"/>
                <w:color w:val="auto"/>
              </w:rPr>
            </w:pPr>
          </w:p>
        </w:tc>
      </w:tr>
      <w:tr>
        <w:trPr>
          <w:trHeight w:val="215"/>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1740" w:type="dxa"/>
            <w:vAlign w:val="bottom"/>
            <w:gridSpan w:val="3"/>
          </w:tcPr>
          <w:p>
            <w:pPr>
              <w:ind w:left="80"/>
              <w:spacing w:after="0"/>
              <w:rPr>
                <w:sz w:val="20"/>
                <w:szCs w:val="20"/>
                <w:color w:val="auto"/>
              </w:rPr>
            </w:pPr>
            <w:r>
              <w:rPr>
                <w:rFonts w:ascii="Arial" w:cs="Arial" w:eastAsia="Arial" w:hAnsi="Arial"/>
                <w:sz w:val="16"/>
                <w:szCs w:val="16"/>
                <w:b w:val="1"/>
                <w:bCs w:val="1"/>
                <w:color w:val="auto"/>
              </w:rPr>
              <w:t>November 28, 2020</w:t>
            </w: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auto"/>
              </w:rPr>
              <w:t>November 30, 2019</w:t>
            </w:r>
          </w:p>
        </w:tc>
      </w:tr>
      <w:tr>
        <w:trPr>
          <w:trHeight w:val="210"/>
        </w:trPr>
        <w:tc>
          <w:tcPr>
            <w:tcW w:w="7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50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793,131</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741,717</w:t>
            </w: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57,423</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17,197</w:t>
            </w: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per share - basic</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0.51</w:t>
            </w:r>
          </w:p>
        </w:tc>
      </w:tr>
      <w:tr>
        <w:trPr>
          <w:trHeight w:val="210"/>
        </w:trPr>
        <w:tc>
          <w:tcPr>
            <w:tcW w:w="7860" w:type="dxa"/>
            <w:vAlign w:val="bottom"/>
          </w:tcPr>
          <w:p>
            <w:pPr>
              <w:ind w:left="20"/>
              <w:spacing w:after="0"/>
              <w:rPr>
                <w:sz w:val="20"/>
                <w:szCs w:val="20"/>
                <w:color w:val="auto"/>
              </w:rPr>
            </w:pPr>
            <w:r>
              <w:rPr>
                <w:rFonts w:ascii="Arial" w:cs="Arial" w:eastAsia="Arial" w:hAnsi="Arial"/>
                <w:sz w:val="16"/>
                <w:szCs w:val="16"/>
                <w:color w:val="auto"/>
              </w:rPr>
              <w:t>Income per share - diluted</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8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0.50</w:t>
            </w:r>
          </w:p>
        </w:tc>
      </w:tr>
    </w:tbl>
    <w:p>
      <w:pPr>
        <w:spacing w:after="0" w:line="359"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The Company's actual results of operations for the three months ended November 28, 2020 did not include any significant non-recurring adjustments related to the close of the transaction. The unaudited pro forma data for the three months ended November 30, 2019 above includes the following significant non-recurring adjustments made to account for certain costs which would have changed if the acquisition of Newmar had occurred at the beginning of Fiscal 2020:</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Three Months Ended</w:t>
            </w:r>
          </w:p>
        </w:tc>
      </w:tr>
      <w:tr>
        <w:trPr>
          <w:trHeight w:val="215"/>
        </w:trPr>
        <w:tc>
          <w:tcPr>
            <w:tcW w:w="9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November 30, 2019</w:t>
            </w:r>
          </w:p>
        </w:tc>
      </w:tr>
      <w:tr>
        <w:trPr>
          <w:trHeight w:val="210"/>
        </w:trPr>
        <w:tc>
          <w:tcPr>
            <w:tcW w:w="910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Amortization of intangibles (1 year or less useful life)</w:t>
            </w:r>
            <w:r>
              <w:rPr>
                <w:rFonts w:ascii="Arial" w:cs="Arial" w:eastAsia="Arial" w:hAnsi="Arial"/>
                <w:sz w:val="21"/>
                <w:szCs w:val="21"/>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2,251</w:t>
            </w:r>
          </w:p>
        </w:tc>
      </w:tr>
      <w:tr>
        <w:trPr>
          <w:trHeight w:val="216"/>
        </w:trPr>
        <w:tc>
          <w:tcPr>
            <w:tcW w:w="9100" w:type="dxa"/>
            <w:vAlign w:val="bottom"/>
          </w:tcPr>
          <w:p>
            <w:pPr>
              <w:ind w:left="20"/>
              <w:spacing w:after="0" w:line="216" w:lineRule="exact"/>
              <w:rPr>
                <w:sz w:val="20"/>
                <w:szCs w:val="20"/>
                <w:color w:val="auto"/>
              </w:rPr>
            </w:pPr>
            <w:r>
              <w:rPr>
                <w:rFonts w:ascii="Arial" w:cs="Arial" w:eastAsia="Arial" w:hAnsi="Arial"/>
                <w:sz w:val="16"/>
                <w:szCs w:val="16"/>
                <w:color w:val="auto"/>
              </w:rPr>
              <w:t>Amortization of intangibles</w:t>
            </w:r>
            <w:r>
              <w:rPr>
                <w:rFonts w:ascii="Arial" w:cs="Arial" w:eastAsia="Arial" w:hAnsi="Arial"/>
                <w:sz w:val="21"/>
                <w:szCs w:val="21"/>
                <w:color w:val="auto"/>
                <w:vertAlign w:val="superscript"/>
              </w:rPr>
              <w:t>(2)</w:t>
            </w: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(1,057)</w:t>
            </w:r>
          </w:p>
        </w:tc>
      </w:tr>
      <w:tr>
        <w:trPr>
          <w:trHeight w:val="216"/>
        </w:trPr>
        <w:tc>
          <w:tcPr>
            <w:tcW w:w="9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Expenses related to business combination (transaction costs)</w:t>
            </w:r>
          </w:p>
        </w:tc>
        <w:tc>
          <w:tcPr>
            <w:tcW w:w="18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9,950</w:t>
            </w:r>
          </w:p>
        </w:tc>
      </w:tr>
      <w:tr>
        <w:trPr>
          <w:trHeight w:val="216"/>
        </w:trPr>
        <w:tc>
          <w:tcPr>
            <w:tcW w:w="9100" w:type="dxa"/>
            <w:vAlign w:val="bottom"/>
          </w:tcPr>
          <w:p>
            <w:pPr>
              <w:ind w:left="20"/>
              <w:spacing w:after="0" w:line="216" w:lineRule="exact"/>
              <w:rPr>
                <w:sz w:val="20"/>
                <w:szCs w:val="20"/>
                <w:color w:val="auto"/>
              </w:rPr>
            </w:pPr>
            <w:r>
              <w:rPr>
                <w:rFonts w:ascii="Arial" w:cs="Arial" w:eastAsia="Arial" w:hAnsi="Arial"/>
                <w:sz w:val="16"/>
                <w:szCs w:val="16"/>
                <w:color w:val="auto"/>
              </w:rPr>
              <w:t>Interest to reflect new debt structure</w:t>
            </w:r>
            <w:r>
              <w:rPr>
                <w:rFonts w:ascii="Arial" w:cs="Arial" w:eastAsia="Arial" w:hAnsi="Arial"/>
                <w:sz w:val="21"/>
                <w:szCs w:val="21"/>
                <w:color w:val="auto"/>
                <w:vertAlign w:val="superscript"/>
              </w:rPr>
              <w:t>(3)</w:t>
            </w: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(3,367)</w:t>
            </w:r>
          </w:p>
        </w:tc>
      </w:tr>
      <w:tr>
        <w:trPr>
          <w:trHeight w:val="216"/>
        </w:trPr>
        <w:tc>
          <w:tcPr>
            <w:tcW w:w="91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Taxes related to the adjustments to the pro forma data and to the income of Newmar</w:t>
            </w:r>
            <w:r>
              <w:rPr>
                <w:rFonts w:ascii="Arial" w:cs="Arial" w:eastAsia="Arial" w:hAnsi="Arial"/>
                <w:sz w:val="21"/>
                <w:szCs w:val="21"/>
                <w:color w:val="auto"/>
                <w:vertAlign w:val="superscript"/>
              </w:rPr>
              <w:t>(4)</w:t>
            </w:r>
          </w:p>
        </w:tc>
        <w:tc>
          <w:tcPr>
            <w:tcW w:w="18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w:t>
            </w:r>
          </w:p>
        </w:tc>
      </w:tr>
    </w:tbl>
    <w:p>
      <w:pPr>
        <w:spacing w:after="0" w:line="113"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amortization adjustments for our backlog intangible asset and our fair-value inventory adjustment.</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amortization adjustments for our dealer network and non-compete intangible assets.</w:t>
      </w:r>
    </w:p>
    <w:p>
      <w:pPr>
        <w:spacing w:after="0" w:line="1" w:lineRule="exact"/>
        <w:rPr>
          <w:rFonts w:ascii="Arial" w:cs="Arial" w:eastAsia="Arial" w:hAnsi="Arial"/>
          <w:sz w:val="14"/>
          <w:szCs w:val="14"/>
          <w:color w:val="auto"/>
        </w:rPr>
      </w:pPr>
    </w:p>
    <w:p>
      <w:pPr>
        <w:ind w:left="260" w:right="480" w:hanging="252"/>
        <w:spacing w:after="0" w:line="241" w:lineRule="auto"/>
        <w:tabs>
          <w:tab w:leader="none" w:pos="353"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Includes adjustments for cash and non-cash interest expense as well as deferred financing costs. Refer to Note 9, </w:t>
      </w:r>
      <w:r>
        <w:rPr>
          <w:rFonts w:ascii="Arial" w:cs="Arial" w:eastAsia="Arial" w:hAnsi="Arial"/>
          <w:sz w:val="14"/>
          <w:szCs w:val="14"/>
          <w:i w:val="1"/>
          <w:iCs w:val="1"/>
          <w:color w:val="auto"/>
        </w:rPr>
        <w:t>Long-Term Debt,</w:t>
      </w:r>
      <w:r>
        <w:rPr>
          <w:rFonts w:ascii="Arial" w:cs="Arial" w:eastAsia="Arial" w:hAnsi="Arial"/>
          <w:sz w:val="14"/>
          <w:szCs w:val="14"/>
          <w:color w:val="auto"/>
        </w:rPr>
        <w:t xml:space="preserve"> for additional information on the Company's new debt structure as a result of the acquisition.</w:t>
      </w: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Calculated using our U.S. federal statutory rate of 21.0%.</w:t>
      </w:r>
    </w:p>
    <w:p>
      <w:pPr>
        <w:spacing w:after="0" w:line="241"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The unaudited pro forma information for the three months ended November 30, 2019 is not necessarily indicative of the results that the Company would have achieved had the transaction actually taken place at the beginning of Fiscal 2020, and the unaudited pro forma information for the three months ended November 30, 2019 does not purport to be indicative of future financial operating results. The unaudited pro forma condensed consolidated financial information does not reflect any operating efficiencies and cost savings that may be realized from the integration of the acquisition.</w:t>
      </w:r>
    </w:p>
    <w:p>
      <w:pPr>
        <w:spacing w:after="0" w:line="229"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Total transaction costs related to the Newmar acquisition were $10.4 million, of which $9.8 million were expensed during Fiscal 2020 and $0.6 million were expensed during the fourth quarter of Fiscal 2019. There were no transaction costs incurred during the first three months of Fiscal 2021. Transaction costs are included in Selling, general, and administrative expenses in the accompanying Condensed Consolidated Statements of Income and Comprehensive Income.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Business Segments</w:t>
      </w:r>
    </w:p>
    <w:p>
      <w:pPr>
        <w:spacing w:after="0" w:line="268"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The Company has six operating segments: 1) Grand Design towables, 2) Winnebago towables, 3) Winnebago motorhomes, 4) Newmar motorhomes, 5) Chris-Craft marine, and 6) Winnebago specialty vehicles. The Company evaluates performance based on each operating segment's Adjusted EBITDA, as defined below, which excludes certain corporate administration expenses and non-operating income and expense.</w:t>
      </w:r>
    </w:p>
    <w:p>
      <w:pPr>
        <w:spacing w:after="0" w:line="22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Company's two reportable segments include: 1) Towable (comprised of products which are not motorized and are generally towed by another vehicle as well as other related manufactured products and services), which is an aggregation of the Grand Design towables and the Winnebago towables operating segments and 2) Motorhome (comprised of products that include a motorized chassis as well as other related manufactured products and services), which is an aggregation of the Winnebago motorhomes and Newmar motorhomes operating segments.</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Corporate / All Other category includes the Chris-Craft marine and Winnebago specialty vehicles operating segments as well as expenses related to certain corporate administration expenses for the oversight of the enterprise. These expenses include items such as corporate leadership and administration costs.</w:t>
      </w:r>
    </w:p>
    <w:p>
      <w:pPr>
        <w:spacing w:after="0" w:line="228"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Identifiable assets of the reportable segments exclude general corporate assets, which principally consist of cash and cash equivalents and certain deferred tax balances. The general corporate assets are included in the Corporate / All Other category.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 xml:space="preserve">The Company's chief operating decision maker ("CODM") is its Chief Executive Officer. The Company's CODM relies on internal management reporting that analyzes consolidated results to the net earnings level and operating segment's Adjusted EBITDA. The Company's CODM has ultimate responsibility for enterprise decisions. The Company's CODM determines, in particular, resource allocation for, and monitors the performance of, the consolidated enterprise, the Towable segment, and the Motorhome segment. The operating segments' management have responsibility for operating decisions, allocating resources, and assessing performance within their respective segments. The accounting policies of both reportable segments are the same and are described in Note 1,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of the Notes to Consolidated Financial Statements included in the Company's Annual Report on Form 10-K for the fiscal year ended August 29, 2020.</w:t>
      </w:r>
    </w:p>
    <w:p>
      <w:pPr>
        <w:spacing w:after="0" w:line="235"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The Company evaluates the performance of its reportable segments based on Adjusted EBITDA. EBITDA is defined as net income before interest expense, provision for income taxes, and depreciation and amortization expense. Adjusted EBITDA is defined as net income before interest expense, provision for income taxes, depreciation and amortization expense, and other adjustments made in order to present comparable results from period to period. Examples of items excluded from Adjusted EBITDA include acquisition-related fair-value inventory step-up, acquisition-related costs, restructuring expenses, gain or loss on sale of property and equipment, and non-operating income. The following table shows information by reportable segment: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59"/>
        </w:trPr>
        <w:tc>
          <w:tcPr>
            <w:tcW w:w="7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3"/>
                <w:szCs w:val="13"/>
                <w:color w:val="auto"/>
              </w:rPr>
            </w:pPr>
          </w:p>
        </w:tc>
        <w:tc>
          <w:tcPr>
            <w:tcW w:w="154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November 28,</w:t>
            </w:r>
          </w:p>
        </w:tc>
        <w:tc>
          <w:tcPr>
            <w:tcW w:w="200" w:type="dxa"/>
            <w:vAlign w:val="bottom"/>
          </w:tcPr>
          <w:p>
            <w:pPr>
              <w:spacing w:after="0"/>
              <w:rPr>
                <w:sz w:val="13"/>
                <w:szCs w:val="13"/>
                <w:color w:val="auto"/>
              </w:rPr>
            </w:pPr>
          </w:p>
        </w:tc>
        <w:tc>
          <w:tcPr>
            <w:tcW w:w="1440" w:type="dxa"/>
            <w:vAlign w:val="bottom"/>
          </w:tcPr>
          <w:p>
            <w:pPr>
              <w:jc w:val="right"/>
              <w:ind w:right="199"/>
              <w:spacing w:after="0" w:line="158" w:lineRule="exact"/>
              <w:rPr>
                <w:sz w:val="20"/>
                <w:szCs w:val="20"/>
                <w:color w:val="auto"/>
              </w:rPr>
            </w:pPr>
            <w:r>
              <w:rPr>
                <w:rFonts w:ascii="Arial" w:cs="Arial" w:eastAsia="Arial" w:hAnsi="Arial"/>
                <w:sz w:val="16"/>
                <w:szCs w:val="16"/>
                <w:b w:val="1"/>
                <w:bCs w:val="1"/>
                <w:color w:val="auto"/>
              </w:rPr>
              <w:t>November 30,</w:t>
            </w:r>
          </w:p>
        </w:tc>
        <w:tc>
          <w:tcPr>
            <w:tcW w:w="0" w:type="dxa"/>
            <w:vAlign w:val="bottom"/>
          </w:tcPr>
          <w:p>
            <w:pPr>
              <w:spacing w:after="0"/>
              <w:rPr>
                <w:sz w:val="1"/>
                <w:szCs w:val="1"/>
                <w:color w:val="auto"/>
              </w:rPr>
            </w:pPr>
          </w:p>
        </w:tc>
      </w:tr>
      <w:tr>
        <w:trPr>
          <w:trHeight w:val="215"/>
        </w:trPr>
        <w:tc>
          <w:tcPr>
            <w:tcW w:w="78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Towable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454,901</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341,250</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322,389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225,891</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 All Other</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15,841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21,317</w:t>
            </w:r>
          </w:p>
        </w:tc>
        <w:tc>
          <w:tcPr>
            <w:tcW w:w="0" w:type="dxa"/>
            <w:vAlign w:val="bottom"/>
          </w:tcPr>
          <w:p>
            <w:pPr>
              <w:spacing w:after="0"/>
              <w:rPr>
                <w:sz w:val="1"/>
                <w:szCs w:val="1"/>
                <w:color w:val="auto"/>
              </w:rPr>
            </w:pPr>
          </w:p>
        </w:tc>
      </w:tr>
      <w:tr>
        <w:trPr>
          <w:trHeight w:val="237"/>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Consolidated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793,131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588,458</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7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Towable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63,143</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35,785</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9,331</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 All Other</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(3,068)</w:t>
            </w:r>
          </w:p>
        </w:tc>
        <w:tc>
          <w:tcPr>
            <w:tcW w:w="0" w:type="dxa"/>
            <w:vAlign w:val="bottom"/>
          </w:tcPr>
          <w:p>
            <w:pPr>
              <w:spacing w:after="0"/>
              <w:rPr>
                <w:sz w:val="1"/>
                <w:szCs w:val="1"/>
                <w:color w:val="auto"/>
              </w:rPr>
            </w:pPr>
          </w:p>
        </w:tc>
      </w:tr>
      <w:tr>
        <w:trPr>
          <w:trHeight w:val="238"/>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Consolidated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89,293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42,048</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7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Capital Expenditures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Towable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4,137</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4,026</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2,240</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 All Other</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38"/>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Consolidated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6,624</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6"/>
                <w:szCs w:val="16"/>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b w:val="1"/>
                <w:bCs w:val="1"/>
                <w:color w:val="auto"/>
              </w:rPr>
              <w:t>November 28,</w:t>
            </w:r>
          </w:p>
        </w:tc>
        <w:tc>
          <w:tcPr>
            <w:tcW w:w="260" w:type="dxa"/>
            <w:vAlign w:val="bottom"/>
          </w:tcPr>
          <w:p>
            <w:pPr>
              <w:spacing w:after="0"/>
              <w:rPr>
                <w:sz w:val="16"/>
                <w:szCs w:val="16"/>
                <w:color w:val="auto"/>
              </w:rPr>
            </w:pPr>
          </w:p>
        </w:tc>
        <w:tc>
          <w:tcPr>
            <w:tcW w:w="1380" w:type="dxa"/>
            <w:vAlign w:val="bottom"/>
          </w:tcPr>
          <w:p>
            <w:pPr>
              <w:jc w:val="right"/>
              <w:ind w:right="339"/>
              <w:spacing w:after="0"/>
              <w:rPr>
                <w:sz w:val="20"/>
                <w:szCs w:val="20"/>
                <w:color w:val="auto"/>
              </w:rPr>
            </w:pPr>
            <w:r>
              <w:rPr>
                <w:rFonts w:ascii="Arial" w:cs="Arial" w:eastAsia="Arial" w:hAnsi="Arial"/>
                <w:sz w:val="16"/>
                <w:szCs w:val="16"/>
                <w:b w:val="1"/>
                <w:bCs w:val="1"/>
                <w:color w:val="auto"/>
              </w:rPr>
              <w:t>August 29,</w:t>
            </w:r>
          </w:p>
        </w:tc>
        <w:tc>
          <w:tcPr>
            <w:tcW w:w="0" w:type="dxa"/>
            <w:vAlign w:val="bottom"/>
          </w:tcPr>
          <w:p>
            <w:pPr>
              <w:spacing w:after="0"/>
              <w:rPr>
                <w:sz w:val="1"/>
                <w:szCs w:val="1"/>
                <w:color w:val="auto"/>
              </w:rPr>
            </w:pPr>
          </w:p>
        </w:tc>
      </w:tr>
      <w:tr>
        <w:trPr>
          <w:trHeight w:val="215"/>
        </w:trPr>
        <w:tc>
          <w:tcPr>
            <w:tcW w:w="782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Towable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732,419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718,253</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671,761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600,304</w:t>
            </w:r>
          </w:p>
        </w:tc>
        <w:tc>
          <w:tcPr>
            <w:tcW w:w="0" w:type="dxa"/>
            <w:vAlign w:val="bottom"/>
          </w:tcPr>
          <w:p>
            <w:pPr>
              <w:spacing w:after="0"/>
              <w:rPr>
                <w:sz w:val="1"/>
                <w:szCs w:val="1"/>
                <w:color w:val="auto"/>
              </w:rPr>
            </w:pPr>
          </w:p>
        </w:tc>
      </w:tr>
      <w:tr>
        <w:trPr>
          <w:trHeight w:val="21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 All Other</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376,810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395,143</w:t>
            </w:r>
          </w:p>
        </w:tc>
        <w:tc>
          <w:tcPr>
            <w:tcW w:w="0" w:type="dxa"/>
            <w:vAlign w:val="bottom"/>
          </w:tcPr>
          <w:p>
            <w:pPr>
              <w:spacing w:after="0"/>
              <w:rPr>
                <w:sz w:val="1"/>
                <w:szCs w:val="1"/>
                <w:color w:val="auto"/>
              </w:rPr>
            </w:pPr>
          </w:p>
        </w:tc>
      </w:tr>
      <w:tr>
        <w:trPr>
          <w:trHeight w:val="238"/>
        </w:trPr>
        <w:tc>
          <w:tcPr>
            <w:tcW w:w="7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Consolidated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1,780,990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1,713,700</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5"/>
        </w:trPr>
        <w:tc>
          <w:tcPr>
            <w:tcW w:w="7860" w:type="dxa"/>
            <w:vAlign w:val="bottom"/>
          </w:tcPr>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tc>
        <w:tc>
          <w:tcPr>
            <w:tcW w:w="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891"/>
        </w:trPr>
        <w:tc>
          <w:tcPr>
            <w:tcW w:w="7860" w:type="dxa"/>
            <w:vAlign w:val="bottom"/>
          </w:tcPr>
          <w:p>
            <w:pPr>
              <w:spacing w:after="0"/>
              <w:rPr>
                <w:sz w:val="20"/>
                <w:szCs w:val="20"/>
                <w:color w:val="auto"/>
              </w:rPr>
            </w:pPr>
            <w:r>
              <w:rPr>
                <w:rFonts w:ascii="Arial" w:cs="Arial" w:eastAsia="Arial" w:hAnsi="Arial"/>
                <w:sz w:val="16"/>
                <w:szCs w:val="16"/>
                <w:color w:val="auto"/>
              </w:rPr>
              <w:t>Reconciliation of net income to consolidated Adjusted EBITDA:</w:t>
            </w: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9"/>
        </w:trPr>
        <w:tc>
          <w:tcPr>
            <w:tcW w:w="78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Three Months Ended</w:t>
            </w:r>
          </w:p>
        </w:tc>
        <w:tc>
          <w:tcPr>
            <w:tcW w:w="720" w:type="dxa"/>
            <w:vAlign w:val="bottom"/>
            <w:tcBorders>
              <w:bottom w:val="single" w:sz="8" w:color="auto"/>
            </w:tcBorders>
          </w:tcPr>
          <w:p>
            <w:pPr>
              <w:spacing w:after="0"/>
              <w:rPr>
                <w:sz w:val="19"/>
                <w:szCs w:val="19"/>
                <w:color w:val="auto"/>
              </w:rPr>
            </w:pPr>
          </w:p>
        </w:tc>
      </w:tr>
      <w:tr>
        <w:trPr>
          <w:trHeight w:val="215"/>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740" w:type="dxa"/>
            <w:vAlign w:val="bottom"/>
            <w:gridSpan w:val="3"/>
          </w:tcPr>
          <w:p>
            <w:pPr>
              <w:ind w:left="80"/>
              <w:spacing w:after="0"/>
              <w:rPr>
                <w:sz w:val="20"/>
                <w:szCs w:val="20"/>
                <w:color w:val="auto"/>
              </w:rPr>
            </w:pPr>
            <w:r>
              <w:rPr>
                <w:rFonts w:ascii="Arial" w:cs="Arial" w:eastAsia="Arial" w:hAnsi="Arial"/>
                <w:sz w:val="16"/>
                <w:szCs w:val="16"/>
                <w:b w:val="1"/>
                <w:bCs w:val="1"/>
                <w:color w:val="auto"/>
              </w:rPr>
              <w:t>November 28, 2020</w:t>
            </w: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auto"/>
              </w:rPr>
              <w:t>November 30, 2019</w:t>
            </w:r>
          </w:p>
        </w:tc>
      </w:tr>
      <w:tr>
        <w:trPr>
          <w:trHeight w:val="210"/>
        </w:trPr>
        <w:tc>
          <w:tcPr>
            <w:tcW w:w="7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50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57,423</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14,068</w:t>
            </w: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9,941</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6,049</w:t>
            </w: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Provision for income taxes</w:t>
            </w: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17,557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3,893</w:t>
            </w: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4,160</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3,586</w:t>
            </w:r>
          </w:p>
        </w:tc>
      </w:tr>
      <w:tr>
        <w:trPr>
          <w:trHeight w:val="216"/>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intangible assets</w:t>
            </w:r>
          </w:p>
        </w:tc>
        <w:tc>
          <w:tcPr>
            <w:tcW w:w="5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3,590</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3,614</w:t>
            </w:r>
          </w:p>
        </w:tc>
      </w:tr>
      <w:tr>
        <w:trPr>
          <w:trHeight w:val="209"/>
        </w:trPr>
        <w:tc>
          <w:tcPr>
            <w:tcW w:w="7860" w:type="dxa"/>
            <w:vAlign w:val="bottom"/>
          </w:tcPr>
          <w:p>
            <w:pPr>
              <w:ind w:left="20"/>
              <w:spacing w:after="0"/>
              <w:rPr>
                <w:sz w:val="20"/>
                <w:szCs w:val="20"/>
                <w:color w:val="auto"/>
              </w:rPr>
            </w:pPr>
            <w:r>
              <w:rPr>
                <w:rFonts w:ascii="Arial" w:cs="Arial" w:eastAsia="Arial" w:hAnsi="Arial"/>
                <w:sz w:val="16"/>
                <w:szCs w:val="16"/>
                <w:color w:val="auto"/>
              </w:rPr>
              <w:t>EBITDA</w:t>
            </w: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92,671</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31,210</w:t>
            </w: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Acquisition-related fair-value inventory step-up</w:t>
            </w:r>
          </w:p>
        </w:tc>
        <w:tc>
          <w:tcPr>
            <w:tcW w:w="5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w:t>
            </w: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Acquisition-related costs</w:t>
            </w:r>
          </w:p>
        </w:tc>
        <w:tc>
          <w:tcPr>
            <w:tcW w:w="5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9,950</w:t>
            </w: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Restructuring expenses</w:t>
            </w: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Gain on sale of property and equipment</w:t>
            </w: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(3,565)</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Non-operating loss (income)</w:t>
            </w:r>
          </w:p>
        </w:tc>
        <w:tc>
          <w:tcPr>
            <w:tcW w:w="5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89,293</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42,048</w:t>
            </w:r>
          </w:p>
        </w:tc>
      </w:tr>
      <w:tr>
        <w:trPr>
          <w:trHeight w:val="21"/>
        </w:trPr>
        <w:tc>
          <w:tcPr>
            <w:tcW w:w="7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Investments and Fair Value Measurements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Recurring Basis</w:t>
      </w:r>
    </w:p>
    <w:p>
      <w:pPr>
        <w:spacing w:after="0" w:line="117"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 xml:space="preserve">The Company accounts for fair value measurements in accordance with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which defines fair value, establishes a framework for measurement, and expands disclosure about fair value measurement. The fair value hierarchy requires the use of observable market data when available. In instances in which the inputs used to measure fair value fall into different levels of the fair value hierarchy, the fair value measurement has been determined based on the lowest level input that is significant to the fair value measurement in its entirety. The Company's assessment of the significance of a particular item to the fair value measurement in its entirety requires judgment, including the consideration of inputs specific to the asset or liability.</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 Unadjusted quoted prices that are available in active markets for the identical assets or liabilities at the measurement date.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Other observable inputs available at the measurement date, other than quoted prices included in Level 1, either directly or indirectly, including:</w:t>
      </w:r>
    </w:p>
    <w:p>
      <w:pPr>
        <w:spacing w:after="0" w:line="21"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Quoted prices for similar assets or liabilities in active markets;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Quoted prices for identical or similar assets in nonactive markets;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Inputs other than quoted prices that are observable for the asset or liability;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Inputs that are derived principally from or corroborated by other observable market data.</w:t>
      </w:r>
    </w:p>
    <w:p>
      <w:pPr>
        <w:spacing w:after="0" w:line="232"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Unobservable inputs that cannot be corroborated by observable market data and reflect the use of significant management judgment. These values</w:t>
      </w:r>
      <w:r>
        <w:rPr>
          <w:rFonts w:ascii="Arial" w:cs="Arial" w:eastAsia="Arial" w:hAnsi="Arial"/>
          <w:sz w:val="16"/>
          <w:szCs w:val="16"/>
          <w:i w:val="1"/>
          <w:iCs w:val="1"/>
          <w:color w:val="auto"/>
        </w:rPr>
        <w:t xml:space="preserve"> </w:t>
      </w:r>
      <w:r>
        <w:rPr>
          <w:rFonts w:ascii="Arial" w:cs="Arial" w:eastAsia="Arial" w:hAnsi="Arial"/>
          <w:sz w:val="16"/>
          <w:szCs w:val="16"/>
          <w:color w:val="auto"/>
        </w:rPr>
        <w:t>are generally determined using pricing models for which the assumptions utilize management’s estimates of market participant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The following tables set forth by level within the fair value hierarchy the Company's financial assets and liabilities that were accounted for at fair value on a recurring basis at November 28, 2020 and August 29, 2020 according to the valuation techniques the Company used to determine their fair values: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Fair Value at</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Fair Value Hierarchy</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4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2"/>
                <w:szCs w:val="12"/>
                <w:color w:val="auto"/>
              </w:rPr>
            </w:pPr>
          </w:p>
        </w:tc>
        <w:tc>
          <w:tcPr>
            <w:tcW w:w="1540" w:type="dxa"/>
            <w:vAlign w:val="bottom"/>
            <w:gridSpan w:val="2"/>
          </w:tcPr>
          <w:p>
            <w:pPr>
              <w:jc w:val="center"/>
              <w:ind w:right="320"/>
              <w:spacing w:after="0" w:line="148" w:lineRule="exact"/>
              <w:rPr>
                <w:sz w:val="20"/>
                <w:szCs w:val="20"/>
                <w:color w:val="auto"/>
              </w:rPr>
            </w:pPr>
            <w:r>
              <w:rPr>
                <w:rFonts w:ascii="Arial" w:cs="Arial" w:eastAsia="Arial" w:hAnsi="Arial"/>
                <w:sz w:val="16"/>
                <w:szCs w:val="16"/>
                <w:b w:val="1"/>
                <w:bCs w:val="1"/>
                <w:color w:val="auto"/>
              </w:rPr>
              <w:t>November 28,</w:t>
            </w:r>
          </w:p>
        </w:tc>
        <w:tc>
          <w:tcPr>
            <w:tcW w:w="300" w:type="dxa"/>
            <w:vAlign w:val="bottom"/>
          </w:tcPr>
          <w:p>
            <w:pPr>
              <w:spacing w:after="0"/>
              <w:rPr>
                <w:sz w:val="12"/>
                <w:szCs w:val="12"/>
                <w:color w:val="auto"/>
              </w:rPr>
            </w:pPr>
          </w:p>
        </w:tc>
        <w:tc>
          <w:tcPr>
            <w:tcW w:w="140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Level 1</w:t>
            </w:r>
          </w:p>
        </w:tc>
        <w:tc>
          <w:tcPr>
            <w:tcW w:w="320" w:type="dxa"/>
            <w:vAlign w:val="bottom"/>
          </w:tcPr>
          <w:p>
            <w:pPr>
              <w:spacing w:after="0"/>
              <w:rPr>
                <w:sz w:val="12"/>
                <w:szCs w:val="12"/>
                <w:color w:val="auto"/>
              </w:rPr>
            </w:pPr>
          </w:p>
        </w:tc>
        <w:tc>
          <w:tcPr>
            <w:tcW w:w="142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12"/>
                <w:szCs w:val="12"/>
                <w:color w:val="auto"/>
              </w:rPr>
            </w:pPr>
          </w:p>
        </w:tc>
        <w:tc>
          <w:tcPr>
            <w:tcW w:w="130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15"/>
        </w:trPr>
        <w:tc>
          <w:tcPr>
            <w:tcW w:w="44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Assets that fund deferred compensation:</w:t>
            </w:r>
          </w:p>
        </w:tc>
        <w:tc>
          <w:tcPr>
            <w:tcW w:w="2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20" w:type="dxa"/>
            <w:vAlign w:val="bottom"/>
          </w:tcPr>
          <w:p>
            <w:pPr>
              <w:ind w:left="140"/>
              <w:spacing w:after="0"/>
              <w:rPr>
                <w:sz w:val="20"/>
                <w:szCs w:val="20"/>
                <w:color w:val="auto"/>
              </w:rPr>
            </w:pPr>
            <w:r>
              <w:rPr>
                <w:rFonts w:ascii="Arial" w:cs="Arial" w:eastAsia="Arial" w:hAnsi="Arial"/>
                <w:sz w:val="16"/>
                <w:szCs w:val="16"/>
                <w:color w:val="auto"/>
              </w:rPr>
              <w:t>Domestic equity funds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783</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42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Pr>
          <w:p>
            <w:pPr>
              <w:ind w:left="10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International equity funds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4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Fixed income funds</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 at fair value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 Value at</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Fair Value Hierarchy</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4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8" w:lineRule="exact"/>
              <w:rPr>
                <w:sz w:val="20"/>
                <w:szCs w:val="20"/>
                <w:color w:val="auto"/>
              </w:rPr>
            </w:pPr>
            <w:r>
              <w:rPr>
                <w:rFonts w:ascii="Arial" w:cs="Arial" w:eastAsia="Arial" w:hAnsi="Arial"/>
                <w:sz w:val="16"/>
                <w:szCs w:val="16"/>
                <w:b w:val="1"/>
                <w:bCs w:val="1"/>
                <w:color w:val="auto"/>
              </w:rPr>
              <w:t>August 29,</w:t>
            </w:r>
          </w:p>
        </w:tc>
        <w:tc>
          <w:tcPr>
            <w:tcW w:w="320" w:type="dxa"/>
            <w:vAlign w:val="bottom"/>
          </w:tcPr>
          <w:p>
            <w:pPr>
              <w:spacing w:after="0"/>
              <w:rPr>
                <w:sz w:val="12"/>
                <w:szCs w:val="12"/>
                <w:color w:val="auto"/>
              </w:rPr>
            </w:pPr>
          </w:p>
        </w:tc>
        <w:tc>
          <w:tcPr>
            <w:tcW w:w="140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Level 1</w:t>
            </w:r>
          </w:p>
        </w:tc>
        <w:tc>
          <w:tcPr>
            <w:tcW w:w="320" w:type="dxa"/>
            <w:vAlign w:val="bottom"/>
          </w:tcPr>
          <w:p>
            <w:pPr>
              <w:spacing w:after="0"/>
              <w:rPr>
                <w:sz w:val="12"/>
                <w:szCs w:val="12"/>
                <w:color w:val="auto"/>
              </w:rPr>
            </w:pPr>
          </w:p>
        </w:tc>
        <w:tc>
          <w:tcPr>
            <w:tcW w:w="140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12"/>
                <w:szCs w:val="12"/>
                <w:color w:val="auto"/>
              </w:rPr>
            </w:pPr>
          </w:p>
        </w:tc>
        <w:tc>
          <w:tcPr>
            <w:tcW w:w="130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15"/>
        </w:trPr>
        <w:tc>
          <w:tcPr>
            <w:tcW w:w="44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center"/>
              <w:ind w:right="1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Assets that fund deferred compensation:</w:t>
            </w: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20" w:type="dxa"/>
            <w:vAlign w:val="bottom"/>
          </w:tcPr>
          <w:p>
            <w:pPr>
              <w:ind w:left="140"/>
              <w:spacing w:after="0"/>
              <w:rPr>
                <w:sz w:val="20"/>
                <w:szCs w:val="20"/>
                <w:color w:val="auto"/>
              </w:rPr>
            </w:pPr>
            <w:r>
              <w:rPr>
                <w:rFonts w:ascii="Arial" w:cs="Arial" w:eastAsia="Arial" w:hAnsi="Arial"/>
                <w:sz w:val="16"/>
                <w:szCs w:val="16"/>
                <w:color w:val="auto"/>
              </w:rPr>
              <w:t>Domestic equity funds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626</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626</w:t>
            </w:r>
          </w:p>
        </w:tc>
        <w:tc>
          <w:tcPr>
            <w:tcW w:w="10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40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ind w:left="10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International equity funds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4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Fixed income funds</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 at fair value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to estimate the fair value of each class of financial instrument: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that fund deferred compensation</w:t>
      </w:r>
    </w:p>
    <w:p>
      <w:pPr>
        <w:spacing w:after="0" w:line="133"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 xml:space="preserve">The Company's assets that fund deferred compensation are marketable equity securities measured at fair value using quoted market prices and primarily consist of equity-based mutual funds. These securities are classified as Level 1 as they are traded in an active market for which closing stock prices are readily available. These securities fund the Executive Share Option Plan and the Executive Deferred Compensation Plan. Refer to Note 11, </w:t>
      </w:r>
      <w:r>
        <w:rPr>
          <w:rFonts w:ascii="Arial" w:cs="Arial" w:eastAsia="Arial" w:hAnsi="Arial"/>
          <w:sz w:val="16"/>
          <w:szCs w:val="16"/>
          <w:i w:val="1"/>
          <w:iCs w:val="1"/>
          <w:color w:val="auto"/>
        </w:rPr>
        <w:t>Employee and</w:t>
      </w:r>
      <w:r>
        <w:rPr>
          <w:rFonts w:ascii="Arial" w:cs="Arial" w:eastAsia="Arial" w:hAnsi="Arial"/>
          <w:sz w:val="16"/>
          <w:szCs w:val="16"/>
          <w:color w:val="auto"/>
        </w:rPr>
        <w:t xml:space="preserve"> </w:t>
      </w:r>
      <w:r>
        <w:rPr>
          <w:rFonts w:ascii="Arial" w:cs="Arial" w:eastAsia="Arial" w:hAnsi="Arial"/>
          <w:sz w:val="16"/>
          <w:szCs w:val="16"/>
          <w:i w:val="1"/>
          <w:iCs w:val="1"/>
          <w:color w:val="auto"/>
        </w:rPr>
        <w:t>Retiree Benefits</w:t>
      </w:r>
      <w:r>
        <w:rPr>
          <w:rFonts w:ascii="Arial" w:cs="Arial" w:eastAsia="Arial" w:hAnsi="Arial"/>
          <w:sz w:val="16"/>
          <w:szCs w:val="16"/>
          <w:color w:val="auto"/>
        </w:rPr>
        <w:t>, of the Notes to Consolidated Financial Statements included in our Annual Report on Form 10-K for the fiscal year ended August 29, 2020</w:t>
      </w:r>
      <w:r>
        <w:rPr>
          <w:rFonts w:ascii="Arial" w:cs="Arial" w:eastAsia="Arial" w:hAnsi="Arial"/>
          <w:sz w:val="16"/>
          <w:szCs w:val="16"/>
          <w:i w:val="1"/>
          <w:iCs w:val="1"/>
          <w:color w:val="auto"/>
        </w:rPr>
        <w:t xml:space="preserve"> </w:t>
      </w:r>
      <w:r>
        <w:rPr>
          <w:rFonts w:ascii="Arial" w:cs="Arial" w:eastAsia="Arial" w:hAnsi="Arial"/>
          <w:sz w:val="16"/>
          <w:szCs w:val="16"/>
          <w:color w:val="auto"/>
        </w:rPr>
        <w:t>for additional information regarding these plans.</w:t>
      </w:r>
    </w:p>
    <w:p>
      <w:pPr>
        <w:spacing w:after="0" w:line="230"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The proportion of the assets that will fund options which expire within a year are included in Prepaid expenses and other assets in the accompanying Condensed Consolidated Balance Sheets. The remaining assets are classified as non-current and are included in Other assets.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Nonrecurring Basis</w:t>
      </w:r>
    </w:p>
    <w:p>
      <w:pPr>
        <w:spacing w:after="0" w:line="13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Company's non-financial assets, which include goodwill, intangible assets, and property, plant and equipment, are not required to be measured at fair value on a recurring basis. However, if certain triggering events occur, or if an annual impairment test is required, the Company must evaluate the non-financial asset for impairment. If an impairment has occurred, the asset is required to be recorded at the estimated fair value. No impairments were recorded for non-financial assets in the first quarter of Fiscal 2021 or the first quarter of Fiscal 2020.</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of Financial Instruments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The Company's financial instruments, other than those presented in the disclosures above, include cash, receivables, accounts payable, other payables, and long-term debt. The fair values of cash, receivables, accounts payable, and other payables approximated carrying values because of the short-term nature of these instruments. If these instruments were measured at fair value in the financial statements, they would be classified as Level 1 in the fair value hierarchy. See Note 9, </w:t>
      </w:r>
      <w:r>
        <w:rPr>
          <w:rFonts w:ascii="Arial" w:cs="Arial" w:eastAsia="Arial" w:hAnsi="Arial"/>
          <w:sz w:val="16"/>
          <w:szCs w:val="16"/>
          <w:i w:val="1"/>
          <w:iCs w:val="1"/>
          <w:color w:val="auto"/>
        </w:rPr>
        <w:t>Long-Term Debt</w:t>
      </w:r>
      <w:r>
        <w:rPr>
          <w:rFonts w:ascii="Arial" w:cs="Arial" w:eastAsia="Arial" w:hAnsi="Arial"/>
          <w:sz w:val="16"/>
          <w:szCs w:val="16"/>
          <w:color w:val="auto"/>
        </w:rPr>
        <w:t>, for information about the fair value of our long-term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5"/>
        </w:trPr>
        <w:tc>
          <w:tcPr>
            <w:tcW w:w="7860" w:type="dxa"/>
            <w:vAlign w:val="bottom"/>
          </w:tcPr>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1"/>
        </w:trPr>
        <w:tc>
          <w:tcPr>
            <w:tcW w:w="7860" w:type="dxa"/>
            <w:vAlign w:val="bottom"/>
          </w:tcPr>
          <w:p>
            <w:pPr>
              <w:spacing w:after="0"/>
              <w:rPr>
                <w:sz w:val="20"/>
                <w:szCs w:val="20"/>
                <w:color w:val="auto"/>
              </w:rPr>
            </w:pPr>
            <w:r>
              <w:rPr>
                <w:rFonts w:ascii="Arial" w:cs="Arial" w:eastAsia="Arial" w:hAnsi="Arial"/>
                <w:sz w:val="16"/>
                <w:szCs w:val="16"/>
                <w:b w:val="1"/>
                <w:bCs w:val="1"/>
                <w:color w:val="auto"/>
              </w:rPr>
              <w:t>Note 5: Inventories</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60" w:type="dxa"/>
            <w:vAlign w:val="bottom"/>
          </w:tcPr>
          <w:p>
            <w:pPr>
              <w:spacing w:after="0"/>
              <w:rPr>
                <w:sz w:val="20"/>
                <w:szCs w:val="20"/>
                <w:color w:val="auto"/>
              </w:rPr>
            </w:pPr>
            <w:r>
              <w:rPr>
                <w:rFonts w:ascii="Arial" w:cs="Arial" w:eastAsia="Arial" w:hAnsi="Arial"/>
                <w:sz w:val="16"/>
                <w:szCs w:val="16"/>
                <w:color w:val="auto"/>
              </w:rPr>
              <w:t>Inventories consist of the following:</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5"/>
                <w:szCs w:val="15"/>
                <w:color w:val="auto"/>
              </w:rPr>
            </w:pPr>
          </w:p>
        </w:tc>
        <w:tc>
          <w:tcPr>
            <w:tcW w:w="1540" w:type="dxa"/>
            <w:vAlign w:val="bottom"/>
            <w:gridSpan w:val="2"/>
          </w:tcPr>
          <w:p>
            <w:pPr>
              <w:jc w:val="center"/>
              <w:ind w:right="280"/>
              <w:spacing w:after="0" w:line="181" w:lineRule="exact"/>
              <w:rPr>
                <w:sz w:val="20"/>
                <w:szCs w:val="20"/>
                <w:color w:val="auto"/>
              </w:rPr>
            </w:pPr>
            <w:r>
              <w:rPr>
                <w:rFonts w:ascii="Arial" w:cs="Arial" w:eastAsia="Arial" w:hAnsi="Arial"/>
                <w:sz w:val="16"/>
                <w:szCs w:val="16"/>
                <w:b w:val="1"/>
                <w:bCs w:val="1"/>
                <w:color w:val="auto"/>
              </w:rPr>
              <w:t>November 28,</w:t>
            </w:r>
          </w:p>
        </w:tc>
        <w:tc>
          <w:tcPr>
            <w:tcW w:w="260" w:type="dxa"/>
            <w:vAlign w:val="bottom"/>
          </w:tcPr>
          <w:p>
            <w:pPr>
              <w:spacing w:after="0"/>
              <w:rPr>
                <w:sz w:val="15"/>
                <w:szCs w:val="15"/>
                <w:color w:val="auto"/>
              </w:rPr>
            </w:pPr>
          </w:p>
        </w:tc>
        <w:tc>
          <w:tcPr>
            <w:tcW w:w="1380" w:type="dxa"/>
            <w:vAlign w:val="bottom"/>
          </w:tcPr>
          <w:p>
            <w:pPr>
              <w:jc w:val="center"/>
              <w:ind w:right="179"/>
              <w:spacing w:after="0" w:line="181" w:lineRule="exact"/>
              <w:rPr>
                <w:sz w:val="20"/>
                <w:szCs w:val="20"/>
                <w:color w:val="auto"/>
              </w:rPr>
            </w:pPr>
            <w:r>
              <w:rPr>
                <w:rFonts w:ascii="Arial" w:cs="Arial" w:eastAsia="Arial" w:hAnsi="Arial"/>
                <w:sz w:val="16"/>
                <w:szCs w:val="16"/>
                <w:b w:val="1"/>
                <w:bCs w:val="1"/>
                <w:color w:val="auto"/>
              </w:rPr>
              <w:t>August 29,</w:t>
            </w:r>
          </w:p>
        </w:tc>
        <w:tc>
          <w:tcPr>
            <w:tcW w:w="0" w:type="dxa"/>
            <w:vAlign w:val="bottom"/>
          </w:tcPr>
          <w:p>
            <w:pPr>
              <w:spacing w:after="0"/>
              <w:rPr>
                <w:sz w:val="1"/>
                <w:szCs w:val="1"/>
                <w:color w:val="auto"/>
              </w:rPr>
            </w:pPr>
          </w:p>
        </w:tc>
      </w:tr>
      <w:tr>
        <w:trPr>
          <w:trHeight w:val="215"/>
        </w:trPr>
        <w:tc>
          <w:tcPr>
            <w:tcW w:w="78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17,141</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137,280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86,651</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152,671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114,982</w:t>
            </w:r>
          </w:p>
        </w:tc>
        <w:tc>
          <w:tcPr>
            <w:tcW w:w="0" w:type="dxa"/>
            <w:vAlign w:val="bottom"/>
          </w:tcPr>
          <w:p>
            <w:pPr>
              <w:spacing w:after="0"/>
              <w:rPr>
                <w:sz w:val="1"/>
                <w:szCs w:val="1"/>
                <w:color w:val="auto"/>
              </w:rPr>
            </w:pPr>
          </w:p>
        </w:tc>
      </w:tr>
      <w:tr>
        <w:trPr>
          <w:trHeight w:val="209"/>
        </w:trPr>
        <w:tc>
          <w:tcPr>
            <w:tcW w:w="7860" w:type="dxa"/>
            <w:vAlign w:val="bottom"/>
          </w:tcPr>
          <w:p>
            <w:pPr>
              <w:ind w:left="140"/>
              <w:spacing w:after="0"/>
              <w:rPr>
                <w:sz w:val="20"/>
                <w:szCs w:val="20"/>
                <w:color w:val="auto"/>
              </w:rPr>
            </w:pPr>
            <w:r>
              <w:rPr>
                <w:rFonts w:ascii="Arial" w:cs="Arial" w:eastAsia="Arial" w:hAnsi="Arial"/>
                <w:sz w:val="16"/>
                <w:szCs w:val="16"/>
                <w:color w:val="auto"/>
              </w:rPr>
              <w:t>Total</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299,246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218,774</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last-in, first-out ("LIFO") reserve</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36,109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35,833</w:t>
            </w:r>
          </w:p>
        </w:tc>
        <w:tc>
          <w:tcPr>
            <w:tcW w:w="0" w:type="dxa"/>
            <w:vAlign w:val="bottom"/>
          </w:tcPr>
          <w:p>
            <w:pPr>
              <w:spacing w:after="0"/>
              <w:rPr>
                <w:sz w:val="1"/>
                <w:szCs w:val="1"/>
                <w:color w:val="auto"/>
              </w:rPr>
            </w:pPr>
          </w:p>
        </w:tc>
      </w:tr>
      <w:tr>
        <w:trPr>
          <w:trHeight w:val="212"/>
        </w:trPr>
        <w:tc>
          <w:tcPr>
            <w:tcW w:w="7860" w:type="dxa"/>
            <w:vAlign w:val="bottom"/>
          </w:tcPr>
          <w:p>
            <w:pPr>
              <w:ind w:left="140"/>
              <w:spacing w:after="0"/>
              <w:rPr>
                <w:sz w:val="20"/>
                <w:szCs w:val="20"/>
                <w:color w:val="auto"/>
              </w:rPr>
            </w:pPr>
            <w:r>
              <w:rPr>
                <w:rFonts w:ascii="Arial" w:cs="Arial" w:eastAsia="Arial" w:hAnsi="Arial"/>
                <w:sz w:val="16"/>
                <w:szCs w:val="16"/>
                <w:color w:val="auto"/>
              </w:rPr>
              <w:t>Inventories,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263,137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182,941</w:t>
            </w:r>
          </w:p>
        </w:tc>
        <w:tc>
          <w:tcPr>
            <w:tcW w:w="0" w:type="dxa"/>
            <w:vAlign w:val="bottom"/>
          </w:tcPr>
          <w:p>
            <w:pPr>
              <w:spacing w:after="0"/>
              <w:rPr>
                <w:sz w:val="1"/>
                <w:szCs w:val="1"/>
                <w:color w:val="auto"/>
              </w:rPr>
            </w:pPr>
          </w:p>
        </w:tc>
      </w:tr>
      <w:tr>
        <w:trPr>
          <w:trHeight w:val="21"/>
        </w:trPr>
        <w:tc>
          <w:tcPr>
            <w:tcW w:w="7860" w:type="dxa"/>
            <w:vAlign w:val="bottom"/>
            <w:vMerge w:val="restart"/>
          </w:tcPr>
          <w:p>
            <w:pPr>
              <w:spacing w:after="0"/>
              <w:rPr>
                <w:sz w:val="20"/>
                <w:szCs w:val="20"/>
                <w:color w:val="auto"/>
              </w:rPr>
            </w:pPr>
            <w:r>
              <w:rPr>
                <w:rFonts w:ascii="Arial" w:cs="Arial" w:eastAsia="Arial" w:hAnsi="Arial"/>
                <w:sz w:val="16"/>
                <w:szCs w:val="16"/>
                <w:color w:val="auto"/>
              </w:rPr>
              <w:t>Inventory valuation methods consist of the following:</w:t>
            </w: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1"/>
        </w:trPr>
        <w:tc>
          <w:tcPr>
            <w:tcW w:w="78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5"/>
                <w:szCs w:val="15"/>
                <w:color w:val="auto"/>
              </w:rPr>
            </w:pPr>
          </w:p>
        </w:tc>
        <w:tc>
          <w:tcPr>
            <w:tcW w:w="1540" w:type="dxa"/>
            <w:vAlign w:val="bottom"/>
            <w:gridSpan w:val="2"/>
          </w:tcPr>
          <w:p>
            <w:pPr>
              <w:jc w:val="center"/>
              <w:ind w:right="280"/>
              <w:spacing w:after="0" w:line="181" w:lineRule="exact"/>
              <w:rPr>
                <w:sz w:val="20"/>
                <w:szCs w:val="20"/>
                <w:color w:val="auto"/>
              </w:rPr>
            </w:pPr>
            <w:r>
              <w:rPr>
                <w:rFonts w:ascii="Arial" w:cs="Arial" w:eastAsia="Arial" w:hAnsi="Arial"/>
                <w:sz w:val="16"/>
                <w:szCs w:val="16"/>
                <w:b w:val="1"/>
                <w:bCs w:val="1"/>
                <w:color w:val="auto"/>
              </w:rPr>
              <w:t>November 28,</w:t>
            </w:r>
          </w:p>
        </w:tc>
        <w:tc>
          <w:tcPr>
            <w:tcW w:w="260" w:type="dxa"/>
            <w:vAlign w:val="bottom"/>
          </w:tcPr>
          <w:p>
            <w:pPr>
              <w:spacing w:after="0"/>
              <w:rPr>
                <w:sz w:val="15"/>
                <w:szCs w:val="15"/>
                <w:color w:val="auto"/>
              </w:rPr>
            </w:pPr>
          </w:p>
        </w:tc>
        <w:tc>
          <w:tcPr>
            <w:tcW w:w="1380" w:type="dxa"/>
            <w:vAlign w:val="bottom"/>
          </w:tcPr>
          <w:p>
            <w:pPr>
              <w:jc w:val="center"/>
              <w:ind w:right="179"/>
              <w:spacing w:after="0" w:line="181" w:lineRule="exact"/>
              <w:rPr>
                <w:sz w:val="20"/>
                <w:szCs w:val="20"/>
                <w:color w:val="auto"/>
              </w:rPr>
            </w:pPr>
            <w:r>
              <w:rPr>
                <w:rFonts w:ascii="Arial" w:cs="Arial" w:eastAsia="Arial" w:hAnsi="Arial"/>
                <w:sz w:val="16"/>
                <w:szCs w:val="16"/>
                <w:b w:val="1"/>
                <w:bCs w:val="1"/>
                <w:color w:val="auto"/>
              </w:rPr>
              <w:t>August 29,</w:t>
            </w:r>
          </w:p>
        </w:tc>
        <w:tc>
          <w:tcPr>
            <w:tcW w:w="0" w:type="dxa"/>
            <w:vAlign w:val="bottom"/>
          </w:tcPr>
          <w:p>
            <w:pPr>
              <w:spacing w:after="0"/>
              <w:rPr>
                <w:sz w:val="1"/>
                <w:szCs w:val="1"/>
                <w:color w:val="auto"/>
              </w:rPr>
            </w:pPr>
          </w:p>
        </w:tc>
      </w:tr>
      <w:tr>
        <w:trPr>
          <w:trHeight w:val="215"/>
        </w:trPr>
        <w:tc>
          <w:tcPr>
            <w:tcW w:w="78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LIFO basis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88,675</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First-in, first-out basis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175,244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130,099</w:t>
            </w:r>
          </w:p>
        </w:tc>
        <w:tc>
          <w:tcPr>
            <w:tcW w:w="0" w:type="dxa"/>
            <w:vAlign w:val="bottom"/>
          </w:tcPr>
          <w:p>
            <w:pPr>
              <w:spacing w:after="0"/>
              <w:rPr>
                <w:sz w:val="1"/>
                <w:szCs w:val="1"/>
                <w:color w:val="auto"/>
              </w:rPr>
            </w:pPr>
          </w:p>
        </w:tc>
      </w:tr>
      <w:tr>
        <w:trPr>
          <w:trHeight w:val="238"/>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299,246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218,774</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The above value of inventories, before reduction for the LIFO reserve, approximates replacement cost at the respective dates.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Property, Plant, and Equipment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6"/>
                <w:szCs w:val="16"/>
                <w:color w:val="auto"/>
              </w:rPr>
            </w:pPr>
          </w:p>
        </w:tc>
        <w:tc>
          <w:tcPr>
            <w:tcW w:w="1540" w:type="dxa"/>
            <w:vAlign w:val="bottom"/>
            <w:gridSpan w:val="2"/>
          </w:tcPr>
          <w:p>
            <w:pPr>
              <w:ind w:left="100"/>
              <w:spacing w:after="0"/>
              <w:rPr>
                <w:sz w:val="20"/>
                <w:szCs w:val="20"/>
                <w:color w:val="auto"/>
              </w:rPr>
            </w:pPr>
            <w:r>
              <w:rPr>
                <w:rFonts w:ascii="Arial" w:cs="Arial" w:eastAsia="Arial" w:hAnsi="Arial"/>
                <w:sz w:val="16"/>
                <w:szCs w:val="16"/>
                <w:b w:val="1"/>
                <w:bCs w:val="1"/>
                <w:color w:val="auto"/>
              </w:rPr>
              <w:t>November 28,</w:t>
            </w:r>
          </w:p>
        </w:tc>
        <w:tc>
          <w:tcPr>
            <w:tcW w:w="260" w:type="dxa"/>
            <w:vAlign w:val="bottom"/>
          </w:tcPr>
          <w:p>
            <w:pPr>
              <w:spacing w:after="0"/>
              <w:rPr>
                <w:sz w:val="16"/>
                <w:szCs w:val="16"/>
                <w:color w:val="auto"/>
              </w:rPr>
            </w:pPr>
          </w:p>
        </w:tc>
        <w:tc>
          <w:tcPr>
            <w:tcW w:w="138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29,</w:t>
            </w:r>
          </w:p>
        </w:tc>
        <w:tc>
          <w:tcPr>
            <w:tcW w:w="0" w:type="dxa"/>
            <w:vAlign w:val="bottom"/>
          </w:tcPr>
          <w:p>
            <w:pPr>
              <w:spacing w:after="0"/>
              <w:rPr>
                <w:sz w:val="1"/>
                <w:szCs w:val="1"/>
                <w:color w:val="auto"/>
              </w:rPr>
            </w:pPr>
          </w:p>
        </w:tc>
      </w:tr>
      <w:tr>
        <w:trPr>
          <w:trHeight w:val="215"/>
        </w:trPr>
        <w:tc>
          <w:tcPr>
            <w:tcW w:w="78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11,101</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Buildings and building improvements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144,701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144,565</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117,370</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Software</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28,359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28,456</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Transportation</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4,913</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Construction in progress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17,907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20,778</w:t>
            </w: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plant, and equipment, gross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323,235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327,183</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152,238</w:t>
            </w:r>
          </w:p>
        </w:tc>
        <w:tc>
          <w:tcPr>
            <w:tcW w:w="0" w:type="dxa"/>
            <w:vAlign w:val="bottom"/>
          </w:tcPr>
          <w:p>
            <w:pPr>
              <w:spacing w:after="0"/>
              <w:rPr>
                <w:sz w:val="1"/>
                <w:szCs w:val="1"/>
                <w:color w:val="auto"/>
              </w:rPr>
            </w:pPr>
          </w:p>
        </w:tc>
      </w:tr>
      <w:tr>
        <w:trPr>
          <w:trHeight w:val="238"/>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171,210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174,945</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was $4.2 million and $3.6 million during the first quarters of Fiscal 2021 and 2020,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Goodwill and Intangible Assets</w:t>
      </w:r>
    </w:p>
    <w:p>
      <w:pPr>
        <w:spacing w:after="0" w:line="268" w:lineRule="exact"/>
        <w:rPr>
          <w:sz w:val="20"/>
          <w:szCs w:val="20"/>
          <w:color w:val="auto"/>
        </w:rPr>
      </w:pPr>
    </w:p>
    <w:p>
      <w:pPr>
        <w:ind w:right="500"/>
        <w:spacing w:after="0" w:line="259" w:lineRule="auto"/>
        <w:rPr>
          <w:sz w:val="20"/>
          <w:szCs w:val="20"/>
          <w:color w:val="auto"/>
        </w:rPr>
      </w:pPr>
      <w:r>
        <w:rPr>
          <w:rFonts w:ascii="Arial" w:cs="Arial" w:eastAsia="Arial" w:hAnsi="Arial"/>
          <w:sz w:val="16"/>
          <w:szCs w:val="16"/>
          <w:color w:val="auto"/>
        </w:rPr>
        <w:t>The changes in the carrying amount of goodwill by segment were as follows for the first three months of Fiscal 2021 and 2020, of which there were no accumulated impairment losses:</w:t>
      </w:r>
    </w:p>
    <w:tbl>
      <w:tblPr>
        <w:tblLayout w:type="fixed"/>
        <w:tblInd w:w="0" w:type="dxa"/>
        <w:tblCellMar>
          <w:top w:w="0" w:type="dxa"/>
          <w:left w:w="0" w:type="dxa"/>
          <w:bottom w:w="0" w:type="dxa"/>
          <w:right w:w="0" w:type="dxa"/>
        </w:tblCellMar>
      </w:tblPr>
      <w:tr>
        <w:trPr>
          <w:trHeight w:val="168"/>
        </w:trPr>
        <w:tc>
          <w:tcPr>
            <w:tcW w:w="44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4"/>
                <w:szCs w:val="14"/>
                <w:color w:val="auto"/>
              </w:rPr>
            </w:pPr>
          </w:p>
        </w:tc>
        <w:tc>
          <w:tcPr>
            <w:tcW w:w="13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Towable</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Motorhome</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ind w:left="80"/>
              <w:spacing w:after="0" w:line="168" w:lineRule="exact"/>
              <w:rPr>
                <w:sz w:val="20"/>
                <w:szCs w:val="20"/>
                <w:color w:val="auto"/>
              </w:rPr>
            </w:pPr>
            <w:r>
              <w:rPr>
                <w:rFonts w:ascii="Arial" w:cs="Arial" w:eastAsia="Arial" w:hAnsi="Arial"/>
                <w:sz w:val="16"/>
                <w:szCs w:val="16"/>
                <w:b w:val="1"/>
                <w:bCs w:val="1"/>
                <w:color w:val="auto"/>
              </w:rPr>
              <w:t>Corporate / All</w:t>
            </w:r>
          </w:p>
        </w:tc>
        <w:tc>
          <w:tcPr>
            <w:tcW w:w="360" w:type="dxa"/>
            <w:vAlign w:val="bottom"/>
          </w:tcPr>
          <w:p>
            <w:pPr>
              <w:spacing w:after="0"/>
              <w:rPr>
                <w:sz w:val="14"/>
                <w:szCs w:val="14"/>
                <w:color w:val="auto"/>
              </w:rPr>
            </w:pPr>
          </w:p>
        </w:tc>
        <w:tc>
          <w:tcPr>
            <w:tcW w:w="1260" w:type="dxa"/>
            <w:vAlign w:val="bottom"/>
            <w:vMerge w:val="restart"/>
          </w:tcPr>
          <w:p>
            <w:pPr>
              <w:jc w:val="right"/>
              <w:ind w:right="5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440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Other</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August 31, 2019</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244,684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30,247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274,931</w:t>
            </w:r>
          </w:p>
        </w:tc>
        <w:tc>
          <w:tcPr>
            <w:tcW w:w="0" w:type="dxa"/>
            <w:vAlign w:val="bottom"/>
          </w:tcPr>
          <w:p>
            <w:pPr>
              <w:spacing w:after="0"/>
              <w:rPr>
                <w:sz w:val="1"/>
                <w:szCs w:val="1"/>
                <w:color w:val="auto"/>
              </w:rPr>
            </w:pPr>
          </w:p>
        </w:tc>
      </w:tr>
      <w:tr>
        <w:trPr>
          <w:trHeight w:val="216"/>
        </w:trPr>
        <w:tc>
          <w:tcPr>
            <w:tcW w:w="4400" w:type="dxa"/>
            <w:vAlign w:val="bottom"/>
          </w:tcPr>
          <w:p>
            <w:pPr>
              <w:ind w:left="140"/>
              <w:spacing w:after="0" w:line="216" w:lineRule="exact"/>
              <w:rPr>
                <w:sz w:val="20"/>
                <w:szCs w:val="20"/>
                <w:color w:val="auto"/>
              </w:rPr>
            </w:pPr>
            <w:r>
              <w:rPr>
                <w:rFonts w:ascii="Arial" w:cs="Arial" w:eastAsia="Arial" w:hAnsi="Arial"/>
                <w:sz w:val="16"/>
                <w:szCs w:val="16"/>
                <w:color w:val="auto"/>
              </w:rPr>
              <w:t>Acquisition of Newmar</w:t>
            </w:r>
            <w:r>
              <w:rPr>
                <w:rFonts w:ascii="Arial" w:cs="Arial" w:eastAsia="Arial" w:hAnsi="Arial"/>
                <w:sz w:val="21"/>
                <w:szCs w:val="21"/>
                <w:color w:val="auto"/>
                <w:vertAlign w:val="superscript"/>
              </w:rPr>
              <w:t>(1)</w:t>
            </w:r>
          </w:p>
        </w:tc>
        <w:tc>
          <w:tcPr>
            <w:tcW w:w="3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72,909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72,909</w:t>
            </w:r>
          </w:p>
        </w:tc>
        <w:tc>
          <w:tcPr>
            <w:tcW w:w="0" w:type="dxa"/>
            <w:vAlign w:val="bottom"/>
          </w:tcPr>
          <w:p>
            <w:pPr>
              <w:spacing w:after="0"/>
              <w:rPr>
                <w:sz w:val="1"/>
                <w:szCs w:val="1"/>
                <w:color w:val="auto"/>
              </w:rPr>
            </w:pPr>
          </w:p>
        </w:tc>
      </w:tr>
      <w:tr>
        <w:trPr>
          <w:trHeight w:val="234"/>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November 30, 2019</w:t>
            </w: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244,684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30,247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347,840</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400" w:type="dxa"/>
            <w:vAlign w:val="bottom"/>
            <w:tcBorders>
              <w:bottom w:val="single" w:sz="8" w:color="CCEEFF"/>
            </w:tcBorders>
            <w:shd w:val="clear" w:color="auto" w:fill="CCEEFF"/>
          </w:tcPr>
          <w:p>
            <w:pPr>
              <w:ind w:left="20"/>
              <w:spacing w:after="0" w:line="216" w:lineRule="exact"/>
              <w:rPr>
                <w:sz w:val="20"/>
                <w:szCs w:val="20"/>
                <w:color w:val="auto"/>
              </w:rPr>
            </w:pPr>
            <w:r>
              <w:rPr>
                <w:rFonts w:ascii="Arial" w:cs="Arial" w:eastAsia="Arial" w:hAnsi="Arial"/>
                <w:sz w:val="16"/>
                <w:szCs w:val="16"/>
                <w:color w:val="auto"/>
              </w:rPr>
              <w:t>Balances at August 29, 2020 and November 28, 2020</w:t>
            </w:r>
            <w:r>
              <w:rPr>
                <w:rFonts w:ascii="Arial" w:cs="Arial" w:eastAsia="Arial" w:hAnsi="Arial"/>
                <w:sz w:val="21"/>
                <w:szCs w:val="21"/>
                <w:color w:val="auto"/>
                <w:vertAlign w:val="superscript"/>
              </w:rPr>
              <w:t>(2)</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244,684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30,247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348,058</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The change in Motorhome activity is related to the acquisition of Newmar. Refer to Note 2, </w:t>
      </w:r>
      <w:r>
        <w:rPr>
          <w:rFonts w:ascii="Arial" w:cs="Arial" w:eastAsia="Arial" w:hAnsi="Arial"/>
          <w:sz w:val="14"/>
          <w:szCs w:val="14"/>
          <w:i w:val="1"/>
          <w:iCs w:val="1"/>
          <w:color w:val="auto"/>
        </w:rPr>
        <w:t>Business Combinations,</w:t>
      </w:r>
      <w:r>
        <w:rPr>
          <w:rFonts w:ascii="Arial" w:cs="Arial" w:eastAsia="Arial" w:hAnsi="Arial"/>
          <w:sz w:val="14"/>
          <w:szCs w:val="14"/>
          <w:color w:val="auto"/>
        </w:rPr>
        <w:t xml:space="preserve"> for additional information.</w:t>
      </w:r>
    </w:p>
    <w:p>
      <w:pPr>
        <w:spacing w:after="0" w:line="69" w:lineRule="exact"/>
        <w:rPr>
          <w:rFonts w:ascii="Arial" w:cs="Arial" w:eastAsia="Arial" w:hAnsi="Arial"/>
          <w:sz w:val="14"/>
          <w:szCs w:val="14"/>
          <w:color w:val="auto"/>
        </w:rPr>
      </w:pP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There was no activity in the three months beginning August 29, 2020 and ending November 28, 2020.</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95"/>
        </w:trPr>
        <w:tc>
          <w:tcPr>
            <w:tcW w:w="2420" w:type="dxa"/>
            <w:vAlign w:val="bottom"/>
          </w:tcPr>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1"/>
        </w:trPr>
        <w:tc>
          <w:tcPr>
            <w:tcW w:w="6800" w:type="dxa"/>
            <w:vAlign w:val="bottom"/>
            <w:gridSpan w:val="8"/>
          </w:tcPr>
          <w:p>
            <w:pPr>
              <w:spacing w:after="0"/>
              <w:rPr>
                <w:sz w:val="20"/>
                <w:szCs w:val="20"/>
                <w:color w:val="auto"/>
              </w:rPr>
            </w:pPr>
            <w:r>
              <w:rPr>
                <w:rFonts w:ascii="Arial" w:cs="Arial" w:eastAsia="Arial" w:hAnsi="Arial"/>
                <w:sz w:val="16"/>
                <w:szCs w:val="16"/>
                <w:color w:val="auto"/>
              </w:rPr>
              <w:t>Other intangible assets, net of accumulated amortization, consist of the following:</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November 28, 2020</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5"/>
          </w:tcPr>
          <w:p>
            <w:pPr>
              <w:jc w:val="center"/>
              <w:ind w:right="239"/>
              <w:spacing w:after="0"/>
              <w:rPr>
                <w:sz w:val="20"/>
                <w:szCs w:val="20"/>
                <w:color w:val="auto"/>
              </w:rPr>
            </w:pPr>
            <w:r>
              <w:rPr>
                <w:rFonts w:ascii="Arial" w:cs="Arial" w:eastAsia="Arial" w:hAnsi="Arial"/>
                <w:sz w:val="16"/>
                <w:szCs w:val="16"/>
                <w:b w:val="1"/>
                <w:bCs w:val="1"/>
                <w:color w:val="auto"/>
              </w:rPr>
              <w:t>August 29, 2020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1180" w:type="dxa"/>
            <w:vAlign w:val="bottom"/>
          </w:tcPr>
          <w:p>
            <w:pPr>
              <w:jc w:val="center"/>
              <w:ind w:left="19"/>
              <w:spacing w:after="0" w:line="148" w:lineRule="exact"/>
              <w:rPr>
                <w:sz w:val="20"/>
                <w:szCs w:val="20"/>
                <w:color w:val="auto"/>
              </w:rPr>
            </w:pPr>
            <w:r>
              <w:rPr>
                <w:rFonts w:ascii="Arial" w:cs="Arial" w:eastAsia="Arial" w:hAnsi="Arial"/>
                <w:sz w:val="16"/>
                <w:szCs w:val="16"/>
                <w:b w:val="1"/>
                <w:bCs w:val="1"/>
                <w:color w:val="auto"/>
                <w:w w:val="99"/>
              </w:rPr>
              <w:t>Weighted</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2"/>
                <w:szCs w:val="12"/>
                <w:color w:val="auto"/>
              </w:rPr>
            </w:pPr>
          </w:p>
        </w:tc>
        <w:tc>
          <w:tcPr>
            <w:tcW w:w="1200" w:type="dxa"/>
            <w:vAlign w:val="bottom"/>
            <w:gridSpan w:val="2"/>
          </w:tcPr>
          <w:p>
            <w:pPr>
              <w:jc w:val="center"/>
              <w:ind w:right="120"/>
              <w:spacing w:after="0" w:line="148" w:lineRule="exact"/>
              <w:rPr>
                <w:sz w:val="20"/>
                <w:szCs w:val="20"/>
                <w:color w:val="auto"/>
              </w:rPr>
            </w:pPr>
            <w:r>
              <w:rPr>
                <w:rFonts w:ascii="Arial" w:cs="Arial" w:eastAsia="Arial" w:hAnsi="Arial"/>
                <w:sz w:val="16"/>
                <w:szCs w:val="16"/>
                <w:b w:val="1"/>
                <w:bCs w:val="1"/>
                <w:color w:val="auto"/>
                <w:w w:val="99"/>
              </w:rPr>
              <w:t>Weighted</w:t>
            </w: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Accumulated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in thousands)</w:t>
            </w:r>
          </w:p>
        </w:tc>
        <w:tc>
          <w:tcPr>
            <w:tcW w:w="128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Average Life-</w:t>
            </w:r>
          </w:p>
        </w:tc>
        <w:tc>
          <w:tcPr>
            <w:tcW w:w="340" w:type="dxa"/>
            <w:vAlign w:val="bottom"/>
          </w:tcPr>
          <w:p>
            <w:pPr>
              <w:spacing w:after="0"/>
              <w:rPr>
                <w:sz w:val="14"/>
                <w:szCs w:val="14"/>
                <w:color w:val="auto"/>
              </w:rPr>
            </w:pPr>
          </w:p>
        </w:tc>
        <w:tc>
          <w:tcPr>
            <w:tcW w:w="116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Cost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Average Life-</w:t>
            </w:r>
          </w:p>
        </w:tc>
        <w:tc>
          <w:tcPr>
            <w:tcW w:w="320" w:type="dxa"/>
            <w:vAlign w:val="bottom"/>
          </w:tcPr>
          <w:p>
            <w:pPr>
              <w:spacing w:after="0"/>
              <w:rPr>
                <w:sz w:val="14"/>
                <w:szCs w:val="14"/>
                <w:color w:val="auto"/>
              </w:rPr>
            </w:pPr>
          </w:p>
        </w:tc>
        <w:tc>
          <w:tcPr>
            <w:tcW w:w="116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Cost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4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Years</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Years</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Amortization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12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Indefinite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275,250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Indefinite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275,250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20" w:type="dxa"/>
            <w:vAlign w:val="bottom"/>
          </w:tcPr>
          <w:p>
            <w:pPr>
              <w:ind w:left="20"/>
              <w:spacing w:after="0"/>
              <w:rPr>
                <w:sz w:val="20"/>
                <w:szCs w:val="20"/>
                <w:color w:val="auto"/>
              </w:rPr>
            </w:pPr>
            <w:r>
              <w:rPr>
                <w:rFonts w:ascii="Arial" w:cs="Arial" w:eastAsia="Arial" w:hAnsi="Arial"/>
                <w:sz w:val="16"/>
                <w:szCs w:val="16"/>
                <w:color w:val="auto"/>
              </w:rPr>
              <w:t>Dealer networks</w:t>
            </w:r>
          </w:p>
        </w:tc>
        <w:tc>
          <w:tcPr>
            <w:tcW w:w="1180" w:type="dxa"/>
            <w:vAlign w:val="bottom"/>
          </w:tcPr>
          <w:p>
            <w:pPr>
              <w:jc w:val="center"/>
              <w:ind w:left="19"/>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159,581</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35,778</w:t>
            </w:r>
          </w:p>
        </w:tc>
        <w:tc>
          <w:tcPr>
            <w:tcW w:w="1180" w:type="dxa"/>
            <w:vAlign w:val="bottom"/>
            <w:gridSpan w:val="2"/>
          </w:tcPr>
          <w:p>
            <w:pPr>
              <w:jc w:val="center"/>
              <w:ind w:left="19"/>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159,581</w:t>
            </w:r>
          </w:p>
        </w:tc>
        <w:tc>
          <w:tcPr>
            <w:tcW w:w="2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32,487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Backlog</w:t>
            </w:r>
          </w:p>
        </w:tc>
        <w:tc>
          <w:tcPr>
            <w:tcW w:w="118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8"/>
              </w:rPr>
              <w:t>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28,327</w:t>
            </w:r>
          </w:p>
        </w:tc>
        <w:tc>
          <w:tcPr>
            <w:tcW w:w="11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Non-compete agreements</w:t>
            </w:r>
          </w:p>
        </w:tc>
        <w:tc>
          <w:tcPr>
            <w:tcW w:w="1180" w:type="dxa"/>
            <w:vAlign w:val="bottom"/>
            <w:tcBorders>
              <w:bottom w:val="single" w:sz="8" w:color="CCEEFF"/>
            </w:tcBorders>
          </w:tcPr>
          <w:p>
            <w:pPr>
              <w:jc w:val="center"/>
              <w:ind w:left="39"/>
              <w:spacing w:after="0"/>
              <w:rPr>
                <w:sz w:val="20"/>
                <w:szCs w:val="20"/>
                <w:color w:val="auto"/>
              </w:rPr>
            </w:pPr>
            <w:r>
              <w:rPr>
                <w:rFonts w:ascii="Arial" w:cs="Arial" w:eastAsia="Arial" w:hAnsi="Arial"/>
                <w:sz w:val="16"/>
                <w:szCs w:val="16"/>
                <w:color w:val="auto"/>
                <w:w w:val="98"/>
              </w:rPr>
              <w:t>4.3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4,522</w:t>
            </w:r>
          </w:p>
        </w:tc>
        <w:tc>
          <w:tcPr>
            <w:tcW w:w="1180" w:type="dxa"/>
            <w:vAlign w:val="bottom"/>
            <w:tcBorders>
              <w:bottom w:val="single" w:sz="8" w:color="CCEEFF"/>
            </w:tcBorders>
            <w:gridSpan w:val="2"/>
          </w:tcPr>
          <w:p>
            <w:pPr>
              <w:jc w:val="center"/>
              <w:ind w:left="39"/>
              <w:spacing w:after="0"/>
              <w:rPr>
                <w:sz w:val="20"/>
                <w:szCs w:val="20"/>
                <w:color w:val="auto"/>
              </w:rPr>
            </w:pPr>
            <w:r>
              <w:rPr>
                <w:rFonts w:ascii="Arial" w:cs="Arial" w:eastAsia="Arial" w:hAnsi="Arial"/>
                <w:sz w:val="16"/>
                <w:szCs w:val="16"/>
                <w:color w:val="auto"/>
                <w:w w:val="98"/>
              </w:rPr>
              <w:t>4.1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intangible assets, gross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469,805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68,627</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469,805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amortization</w:t>
            </w: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68,627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65,037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intangible assets, net</w:t>
            </w: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401,178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404,768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gridSpan w:val="3"/>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9580" w:type="dxa"/>
            <w:vAlign w:val="bottom"/>
            <w:gridSpan w:val="13"/>
          </w:tcPr>
          <w:p>
            <w:pPr>
              <w:spacing w:after="0"/>
              <w:rPr>
                <w:sz w:val="20"/>
                <w:szCs w:val="20"/>
                <w:color w:val="auto"/>
              </w:rPr>
            </w:pPr>
            <w:r>
              <w:rPr>
                <w:rFonts w:ascii="Arial" w:cs="Arial" w:eastAsia="Arial" w:hAnsi="Arial"/>
                <w:sz w:val="16"/>
                <w:szCs w:val="16"/>
                <w:color w:val="auto"/>
              </w:rPr>
              <w:t>The weighted average remaining amortization period for intangible assets as of November 28, 2020 was approximately 10 years.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00" w:type="dxa"/>
            <w:vAlign w:val="bottom"/>
            <w:gridSpan w:val="8"/>
          </w:tcPr>
          <w:p>
            <w:pPr>
              <w:spacing w:after="0"/>
              <w:rPr>
                <w:sz w:val="20"/>
                <w:szCs w:val="20"/>
                <w:color w:val="auto"/>
              </w:rPr>
            </w:pPr>
            <w:r>
              <w:rPr>
                <w:rFonts w:ascii="Arial" w:cs="Arial" w:eastAsia="Arial" w:hAnsi="Arial"/>
                <w:sz w:val="16"/>
                <w:szCs w:val="16"/>
                <w:color w:val="auto"/>
              </w:rPr>
              <w:t>Remaining estimated aggregate annual amortization expense by fiscal year is as follows: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9"/>
              </w:rPr>
              <w:t>Amount</w:t>
            </w: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2021</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center"/>
              <w:ind w:right="10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20" w:type="dxa"/>
            <w:vAlign w:val="bottom"/>
          </w:tcPr>
          <w:p>
            <w:pPr>
              <w:ind w:left="20"/>
              <w:spacing w:after="0"/>
              <w:rPr>
                <w:sz w:val="20"/>
                <w:szCs w:val="20"/>
                <w:color w:val="auto"/>
              </w:rPr>
            </w:pPr>
            <w:r>
              <w:rPr>
                <w:rFonts w:ascii="Arial" w:cs="Arial" w:eastAsia="Arial" w:hAnsi="Arial"/>
                <w:sz w:val="16"/>
                <w:szCs w:val="16"/>
                <w:color w:val="auto"/>
              </w:rPr>
              <w:t>Fiscal 2022</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13,719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2023</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420" w:type="dxa"/>
            <w:vAlign w:val="bottom"/>
          </w:tcPr>
          <w:p>
            <w:pPr>
              <w:ind w:left="20"/>
              <w:spacing w:after="0"/>
              <w:rPr>
                <w:sz w:val="20"/>
                <w:szCs w:val="20"/>
                <w:color w:val="auto"/>
              </w:rPr>
            </w:pPr>
            <w:r>
              <w:rPr>
                <w:rFonts w:ascii="Arial" w:cs="Arial" w:eastAsia="Arial" w:hAnsi="Arial"/>
                <w:sz w:val="16"/>
                <w:szCs w:val="16"/>
                <w:color w:val="auto"/>
              </w:rPr>
              <w:t>Fiscal 2024</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13,424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2025</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61,269</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7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Total amortization expense remaining</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center"/>
              <w:ind w:right="10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125,928</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Product Warranties</w:t>
      </w:r>
    </w:p>
    <w:p>
      <w:pPr>
        <w:spacing w:after="0" w:line="268"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The Company provides certain service and warranty on its products. From time to time, the Company also voluntarily incurs costs for certain warranty-type expenses occurring after the normal warranty period to help protect the reputation of the Company's products and the goodwill of the Company's customers. Estimated costs related to product warranty are accrued at the time of sale and are based upon historical warranty and service claims experience. Adjustments are made to accruals as claim data and cost experience becomes available.</w:t>
      </w:r>
    </w:p>
    <w:p>
      <w:pPr>
        <w:spacing w:after="0" w:line="22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In addition to the costs associated with the contractual warranty coverage provided on products, the Company also occasionally incurs costs as a result of additional service actions not covered by warranties, including product recalls and customer satisfaction actions. Although the Company estimates and reserves for the cost of these service actions, there can be no assurance that expense levels will remain at current levels or such reserves will continue to be adequate.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60" w:type="dxa"/>
            <w:vAlign w:val="bottom"/>
          </w:tcPr>
          <w:p>
            <w:pPr>
              <w:spacing w:after="0"/>
              <w:rPr>
                <w:sz w:val="20"/>
                <w:szCs w:val="20"/>
                <w:color w:val="auto"/>
              </w:rPr>
            </w:pPr>
            <w:r>
              <w:rPr>
                <w:rFonts w:ascii="Arial" w:cs="Arial" w:eastAsia="Arial" w:hAnsi="Arial"/>
                <w:sz w:val="16"/>
                <w:szCs w:val="16"/>
                <w:color w:val="auto"/>
              </w:rPr>
              <w:t>Changes in the Company's product warranty liability are as follows:</w:t>
            </w: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ind w:left="70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58"/>
        </w:trPr>
        <w:tc>
          <w:tcPr>
            <w:tcW w:w="7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3"/>
                <w:szCs w:val="13"/>
                <w:color w:val="auto"/>
              </w:rPr>
            </w:pPr>
          </w:p>
        </w:tc>
        <w:tc>
          <w:tcPr>
            <w:tcW w:w="154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November 28,</w:t>
            </w:r>
          </w:p>
        </w:tc>
        <w:tc>
          <w:tcPr>
            <w:tcW w:w="200" w:type="dxa"/>
            <w:vAlign w:val="bottom"/>
          </w:tcPr>
          <w:p>
            <w:pPr>
              <w:spacing w:after="0"/>
              <w:rPr>
                <w:sz w:val="13"/>
                <w:szCs w:val="13"/>
                <w:color w:val="auto"/>
              </w:rPr>
            </w:pPr>
          </w:p>
        </w:tc>
        <w:tc>
          <w:tcPr>
            <w:tcW w:w="1440" w:type="dxa"/>
            <w:vAlign w:val="bottom"/>
          </w:tcPr>
          <w:p>
            <w:pPr>
              <w:jc w:val="center"/>
              <w:ind w:right="99"/>
              <w:spacing w:after="0" w:line="158" w:lineRule="exact"/>
              <w:rPr>
                <w:sz w:val="20"/>
                <w:szCs w:val="20"/>
                <w:color w:val="auto"/>
              </w:rPr>
            </w:pPr>
            <w:r>
              <w:rPr>
                <w:rFonts w:ascii="Arial" w:cs="Arial" w:eastAsia="Arial" w:hAnsi="Arial"/>
                <w:sz w:val="16"/>
                <w:szCs w:val="16"/>
                <w:b w:val="1"/>
                <w:bCs w:val="1"/>
                <w:color w:val="auto"/>
              </w:rPr>
              <w:t>November 30,</w:t>
            </w:r>
          </w:p>
        </w:tc>
        <w:tc>
          <w:tcPr>
            <w:tcW w:w="0" w:type="dxa"/>
            <w:vAlign w:val="bottom"/>
          </w:tcPr>
          <w:p>
            <w:pPr>
              <w:spacing w:after="0"/>
              <w:rPr>
                <w:sz w:val="1"/>
                <w:szCs w:val="1"/>
                <w:color w:val="auto"/>
              </w:rPr>
            </w:pPr>
          </w:p>
        </w:tc>
      </w:tr>
      <w:tr>
        <w:trPr>
          <w:trHeight w:val="215"/>
        </w:trPr>
        <w:tc>
          <w:tcPr>
            <w:tcW w:w="78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w w:val="98"/>
              </w:rPr>
              <w:t>44,436</w:t>
            </w:r>
          </w:p>
        </w:tc>
        <w:tc>
          <w:tcPr>
            <w:tcW w:w="0" w:type="dxa"/>
            <w:vAlign w:val="bottom"/>
          </w:tcPr>
          <w:p>
            <w:pPr>
              <w:spacing w:after="0"/>
              <w:rPr>
                <w:sz w:val="1"/>
                <w:szCs w:val="1"/>
                <w:color w:val="auto"/>
              </w:rPr>
            </w:pPr>
          </w:p>
        </w:tc>
      </w:tr>
      <w:tr>
        <w:trPr>
          <w:trHeight w:val="216"/>
        </w:trPr>
        <w:tc>
          <w:tcPr>
            <w:tcW w:w="7860" w:type="dxa"/>
            <w:vAlign w:val="bottom"/>
          </w:tcPr>
          <w:p>
            <w:pPr>
              <w:ind w:left="140"/>
              <w:spacing w:after="0" w:line="216" w:lineRule="exact"/>
              <w:rPr>
                <w:sz w:val="20"/>
                <w:szCs w:val="20"/>
                <w:color w:val="auto"/>
              </w:rPr>
            </w:pPr>
            <w:r>
              <w:rPr>
                <w:rFonts w:ascii="Arial" w:cs="Arial" w:eastAsia="Arial" w:hAnsi="Arial"/>
                <w:sz w:val="16"/>
                <w:szCs w:val="16"/>
                <w:color w:val="auto"/>
              </w:rPr>
              <w:t>Business acquisition</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40" w:type="dxa"/>
            <w:vAlign w:val="bottom"/>
          </w:tcPr>
          <w:p>
            <w:pPr>
              <w:jc w:val="center"/>
              <w:ind w:left="719"/>
              <w:spacing w:after="0"/>
              <w:rPr>
                <w:sz w:val="20"/>
                <w:szCs w:val="20"/>
                <w:color w:val="auto"/>
              </w:rPr>
            </w:pPr>
            <w:r>
              <w:rPr>
                <w:rFonts w:ascii="Arial" w:cs="Arial" w:eastAsia="Arial" w:hAnsi="Arial"/>
                <w:sz w:val="16"/>
                <w:szCs w:val="16"/>
                <w:color w:val="auto"/>
                <w:w w:val="98"/>
              </w:rPr>
              <w:t>15,147</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Provision</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w w:val="98"/>
              </w:rPr>
              <w:t>15,318</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Claims paid</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(15,232)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left="699"/>
              <w:spacing w:after="0"/>
              <w:rPr>
                <w:sz w:val="20"/>
                <w:szCs w:val="20"/>
                <w:color w:val="auto"/>
              </w:rPr>
            </w:pPr>
            <w:r>
              <w:rPr>
                <w:rFonts w:ascii="Arial" w:cs="Arial" w:eastAsia="Arial" w:hAnsi="Arial"/>
                <w:sz w:val="16"/>
                <w:szCs w:val="16"/>
                <w:color w:val="auto"/>
              </w:rPr>
              <w:t>(13,794)</w:t>
            </w:r>
          </w:p>
        </w:tc>
        <w:tc>
          <w:tcPr>
            <w:tcW w:w="0" w:type="dxa"/>
            <w:vAlign w:val="bottom"/>
          </w:tcPr>
          <w:p>
            <w:pPr>
              <w:spacing w:after="0"/>
              <w:rPr>
                <w:sz w:val="1"/>
                <w:szCs w:val="1"/>
                <w:color w:val="auto"/>
              </w:rPr>
            </w:pPr>
          </w:p>
        </w:tc>
      </w:tr>
      <w:tr>
        <w:trPr>
          <w:trHeight w:val="23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70,502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center"/>
              <w:ind w:left="719"/>
              <w:spacing w:after="0"/>
              <w:rPr>
                <w:sz w:val="20"/>
                <w:szCs w:val="20"/>
                <w:color w:val="auto"/>
              </w:rPr>
            </w:pPr>
            <w:r>
              <w:rPr>
                <w:rFonts w:ascii="Arial" w:cs="Arial" w:eastAsia="Arial" w:hAnsi="Arial"/>
                <w:sz w:val="16"/>
                <w:szCs w:val="16"/>
                <w:color w:val="auto"/>
                <w:w w:val="98"/>
              </w:rPr>
              <w:t>61,107</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Business Combinations</w:t>
      </w:r>
      <w:r>
        <w:rPr>
          <w:rFonts w:ascii="Arial" w:cs="Arial" w:eastAsia="Arial" w:hAnsi="Arial"/>
          <w:sz w:val="14"/>
          <w:szCs w:val="14"/>
          <w:color w:val="auto"/>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5"/>
        </w:trPr>
        <w:tc>
          <w:tcPr>
            <w:tcW w:w="7860" w:type="dxa"/>
            <w:vAlign w:val="bottom"/>
          </w:tcPr>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1"/>
        </w:trPr>
        <w:tc>
          <w:tcPr>
            <w:tcW w:w="7860" w:type="dxa"/>
            <w:vAlign w:val="bottom"/>
          </w:tcPr>
          <w:p>
            <w:pPr>
              <w:spacing w:after="0"/>
              <w:rPr>
                <w:sz w:val="20"/>
                <w:szCs w:val="20"/>
                <w:color w:val="auto"/>
              </w:rPr>
            </w:pPr>
            <w:r>
              <w:rPr>
                <w:rFonts w:ascii="Arial" w:cs="Arial" w:eastAsia="Arial" w:hAnsi="Arial"/>
                <w:sz w:val="16"/>
                <w:szCs w:val="16"/>
                <w:b w:val="1"/>
                <w:bCs w:val="1"/>
                <w:color w:val="auto"/>
              </w:rPr>
              <w:t>Note 9: Long-Term Debt</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60" w:type="dxa"/>
            <w:vAlign w:val="bottom"/>
          </w:tcPr>
          <w:p>
            <w:pPr>
              <w:spacing w:after="0"/>
              <w:rPr>
                <w:sz w:val="20"/>
                <w:szCs w:val="20"/>
                <w:color w:val="auto"/>
              </w:rPr>
            </w:pPr>
            <w:r>
              <w:rPr>
                <w:rFonts w:ascii="Arial" w:cs="Arial" w:eastAsia="Arial" w:hAnsi="Arial"/>
                <w:sz w:val="16"/>
                <w:szCs w:val="16"/>
                <w:color w:val="auto"/>
              </w:rPr>
              <w:t>The components of long-term debt are as follows:</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5"/>
                <w:szCs w:val="15"/>
                <w:color w:val="auto"/>
              </w:rPr>
            </w:pPr>
          </w:p>
        </w:tc>
        <w:tc>
          <w:tcPr>
            <w:tcW w:w="1540" w:type="dxa"/>
            <w:vAlign w:val="bottom"/>
            <w:gridSpan w:val="2"/>
          </w:tcPr>
          <w:p>
            <w:pPr>
              <w:ind w:left="100"/>
              <w:spacing w:after="0" w:line="181" w:lineRule="exact"/>
              <w:rPr>
                <w:sz w:val="20"/>
                <w:szCs w:val="20"/>
                <w:color w:val="auto"/>
              </w:rPr>
            </w:pPr>
            <w:r>
              <w:rPr>
                <w:rFonts w:ascii="Arial" w:cs="Arial" w:eastAsia="Arial" w:hAnsi="Arial"/>
                <w:sz w:val="16"/>
                <w:szCs w:val="16"/>
                <w:b w:val="1"/>
                <w:bCs w:val="1"/>
                <w:color w:val="auto"/>
              </w:rPr>
              <w:t>November 28,</w:t>
            </w:r>
          </w:p>
        </w:tc>
        <w:tc>
          <w:tcPr>
            <w:tcW w:w="260" w:type="dxa"/>
            <w:vAlign w:val="bottom"/>
          </w:tcPr>
          <w:p>
            <w:pPr>
              <w:spacing w:after="0"/>
              <w:rPr>
                <w:sz w:val="15"/>
                <w:szCs w:val="15"/>
                <w:color w:val="auto"/>
              </w:rPr>
            </w:pPr>
          </w:p>
        </w:tc>
        <w:tc>
          <w:tcPr>
            <w:tcW w:w="1380" w:type="dxa"/>
            <w:vAlign w:val="bottom"/>
          </w:tcPr>
          <w:p>
            <w:pPr>
              <w:jc w:val="right"/>
              <w:ind w:right="319"/>
              <w:spacing w:after="0" w:line="181" w:lineRule="exact"/>
              <w:rPr>
                <w:sz w:val="20"/>
                <w:szCs w:val="20"/>
                <w:color w:val="auto"/>
              </w:rPr>
            </w:pPr>
            <w:r>
              <w:rPr>
                <w:rFonts w:ascii="Arial" w:cs="Arial" w:eastAsia="Arial" w:hAnsi="Arial"/>
                <w:sz w:val="16"/>
                <w:szCs w:val="16"/>
                <w:b w:val="1"/>
                <w:bCs w:val="1"/>
                <w:color w:val="auto"/>
              </w:rPr>
              <w:t>August 29,</w:t>
            </w:r>
          </w:p>
        </w:tc>
        <w:tc>
          <w:tcPr>
            <w:tcW w:w="0" w:type="dxa"/>
            <w:vAlign w:val="bottom"/>
          </w:tcPr>
          <w:p>
            <w:pPr>
              <w:spacing w:after="0"/>
              <w:rPr>
                <w:sz w:val="1"/>
                <w:szCs w:val="1"/>
                <w:color w:val="auto"/>
              </w:rPr>
            </w:pPr>
          </w:p>
        </w:tc>
      </w:tr>
      <w:tr>
        <w:trPr>
          <w:trHeight w:val="215"/>
        </w:trPr>
        <w:tc>
          <w:tcPr>
            <w:tcW w:w="78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ABL Credit Facility</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Senior Secured Notes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Notes</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209"/>
        </w:trPr>
        <w:tc>
          <w:tcPr>
            <w:tcW w:w="7860" w:type="dxa"/>
            <w:vAlign w:val="bottom"/>
          </w:tcPr>
          <w:p>
            <w:pPr>
              <w:ind w:left="140"/>
              <w:spacing w:after="0"/>
              <w:rPr>
                <w:sz w:val="20"/>
                <w:szCs w:val="20"/>
                <w:color w:val="auto"/>
              </w:rPr>
            </w:pPr>
            <w:r>
              <w:rPr>
                <w:rFonts w:ascii="Arial" w:cs="Arial" w:eastAsia="Arial" w:hAnsi="Arial"/>
                <w:sz w:val="16"/>
                <w:szCs w:val="16"/>
                <w:color w:val="auto"/>
              </w:rPr>
              <w:t>Long-term debt, gross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600,000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600,000</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Notes unamortized interest discount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(74,294)</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Debt issuance costs, net</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(12,530)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(13,076)</w:t>
            </w:r>
          </w:p>
        </w:tc>
        <w:tc>
          <w:tcPr>
            <w:tcW w:w="0" w:type="dxa"/>
            <w:vAlign w:val="bottom"/>
          </w:tcPr>
          <w:p>
            <w:pPr>
              <w:spacing w:after="0"/>
              <w:rPr>
                <w:sz w:val="1"/>
                <w:szCs w:val="1"/>
                <w:color w:val="auto"/>
              </w:rPr>
            </w:pPr>
          </w:p>
        </w:tc>
      </w:tr>
      <w:tr>
        <w:trPr>
          <w:trHeight w:val="238"/>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Long-term debt,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516,527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512,630</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Agreements</w:t>
      </w:r>
    </w:p>
    <w:p>
      <w:pPr>
        <w:spacing w:after="0" w:line="133"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On July 8, 2020, the Company closed its private offering (the “Senior Secured Notes Offering”) of $300 million aggregate principal amount of 6.25% Senior Secured Notes due 2028 (the “Senior Secured Notes”). The Senior Secured Notes were issued in accordance with an Indenture dated as of July 8, 2020 (the “Indenture”). The Senior Secured Notes will mature on July 15, 2028 unless earlier redeemed or repurchased. Interest on the Senior Secured Notes accrues starting July 8, 2020 and is payable semi-annually in arrears on January 15 and July 15 of each year, beginning January 15, 2021. The Senior Secured Notes and the related guarantees are secured by (i) a first-priority lien on substantially all of the Company’s and the subsidiary guarantor parties' existing and future assets (other than certain collateral under the Company’s ABL facility) and (ii) a second-priority lien on the Company’s present and future accounts and receivables, inventory and other related assets and proceeds that secure the ABL facility on a first-priority basis.</w:t>
      </w:r>
    </w:p>
    <w:p>
      <w:pPr>
        <w:spacing w:after="0" w:line="23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Indenture limits certain abilities of the Company and its subsidiaries (subject to certain exceptions and qualifications) to incur additional debt and provide additional guarantees; make restricted payments; create or permit certain liens; make certain asset sales; use the proceeds from the sale of assets and subsidiary stock; create or permit restrictions on the ability of the Company’s restricted subsidiaries to pay dividends or make other inter-company distributions; engage in certain transactions with affiliates; designate subsidiaries as unrestricted subsidiaries; and consolidate, merge or transfer all or substantially all of the Company’s assets and the assets of its restricted subsidiaries.</w:t>
      </w:r>
    </w:p>
    <w:p>
      <w:pPr>
        <w:spacing w:after="0" w:line="230"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The Company amortizes debt issuance costs on a straight-line basis over the term of the associated debt agreement. If early principal payments are made on the Senior Secured Notes, a proportional amount of the unamortized issuance costs is expensed. As part of the Senior Secured Notes Offering, the Company capitalized $7.3 million in debt issuance costs that will be amortized over the eight-year term of the agreement.</w:t>
      </w:r>
    </w:p>
    <w:p>
      <w:pPr>
        <w:spacing w:after="0" w:line="228"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On November 8, 2016, the Company entered into an asset-based revolving credit agreement ("ABL") and a loan agreement ("Term Loan") with JPMorgan Chase Bank, N.A. ("JPMorgan Chase"), as administrative agent and certain lenders from time to time party thereto. The remaining principal balance of the Term Loan as of July 8, 2020 was $249.8 million, which was repaid with the proceeds from the Senior Secured Notes, and debt issuance costs of $4.7 million were written off upon repayment. In addition, the interest rate swaps with a liability position of $0.6 million hedging the Term Loan interest rates were settled early in July 2020.</w:t>
      </w:r>
    </w:p>
    <w:p>
      <w:pPr>
        <w:spacing w:after="0" w:line="230"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Under the ABL, the Company has a $192.5 million credit facility that matures on October 22, 2024 (subject to certain factors which may accelerate the maturity date) on a revolving basis, subject to availability under a borrowing base consisting of eligible accounts receivable and eligible inventory. The ABL is available for issuance of letters of credit to a specified limit of $19.3 million. The Company pays a commitment fee of 0.25% on the average daily amount of the facility available, but unused. The Company can elect to base the interest rate on various rates plus specific spreads depending on the amount of borrowings outstanding. If drawn, the Company would pay interest on ABL borrowings at a floating rate based upon LIBOR plus a spread of between 1.25% and 1.75%, depending on the usage of the facility during the most recent quarter. Based on current usage, the Company would pay LIBOR plus 1.25%.</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Convertible Notes</w:t>
      </w:r>
    </w:p>
    <w:p>
      <w:pPr>
        <w:spacing w:after="0" w:line="133"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On November 1, 2019, the Company issued $300.0 million in aggregate principal amount of 1.5% unsecured convertible senior notes due 2025 (“Convertible Notes”). The net proceeds from the issuance of the Convertible Notes, after deducting the initial purchasers' transaction fees and offering expense payable by the Company, were approximately $290.2 million. The Convertible Notes bear interest at the annual rate of 1.5%, payable on April 1 and October 1 of each year, beginning on April 1, 2020, and will mature on April 1, 2025, unless earlier converted or repurchased by the Company.</w:t>
      </w:r>
    </w:p>
    <w:p>
      <w:pPr>
        <w:spacing w:after="0" w:line="229"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Convertible Notes will be convertible into cash, shares of the Company's common stock or a combination thereof, at the election of the Company, at an initial conversion rate of 15.6906 shares of common stock per $1,000 principal amount of</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Convertible Notes, which is equivalent to an initial conversion price of approximately $63.73 per share, as adjusted pursuant to the terms of the indenture governing the Convertible Notes. The Convertible Notes may be converted at any time on or after October 1, 2024, until the close of business on the second scheduled trading day immediately preceding the maturity date.</w:t>
      </w:r>
    </w:p>
    <w:p>
      <w:pPr>
        <w:spacing w:after="0" w:line="228"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The conversion rate of the Convertible Notes may be adjusted in certain circumstances, including in connection with a conversion of the Convertible Notes made following certain fundamental changes and under other circumstances set forth in the indenture. It is the Company's current intent to settle all conversions of the Convertible Notes through settlement of cash.</w:t>
      </w:r>
    </w:p>
    <w:p>
      <w:pPr>
        <w:spacing w:after="0" w:line="22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Prior to the close of business on the business day immediately preceding October 1, 2024, the Convertible Notes will be convertible only under the following circumstances:</w:t>
      </w:r>
    </w:p>
    <w:p>
      <w:pPr>
        <w:spacing w:after="0" w:line="222" w:lineRule="exact"/>
        <w:rPr>
          <w:sz w:val="20"/>
          <w:szCs w:val="20"/>
          <w:color w:val="auto"/>
        </w:rPr>
      </w:pPr>
    </w:p>
    <w:p>
      <w:pPr>
        <w:ind w:left="660" w:right="700" w:hanging="4"/>
        <w:spacing w:after="0" w:line="246" w:lineRule="auto"/>
        <w:tabs>
          <w:tab w:leader="none" w:pos="903" w:val="left"/>
        </w:tabs>
        <w:numPr>
          <w:ilvl w:val="0"/>
          <w:numId w:val="6"/>
        </w:numPr>
        <w:rPr>
          <w:rFonts w:ascii="Arial" w:cs="Arial" w:eastAsia="Arial" w:hAnsi="Arial"/>
          <w:sz w:val="16"/>
          <w:szCs w:val="16"/>
          <w:color w:val="auto"/>
        </w:rPr>
      </w:pPr>
      <w:r>
        <w:rPr>
          <w:rFonts w:ascii="Arial" w:cs="Arial" w:eastAsia="Arial" w:hAnsi="Arial"/>
          <w:sz w:val="16"/>
          <w:szCs w:val="16"/>
          <w:color w:val="auto"/>
        </w:rPr>
        <w:t>during any fiscal quarter commencing after December 31, 2019 if the closing sale price of the common stock is more than 130% of the applicable conversion price on each applicable trading day for at least 20 trading days (whether or not consecutive) during a period of 30 consecutive trading days ending on, and including, the last trading day of the immediately preceding calendar quarter;</w:t>
      </w:r>
    </w:p>
    <w:p>
      <w:pPr>
        <w:spacing w:after="0" w:line="1" w:lineRule="exact"/>
        <w:rPr>
          <w:rFonts w:ascii="Arial" w:cs="Arial" w:eastAsia="Arial" w:hAnsi="Arial"/>
          <w:sz w:val="16"/>
          <w:szCs w:val="16"/>
          <w:color w:val="auto"/>
        </w:rPr>
      </w:pPr>
    </w:p>
    <w:p>
      <w:pPr>
        <w:ind w:left="660" w:hanging="4"/>
        <w:spacing w:after="0" w:line="246" w:lineRule="auto"/>
        <w:tabs>
          <w:tab w:leader="none" w:pos="903" w:val="left"/>
        </w:tabs>
        <w:numPr>
          <w:ilvl w:val="0"/>
          <w:numId w:val="6"/>
        </w:numPr>
        <w:rPr>
          <w:rFonts w:ascii="Arial" w:cs="Arial" w:eastAsia="Arial" w:hAnsi="Arial"/>
          <w:sz w:val="16"/>
          <w:szCs w:val="16"/>
          <w:color w:val="auto"/>
        </w:rPr>
      </w:pPr>
      <w:r>
        <w:rPr>
          <w:rFonts w:ascii="Arial" w:cs="Arial" w:eastAsia="Arial" w:hAnsi="Arial"/>
          <w:sz w:val="16"/>
          <w:szCs w:val="16"/>
          <w:color w:val="auto"/>
        </w:rPr>
        <w:t>during the five consecutive business day period after any five consecutive trading day period (the "measurement period") in which the trading price per $1,000 principal amount of Convertible Notes for each trading day of the measurement period was less than 98% of the product of the last reported sale price of the common stock and the conversion rate for the Convertible Notes on each such trading day; or</w:t>
      </w:r>
    </w:p>
    <w:p>
      <w:pPr>
        <w:spacing w:after="0" w:line="1" w:lineRule="exact"/>
        <w:rPr>
          <w:rFonts w:ascii="Arial" w:cs="Arial" w:eastAsia="Arial" w:hAnsi="Arial"/>
          <w:sz w:val="16"/>
          <w:szCs w:val="16"/>
          <w:color w:val="auto"/>
        </w:rPr>
      </w:pPr>
    </w:p>
    <w:p>
      <w:pPr>
        <w:ind w:left="900" w:hanging="244"/>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upon the occurrence of certain specified corporate events set forth in the indenture.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Company may not redeem the Convertible Notes at its option prior to the maturity date, and no sinking fund is provided for the Convertible Notes.</w:t>
      </w:r>
    </w:p>
    <w:p>
      <w:pPr>
        <w:spacing w:after="0" w:line="248"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On October 29, 2019 and October 30, 2019, in connection with the offering of the Convertible Notes, the Company entered into privately negotiated convertible note hedge transactions (collectively, the “Hedge Transactions”) that cover, subject to customary anti-dilution adjustments, the number of shares of the Company's common stock that initially underlie the Convertible Notes, and are expected generally to reduce the potential dilution and/or offset any cash payments the Company is required to make in excess of the principal amount due, as the case may be, upon conversion of the Convertible Notes in the event that the market price of the Company's common stock is greater than the strike price of the Hedge Transactions, which was initially $63.73 per share (subject to adjustment under the terms of the Hedge Transactions), corresponding to the initial conversion price of the Convertible Notes.</w:t>
      </w:r>
    </w:p>
    <w:p>
      <w:pPr>
        <w:spacing w:after="0" w:line="232"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On October 29, 2019 and October 30, 2019, the Company also entered into privately negotiated warrant transactions (collectively, the “Warrant Transactions” and, together with the Hedge Transactions, the “Call Spread Transactions”), whereby the Company sold warrants at a higher strike price relating to the same number of shares of the Company's common stock that initially underlie the Convertible Notes, subject to customary anti-dilution adjustments. The initial strike price of the warrants is $96.20 per share (subject to adjustment under the terms of the Warrant Transactions), which is 100% above the last reported sale price of the Company's common stock on October 29, 2019. The Warrant Transactions could have a dilutive effect to the Company's stockholders to the extent that the market price per share of the Company's common stock, as measured under the terms of the Warrant Transactions, exceeds the applicable strike price of the warrants.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Company used $28.6 million of the net proceeds from the issuance of the Convertible Notes to pay the cost of the Call Spread Transactions.</w:t>
      </w:r>
    </w:p>
    <w:p>
      <w:pPr>
        <w:spacing w:after="0" w:line="194"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The Hedge Transactions and the Warrant Transactions are separate transactions, in each case, and are not part of the terms of the Convertible Notes and will not affect any holder’s rights under the Convertible Notes. Holders of the Convertible Notes will not have any rights with respect to the Call Spread Transactions.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Treatment of the Convertible Notes and Related Hedge Transactions and Warrant Transactions</w:t>
      </w:r>
    </w:p>
    <w:p>
      <w:pPr>
        <w:spacing w:after="0" w:line="75"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The Call Spread Transactions were classified as equity. The Company bifurcated the proceeds from the offering of the Convertible Notes between liability and equity components. On the date of issuance, the liability and equity components were calculated to be approximately $215.0 million and $85.0 million, respectively. The initial $215.0 million liability component was determined based on the fair value of similar debt instruments excluding the conversion feature assuming a hypothetical interest rate of 8%. The initial $85.0 million ($64.1 million net of tax) equity component represents the difference between the fair value of the initial $215.0 million in debt and the $300.0 million of gross proceeds. The related initial debt discount of $85.0 million is being amortized over the life of the Convertible Notes as non-cash interest expense using the effective interest method.</w:t>
      </w:r>
    </w:p>
    <w:p>
      <w:pPr>
        <w:spacing w:after="0" w:line="23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 connection with the above-noted transactions, the Company incurred approximately $9.8 million of offering-related costs. These offering fees were allocated to the liability and equity components in proportion to the allocation of proceeds and accounted for as debt and equity issuance costs, respectively. The Company allocated $7.0 million of debt issuance costs to the liability component, which were capitalized as deferred financing costs within Long-term debt. These costs are being amortized as interest expense over the term of the debt using the effective interest method. The remaining $2.8 million of transaction costs allocated to the equity component were recorded as a reduction of the equity 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and Future Maturities</w:t>
      </w:r>
    </w:p>
    <w:p>
      <w:pPr>
        <w:spacing w:after="0" w:line="133"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As of November 28, 2020, the fair value of long-term debt, gross, was $655.0 million. As of August 29, 2020, the fair value of long-term debt, gross, was $674.7 million.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60" w:type="dxa"/>
            <w:vAlign w:val="bottom"/>
          </w:tcPr>
          <w:p>
            <w:pPr>
              <w:spacing w:after="0"/>
              <w:rPr>
                <w:sz w:val="20"/>
                <w:szCs w:val="20"/>
                <w:color w:val="auto"/>
              </w:rPr>
            </w:pPr>
            <w:r>
              <w:rPr>
                <w:rFonts w:ascii="Arial" w:cs="Arial" w:eastAsia="Arial" w:hAnsi="Arial"/>
                <w:sz w:val="16"/>
                <w:szCs w:val="16"/>
                <w:color w:val="auto"/>
              </w:rPr>
              <w:t>Aggregate contractual maturities of debt in future fiscal years are as follows:</w:t>
            </w: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2021</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Fiscal 2022</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2023</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Fiscal 2024</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2025</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2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238"/>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Term Loan and Convertible Notes</w:t>
            </w: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Note 10: Employee and Retiree Benefits</w:t>
            </w: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78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60" w:type="dxa"/>
            <w:vAlign w:val="bottom"/>
          </w:tcPr>
          <w:p>
            <w:pPr>
              <w:spacing w:after="0"/>
              <w:rPr>
                <w:sz w:val="20"/>
                <w:szCs w:val="20"/>
                <w:color w:val="auto"/>
              </w:rPr>
            </w:pPr>
            <w:r>
              <w:rPr>
                <w:rFonts w:ascii="Arial" w:cs="Arial" w:eastAsia="Arial" w:hAnsi="Arial"/>
                <w:sz w:val="16"/>
                <w:szCs w:val="16"/>
                <w:color w:val="auto"/>
              </w:rPr>
              <w:t>Deferred compensation liabilities are as follows:</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5"/>
                <w:szCs w:val="15"/>
                <w:color w:val="auto"/>
              </w:rPr>
            </w:pPr>
          </w:p>
        </w:tc>
        <w:tc>
          <w:tcPr>
            <w:tcW w:w="1540" w:type="dxa"/>
            <w:vAlign w:val="bottom"/>
            <w:gridSpan w:val="2"/>
          </w:tcPr>
          <w:p>
            <w:pPr>
              <w:ind w:left="100"/>
              <w:spacing w:after="0" w:line="181" w:lineRule="exact"/>
              <w:rPr>
                <w:sz w:val="20"/>
                <w:szCs w:val="20"/>
                <w:color w:val="auto"/>
              </w:rPr>
            </w:pPr>
            <w:r>
              <w:rPr>
                <w:rFonts w:ascii="Arial" w:cs="Arial" w:eastAsia="Arial" w:hAnsi="Arial"/>
                <w:sz w:val="16"/>
                <w:szCs w:val="16"/>
                <w:b w:val="1"/>
                <w:bCs w:val="1"/>
                <w:color w:val="auto"/>
              </w:rPr>
              <w:t>November 28,</w:t>
            </w:r>
          </w:p>
        </w:tc>
        <w:tc>
          <w:tcPr>
            <w:tcW w:w="260" w:type="dxa"/>
            <w:vAlign w:val="bottom"/>
          </w:tcPr>
          <w:p>
            <w:pPr>
              <w:spacing w:after="0"/>
              <w:rPr>
                <w:sz w:val="15"/>
                <w:szCs w:val="15"/>
                <w:color w:val="auto"/>
              </w:rPr>
            </w:pPr>
          </w:p>
        </w:tc>
        <w:tc>
          <w:tcPr>
            <w:tcW w:w="1380" w:type="dxa"/>
            <w:vAlign w:val="bottom"/>
          </w:tcPr>
          <w:p>
            <w:pPr>
              <w:jc w:val="center"/>
              <w:ind w:right="179"/>
              <w:spacing w:after="0" w:line="181" w:lineRule="exact"/>
              <w:rPr>
                <w:sz w:val="20"/>
                <w:szCs w:val="20"/>
                <w:color w:val="auto"/>
              </w:rPr>
            </w:pPr>
            <w:r>
              <w:rPr>
                <w:rFonts w:ascii="Arial" w:cs="Arial" w:eastAsia="Arial" w:hAnsi="Arial"/>
                <w:sz w:val="16"/>
                <w:szCs w:val="16"/>
                <w:b w:val="1"/>
                <w:bCs w:val="1"/>
                <w:color w:val="auto"/>
              </w:rPr>
              <w:t>August 29,</w:t>
            </w:r>
          </w:p>
        </w:tc>
        <w:tc>
          <w:tcPr>
            <w:tcW w:w="0" w:type="dxa"/>
            <w:vAlign w:val="bottom"/>
          </w:tcPr>
          <w:p>
            <w:pPr>
              <w:spacing w:after="0"/>
              <w:rPr>
                <w:sz w:val="1"/>
                <w:szCs w:val="1"/>
                <w:color w:val="auto"/>
              </w:rPr>
            </w:pPr>
          </w:p>
        </w:tc>
      </w:tr>
      <w:tr>
        <w:trPr>
          <w:trHeight w:val="215"/>
        </w:trPr>
        <w:tc>
          <w:tcPr>
            <w:tcW w:w="78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Non-qualified deferred compensation</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11,460</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Supplemental executive retirement plan</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1,838</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 deferred compensation plan</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0" w:type="dxa"/>
            <w:vAlign w:val="bottom"/>
          </w:tcPr>
          <w:p>
            <w:pPr>
              <w:spacing w:after="0"/>
              <w:rPr>
                <w:sz w:val="1"/>
                <w:szCs w:val="1"/>
                <w:color w:val="auto"/>
              </w:rPr>
            </w:pPr>
          </w:p>
        </w:tc>
      </w:tr>
      <w:tr>
        <w:trPr>
          <w:trHeight w:val="210"/>
        </w:trPr>
        <w:tc>
          <w:tcPr>
            <w:tcW w:w="7860" w:type="dxa"/>
            <w:vAlign w:val="bottom"/>
          </w:tcPr>
          <w:p>
            <w:pPr>
              <w:ind w:left="140"/>
              <w:spacing w:after="0"/>
              <w:rPr>
                <w:sz w:val="20"/>
                <w:szCs w:val="20"/>
                <w:color w:val="auto"/>
              </w:rPr>
            </w:pPr>
            <w:r>
              <w:rPr>
                <w:rFonts w:ascii="Arial" w:cs="Arial" w:eastAsia="Arial" w:hAnsi="Arial"/>
                <w:sz w:val="16"/>
                <w:szCs w:val="16"/>
                <w:color w:val="auto"/>
              </w:rPr>
              <w:t>Deferred compensation benefits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13,728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14,008</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Less current portion</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2,878</w:t>
            </w:r>
          </w:p>
        </w:tc>
        <w:tc>
          <w:tcPr>
            <w:tcW w:w="0" w:type="dxa"/>
            <w:vAlign w:val="bottom"/>
          </w:tcPr>
          <w:p>
            <w:pPr>
              <w:spacing w:after="0"/>
              <w:rPr>
                <w:sz w:val="1"/>
                <w:szCs w:val="1"/>
                <w:color w:val="auto"/>
              </w:rPr>
            </w:pPr>
          </w:p>
        </w:tc>
      </w:tr>
      <w:tr>
        <w:trPr>
          <w:trHeight w:val="209"/>
        </w:trPr>
        <w:tc>
          <w:tcPr>
            <w:tcW w:w="7860" w:type="dxa"/>
            <w:vAlign w:val="bottom"/>
          </w:tcPr>
          <w:p>
            <w:pPr>
              <w:ind w:left="140"/>
              <w:spacing w:after="0"/>
              <w:rPr>
                <w:sz w:val="20"/>
                <w:szCs w:val="20"/>
                <w:color w:val="auto"/>
              </w:rPr>
            </w:pPr>
            <w:r>
              <w:rPr>
                <w:rFonts w:ascii="Arial" w:cs="Arial" w:eastAsia="Arial" w:hAnsi="Arial"/>
                <w:sz w:val="16"/>
                <w:szCs w:val="16"/>
                <w:color w:val="auto"/>
              </w:rPr>
              <w:t>Deferred compensation benefits, net of current portion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10,884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11,130</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(1) Included in Accrued compensation on the Condensed Consolidated Balance Sheets.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Contingent Liabilities and Commitments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25"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auto"/>
        </w:rPr>
        <w:t>Generally, manufacturers in the same industries as the Company enter into repurchase agreements with lending institutions which have provided wholesale floorplan financing to dealers. Most dealers are financed on a "floorplan" basis under which a bank or finance company lends the dealer all, or substantially all, of the purchase price, collateralized by a security interest in the units purchased.</w:t>
      </w:r>
    </w:p>
    <w:p>
      <w:pPr>
        <w:spacing w:after="0" w:line="228"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The Company's repurchase agreements generally provide that, in the event of default by the dealer on the agreement to pay the lending institution, Winnebago Industries will repurchase the financed merchandise. The terms of these agreements, which generally can last up to 24 months, provide that the Company's liability will be the lesser of remaining principal owed by the dealer to the lending institution, or dealer invoice less periodic reductions based on the time since the date of the original invoice. The Company's liability cannot exceed 100% of the dealer invoice. In certain instances, the Company also repurchases inventory from dealers due to state law or regulatory requirements that govern voluntary or involuntary relationship terminations. Although laws vary from state to state, some states have laws in place that require manufacturers of recreational vehicles or boats to repurchase current inventory if a dealership exits the business. The total contingent liability on all repurchase agreements of the Company was approximately $760.7 million and $798.9 million at November 28, 2020 and August 29, 2020, respectively.</w:t>
      </w:r>
    </w:p>
    <w:p>
      <w:pPr>
        <w:spacing w:after="0" w:line="23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Repurchased sales are not recorded as a revenue transaction, but the net difference between the original repurchase price and the resale price are recorded against the loss reserve, which is a deduction from gross revenue. The Company's loss reserve for repurchase commitments contains uncertainties because the calculation requires management to make assumptions and apply judgment regarding a number of factors. The Company's risk of loss related to these repurchase commitments is significantly reduced by the potential resale value of any products that are subject to repurchase and is spread over numerous dealers and lenders. The aggregate contingent liability related to the Company's repurchase agreements represents all financed dealer inventory at the period reporting date subject to a repurchase agreement, net of the greater of periodic reductions per the agreement or dealer principal payments. Based on these repurchase agreements and the Company's historical loss experience, an associated loss reserve is established which is included in Accrued expenses: Other on the Condensed Consolidated Balance Sheets. The Company's repurchase accrual was $0.9 million and $1.0 million at November 28, 2020 and August 29, 2020, respectively. Repurchase risk is affected by the credit worthiness of the Company's dealer network, and management does not believe there is a reasonable likelihood that there will be a material change in the estimates or assumptions used to establish the loss reserve for repurchase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There was no material activity related to repurchase agreements during the three months ended November 28, 2020 and November 30, 2019.</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133"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Company is involved in various legal proceedings which are ordinary and routine litigation incidental to the business, some of which are covered in whole or in part by insurance. While the Company believes the ultimate disposition of litigation will not have a material adverse effect on the Company's financial position, results of operations or liquidity, there exists the possibility that such litigation may have an impact on the Company's results for a particular reporting period in which litigation effects become probable and reasonably estimable. Though the Company does not believe there is a reasonable likelihood that there will be a material change related to these matters, litigation is subject to inherent uncertainties and management’s view of these matters may change in the future.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Revenue</w:t>
      </w:r>
    </w:p>
    <w:p>
      <w:pPr>
        <w:spacing w:after="0" w:line="268" w:lineRule="exact"/>
        <w:rPr>
          <w:sz w:val="20"/>
          <w:szCs w:val="20"/>
          <w:color w:val="auto"/>
        </w:rPr>
      </w:pPr>
    </w:p>
    <w:p>
      <w:pPr>
        <w:jc w:val="both"/>
        <w:ind w:right="220"/>
        <w:spacing w:after="0" w:line="253" w:lineRule="auto"/>
        <w:rPr>
          <w:sz w:val="20"/>
          <w:szCs w:val="20"/>
          <w:color w:val="auto"/>
        </w:rPr>
      </w:pPr>
      <w:r>
        <w:rPr>
          <w:rFonts w:ascii="Arial" w:cs="Arial" w:eastAsia="Arial" w:hAnsi="Arial"/>
          <w:sz w:val="16"/>
          <w:szCs w:val="16"/>
          <w:color w:val="auto"/>
        </w:rPr>
        <w:t>The Company generates all operating revenue from contracts with customers. The Company's primary source of revenue is generated through the sale of manufactured motorized units, non-motorized towable units, and marine units to the Company's independent dealer network (the Company's customers). The following table disaggregates revenue by reportable segment and product category:</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58"/>
        </w:trPr>
        <w:tc>
          <w:tcPr>
            <w:tcW w:w="7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3"/>
                <w:szCs w:val="13"/>
                <w:color w:val="auto"/>
              </w:rPr>
            </w:pPr>
          </w:p>
        </w:tc>
        <w:tc>
          <w:tcPr>
            <w:tcW w:w="154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November 28,</w:t>
            </w:r>
          </w:p>
        </w:tc>
        <w:tc>
          <w:tcPr>
            <w:tcW w:w="200" w:type="dxa"/>
            <w:vAlign w:val="bottom"/>
          </w:tcPr>
          <w:p>
            <w:pPr>
              <w:spacing w:after="0"/>
              <w:rPr>
                <w:sz w:val="13"/>
                <w:szCs w:val="13"/>
                <w:color w:val="auto"/>
              </w:rPr>
            </w:pPr>
          </w:p>
        </w:tc>
        <w:tc>
          <w:tcPr>
            <w:tcW w:w="1440" w:type="dxa"/>
            <w:vAlign w:val="bottom"/>
          </w:tcPr>
          <w:p>
            <w:pPr>
              <w:jc w:val="right"/>
              <w:ind w:right="199"/>
              <w:spacing w:after="0" w:line="158" w:lineRule="exact"/>
              <w:rPr>
                <w:sz w:val="20"/>
                <w:szCs w:val="20"/>
                <w:color w:val="auto"/>
              </w:rPr>
            </w:pPr>
            <w:r>
              <w:rPr>
                <w:rFonts w:ascii="Arial" w:cs="Arial" w:eastAsia="Arial" w:hAnsi="Arial"/>
                <w:sz w:val="16"/>
                <w:szCs w:val="16"/>
                <w:b w:val="1"/>
                <w:bCs w:val="1"/>
                <w:color w:val="auto"/>
              </w:rPr>
              <w:t>November 30,</w:t>
            </w:r>
          </w:p>
        </w:tc>
        <w:tc>
          <w:tcPr>
            <w:tcW w:w="0" w:type="dxa"/>
            <w:vAlign w:val="bottom"/>
          </w:tcPr>
          <w:p>
            <w:pPr>
              <w:spacing w:after="0"/>
              <w:rPr>
                <w:sz w:val="1"/>
                <w:szCs w:val="1"/>
                <w:color w:val="auto"/>
              </w:rPr>
            </w:pPr>
          </w:p>
        </w:tc>
      </w:tr>
      <w:tr>
        <w:trPr>
          <w:trHeight w:val="215"/>
        </w:trPr>
        <w:tc>
          <w:tcPr>
            <w:tcW w:w="78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Towable:</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Fifth Wheel</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240,448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195,189</w:t>
            </w:r>
          </w:p>
        </w:tc>
        <w:tc>
          <w:tcPr>
            <w:tcW w:w="0" w:type="dxa"/>
            <w:vAlign w:val="bottom"/>
          </w:tcPr>
          <w:p>
            <w:pPr>
              <w:spacing w:after="0"/>
              <w:rPr>
                <w:sz w:val="1"/>
                <w:szCs w:val="1"/>
                <w:color w:val="auto"/>
              </w:rPr>
            </w:pP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Travel Trailer</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208,596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140,463</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5,598</w:t>
            </w:r>
          </w:p>
        </w:tc>
        <w:tc>
          <w:tcPr>
            <w:tcW w:w="0" w:type="dxa"/>
            <w:vAlign w:val="bottom"/>
          </w:tcPr>
          <w:p>
            <w:pPr>
              <w:spacing w:after="0"/>
              <w:rPr>
                <w:sz w:val="1"/>
                <w:szCs w:val="1"/>
                <w:color w:val="auto"/>
              </w:rPr>
            </w:pPr>
          </w:p>
        </w:tc>
      </w:tr>
      <w:tr>
        <w:trPr>
          <w:trHeight w:val="206"/>
        </w:trPr>
        <w:tc>
          <w:tcPr>
            <w:tcW w:w="7860" w:type="dxa"/>
            <w:vAlign w:val="bottom"/>
          </w:tcPr>
          <w:p>
            <w:pPr>
              <w:ind w:left="220"/>
              <w:spacing w:after="0"/>
              <w:rPr>
                <w:sz w:val="20"/>
                <w:szCs w:val="20"/>
                <w:color w:val="auto"/>
              </w:rPr>
            </w:pPr>
            <w:r>
              <w:rPr>
                <w:rFonts w:ascii="Arial" w:cs="Arial" w:eastAsia="Arial" w:hAnsi="Arial"/>
                <w:sz w:val="16"/>
                <w:szCs w:val="16"/>
                <w:color w:val="auto"/>
              </w:rPr>
              <w:t>Total Towable</w:t>
            </w: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454,901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341,250</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Class A</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134,166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65,644</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Class B</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85,456</w:t>
            </w:r>
          </w:p>
        </w:tc>
        <w:tc>
          <w:tcPr>
            <w:tcW w:w="0" w:type="dxa"/>
            <w:vAlign w:val="bottom"/>
          </w:tcPr>
          <w:p>
            <w:pPr>
              <w:spacing w:after="0"/>
              <w:rPr>
                <w:sz w:val="1"/>
                <w:szCs w:val="1"/>
                <w:color w:val="auto"/>
              </w:rPr>
            </w:pP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Class C</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69,286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66,876</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7,915</w:t>
            </w:r>
          </w:p>
        </w:tc>
        <w:tc>
          <w:tcPr>
            <w:tcW w:w="0" w:type="dxa"/>
            <w:vAlign w:val="bottom"/>
          </w:tcPr>
          <w:p>
            <w:pPr>
              <w:spacing w:after="0"/>
              <w:rPr>
                <w:sz w:val="1"/>
                <w:szCs w:val="1"/>
                <w:color w:val="auto"/>
              </w:rPr>
            </w:pPr>
          </w:p>
        </w:tc>
      </w:tr>
      <w:tr>
        <w:trPr>
          <w:trHeight w:val="206"/>
        </w:trPr>
        <w:tc>
          <w:tcPr>
            <w:tcW w:w="7860" w:type="dxa"/>
            <w:vAlign w:val="bottom"/>
          </w:tcPr>
          <w:p>
            <w:pPr>
              <w:ind w:left="220"/>
              <w:spacing w:after="0"/>
              <w:rPr>
                <w:sz w:val="20"/>
                <w:szCs w:val="20"/>
                <w:color w:val="auto"/>
              </w:rPr>
            </w:pPr>
            <w:r>
              <w:rPr>
                <w:rFonts w:ascii="Arial" w:cs="Arial" w:eastAsia="Arial" w:hAnsi="Arial"/>
                <w:sz w:val="16"/>
                <w:szCs w:val="16"/>
                <w:color w:val="auto"/>
              </w:rPr>
              <w:t>Total Motorhome</w:t>
            </w: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322,389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225,891</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 All Other:</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6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15,841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21,317</w:t>
            </w:r>
          </w:p>
        </w:tc>
        <w:tc>
          <w:tcPr>
            <w:tcW w:w="0" w:type="dxa"/>
            <w:vAlign w:val="bottom"/>
          </w:tcPr>
          <w:p>
            <w:pPr>
              <w:spacing w:after="0"/>
              <w:rPr>
                <w:sz w:val="1"/>
                <w:szCs w:val="1"/>
                <w:color w:val="auto"/>
              </w:rPr>
            </w:pPr>
          </w:p>
        </w:tc>
      </w:tr>
      <w:tr>
        <w:trPr>
          <w:trHeight w:val="206"/>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Corporate / All Other</w:t>
            </w:r>
          </w:p>
        </w:tc>
        <w:tc>
          <w:tcPr>
            <w:tcW w:w="20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15,841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21,317</w:t>
            </w: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Consolidated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793,131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588,458</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Relates to parts, accessories, and services.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Relates to marine, specialty vehicle units, parts, accessories, and services.</w:t>
      </w:r>
    </w:p>
    <w:p>
      <w:pPr>
        <w:spacing w:after="0" w:line="241"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The Company does not have material contract assets or liabilities. The Company establishes allowances for uncollectible receivables based on historical collection trends, write-off history, consideration of current conditions and expectations for future economic conditions.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Risk</w:t>
      </w:r>
    </w:p>
    <w:p>
      <w:pPr>
        <w:spacing w:after="0" w:line="133"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None of the Company's dealer organizations accounted for more than 10% of net revenue for each of the first quarter periods of Fiscal 2021 and Fiscal 2020.</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Stock-Based Compensation</w:t>
      </w:r>
    </w:p>
    <w:p>
      <w:pPr>
        <w:spacing w:after="0" w:line="26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On December 11, 2018, the Company's shareholders approved the Winnebago Industries, Inc. 2019 Omnibus Incentive Plan ("2019 Plan") as detailed in the Company's Proxy Statement for the 2018 Annual Meeting of Shareholders. The 2019 Plan allows the Company to grant or issue non-qualified stock options, incentive stock options, share awards, and other equity compensation to key employees and to non-employee directors. The 2019 Plan replaces our 2014 Omnibus Equity, Performance Award, and Incentive Compensation Plan (as amended, the "2014 Plan"). The number of shares of the Company's Common Stock that may be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the subject of awards and issued under the 2019 Plan is 4.1 million, plus the shares subject to any awards outstanding under the 2014 Plan and the Company's predecessor plan, the 2004 Incentive Compensation Plan (the “2004 Plan”), on December 11, 2018 that subsequently expire, are forfeited or canceled, or are settled for cash. Until such time, however, awards under the 2014 Plan and the 2004 Plan, respectively, that are outstanding on December 11, 2018 will continue to be subject to the terms of the 2014 Plan or 2004 Plan, as applicable. Shares remaining available for future awards under the 2014 Plan were not carried over into the 2019 Plan.</w:t>
      </w:r>
    </w:p>
    <w:p>
      <w:pPr>
        <w:spacing w:after="0" w:line="230"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Stock-based compensation expense was $2.4 million and $1.6 million during the first quarters of Fiscal 2021 and 2020, respectively. Compensation expense is recognized over the requisite service period of the award.</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Restructuring</w:t>
      </w:r>
    </w:p>
    <w:p>
      <w:pPr>
        <w:spacing w:after="0" w:line="26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In Fiscal 2020, the Company's Class A diesel production was moved from Junction City, OR to Forest City, IA. In November 2020, a portion of the property in Junction City, OR was sold for net proceeds of $7.7 million with a resulting gain of $3.6 million. The gain on this sale is included within selling, general, and administrative expenses for Fiscal 2021. Total restructuring expenses during the first quarter of Fiscal 2021 were $93,000.</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Company does not expect additional reorganization charges during the remainder of Fiscal 2021.</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Income Taxes</w:t>
      </w:r>
    </w:p>
    <w:p>
      <w:pPr>
        <w:spacing w:after="0" w:line="255" w:lineRule="exact"/>
        <w:rPr>
          <w:sz w:val="20"/>
          <w:szCs w:val="20"/>
          <w:color w:val="auto"/>
        </w:rPr>
      </w:pPr>
    </w:p>
    <w:p>
      <w:pPr>
        <w:ind w:right="60"/>
        <w:spacing w:after="0" w:line="242" w:lineRule="auto"/>
        <w:rPr>
          <w:sz w:val="20"/>
          <w:szCs w:val="20"/>
          <w:color w:val="auto"/>
        </w:rPr>
      </w:pPr>
      <w:r>
        <w:rPr>
          <w:rFonts w:ascii="Arial" w:cs="Arial" w:eastAsia="Arial" w:hAnsi="Arial"/>
          <w:sz w:val="16"/>
          <w:szCs w:val="16"/>
          <w:color w:val="auto"/>
        </w:rPr>
        <w:t>The Company's effective tax rate increased to 23.4% for the three months ended November 28, 2020 from 21.7% for the three months ended November 30, 2019 due primarily to a more favorable benefit in the prior year related to stock compensation.</w:t>
      </w:r>
    </w:p>
    <w:p>
      <w:pPr>
        <w:spacing w:after="0" w:line="236"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color w:val="auto"/>
        </w:rPr>
        <w:t>The Company files a U.S. Federal tax return, as well as returns in various international and state jurisdictions. As of November 28, 2020, the Company's federal returns from Fiscal 2017 to present are subject to review by the Internal Revenue Service. With limited exception, state returns from Fiscal 2016 to present continue to be subject to review by state taxing jurisdictions. The Company is currently under review by certain U.S. state tax authorities for Fiscal 2016 through 2019. The Company believes it has adequately reserved for its exposure to additional payments for uncertain tax positions in its liability for unrecognized tax benefits.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20"/>
                <w:szCs w:val="20"/>
                <w:color w:val="auto"/>
              </w:rPr>
            </w:pPr>
            <w:r>
              <w:rPr>
                <w:rFonts w:ascii="Arial" w:cs="Arial" w:eastAsia="Arial" w:hAnsi="Arial"/>
                <w:sz w:val="16"/>
                <w:szCs w:val="16"/>
                <w:b w:val="1"/>
                <w:bCs w:val="1"/>
                <w:color w:val="auto"/>
              </w:rPr>
              <w:t>Note 16: Income Per Share</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7860" w:type="dxa"/>
            <w:vAlign w:val="bottom"/>
          </w:tcPr>
          <w:p>
            <w:pPr>
              <w:spacing w:after="0"/>
              <w:rPr>
                <w:sz w:val="20"/>
                <w:szCs w:val="20"/>
                <w:color w:val="auto"/>
              </w:rPr>
            </w:pPr>
            <w:r>
              <w:rPr>
                <w:rFonts w:ascii="Arial" w:cs="Arial" w:eastAsia="Arial" w:hAnsi="Arial"/>
                <w:sz w:val="16"/>
                <w:szCs w:val="16"/>
                <w:color w:val="auto"/>
              </w:rPr>
              <w:t>The following table reflects the calculation of basic and diluted income per share:</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59"/>
        </w:trPr>
        <w:tc>
          <w:tcPr>
            <w:tcW w:w="7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200" w:type="dxa"/>
            <w:vAlign w:val="bottom"/>
          </w:tcPr>
          <w:p>
            <w:pPr>
              <w:spacing w:after="0"/>
              <w:rPr>
                <w:sz w:val="13"/>
                <w:szCs w:val="13"/>
                <w:color w:val="auto"/>
              </w:rPr>
            </w:pPr>
          </w:p>
        </w:tc>
        <w:tc>
          <w:tcPr>
            <w:tcW w:w="154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November 28,</w:t>
            </w:r>
          </w:p>
        </w:tc>
        <w:tc>
          <w:tcPr>
            <w:tcW w:w="200" w:type="dxa"/>
            <w:vAlign w:val="bottom"/>
          </w:tcPr>
          <w:p>
            <w:pPr>
              <w:spacing w:after="0"/>
              <w:rPr>
                <w:sz w:val="13"/>
                <w:szCs w:val="13"/>
                <w:color w:val="auto"/>
              </w:rPr>
            </w:pPr>
          </w:p>
        </w:tc>
        <w:tc>
          <w:tcPr>
            <w:tcW w:w="1440" w:type="dxa"/>
            <w:vAlign w:val="bottom"/>
          </w:tcPr>
          <w:p>
            <w:pPr>
              <w:jc w:val="right"/>
              <w:ind w:right="199"/>
              <w:spacing w:after="0" w:line="158" w:lineRule="exact"/>
              <w:rPr>
                <w:sz w:val="20"/>
                <w:szCs w:val="20"/>
                <w:color w:val="auto"/>
              </w:rPr>
            </w:pPr>
            <w:r>
              <w:rPr>
                <w:rFonts w:ascii="Arial" w:cs="Arial" w:eastAsia="Arial" w:hAnsi="Arial"/>
                <w:sz w:val="16"/>
                <w:szCs w:val="16"/>
                <w:b w:val="1"/>
                <w:bCs w:val="1"/>
                <w:color w:val="auto"/>
              </w:rPr>
              <w:t>November 30,</w:t>
            </w:r>
          </w:p>
        </w:tc>
        <w:tc>
          <w:tcPr>
            <w:tcW w:w="0" w:type="dxa"/>
            <w:vAlign w:val="bottom"/>
          </w:tcPr>
          <w:p>
            <w:pPr>
              <w:spacing w:after="0"/>
              <w:rPr>
                <w:sz w:val="1"/>
                <w:szCs w:val="1"/>
                <w:color w:val="auto"/>
              </w:rPr>
            </w:pPr>
          </w:p>
        </w:tc>
      </w:tr>
      <w:tr>
        <w:trPr>
          <w:trHeight w:val="215"/>
        </w:trPr>
        <w:tc>
          <w:tcPr>
            <w:tcW w:w="78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Numerator</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57,423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14,068</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Denominator</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32,067</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Dilutive impact of stock compensation awards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3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assuming dilution</w:t>
            </w:r>
          </w:p>
        </w:tc>
        <w:tc>
          <w:tcPr>
            <w:tcW w:w="2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33,839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32,267</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Anti-dilutive securities excluded from Weighted average common shares outstanding, assuming dilution</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62"/>
        </w:trPr>
        <w:tc>
          <w:tcPr>
            <w:tcW w:w="7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income per common share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0" w:type="dxa"/>
            <w:vAlign w:val="bottom"/>
          </w:tcPr>
          <w:p>
            <w:pPr>
              <w:spacing w:after="0"/>
              <w:rPr>
                <w:sz w:val="1"/>
                <w:szCs w:val="1"/>
                <w:color w:val="auto"/>
              </w:rPr>
            </w:pPr>
          </w:p>
        </w:tc>
      </w:tr>
      <w:tr>
        <w:trPr>
          <w:trHeight w:val="210"/>
        </w:trPr>
        <w:tc>
          <w:tcPr>
            <w:tcW w:w="7860" w:type="dxa"/>
            <w:vAlign w:val="bottom"/>
          </w:tcPr>
          <w:p>
            <w:pPr>
              <w:ind w:left="20"/>
              <w:spacing w:after="0"/>
              <w:rPr>
                <w:sz w:val="20"/>
                <w:szCs w:val="20"/>
                <w:color w:val="auto"/>
              </w:rPr>
            </w:pPr>
            <w:r>
              <w:rPr>
                <w:rFonts w:ascii="Arial" w:cs="Arial" w:eastAsia="Arial" w:hAnsi="Arial"/>
                <w:sz w:val="16"/>
                <w:szCs w:val="16"/>
                <w:color w:val="auto"/>
              </w:rPr>
              <w:t>Diluted income per common share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0.44</w:t>
            </w:r>
          </w:p>
        </w:tc>
        <w:tc>
          <w:tcPr>
            <w:tcW w:w="0" w:type="dxa"/>
            <w:vAlign w:val="bottom"/>
          </w:tcPr>
          <w:p>
            <w:pPr>
              <w:spacing w:after="0"/>
              <w:rPr>
                <w:sz w:val="1"/>
                <w:szCs w:val="1"/>
                <w:color w:val="auto"/>
              </w:rPr>
            </w:pPr>
          </w:p>
        </w:tc>
      </w:tr>
    </w:tbl>
    <w:p>
      <w:pPr>
        <w:spacing w:after="0" w:line="359"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Anti-dilutive securities were not included in the computation of diluted income per common share because they are considered anti-dilutive under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5"/>
        </w:trPr>
        <w:tc>
          <w:tcPr>
            <w:tcW w:w="4340" w:type="dxa"/>
            <w:vAlign w:val="bottom"/>
          </w:tcPr>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1"/>
        </w:trPr>
        <w:tc>
          <w:tcPr>
            <w:tcW w:w="4760" w:type="dxa"/>
            <w:vAlign w:val="bottom"/>
            <w:gridSpan w:val="2"/>
          </w:tcPr>
          <w:p>
            <w:pPr>
              <w:spacing w:after="0"/>
              <w:rPr>
                <w:sz w:val="20"/>
                <w:szCs w:val="20"/>
                <w:color w:val="auto"/>
              </w:rPr>
            </w:pPr>
            <w:r>
              <w:rPr>
                <w:rFonts w:ascii="Arial" w:cs="Arial" w:eastAsia="Arial" w:hAnsi="Arial"/>
                <w:sz w:val="16"/>
                <w:szCs w:val="16"/>
                <w:b w:val="1"/>
                <w:bCs w:val="1"/>
                <w:color w:val="auto"/>
              </w:rPr>
              <w:t>Note 17: Accumulated Other Comprehensive Income (Loss)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40" w:type="dxa"/>
            <w:vAlign w:val="bottom"/>
            <w:gridSpan w:val="7"/>
          </w:tcPr>
          <w:p>
            <w:pPr>
              <w:spacing w:after="0"/>
              <w:rPr>
                <w:sz w:val="20"/>
                <w:szCs w:val="20"/>
                <w:color w:val="auto"/>
              </w:rPr>
            </w:pPr>
            <w:r>
              <w:rPr>
                <w:rFonts w:ascii="Arial" w:cs="Arial" w:eastAsia="Arial" w:hAnsi="Arial"/>
                <w:sz w:val="16"/>
                <w:szCs w:val="16"/>
                <w:color w:val="auto"/>
              </w:rPr>
              <w:t>Changes in Accumulated Other Comprehensive Income ("AOCI") by component, net of tax, were:</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3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3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November 28, 2020</w:t>
            </w:r>
          </w:p>
        </w:tc>
        <w:tc>
          <w:tcPr>
            <w:tcW w:w="1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November 30, 2019</w:t>
            </w:r>
          </w:p>
        </w:tc>
        <w:tc>
          <w:tcPr>
            <w:tcW w:w="8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400" w:type="dxa"/>
            <w:vAlign w:val="bottom"/>
            <w:gridSpan w:val="3"/>
          </w:tcPr>
          <w:p>
            <w:pPr>
              <w:ind w:left="60"/>
              <w:spacing w:after="0" w:line="156" w:lineRule="exact"/>
              <w:rPr>
                <w:sz w:val="20"/>
                <w:szCs w:val="20"/>
                <w:color w:val="auto"/>
              </w:rPr>
            </w:pPr>
            <w:r>
              <w:rPr>
                <w:rFonts w:ascii="Arial" w:cs="Arial" w:eastAsia="Arial" w:hAnsi="Arial"/>
                <w:sz w:val="16"/>
                <w:szCs w:val="16"/>
                <w:b w:val="1"/>
                <w:bCs w:val="1"/>
                <w:color w:val="auto"/>
              </w:rPr>
              <w:t>Defined Benefit</w:t>
            </w:r>
          </w:p>
        </w:tc>
        <w:tc>
          <w:tcPr>
            <w:tcW w:w="280" w:type="dxa"/>
            <w:vAlign w:val="bottom"/>
          </w:tcPr>
          <w:p>
            <w:pPr>
              <w:spacing w:after="0"/>
              <w:rPr>
                <w:sz w:val="13"/>
                <w:szCs w:val="13"/>
                <w:color w:val="auto"/>
              </w:rPr>
            </w:pPr>
          </w:p>
        </w:tc>
        <w:tc>
          <w:tcPr>
            <w:tcW w:w="100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20" w:type="dxa"/>
            <w:vAlign w:val="bottom"/>
            <w:vMerge w:val="restart"/>
          </w:tcPr>
          <w:p>
            <w:pPr>
              <w:spacing w:after="0"/>
              <w:rPr>
                <w:sz w:val="13"/>
                <w:szCs w:val="13"/>
                <w:color w:val="auto"/>
              </w:rPr>
            </w:pPr>
          </w:p>
        </w:tc>
        <w:tc>
          <w:tcPr>
            <w:tcW w:w="1300" w:type="dxa"/>
            <w:vAlign w:val="bottom"/>
            <w:gridSpan w:val="3"/>
          </w:tcPr>
          <w:p>
            <w:pPr>
              <w:jc w:val="center"/>
              <w:spacing w:after="0" w:line="156" w:lineRule="exact"/>
              <w:rPr>
                <w:sz w:val="20"/>
                <w:szCs w:val="20"/>
                <w:color w:val="auto"/>
              </w:rPr>
            </w:pPr>
            <w:r>
              <w:rPr>
                <w:rFonts w:ascii="Arial" w:cs="Arial" w:eastAsia="Arial" w:hAnsi="Arial"/>
                <w:sz w:val="16"/>
                <w:szCs w:val="16"/>
                <w:b w:val="1"/>
                <w:bCs w:val="1"/>
                <w:color w:val="auto"/>
              </w:rPr>
              <w:t>Defined Benefit</w:t>
            </w:r>
          </w:p>
        </w:tc>
        <w:tc>
          <w:tcPr>
            <w:tcW w:w="100" w:type="dxa"/>
            <w:vAlign w:val="bottom"/>
          </w:tcPr>
          <w:p>
            <w:pPr>
              <w:spacing w:after="0"/>
              <w:rPr>
                <w:sz w:val="13"/>
                <w:szCs w:val="13"/>
                <w:color w:val="auto"/>
              </w:rPr>
            </w:pPr>
          </w:p>
        </w:tc>
        <w:tc>
          <w:tcPr>
            <w:tcW w:w="1400" w:type="dxa"/>
            <w:vAlign w:val="bottom"/>
            <w:gridSpan w:val="5"/>
          </w:tcPr>
          <w:p>
            <w:pPr>
              <w:jc w:val="center"/>
              <w:ind w:right="100"/>
              <w:spacing w:after="0" w:line="156" w:lineRule="exact"/>
              <w:rPr>
                <w:sz w:val="20"/>
                <w:szCs w:val="20"/>
                <w:color w:val="auto"/>
              </w:rPr>
            </w:pPr>
            <w:r>
              <w:rPr>
                <w:rFonts w:ascii="Arial" w:cs="Arial" w:eastAsia="Arial" w:hAnsi="Arial"/>
                <w:sz w:val="16"/>
                <w:szCs w:val="16"/>
                <w:b w:val="1"/>
                <w:bCs w:val="1"/>
                <w:color w:val="auto"/>
              </w:rPr>
              <w:t>Interest Rate</w:t>
            </w:r>
          </w:p>
        </w:tc>
        <w:tc>
          <w:tcPr>
            <w:tcW w:w="860" w:type="dxa"/>
            <w:vAlign w:val="bottom"/>
            <w:vMerge w:val="restart"/>
          </w:tcPr>
          <w:p>
            <w:pPr>
              <w:ind w:left="460"/>
              <w:spacing w:after="0"/>
              <w:rPr>
                <w:sz w:val="20"/>
                <w:szCs w:val="20"/>
                <w:color w:val="auto"/>
              </w:rPr>
            </w:pPr>
            <w:r>
              <w:rPr>
                <w:rFonts w:ascii="Arial" w:cs="Arial" w:eastAsia="Arial" w:hAnsi="Arial"/>
                <w:sz w:val="16"/>
                <w:szCs w:val="16"/>
                <w:b w:val="1"/>
                <w:bCs w:val="1"/>
                <w:color w:val="auto"/>
                <w:w w:val="99"/>
              </w:rPr>
              <w:t>Total</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34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Pension Items</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Pension Items</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b w:val="1"/>
                <w:bCs w:val="1"/>
                <w:color w:val="auto"/>
              </w:rPr>
              <w:t>Swap</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1120" w:type="dxa"/>
            <w:vAlign w:val="bottom"/>
            <w:gridSpan w:val="2"/>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177"/>
        </w:trPr>
        <w:tc>
          <w:tcPr>
            <w:tcW w:w="4340" w:type="dxa"/>
            <w:vAlign w:val="bottom"/>
          </w:tcPr>
          <w:p>
            <w:pPr>
              <w:ind w:left="140"/>
              <w:spacing w:after="0" w:line="178" w:lineRule="exact"/>
              <w:rPr>
                <w:sz w:val="20"/>
                <w:szCs w:val="20"/>
                <w:color w:val="auto"/>
              </w:rPr>
            </w:pPr>
            <w:r>
              <w:rPr>
                <w:rFonts w:ascii="Arial" w:cs="Arial" w:eastAsia="Arial" w:hAnsi="Arial"/>
                <w:sz w:val="16"/>
                <w:szCs w:val="16"/>
                <w:color w:val="auto"/>
              </w:rPr>
              <w:t>Other comprehensive income ("OCI") before</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340" w:type="dxa"/>
            <w:vAlign w:val="bottom"/>
          </w:tcPr>
          <w:p>
            <w:pPr>
              <w:ind w:left="140"/>
              <w:spacing w:after="0"/>
              <w:rPr>
                <w:sz w:val="20"/>
                <w:szCs w:val="20"/>
                <w:color w:val="auto"/>
              </w:rPr>
            </w:pPr>
            <w:r>
              <w:rPr>
                <w:rFonts w:ascii="Arial" w:cs="Arial" w:eastAsia="Arial" w:hAnsi="Arial"/>
                <w:sz w:val="16"/>
                <w:szCs w:val="16"/>
                <w:color w:val="auto"/>
              </w:rPr>
              <w:t>reclassifications</w:t>
            </w:r>
          </w:p>
        </w:tc>
        <w:tc>
          <w:tcPr>
            <w:tcW w:w="4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5"/>
          </w:tcPr>
          <w:p>
            <w:pPr>
              <w:jc w:val="right"/>
              <w:ind w:right="40"/>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Amounts reclassified from AOCI</w:t>
            </w: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9"/>
        </w:trPr>
        <w:tc>
          <w:tcPr>
            <w:tcW w:w="43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current-period OCI</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33"/>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1120" w:type="dxa"/>
            <w:vAlign w:val="bottom"/>
            <w:gridSpan w:val="2"/>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38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Reclassifications out of AOCI, net of tax, were:</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43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6"/>
          </w:tcPr>
          <w:p>
            <w:pPr>
              <w:jc w:val="right"/>
              <w:ind w:right="259"/>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420" w:type="dxa"/>
            <w:vAlign w:val="bottom"/>
          </w:tcPr>
          <w:p>
            <w:pPr>
              <w:spacing w:after="0"/>
              <w:rPr>
                <w:sz w:val="14"/>
                <w:szCs w:val="14"/>
                <w:color w:val="auto"/>
              </w:rPr>
            </w:pPr>
          </w:p>
        </w:tc>
        <w:tc>
          <w:tcPr>
            <w:tcW w:w="3200" w:type="dxa"/>
            <w:vAlign w:val="bottom"/>
            <w:gridSpan w:val="6"/>
          </w:tcPr>
          <w:p>
            <w:pPr>
              <w:jc w:val="center"/>
              <w:ind w:left="59"/>
              <w:spacing w:after="0" w:line="161" w:lineRule="exact"/>
              <w:rPr>
                <w:sz w:val="20"/>
                <w:szCs w:val="20"/>
                <w:color w:val="auto"/>
              </w:rPr>
            </w:pPr>
            <w:r>
              <w:rPr>
                <w:rFonts w:ascii="Arial" w:cs="Arial" w:eastAsia="Arial" w:hAnsi="Arial"/>
                <w:sz w:val="16"/>
                <w:szCs w:val="16"/>
                <w:b w:val="1"/>
                <w:bCs w:val="1"/>
                <w:color w:val="auto"/>
              </w:rPr>
              <w:t>Location on Consolidated Statements</w:t>
            </w:r>
          </w:p>
        </w:tc>
        <w:tc>
          <w:tcPr>
            <w:tcW w:w="120" w:type="dxa"/>
            <w:vAlign w:val="bottom"/>
          </w:tcPr>
          <w:p>
            <w:pPr>
              <w:spacing w:after="0"/>
              <w:rPr>
                <w:sz w:val="14"/>
                <w:szCs w:val="14"/>
                <w:color w:val="auto"/>
              </w:rPr>
            </w:pPr>
          </w:p>
        </w:tc>
        <w:tc>
          <w:tcPr>
            <w:tcW w:w="1480" w:type="dxa"/>
            <w:vAlign w:val="bottom"/>
            <w:gridSpan w:val="3"/>
          </w:tcPr>
          <w:p>
            <w:pPr>
              <w:jc w:val="right"/>
              <w:ind w:right="99"/>
              <w:spacing w:after="0" w:line="161" w:lineRule="exact"/>
              <w:rPr>
                <w:sz w:val="20"/>
                <w:szCs w:val="20"/>
                <w:color w:val="auto"/>
              </w:rPr>
            </w:pPr>
            <w:r>
              <w:rPr>
                <w:rFonts w:ascii="Arial" w:cs="Arial" w:eastAsia="Arial" w:hAnsi="Arial"/>
                <w:sz w:val="16"/>
                <w:szCs w:val="16"/>
                <w:b w:val="1"/>
                <w:bCs w:val="1"/>
                <w:color w:val="auto"/>
              </w:rPr>
              <w:t>November 28,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spacing w:after="0" w:line="161" w:lineRule="exact"/>
              <w:rPr>
                <w:sz w:val="20"/>
                <w:szCs w:val="20"/>
                <w:color w:val="auto"/>
              </w:rPr>
            </w:pPr>
            <w:r>
              <w:rPr>
                <w:rFonts w:ascii="Arial" w:cs="Arial" w:eastAsia="Arial" w:hAnsi="Arial"/>
                <w:sz w:val="16"/>
                <w:szCs w:val="16"/>
                <w:b w:val="1"/>
                <w:bCs w:val="1"/>
                <w:color w:val="auto"/>
              </w:rPr>
              <w:t>November 30,</w:t>
            </w:r>
          </w:p>
        </w:tc>
        <w:tc>
          <w:tcPr>
            <w:tcW w:w="0" w:type="dxa"/>
            <w:vAlign w:val="bottom"/>
          </w:tcPr>
          <w:p>
            <w:pPr>
              <w:spacing w:after="0"/>
              <w:rPr>
                <w:sz w:val="1"/>
                <w:szCs w:val="1"/>
                <w:color w:val="auto"/>
              </w:rPr>
            </w:pPr>
          </w:p>
        </w:tc>
      </w:tr>
      <w:tr>
        <w:trPr>
          <w:trHeight w:val="215"/>
        </w:trPr>
        <w:tc>
          <w:tcPr>
            <w:tcW w:w="434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6"/>
          </w:tcPr>
          <w:p>
            <w:pPr>
              <w:jc w:val="center"/>
              <w:ind w:left="59"/>
              <w:spacing w:after="0"/>
              <w:rPr>
                <w:sz w:val="20"/>
                <w:szCs w:val="20"/>
                <w:color w:val="auto"/>
              </w:rPr>
            </w:pPr>
            <w:r>
              <w:rPr>
                <w:rFonts w:ascii="Arial" w:cs="Arial" w:eastAsia="Arial" w:hAnsi="Arial"/>
                <w:sz w:val="16"/>
                <w:szCs w:val="16"/>
                <w:b w:val="1"/>
                <w:bCs w:val="1"/>
                <w:color w:val="auto"/>
              </w:rPr>
              <w:t>of Income and Comprehensive Income</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2019</w:t>
            </w: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net actuarial loss</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300"/>
              <w:spacing w:after="0"/>
              <w:rPr>
                <w:sz w:val="20"/>
                <w:szCs w:val="20"/>
                <w:color w:val="auto"/>
              </w:rPr>
            </w:pPr>
            <w:r>
              <w:rPr>
                <w:rFonts w:ascii="Arial" w:cs="Arial" w:eastAsia="Arial" w:hAnsi="Arial"/>
                <w:sz w:val="16"/>
                <w:szCs w:val="16"/>
                <w:color w:val="auto"/>
              </w:rPr>
              <w:t>SG&amp;A</w:t>
            </w:r>
          </w:p>
        </w:tc>
        <w:tc>
          <w:tcPr>
            <w:tcW w:w="8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rate contract</w:t>
            </w:r>
          </w:p>
        </w:tc>
        <w:tc>
          <w:tcPr>
            <w:tcW w:w="4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gridSpan w:val="3"/>
          </w:tcPr>
          <w:p>
            <w:pPr>
              <w:jc w:val="center"/>
              <w:ind w:right="40"/>
              <w:spacing w:after="0"/>
              <w:rPr>
                <w:sz w:val="20"/>
                <w:szCs w:val="20"/>
                <w:color w:val="auto"/>
              </w:rPr>
            </w:pPr>
            <w:r>
              <w:rPr>
                <w:rFonts w:ascii="Arial" w:cs="Arial" w:eastAsia="Arial" w:hAnsi="Arial"/>
                <w:sz w:val="16"/>
                <w:szCs w:val="16"/>
                <w:color w:val="auto"/>
              </w:rPr>
              <w:t>Interest expense</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reclassifications</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68"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Unless the context otherwise requires, the use of the terms "Winnebago," "we," "us," and "our" refers to Winnebago Industries, Inc. and its wholly-owned subsidiaries.</w:t>
      </w:r>
    </w:p>
    <w:p>
      <w:pPr>
        <w:spacing w:after="0" w:line="222"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w:t>
      </w:r>
    </w:p>
    <w:p>
      <w:pPr>
        <w:spacing w:after="0" w:line="229" w:lineRule="exact"/>
        <w:rPr>
          <w:sz w:val="20"/>
          <w:szCs w:val="20"/>
          <w:color w:val="auto"/>
        </w:rPr>
      </w:pPr>
    </w:p>
    <w:p>
      <w:pPr>
        <w:ind w:right="580"/>
        <w:spacing w:after="0" w:line="253" w:lineRule="auto"/>
        <w:rPr>
          <w:sz w:val="20"/>
          <w:szCs w:val="20"/>
          <w:color w:val="auto"/>
        </w:rPr>
      </w:pPr>
      <w:r>
        <w:rPr>
          <w:rFonts w:ascii="Arial" w:cs="Arial" w:eastAsia="Arial" w:hAnsi="Arial"/>
          <w:sz w:val="16"/>
          <w:szCs w:val="16"/>
          <w:color w:val="auto"/>
        </w:rPr>
        <w:t>Our MD&amp;A should be read in conjunction with our Annual Report on Form 10-K for the fiscal year ended August 29, 2020 (including the information presented therein under Risk Factors), as well as our reports on Forms 10-Q and 8-K and other publicly available information. All amounts herein are unaudited.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33"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Winnebago Industries, Inc. is one of the leading North American manufacturers with a diversified portfolio of recreation vehicles ("RV"s) and marine products used primarily in leisure travel and outdoor recreation activities. We produce our motorhome units in Iowa and Indiana; our towable units in Indiana; and our marine units in Florida. We distribute our RV and marine products primarily through independent dealers throughout the U.S. and Canada, who then retail the products to the end consumer. We also distribute our marine products internationally through independent dealers, who then retail the products to the end consumer.</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COVID-19 Pandemic</w:t>
      </w:r>
    </w:p>
    <w:p>
      <w:pPr>
        <w:spacing w:after="0" w:line="120" w:lineRule="exact"/>
        <w:rPr>
          <w:sz w:val="20"/>
          <w:szCs w:val="20"/>
          <w:color w:val="auto"/>
        </w:rPr>
      </w:pPr>
    </w:p>
    <w:p>
      <w:pPr>
        <w:ind w:right="120"/>
        <w:spacing w:after="0" w:line="235" w:lineRule="auto"/>
        <w:rPr>
          <w:sz w:val="20"/>
          <w:szCs w:val="20"/>
          <w:color w:val="auto"/>
        </w:rPr>
      </w:pPr>
      <w:r>
        <w:rPr>
          <w:rFonts w:ascii="Arial" w:cs="Arial" w:eastAsia="Arial" w:hAnsi="Arial"/>
          <w:sz w:val="16"/>
          <w:szCs w:val="16"/>
          <w:color w:val="212529"/>
        </w:rPr>
        <w:t>In March 2020, the World Health Organization declared the COVID-19 outbreak a pandemic. The COVID-19 pandemic has resulted in governments around the world implementing increasingly stringent measures to help control the spread of the virus, including quarantines and “shelter-in-place” orders, travel restrictions, business curtailments, limits on gatherings, and other measures. In addition, governments and central banks in several parts of the world have enacted fiscal and monetary stimulus measures designed to counteract the economic impacts of the COVID-19 pandemic.</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212529"/>
        </w:rPr>
        <w:t>Health and safety</w:t>
      </w:r>
    </w:p>
    <w:p>
      <w:pPr>
        <w:spacing w:after="0" w:line="8" w:lineRule="exact"/>
        <w:rPr>
          <w:sz w:val="20"/>
          <w:szCs w:val="20"/>
          <w:color w:val="auto"/>
        </w:rPr>
      </w:pPr>
    </w:p>
    <w:p>
      <w:pPr>
        <w:spacing w:after="0" w:line="231" w:lineRule="auto"/>
        <w:rPr>
          <w:sz w:val="20"/>
          <w:szCs w:val="20"/>
          <w:color w:val="auto"/>
        </w:rPr>
      </w:pPr>
      <w:r>
        <w:rPr>
          <w:rFonts w:ascii="Arial" w:cs="Arial" w:eastAsia="Arial" w:hAnsi="Arial"/>
          <w:sz w:val="16"/>
          <w:szCs w:val="16"/>
          <w:color w:val="212529"/>
        </w:rPr>
        <w:t>From the earliest signs of the outbreak, we have taken proactive measures to protect the health and safety of our employees, customers, and suppliers. We have enacted rigorous safety measures in our sites, including employee training and self-monitoring for symptoms of the COVID-19 virus, the taking of all employee temperatures upon reporting to work, implementing social distancing protocols, implementing working from home arrangements for those employees that do not need to be physically present, suspending travel, extensively and frequently disinfecting our workspaces, and providing or accommodating the wearing of masks to those employees who must be physically present in their workplace. In the event an employee contracts the virus and is tested positive, we have mandated quarantining and have instructed employees not to return to work until such time that they have been cleared to do so, in accordance with recommendations by the Center for Disease Control and Prevention (CDC). We expect to continue to practice these measures until we determine that the COVID-19 pandemic is adequately contained for purposes of our business, and we may take further actions as government authorities require or recommend or as we determine to be in the best interests of our employees, customers, and suppliers.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212529"/>
        </w:rPr>
        <w:t>Operations</w:t>
      </w:r>
    </w:p>
    <w:p>
      <w:pPr>
        <w:spacing w:after="0" w:line="8" w:lineRule="exact"/>
        <w:rPr>
          <w:sz w:val="20"/>
          <w:szCs w:val="20"/>
          <w:color w:val="auto"/>
        </w:rPr>
      </w:pPr>
    </w:p>
    <w:p>
      <w:pPr>
        <w:ind w:right="20"/>
        <w:spacing w:after="0" w:line="235" w:lineRule="auto"/>
        <w:rPr>
          <w:sz w:val="20"/>
          <w:szCs w:val="20"/>
          <w:color w:val="auto"/>
        </w:rPr>
      </w:pPr>
      <w:r>
        <w:rPr>
          <w:rFonts w:ascii="Arial" w:cs="Arial" w:eastAsia="Arial" w:hAnsi="Arial"/>
          <w:sz w:val="16"/>
          <w:szCs w:val="16"/>
          <w:color w:val="212529"/>
        </w:rPr>
        <w:t>Our manufacturing operations were not affected by the COVID-19 pandemic during the first quarter of Fiscal 2021. Generally, any government mandated measures providing for business shutdowns exclude certain essential businesses and services, including businesses that manufacture and sell products that were considered essential to daily lives or otherwise operate in essential or critical sectors. While governmental measures may be modified or extended, we expect that our manufacturing facilities will remain operational.</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212529"/>
        </w:rPr>
        <w:t>Supply</w:t>
      </w:r>
    </w:p>
    <w:p>
      <w:pPr>
        <w:spacing w:after="0" w:line="21"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212529"/>
        </w:rPr>
        <w:t>Our production has experienced certain supply shortages as a result of the COVID-19 pandemic, particularly on our Newmar business. We are actively monitoring the costs and timing of raw materials and other inputs to our supply chain.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212529"/>
        </w:rPr>
        <w:t>Demand</w:t>
      </w:r>
    </w:p>
    <w:p>
      <w:pPr>
        <w:spacing w:after="0" w:line="8" w:lineRule="exact"/>
        <w:rPr>
          <w:sz w:val="20"/>
          <w:szCs w:val="20"/>
          <w:color w:val="auto"/>
        </w:rPr>
      </w:pPr>
    </w:p>
    <w:p>
      <w:pPr>
        <w:spacing w:after="0" w:line="231" w:lineRule="auto"/>
        <w:rPr>
          <w:sz w:val="20"/>
          <w:szCs w:val="20"/>
          <w:color w:val="auto"/>
        </w:rPr>
      </w:pPr>
      <w:r>
        <w:rPr>
          <w:rFonts w:ascii="Arial" w:cs="Arial" w:eastAsia="Arial" w:hAnsi="Arial"/>
          <w:sz w:val="16"/>
          <w:szCs w:val="16"/>
          <w:color w:val="212529"/>
        </w:rPr>
        <w:t>The COVID-19 pandemic has significantly increased economic and demand volatility and uncertainty. Our dealer networks were significantly impacted during the initial onset of the COVID-19 pandemic and a majority of our dealers temporarily closed during the third quarter of Fiscal 2020. However, beginning in May of Fiscal 2020 our dealers began to reopen, with dealer reopenings accelerating in June. The majority of our dealers have reopened as of the end of the first quarter of Fiscal 2021. During the third quarter of Fiscal 2020, we experienced reductions in customer demand due to a decrease in consumer spending attributable to the COVID-19 pandemic. However, in the fourth quarter of Fiscal 2020 and continuing into the first quarter of Fiscal 2021, we experienced higher consumer demand due to the perceived safety of RV travel. At November 28, 2020, backlog levels were higher than the first quarter of Fiscal 2020 due to the increase in demand. Despite the increase in demand, consumer buying activity may still decline if there are additional shut downs within our dealer networks. The current COVID-19 pandemic has caused a global economic slowdown, and the possibility of a global recession. In the event of a recession, demand for our products would decline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00"/>
        <w:spacing w:after="0" w:line="242" w:lineRule="auto"/>
        <w:rPr>
          <w:sz w:val="20"/>
          <w:szCs w:val="20"/>
          <w:color w:val="auto"/>
        </w:rPr>
      </w:pPr>
      <w:r>
        <w:rPr>
          <w:rFonts w:ascii="Arial" w:cs="Arial" w:eastAsia="Arial" w:hAnsi="Arial"/>
          <w:sz w:val="16"/>
          <w:szCs w:val="16"/>
          <w:color w:val="212529"/>
        </w:rPr>
        <w:t>and our business and results of operations would be adversely affected. When a vaccine is introduced, we could also see a decline in sales as consumers start to feel safer with other modes of transportation.</w:t>
      </w:r>
    </w:p>
    <w:p>
      <w:pPr>
        <w:spacing w:after="0" w:line="223" w:lineRule="exact"/>
        <w:rPr>
          <w:sz w:val="20"/>
          <w:szCs w:val="20"/>
          <w:color w:val="auto"/>
        </w:rPr>
      </w:pPr>
    </w:p>
    <w:p>
      <w:pPr>
        <w:ind w:right="20"/>
        <w:spacing w:after="0" w:line="233" w:lineRule="auto"/>
        <w:rPr>
          <w:sz w:val="20"/>
          <w:szCs w:val="20"/>
          <w:color w:val="auto"/>
        </w:rPr>
      </w:pPr>
      <w:r>
        <w:rPr>
          <w:rFonts w:ascii="Arial" w:cs="Arial" w:eastAsia="Arial" w:hAnsi="Arial"/>
          <w:sz w:val="16"/>
          <w:szCs w:val="16"/>
          <w:color w:val="212529"/>
        </w:rPr>
        <w:t>We continue to monitor the rapidly evolving situation and guidance from international and domestic authorities, including federal, state and local public health authorities, and may take additional actions based on their requirements and recommendations. In these circumstances, there may be developments outside our control requiring us to adjust our operating plan. As such, given the dynamic nature of this situation, we cannot reasonably estimate the impacts of the COVID-19 pandemic on our financial condition, results of operations or cash flows in the future. In addition, see Item 1A, "Risk Factors" in our Annual Report on Form 10-K for the fiscal year ended August 29, 2020.</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Reconciliation</w:t>
      </w:r>
    </w:p>
    <w:p>
      <w:pPr>
        <w:spacing w:after="0" w:line="133"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This MD&amp;A includes financial information prepared in accordance with accounting principles generally accepted in the U.S. ("GAAP"), as well as certain adjusted or non-GAAP financial measures such as EBITDA and Adjusted EBITDA. EBITDA is defined as net income before interest expense, provision for income taxes, and depreciation and amortization expense. Adjusted EBITDA is defined as net income before interest expense, provision for income taxes, depreciation and amortization expense, and other adjustments made in order to present comparable results from period to period.</w:t>
      </w:r>
    </w:p>
    <w:p>
      <w:pPr>
        <w:spacing w:after="0" w:line="22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These non-GAAP financial measures, which are not calculated or presented in accordance with GAAP, have been provided as information supplemental and in addition to the financial measures presented in accordance with GAAP. Such non-GAAP financial measures should not be considered superior to, as a substitute for, or as an alternative to, and should be considered in conjunction with, the GAAP financial measures presented herein. The non-GAAP financial measures presented may differ from similar measures used by other companies.</w:t>
      </w:r>
    </w:p>
    <w:p>
      <w:pPr>
        <w:spacing w:after="0" w:line="229"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Refer to the Results of Operations - Current Quarter Compared to the Comparable Prior Year Quarter for a detailed reconciliation of items that impacted EBITDA and Adjusted EBITDA. We have included these non-GAAP performance measures as a comparable measure to illustrate the effect of non-recurring transactions occurring during the reported periods and to improve comparability of our results from period to period. We believe Adjusted EBITDA provides meaningful supplemental information about our operating performance because these measures exclude amounts that we do not consider part of our core operating results when assessing our performance. Examples of items excluded from Adjusted EBITDA include acquisition-related costs, restructuring expenses, gain or loss on sale of property and equipment, and non-operating income.</w:t>
      </w:r>
    </w:p>
    <w:p>
      <w:pPr>
        <w:spacing w:after="0" w:line="23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 xml:space="preserve">Management uses these non-GAAP financial measures (a) to evaluate our historical and prospective financial performance and trends as well as our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its assessments of performance and in forecasting and budgeting for our company; (d) to evaluate potential acquisitions; and (e) to ensure compliance with covenants and restricted activities under the terms of our ABL credit facility and outstanding notes, as further described in Note 9, Long-Term Debt, of the Notes to Condensed Consolidated Financial Statements included in Item 1, </w:t>
      </w:r>
      <w:r>
        <w:rPr>
          <w:rFonts w:ascii="Arial" w:cs="Arial" w:eastAsia="Arial" w:hAnsi="Arial"/>
          <w:sz w:val="16"/>
          <w:szCs w:val="16"/>
          <w:i w:val="1"/>
          <w:iCs w:val="1"/>
          <w:color w:val="auto"/>
        </w:rPr>
        <w:t>Condensed Consolidated Financial Statements,</w:t>
      </w:r>
      <w:r>
        <w:rPr>
          <w:rFonts w:ascii="Arial" w:cs="Arial" w:eastAsia="Arial" w:hAnsi="Arial"/>
          <w:sz w:val="16"/>
          <w:szCs w:val="16"/>
          <w:color w:val="auto"/>
        </w:rPr>
        <w:t xml:space="preserve"> of this Quarterly Report on Form 10-Q. We believe these non-GAAP financial measures are frequently used by securities analysts, investors, and other interested parties to evaluate companies in our industry.</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Reportable Segments</w:t>
      </w:r>
    </w:p>
    <w:p>
      <w:pPr>
        <w:spacing w:after="0" w:line="133"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We have six operating segments: 1) Grand Design towables, 2) Winnebago towables, 3) Winnebago motorhomes, 4) Newmar motorhomes, 5) Chris-Craft marine, and 6) Winnebago specialty vehicles. We evaluate performance based on each operating segment's Adjusted EBITDA, as defined below, which excludes certain corporate administration expenses and non-operating income and expense.</w:t>
      </w:r>
    </w:p>
    <w:p>
      <w:pPr>
        <w:spacing w:after="0" w:line="228"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color w:val="auto"/>
        </w:rPr>
        <w:t>Our two reportable segments include: 1) Towable (comprised of products which are not motorized and are generally towed by another vehicle as well as other related manufactured products and services), which is an aggregation of the Winnebago towables and Grand Design towables operating segments and 2) Motorhome (comprised of products that include a motorized chassis as well as other related manufactured products and services), which is an aggregation of the Winnebago motorhomes and Newmar motorhomes operating segments.</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Corporate / All Other category includes the Chris-Craft marine and Winnebago specialty vehicles operating segments as well as expenses related to certain corporate administration expenses for the oversight of the enterprise. These expenses include items such as corporate leadership and administration costs.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Trends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Key reported statistics for the North American RV industry are as follows:</w:t>
      </w:r>
    </w:p>
    <w:p>
      <w:pPr>
        <w:spacing w:after="0" w:line="5" w:lineRule="exact"/>
        <w:rPr>
          <w:sz w:val="20"/>
          <w:szCs w:val="20"/>
          <w:color w:val="auto"/>
        </w:rPr>
      </w:pPr>
    </w:p>
    <w:p>
      <w:pPr>
        <w:ind w:left="560" w:hanging="228"/>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Wholesale unit shipments: RV product delivered to the dealers, which is reported monthly by the Recreation Vehicle Industry Association ("RVIA")</w:t>
      </w:r>
    </w:p>
    <w:p>
      <w:pPr>
        <w:spacing w:after="0" w:line="5" w:lineRule="exact"/>
        <w:rPr>
          <w:rFonts w:ascii="Arial" w:cs="Arial" w:eastAsia="Arial" w:hAnsi="Arial"/>
          <w:sz w:val="16"/>
          <w:szCs w:val="16"/>
          <w:color w:val="auto"/>
        </w:rPr>
      </w:pPr>
    </w:p>
    <w:p>
      <w:pPr>
        <w:ind w:left="560" w:hanging="228"/>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Retail unit registrations: consumer purchases of RVs from dealers, which is reported monthly by Stat Surveys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We track RV Industry conditions using these key statistics to monitor trends and evaluate and understand our performance relative to the overall industry.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changes in these key statistics for the rolling 12 months through October as of 2020 and 2019:</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5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rPr>
              <w:t>US and Canada Industry</w:t>
            </w: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08"/>
        </w:trPr>
        <w:tc>
          <w:tcPr>
            <w:tcW w:w="1500" w:type="dxa"/>
            <w:vAlign w:val="bottom"/>
          </w:tcPr>
          <w:p>
            <w:pPr>
              <w:spacing w:after="0"/>
              <w:rPr>
                <w:sz w:val="18"/>
                <w:szCs w:val="18"/>
                <w:color w:val="auto"/>
              </w:rPr>
            </w:pPr>
          </w:p>
        </w:tc>
        <w:tc>
          <w:tcPr>
            <w:tcW w:w="3780" w:type="dxa"/>
            <w:vAlign w:val="bottom"/>
            <w:gridSpan w:val="7"/>
          </w:tcPr>
          <w:p>
            <w:pPr>
              <w:ind w:left="1000"/>
              <w:spacing w:after="0"/>
              <w:rPr>
                <w:sz w:val="20"/>
                <w:szCs w:val="20"/>
                <w:color w:val="auto"/>
              </w:rPr>
            </w:pPr>
            <w:r>
              <w:rPr>
                <w:rFonts w:ascii="Arial" w:cs="Arial" w:eastAsia="Arial" w:hAnsi="Arial"/>
                <w:sz w:val="16"/>
                <w:szCs w:val="16"/>
                <w:b w:val="1"/>
                <w:bCs w:val="1"/>
                <w:color w:val="auto"/>
              </w:rPr>
              <w:t>Wholesale Unit Shipments per RVIA</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gridSpan w:val="8"/>
          </w:tcPr>
          <w:p>
            <w:pPr>
              <w:jc w:val="center"/>
              <w:spacing w:after="0"/>
              <w:rPr>
                <w:sz w:val="20"/>
                <w:szCs w:val="20"/>
                <w:color w:val="auto"/>
              </w:rPr>
            </w:pPr>
            <w:r>
              <w:rPr>
                <w:rFonts w:ascii="Arial" w:cs="Arial" w:eastAsia="Arial" w:hAnsi="Arial"/>
                <w:sz w:val="16"/>
                <w:szCs w:val="16"/>
                <w:b w:val="1"/>
                <w:bCs w:val="1"/>
                <w:color w:val="auto"/>
              </w:rPr>
              <w:t>Retail Unit Registrations per Stat Surveys</w:t>
            </w:r>
          </w:p>
        </w:tc>
      </w:tr>
      <w:tr>
        <w:trPr>
          <w:trHeight w:val="218"/>
        </w:trPr>
        <w:tc>
          <w:tcPr>
            <w:tcW w:w="1500" w:type="dxa"/>
            <w:vAlign w:val="bottom"/>
          </w:tcPr>
          <w:p>
            <w:pPr>
              <w:spacing w:after="0"/>
              <w:rPr>
                <w:sz w:val="18"/>
                <w:szCs w:val="18"/>
                <w:color w:val="auto"/>
              </w:rPr>
            </w:pPr>
          </w:p>
        </w:tc>
        <w:tc>
          <w:tcPr>
            <w:tcW w:w="3780" w:type="dxa"/>
            <w:vAlign w:val="bottom"/>
            <w:tcBorders>
              <w:bottom w:val="single" w:sz="8" w:color="auto"/>
            </w:tcBorders>
            <w:gridSpan w:val="7"/>
          </w:tcPr>
          <w:p>
            <w:pPr>
              <w:ind w:left="1020"/>
              <w:spacing w:after="0"/>
              <w:rPr>
                <w:sz w:val="20"/>
                <w:szCs w:val="20"/>
                <w:color w:val="auto"/>
              </w:rPr>
            </w:pPr>
            <w:r>
              <w:rPr>
                <w:rFonts w:ascii="Arial" w:cs="Arial" w:eastAsia="Arial" w:hAnsi="Arial"/>
                <w:sz w:val="16"/>
                <w:szCs w:val="16"/>
                <w:b w:val="1"/>
                <w:bCs w:val="1"/>
                <w:color w:val="auto"/>
              </w:rPr>
              <w:t>Rolling 12 Months through October</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Borders>
              <w:bottom w:val="single" w:sz="8" w:color="auto"/>
            </w:tcBorders>
            <w:gridSpan w:val="7"/>
          </w:tcPr>
          <w:p>
            <w:pPr>
              <w:jc w:val="center"/>
              <w:ind w:left="939"/>
              <w:spacing w:after="0"/>
              <w:rPr>
                <w:sz w:val="20"/>
                <w:szCs w:val="20"/>
                <w:color w:val="auto"/>
              </w:rPr>
            </w:pPr>
            <w:r>
              <w:rPr>
                <w:rFonts w:ascii="Arial" w:cs="Arial" w:eastAsia="Arial" w:hAnsi="Arial"/>
                <w:sz w:val="16"/>
                <w:szCs w:val="16"/>
                <w:b w:val="1"/>
                <w:bCs w:val="1"/>
                <w:color w:val="auto"/>
              </w:rPr>
              <w:t>Rolling 12 Months through October</w:t>
            </w:r>
          </w:p>
        </w:tc>
        <w:tc>
          <w:tcPr>
            <w:tcW w:w="1020" w:type="dxa"/>
            <w:vAlign w:val="bottom"/>
            <w:tcBorders>
              <w:bottom w:val="single" w:sz="8" w:color="auto"/>
            </w:tcBorders>
          </w:tcPr>
          <w:p>
            <w:pPr>
              <w:spacing w:after="0"/>
              <w:rPr>
                <w:sz w:val="18"/>
                <w:szCs w:val="18"/>
                <w:color w:val="auto"/>
              </w:rPr>
            </w:pPr>
          </w:p>
        </w:tc>
      </w:tr>
      <w:tr>
        <w:trPr>
          <w:trHeight w:val="212"/>
        </w:trPr>
        <w:tc>
          <w:tcPr>
            <w:tcW w:w="1500" w:type="dxa"/>
            <w:vAlign w:val="bottom"/>
          </w:tcPr>
          <w:p>
            <w:pPr>
              <w:spacing w:after="0"/>
              <w:rPr>
                <w:sz w:val="18"/>
                <w:szCs w:val="18"/>
                <w:color w:val="auto"/>
              </w:rPr>
            </w:pPr>
          </w:p>
        </w:tc>
        <w:tc>
          <w:tcPr>
            <w:tcW w:w="1120" w:type="dxa"/>
            <w:vAlign w:val="bottom"/>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14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Arial" w:cs="Arial" w:eastAsia="Arial" w:hAnsi="Arial"/>
                <w:sz w:val="16"/>
                <w:szCs w:val="16"/>
                <w:b w:val="1"/>
                <w:bCs w:val="1"/>
                <w:color w:val="auto"/>
              </w:rPr>
              <w:t>Unit Change</w:t>
            </w:r>
          </w:p>
        </w:tc>
        <w:tc>
          <w:tcPr>
            <w:tcW w:w="10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8"/>
                <w:szCs w:val="18"/>
                <w:color w:val="auto"/>
              </w:rPr>
            </w:pPr>
          </w:p>
        </w:tc>
        <w:tc>
          <w:tcPr>
            <w:tcW w:w="1140" w:type="dxa"/>
            <w:vAlign w:val="bottom"/>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14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300" w:type="dxa"/>
            <w:vAlign w:val="bottom"/>
            <w:gridSpan w:val="3"/>
          </w:tcPr>
          <w:p>
            <w:pPr>
              <w:ind w:left="40"/>
              <w:spacing w:after="0"/>
              <w:rPr>
                <w:sz w:val="20"/>
                <w:szCs w:val="20"/>
                <w:color w:val="auto"/>
              </w:rPr>
            </w:pPr>
            <w:r>
              <w:rPr>
                <w:rFonts w:ascii="Arial" w:cs="Arial" w:eastAsia="Arial" w:hAnsi="Arial"/>
                <w:sz w:val="16"/>
                <w:szCs w:val="16"/>
                <w:b w:val="1"/>
                <w:bCs w:val="1"/>
                <w:color w:val="auto"/>
              </w:rPr>
              <w:t>Unit Change</w:t>
            </w: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1500" w:type="dxa"/>
            <w:vAlign w:val="bottom"/>
            <w:tcBorders>
              <w:top w:val="single" w:sz="8" w:color="auto"/>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Towable</w:t>
            </w:r>
            <w:r>
              <w:rPr>
                <w:rFonts w:ascii="Arial" w:cs="Arial" w:eastAsia="Arial" w:hAnsi="Arial"/>
                <w:sz w:val="21"/>
                <w:szCs w:val="21"/>
                <w:color w:val="auto"/>
                <w:vertAlign w:val="superscript"/>
              </w:rPr>
              <w:t>(1)</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356,270</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352,496</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ind w:left="419"/>
              <w:spacing w:after="0"/>
              <w:rPr>
                <w:sz w:val="20"/>
                <w:szCs w:val="20"/>
                <w:color w:val="auto"/>
              </w:rPr>
            </w:pPr>
            <w:r>
              <w:rPr>
                <w:rFonts w:ascii="Arial" w:cs="Arial" w:eastAsia="Arial" w:hAnsi="Arial"/>
                <w:sz w:val="16"/>
                <w:szCs w:val="16"/>
                <w:color w:val="auto"/>
                <w:w w:val="99"/>
              </w:rPr>
              <w:t>3,774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428,617</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396,136</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32,481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8.2 %</w:t>
            </w:r>
          </w:p>
        </w:tc>
      </w:tr>
      <w:tr>
        <w:trPr>
          <w:trHeight w:val="216"/>
        </w:trPr>
        <w:tc>
          <w:tcPr>
            <w:tcW w:w="15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Motorhome</w:t>
            </w:r>
            <w:r>
              <w:rPr>
                <w:rFonts w:ascii="Arial" w:cs="Arial" w:eastAsia="Arial" w:hAnsi="Arial"/>
                <w:sz w:val="21"/>
                <w:szCs w:val="21"/>
                <w:color w:val="auto"/>
                <w:vertAlign w:val="superscript"/>
              </w:rPr>
              <w:t>(2)</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39,011</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47,726</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color w:val="auto"/>
              </w:rPr>
              <w:t>(8,715)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50,987</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52,625</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235"/>
        </w:trPr>
        <w:tc>
          <w:tcPr>
            <w:tcW w:w="1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Combined</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395,281</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400,222</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379"/>
              <w:spacing w:after="0"/>
              <w:rPr>
                <w:sz w:val="20"/>
                <w:szCs w:val="20"/>
                <w:color w:val="auto"/>
              </w:rPr>
            </w:pPr>
            <w:r>
              <w:rPr>
                <w:rFonts w:ascii="Arial" w:cs="Arial" w:eastAsia="Arial" w:hAnsi="Arial"/>
                <w:sz w:val="16"/>
                <w:szCs w:val="16"/>
                <w:color w:val="auto"/>
              </w:rPr>
              <w:t>(4,941)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479,604</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448,761</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30,843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6.9 %</w:t>
            </w: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Towable: Fifth wheel and travel trailer products.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Motorhome: Class A, B, and C products.</w:t>
      </w:r>
    </w:p>
    <w:p>
      <w:pPr>
        <w:spacing w:after="0" w:line="241"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The rolling twelve months shipments for 2020 compared to 2019 reflect a contraction in shipments, particularly in motorhome, as dealers rationalized inventory during the period September 2019 through December 2019. Shipments returned to growth starting in January 2020. Due to the onset of the COVID-19 pandemic in March 2020, evidenced by an industry wide shutdown of RV manufacturing in April 2020, shipments declined year over year for the period of March 2020 through May 2020. Shipments have returned to growth from June 2020 through October 2020 due to high levels of end consumer demand and extremely low levels of dealer inventories. The rolling twelve months retail information for 2020 and 2019 illustrates that retail sales remain at healthy levels relative to the industry's historical retail levels. We believe retail demand is the key driver to continued growth in the industry.</w:t>
      </w:r>
    </w:p>
    <w:p>
      <w:pPr>
        <w:spacing w:after="0" w:line="232"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The most recent RVIA wholesale shipment forecasts for calendar year 2021, as noted in the table below, indicate that industry shipments are expected to experience growth in 2021. The retail activity is anticipated to remain at healthy levels, and wholesale shipments are expected to reflect a rebound associated with dealers rebuilding their inventories.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2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ind w:left="660"/>
              <w:spacing w:after="0"/>
              <w:rPr>
                <w:sz w:val="20"/>
                <w:szCs w:val="20"/>
                <w:color w:val="auto"/>
              </w:rPr>
            </w:pPr>
            <w:r>
              <w:rPr>
                <w:rFonts w:ascii="Arial" w:cs="Arial" w:eastAsia="Arial" w:hAnsi="Arial"/>
                <w:sz w:val="16"/>
                <w:szCs w:val="16"/>
                <w:b w:val="1"/>
                <w:bCs w:val="1"/>
                <w:color w:val="auto"/>
              </w:rPr>
              <w:t>Calendar Year</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6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Wholesale Unit Shipment Forecast per RVIA</w:t>
            </w:r>
            <w:r>
              <w:rPr>
                <w:rFonts w:ascii="Arial" w:cs="Arial" w:eastAsia="Arial" w:hAnsi="Arial"/>
                <w:sz w:val="21"/>
                <w:szCs w:val="21"/>
                <w:b w:val="1"/>
                <w:bCs w:val="1"/>
                <w:color w:val="auto"/>
                <w:vertAlign w:val="superscript"/>
              </w:rPr>
              <w:t>(1)</w:t>
            </w:r>
          </w:p>
        </w:tc>
        <w:tc>
          <w:tcPr>
            <w:tcW w:w="1480" w:type="dxa"/>
            <w:vAlign w:val="bottom"/>
          </w:tcPr>
          <w:p>
            <w:pPr>
              <w:jc w:val="right"/>
              <w:ind w:right="479"/>
              <w:spacing w:after="0" w:line="158"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3"/>
                <w:szCs w:val="13"/>
                <w:color w:val="auto"/>
              </w:rPr>
            </w:pPr>
          </w:p>
        </w:tc>
        <w:tc>
          <w:tcPr>
            <w:tcW w:w="1480" w:type="dxa"/>
            <w:vAlign w:val="bottom"/>
          </w:tcPr>
          <w:p>
            <w:pPr>
              <w:jc w:val="right"/>
              <w:ind w:right="479"/>
              <w:spacing w:after="0" w:line="158"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3"/>
                <w:szCs w:val="13"/>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Unit Change</w:t>
            </w:r>
          </w:p>
        </w:tc>
        <w:tc>
          <w:tcPr>
            <w:tcW w:w="122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5620" w:type="dxa"/>
            <w:vAlign w:val="bottom"/>
            <w:vMerge w:val="continue"/>
          </w:tcPr>
          <w:p>
            <w:pPr>
              <w:spacing w:after="0"/>
              <w:rPr>
                <w:sz w:val="18"/>
                <w:szCs w:val="18"/>
                <w:color w:val="auto"/>
              </w:rPr>
            </w:pPr>
          </w:p>
        </w:tc>
        <w:tc>
          <w:tcPr>
            <w:tcW w:w="1600" w:type="dxa"/>
            <w:vAlign w:val="bottom"/>
            <w:gridSpan w:val="2"/>
          </w:tcPr>
          <w:p>
            <w:pPr>
              <w:ind w:left="400"/>
              <w:spacing w:after="0"/>
              <w:rPr>
                <w:sz w:val="20"/>
                <w:szCs w:val="20"/>
                <w:color w:val="auto"/>
              </w:rPr>
            </w:pPr>
            <w:r>
              <w:rPr>
                <w:rFonts w:ascii="Arial" w:cs="Arial" w:eastAsia="Arial" w:hAnsi="Arial"/>
                <w:sz w:val="16"/>
                <w:szCs w:val="16"/>
                <w:b w:val="1"/>
                <w:bCs w:val="1"/>
                <w:color w:val="auto"/>
              </w:rPr>
              <w:t>Forecast</w:t>
            </w:r>
          </w:p>
        </w:tc>
        <w:tc>
          <w:tcPr>
            <w:tcW w:w="1580" w:type="dxa"/>
            <w:vAlign w:val="bottom"/>
            <w:gridSpan w:val="2"/>
          </w:tcPr>
          <w:p>
            <w:pPr>
              <w:ind w:left="500"/>
              <w:spacing w:after="0"/>
              <w:rPr>
                <w:sz w:val="20"/>
                <w:szCs w:val="20"/>
                <w:color w:val="auto"/>
              </w:rPr>
            </w:pPr>
            <w:r>
              <w:rPr>
                <w:rFonts w:ascii="Arial" w:cs="Arial" w:eastAsia="Arial" w:hAnsi="Arial"/>
                <w:sz w:val="16"/>
                <w:szCs w:val="16"/>
                <w:b w:val="1"/>
                <w:bCs w:val="1"/>
                <w:color w:val="auto"/>
              </w:rPr>
              <w:t>Actual</w:t>
            </w:r>
          </w:p>
        </w:tc>
        <w:tc>
          <w:tcPr>
            <w:tcW w:w="120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Aggressive</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515,400</w:t>
            </w: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423,600</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91,800</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21.7 %</w:t>
            </w:r>
          </w:p>
        </w:tc>
        <w:tc>
          <w:tcPr>
            <w:tcW w:w="0" w:type="dxa"/>
            <w:vAlign w:val="bottom"/>
          </w:tcPr>
          <w:p>
            <w:pPr>
              <w:spacing w:after="0"/>
              <w:rPr>
                <w:sz w:val="1"/>
                <w:szCs w:val="1"/>
                <w:color w:val="auto"/>
              </w:rPr>
            </w:pPr>
          </w:p>
        </w:tc>
      </w:tr>
      <w:tr>
        <w:trPr>
          <w:trHeight w:val="213"/>
        </w:trPr>
        <w:tc>
          <w:tcPr>
            <w:tcW w:w="5620" w:type="dxa"/>
            <w:vAlign w:val="bottom"/>
          </w:tcPr>
          <w:p>
            <w:pPr>
              <w:ind w:left="20"/>
              <w:spacing w:after="0"/>
              <w:rPr>
                <w:sz w:val="20"/>
                <w:szCs w:val="20"/>
                <w:color w:val="auto"/>
              </w:rPr>
            </w:pPr>
            <w:r>
              <w:rPr>
                <w:rFonts w:ascii="Arial" w:cs="Arial" w:eastAsia="Arial" w:hAnsi="Arial"/>
                <w:sz w:val="16"/>
                <w:szCs w:val="16"/>
                <w:color w:val="auto"/>
              </w:rPr>
              <w:t>Most likely</w:t>
            </w:r>
          </w:p>
        </w:tc>
        <w:tc>
          <w:tcPr>
            <w:tcW w:w="1480" w:type="dxa"/>
            <w:vAlign w:val="bottom"/>
          </w:tcPr>
          <w:p>
            <w:pPr>
              <w:jc w:val="right"/>
              <w:spacing w:after="0"/>
              <w:rPr>
                <w:sz w:val="20"/>
                <w:szCs w:val="20"/>
                <w:color w:val="auto"/>
              </w:rPr>
            </w:pPr>
            <w:r>
              <w:rPr>
                <w:rFonts w:ascii="Arial" w:cs="Arial" w:eastAsia="Arial" w:hAnsi="Arial"/>
                <w:sz w:val="16"/>
                <w:szCs w:val="16"/>
                <w:color w:val="auto"/>
              </w:rPr>
              <w:t>502,900</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423,600</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79,300</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18.7 %</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Conservative</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490,300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423,600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66,700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15.7 %</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Prepared by ITR Economics for RVIA and reported in the Roadsigns RV Winter 2020 Industry Forecast Issue.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Share</w:t>
      </w:r>
    </w:p>
    <w:p>
      <w:pPr>
        <w:spacing w:after="0" w:line="133"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Our retail unit market share, as reported by Stat Surveys based on state records, is illustrated below. Market share is calculated by taking our brands total unit sales divided by the total units sold in the motorized and travel trailer and fifth wheel markets. The data is used to analyze growth and profitability of our products and brands year over year. Note that this data is subject to adjustment and is continuously updated.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272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rPr>
              <w:t>Rolling 12 Months through</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Calendar Year</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480" w:type="dxa"/>
            <w:vAlign w:val="bottom"/>
          </w:tcPr>
          <w:p>
            <w:pPr>
              <w:spacing w:after="0"/>
              <w:rPr>
                <w:sz w:val="18"/>
                <w:szCs w:val="18"/>
                <w:color w:val="auto"/>
              </w:rPr>
            </w:pPr>
          </w:p>
        </w:tc>
        <w:tc>
          <w:tcPr>
            <w:tcW w:w="1720" w:type="dxa"/>
            <w:vAlign w:val="bottom"/>
            <w:tcBorders>
              <w:bottom w:val="single" w:sz="8" w:color="auto"/>
            </w:tcBorders>
            <w:gridSpan w:val="3"/>
          </w:tcPr>
          <w:p>
            <w:pPr>
              <w:jc w:val="center"/>
              <w:ind w:left="819"/>
              <w:spacing w:after="0"/>
              <w:rPr>
                <w:sz w:val="20"/>
                <w:szCs w:val="20"/>
                <w:color w:val="auto"/>
              </w:rPr>
            </w:pPr>
            <w:r>
              <w:rPr>
                <w:rFonts w:ascii="Arial" w:cs="Arial" w:eastAsia="Arial" w:hAnsi="Arial"/>
                <w:sz w:val="16"/>
                <w:szCs w:val="16"/>
                <w:b w:val="1"/>
                <w:bCs w:val="1"/>
                <w:color w:val="auto"/>
              </w:rPr>
              <w:t>October</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vMerge w:val="continue"/>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US and Canada</w:t>
            </w:r>
          </w:p>
        </w:tc>
        <w:tc>
          <w:tcPr>
            <w:tcW w:w="1260" w:type="dxa"/>
            <w:vAlign w:val="bottom"/>
            <w:tcBorders>
              <w:bottom w:val="single" w:sz="8" w:color="auto"/>
            </w:tcBorders>
          </w:tcPr>
          <w:p>
            <w:pPr>
              <w:jc w:val="right"/>
              <w:ind w:right="299"/>
              <w:spacing w:after="0" w:line="211" w:lineRule="exact"/>
              <w:rPr>
                <w:sz w:val="20"/>
                <w:szCs w:val="20"/>
                <w:color w:val="auto"/>
              </w:rPr>
            </w:pPr>
            <w:r>
              <w:rPr>
                <w:rFonts w:ascii="Arial" w:cs="Arial" w:eastAsia="Arial" w:hAnsi="Arial"/>
                <w:sz w:val="16"/>
                <w:szCs w:val="16"/>
                <w:b w:val="1"/>
                <w:bCs w:val="1"/>
                <w:color w:val="auto"/>
              </w:rPr>
              <w:t>2020</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trailer and fifth wheels</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9.1 %</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9.3 %</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7.8 %</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6.1 %</w:t>
            </w: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Arial" w:cs="Arial" w:eastAsia="Arial" w:hAnsi="Arial"/>
                <w:sz w:val="16"/>
                <w:szCs w:val="16"/>
                <w:color w:val="auto"/>
              </w:rPr>
              <w:t>Motorhome A, B, C</w:t>
            </w:r>
          </w:p>
        </w:tc>
        <w:tc>
          <w:tcPr>
            <w:tcW w:w="1260" w:type="dxa"/>
            <w:vAlign w:val="bottom"/>
          </w:tcPr>
          <w:p>
            <w:pPr>
              <w:jc w:val="right"/>
              <w:spacing w:after="0"/>
              <w:rPr>
                <w:sz w:val="20"/>
                <w:szCs w:val="20"/>
                <w:color w:val="auto"/>
              </w:rPr>
            </w:pPr>
            <w:r>
              <w:rPr>
                <w:rFonts w:ascii="Arial" w:cs="Arial" w:eastAsia="Arial" w:hAnsi="Arial"/>
                <w:sz w:val="16"/>
                <w:szCs w:val="16"/>
                <w:color w:val="auto"/>
              </w:rPr>
              <w:t>21.1 %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15.3 %</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16.1 %</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15.5 %</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16.3 %</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market share</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8.7 %</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7.4 %</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retail unit market share for Newmar since its acquisition on November 8, 2019.</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Enterprise Resource Planning System</w:t>
      </w:r>
    </w:p>
    <w:p>
      <w:pPr>
        <w:spacing w:after="0" w:line="13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In the second quarter of Fiscal 2015, our Board of Directors approved the strategic initiative of implementing an enterprise resource planning ("ERP") system to replace our legacy business applications. The new ERP platform will provide better support for our changing business needs and plans for future growth. Our initial cost estimates have grown for additional needs of the business, such as the opportunity to integrate the ERP system with additional manufacturing systems. The project includes software, external implementation assistance, and increased internal staffing directly related to this initiative. We anticipate that approximately 40% of the cost will be expensed in the period incurred and 60% will be capitalized and depreciated over its useful life.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illustrates the cumulative project costs: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260" w:type="dxa"/>
            <w:vAlign w:val="bottom"/>
          </w:tcPr>
          <w:p>
            <w:pPr>
              <w:spacing w:after="0"/>
              <w:rPr>
                <w:sz w:val="18"/>
                <w:szCs w:val="18"/>
                <w:color w:val="auto"/>
              </w:rPr>
            </w:pPr>
          </w:p>
        </w:tc>
        <w:tc>
          <w:tcPr>
            <w:tcW w:w="18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192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Fiscal Year</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gridSpan w:val="3"/>
          </w:tcPr>
          <w:p>
            <w:pPr>
              <w:jc w:val="center"/>
              <w:ind w:left="179"/>
              <w:spacing w:after="0"/>
              <w:rPr>
                <w:sz w:val="20"/>
                <w:szCs w:val="20"/>
                <w:color w:val="auto"/>
              </w:rPr>
            </w:pPr>
            <w:r>
              <w:rPr>
                <w:rFonts w:ascii="Arial" w:cs="Arial" w:eastAsia="Arial" w:hAnsi="Arial"/>
                <w:sz w:val="16"/>
                <w:szCs w:val="16"/>
                <w:b w:val="1"/>
                <w:bCs w:val="1"/>
                <w:color w:val="auto"/>
              </w:rPr>
              <w:t>Cumulative Investment</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center"/>
              <w:ind w:right="139"/>
              <w:spacing w:after="0" w:line="158" w:lineRule="exact"/>
              <w:rPr>
                <w:sz w:val="20"/>
                <w:szCs w:val="20"/>
                <w:color w:val="auto"/>
              </w:rPr>
            </w:pPr>
            <w:r>
              <w:rPr>
                <w:rFonts w:ascii="Arial" w:cs="Arial" w:eastAsia="Arial" w:hAnsi="Arial"/>
                <w:sz w:val="16"/>
                <w:szCs w:val="16"/>
                <w:b w:val="1"/>
                <w:bCs w:val="1"/>
                <w:color w:val="auto"/>
              </w:rPr>
              <w:t>November 28,</w:t>
            </w:r>
          </w:p>
        </w:tc>
        <w:tc>
          <w:tcPr>
            <w:tcW w:w="1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vMerge w:val="restart"/>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340" w:type="dxa"/>
            <w:vAlign w:val="bottom"/>
            <w:tcBorders>
              <w:top w:val="single" w:sz="8" w:color="auto"/>
            </w:tcBorders>
            <w:gridSpan w:val="3"/>
            <w:vMerge w:val="restart"/>
          </w:tcPr>
          <w:p>
            <w:pPr>
              <w:jc w:val="center"/>
              <w:ind w:left="179"/>
              <w:spacing w:after="0"/>
              <w:rPr>
                <w:sz w:val="20"/>
                <w:szCs w:val="20"/>
                <w:color w:val="auto"/>
              </w:rPr>
            </w:pPr>
            <w:r>
              <w:rPr>
                <w:rFonts w:ascii="Arial" w:cs="Arial" w:eastAsia="Arial" w:hAnsi="Arial"/>
                <w:sz w:val="16"/>
                <w:szCs w:val="16"/>
                <w:b w:val="1"/>
                <w:bCs w:val="1"/>
                <w:color w:val="auto"/>
              </w:rPr>
              <w:t>Fiscal 2015-2020</w:t>
            </w: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2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vMerge w:val="continue"/>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27,949</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59.1 %</w:t>
            </w:r>
          </w:p>
        </w:tc>
        <w:tc>
          <w:tcPr>
            <w:tcW w:w="0" w:type="dxa"/>
            <w:vAlign w:val="bottom"/>
          </w:tcPr>
          <w:p>
            <w:pPr>
              <w:spacing w:after="0"/>
              <w:rPr>
                <w:sz w:val="1"/>
                <w:szCs w:val="1"/>
                <w:color w:val="auto"/>
              </w:rPr>
            </w:pPr>
          </w:p>
        </w:tc>
      </w:tr>
      <w:tr>
        <w:trPr>
          <w:trHeight w:val="213"/>
        </w:trPr>
        <w:tc>
          <w:tcPr>
            <w:tcW w:w="2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Expensed</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1,788</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3,709</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19,350</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40.9 %</w:t>
            </w:r>
          </w:p>
        </w:tc>
        <w:tc>
          <w:tcPr>
            <w:tcW w:w="0" w:type="dxa"/>
            <w:vAlign w:val="bottom"/>
          </w:tcPr>
          <w:p>
            <w:pPr>
              <w:spacing w:after="0"/>
              <w:rPr>
                <w:sz w:val="1"/>
                <w:szCs w:val="1"/>
                <w:color w:val="auto"/>
              </w:rPr>
            </w:pPr>
          </w:p>
        </w:tc>
      </w:tr>
      <w:tr>
        <w:trPr>
          <w:trHeight w:val="238"/>
        </w:trPr>
        <w:tc>
          <w:tcPr>
            <w:tcW w:w="2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5,679</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47,299</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 Current Quarter Compared to the Comparable Prior Year Quarter</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Consolidated Performance Summary</w:t>
      </w:r>
    </w:p>
    <w:p>
      <w:pPr>
        <w:spacing w:after="0" w:line="133" w:lineRule="exact"/>
        <w:rPr>
          <w:sz w:val="20"/>
          <w:szCs w:val="20"/>
          <w:color w:val="auto"/>
        </w:rPr>
      </w:pPr>
    </w:p>
    <w:p>
      <w:pPr>
        <w:ind w:right="380"/>
        <w:spacing w:after="0" w:line="259" w:lineRule="auto"/>
        <w:rPr>
          <w:sz w:val="20"/>
          <w:szCs w:val="20"/>
          <w:color w:val="auto"/>
        </w:rPr>
      </w:pPr>
      <w:r>
        <w:rPr>
          <w:rFonts w:ascii="Arial" w:cs="Arial" w:eastAsia="Arial" w:hAnsi="Arial"/>
          <w:sz w:val="16"/>
          <w:szCs w:val="16"/>
          <w:color w:val="auto"/>
        </w:rPr>
        <w:t>The following is an analysis of changes in key items included in the consolidated statements of income and comprehensive income for the three months ended November 28, 2020 compared to the three months ended November 30, 2019: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72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(in thousands, except percent and</w:t>
            </w:r>
          </w:p>
        </w:tc>
        <w:tc>
          <w:tcPr>
            <w:tcW w:w="140" w:type="dxa"/>
            <w:vAlign w:val="bottom"/>
          </w:tcPr>
          <w:p>
            <w:pPr>
              <w:spacing w:after="0"/>
              <w:rPr>
                <w:sz w:val="14"/>
                <w:szCs w:val="14"/>
                <w:color w:val="auto"/>
              </w:rPr>
            </w:pPr>
          </w:p>
        </w:tc>
        <w:tc>
          <w:tcPr>
            <w:tcW w:w="1340" w:type="dxa"/>
            <w:vAlign w:val="bottom"/>
            <w:gridSpan w:val="2"/>
          </w:tcPr>
          <w:p>
            <w:pPr>
              <w:ind w:left="20"/>
              <w:spacing w:after="0" w:line="161" w:lineRule="exact"/>
              <w:rPr>
                <w:sz w:val="20"/>
                <w:szCs w:val="20"/>
                <w:color w:val="auto"/>
              </w:rPr>
            </w:pPr>
            <w:r>
              <w:rPr>
                <w:rFonts w:ascii="Arial" w:cs="Arial" w:eastAsia="Arial" w:hAnsi="Arial"/>
                <w:sz w:val="16"/>
                <w:szCs w:val="16"/>
                <w:b w:val="1"/>
                <w:bCs w:val="1"/>
                <w:color w:val="auto"/>
              </w:rPr>
              <w:t>November 28,</w:t>
            </w:r>
          </w:p>
        </w:tc>
        <w:tc>
          <w:tcPr>
            <w:tcW w:w="1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20" w:type="dxa"/>
            <w:vAlign w:val="bottom"/>
          </w:tcPr>
          <w:p>
            <w:pPr>
              <w:spacing w:after="0"/>
              <w:rPr>
                <w:sz w:val="14"/>
                <w:szCs w:val="14"/>
                <w:color w:val="auto"/>
              </w:rPr>
            </w:pPr>
          </w:p>
        </w:tc>
        <w:tc>
          <w:tcPr>
            <w:tcW w:w="1340" w:type="dxa"/>
            <w:vAlign w:val="bottom"/>
            <w:gridSpan w:val="2"/>
          </w:tcPr>
          <w:p>
            <w:pPr>
              <w:ind w:left="20"/>
              <w:spacing w:after="0" w:line="161" w:lineRule="exact"/>
              <w:rPr>
                <w:sz w:val="20"/>
                <w:szCs w:val="20"/>
                <w:color w:val="auto"/>
              </w:rPr>
            </w:pPr>
            <w:r>
              <w:rPr>
                <w:rFonts w:ascii="Arial" w:cs="Arial" w:eastAsia="Arial" w:hAnsi="Arial"/>
                <w:sz w:val="16"/>
                <w:szCs w:val="16"/>
                <w:b w:val="1"/>
                <w:bCs w:val="1"/>
                <w:color w:val="auto"/>
              </w:rPr>
              <w:t>November 30,</w:t>
            </w:r>
          </w:p>
        </w:tc>
        <w:tc>
          <w:tcPr>
            <w:tcW w:w="14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2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Change</w:t>
            </w:r>
          </w:p>
        </w:tc>
        <w:tc>
          <w:tcPr>
            <w:tcW w:w="136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720" w:type="dxa"/>
            <w:vAlign w:val="bottom"/>
          </w:tcPr>
          <w:p>
            <w:pPr>
              <w:ind w:left="20"/>
              <w:spacing w:after="0"/>
              <w:rPr>
                <w:sz w:val="20"/>
                <w:szCs w:val="20"/>
                <w:color w:val="auto"/>
              </w:rPr>
            </w:pPr>
            <w:r>
              <w:rPr>
                <w:rFonts w:ascii="Arial" w:cs="Arial" w:eastAsia="Arial" w:hAnsi="Arial"/>
                <w:sz w:val="16"/>
                <w:szCs w:val="16"/>
                <w:b w:val="1"/>
                <w:bCs w:val="1"/>
                <w:color w:val="auto"/>
              </w:rPr>
              <w:t>per share data)</w:t>
            </w:r>
          </w:p>
        </w:tc>
        <w:tc>
          <w:tcPr>
            <w:tcW w:w="140" w:type="dxa"/>
            <w:vAlign w:val="bottom"/>
          </w:tcPr>
          <w:p>
            <w:pPr>
              <w:spacing w:after="0"/>
              <w:rPr>
                <w:sz w:val="18"/>
                <w:szCs w:val="18"/>
                <w:color w:val="auto"/>
              </w:rPr>
            </w:pPr>
          </w:p>
        </w:tc>
        <w:tc>
          <w:tcPr>
            <w:tcW w:w="122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793,131</w:t>
            </w: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588,458</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204,673</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34.8 %</w:t>
            </w:r>
          </w:p>
        </w:tc>
        <w:tc>
          <w:tcPr>
            <w:tcW w:w="0" w:type="dxa"/>
            <w:vAlign w:val="bottom"/>
          </w:tcPr>
          <w:p>
            <w:pPr>
              <w:spacing w:after="0"/>
              <w:rPr>
                <w:sz w:val="1"/>
                <w:szCs w:val="1"/>
                <w:color w:val="auto"/>
              </w:rPr>
            </w:pPr>
          </w:p>
        </w:tc>
      </w:tr>
      <w:tr>
        <w:trPr>
          <w:trHeight w:val="213"/>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656,127</w:t>
            </w: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82.7 %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509,845</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86.6 %</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146,282</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28.7 %</w:t>
            </w:r>
          </w:p>
        </w:tc>
        <w:tc>
          <w:tcPr>
            <w:tcW w:w="0" w:type="dxa"/>
            <w:vAlign w:val="bottom"/>
          </w:tcPr>
          <w:p>
            <w:pPr>
              <w:spacing w:after="0"/>
              <w:rPr>
                <w:sz w:val="1"/>
                <w:szCs w:val="1"/>
                <w:color w:val="auto"/>
              </w:rPr>
            </w:pPr>
          </w:p>
        </w:tc>
      </w:tr>
      <w:tr>
        <w:trPr>
          <w:trHeight w:val="213"/>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137,004</w:t>
            </w:r>
          </w:p>
        </w:tc>
        <w:tc>
          <w:tcPr>
            <w:tcW w:w="1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17.3 %</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78,613</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13.4 %</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58,391</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74.3 %</w:t>
            </w:r>
          </w:p>
        </w:tc>
        <w:tc>
          <w:tcPr>
            <w:tcW w:w="0" w:type="dxa"/>
            <w:vAlign w:val="bottom"/>
          </w:tcPr>
          <w:p>
            <w:pPr>
              <w:spacing w:after="0"/>
              <w:rPr>
                <w:sz w:val="1"/>
                <w:szCs w:val="1"/>
                <w:color w:val="auto"/>
              </w:rPr>
            </w:pPr>
          </w:p>
        </w:tc>
      </w:tr>
      <w:tr>
        <w:trPr>
          <w:trHeight w:val="157"/>
        </w:trPr>
        <w:tc>
          <w:tcPr>
            <w:tcW w:w="2720" w:type="dxa"/>
            <w:vAlign w:val="bottom"/>
          </w:tcPr>
          <w:p>
            <w:pPr>
              <w:ind w:left="20"/>
              <w:spacing w:after="0" w:line="158" w:lineRule="exact"/>
              <w:rPr>
                <w:sz w:val="20"/>
                <w:szCs w:val="20"/>
                <w:color w:val="auto"/>
              </w:rPr>
            </w:pPr>
            <w:r>
              <w:rPr>
                <w:rFonts w:ascii="Arial" w:cs="Arial" w:eastAsia="Arial" w:hAnsi="Arial"/>
                <w:sz w:val="16"/>
                <w:szCs w:val="16"/>
                <w:color w:val="auto"/>
              </w:rPr>
              <w:t>Selling, general, and administrative</w:t>
            </w: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720" w:type="dxa"/>
            <w:vAlign w:val="bottom"/>
          </w:tcPr>
          <w:p>
            <w:pPr>
              <w:ind w:left="20"/>
              <w:spacing w:after="0"/>
              <w:rPr>
                <w:sz w:val="20"/>
                <w:szCs w:val="20"/>
                <w:color w:val="auto"/>
              </w:rPr>
            </w:pPr>
            <w:r>
              <w:rPr>
                <w:rFonts w:ascii="Arial" w:cs="Arial" w:eastAsia="Arial" w:hAnsi="Arial"/>
                <w:sz w:val="16"/>
                <w:szCs w:val="16"/>
                <w:color w:val="auto"/>
              </w:rPr>
              <w:t>expenses</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48,399</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6.1 %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51,105</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8.7 %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(2,706)</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3,590</w:t>
            </w:r>
          </w:p>
        </w:tc>
        <w:tc>
          <w:tcPr>
            <w:tcW w:w="1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3,614</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09"/>
        </w:trPr>
        <w:tc>
          <w:tcPr>
            <w:tcW w:w="2720" w:type="dxa"/>
            <w:vAlign w:val="bottom"/>
          </w:tcPr>
          <w:p>
            <w:pPr>
              <w:ind w:left="20"/>
              <w:spacing w:after="0"/>
              <w:rPr>
                <w:sz w:val="20"/>
                <w:szCs w:val="20"/>
                <w:color w:val="auto"/>
              </w:rPr>
            </w:pPr>
            <w:r>
              <w:rPr>
                <w:rFonts w:ascii="Arial" w:cs="Arial" w:eastAsia="Arial" w:hAnsi="Arial"/>
                <w:sz w:val="16"/>
                <w:szCs w:val="16"/>
                <w:color w:val="auto"/>
              </w:rPr>
              <w:t>Total operating expenses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51,989</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6.6 %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54,719</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9.3 %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(2,730)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85,015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23,894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61,121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255.8 %</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9,941</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6,049</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3,892</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64.3 %</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loss (income)</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(181.0)%</w:t>
            </w:r>
          </w:p>
        </w:tc>
        <w:tc>
          <w:tcPr>
            <w:tcW w:w="0" w:type="dxa"/>
            <w:vAlign w:val="bottom"/>
          </w:tcPr>
          <w:p>
            <w:pPr>
              <w:spacing w:after="0"/>
              <w:rPr>
                <w:sz w:val="1"/>
                <w:szCs w:val="1"/>
                <w:color w:val="auto"/>
              </w:rPr>
            </w:pPr>
          </w:p>
        </w:tc>
      </w:tr>
      <w:tr>
        <w:trPr>
          <w:trHeight w:val="209"/>
        </w:trPr>
        <w:tc>
          <w:tcPr>
            <w:tcW w:w="272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74,980</w:t>
            </w:r>
          </w:p>
        </w:tc>
        <w:tc>
          <w:tcPr>
            <w:tcW w:w="12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9.5 %</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17,961</w:t>
            </w:r>
          </w:p>
        </w:tc>
        <w:tc>
          <w:tcPr>
            <w:tcW w:w="10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3.1 %</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57,019</w:t>
            </w:r>
          </w:p>
        </w:tc>
        <w:tc>
          <w:tcPr>
            <w:tcW w:w="10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317.5 %</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17,557</w:t>
            </w:r>
          </w:p>
        </w:tc>
        <w:tc>
          <w:tcPr>
            <w:tcW w:w="1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3,893</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13,664</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351.0 %</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57,423</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7.2 %</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14,068</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2.4 %</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43,355</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308.2 %</w:t>
            </w: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Arial" w:cs="Arial" w:eastAsia="Arial" w:hAnsi="Arial"/>
                <w:sz w:val="16"/>
                <w:szCs w:val="16"/>
                <w:color w:val="auto"/>
              </w:rPr>
              <w:t>Diluted income per share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0.44</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286.4 %</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average shares outstanding</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33,839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32,267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4.9 %</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228" w:lineRule="exact"/>
        <w:rPr>
          <w:sz w:val="20"/>
          <w:szCs w:val="20"/>
          <w:color w:val="auto"/>
        </w:rPr>
      </w:pPr>
    </w:p>
    <w:p>
      <w:pPr>
        <w:ind w:right="340"/>
        <w:spacing w:after="0" w:line="242" w:lineRule="auto"/>
        <w:rPr>
          <w:sz w:val="20"/>
          <w:szCs w:val="20"/>
          <w:color w:val="auto"/>
        </w:rPr>
      </w:pPr>
      <w:r>
        <w:rPr>
          <w:rFonts w:ascii="Arial" w:cs="Arial" w:eastAsia="Arial" w:hAnsi="Arial"/>
          <w:sz w:val="16"/>
          <w:szCs w:val="16"/>
          <w:color w:val="auto"/>
        </w:rPr>
        <w:t>Net revenues increased in the first quarter of Fiscal 2021 compared to the first quarter of Fiscal 2020 primarily due to organic unit growth, pricing actions including lower allowances, and our acquisition of Newmar.</w:t>
      </w:r>
    </w:p>
    <w:p>
      <w:pPr>
        <w:spacing w:after="0" w:line="236"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Gross profit as a percentage of revenue increased in the first quarter of Fiscal 2021 compared to the first quarter of Fiscal 2020 primarily due to improved leverage as a result of higher revenues, pricing actions including lower allowances and productivity initiatives partially offset by the dilutive impact of mix related to the Newmar acquisition.</w:t>
      </w:r>
    </w:p>
    <w:p>
      <w:pPr>
        <w:spacing w:after="0" w:line="228"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Operating expenses decreased in the first quarter of Fiscal 2021 compared to the first quarter of Fiscal 2020 due to prior year acquisition-related costs, and in the current year a gain recognized on the sale of certain assets, partially offset by incremental Newmar operating costs and an increase in variable compensation.</w:t>
      </w:r>
    </w:p>
    <w:p>
      <w:pPr>
        <w:spacing w:after="0" w:line="228"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Interest expense increased in the first quarter of Fiscal 2021 compared to the first quarter of Fiscal 2020 primarily due to the additional interest expense related to the Convertible Notes issued in connection with the acquisition of Newmar.</w:t>
      </w:r>
    </w:p>
    <w:p>
      <w:pPr>
        <w:spacing w:after="0" w:line="222" w:lineRule="exact"/>
        <w:rPr>
          <w:sz w:val="20"/>
          <w:szCs w:val="20"/>
          <w:color w:val="auto"/>
        </w:rPr>
      </w:pPr>
    </w:p>
    <w:p>
      <w:pPr>
        <w:ind w:right="700"/>
        <w:spacing w:after="0" w:line="260" w:lineRule="auto"/>
        <w:rPr>
          <w:sz w:val="20"/>
          <w:szCs w:val="20"/>
          <w:color w:val="auto"/>
        </w:rPr>
      </w:pPr>
      <w:r>
        <w:rPr>
          <w:rFonts w:ascii="Arial" w:cs="Arial" w:eastAsia="Arial" w:hAnsi="Arial"/>
          <w:sz w:val="16"/>
          <w:szCs w:val="16"/>
          <w:color w:val="auto"/>
        </w:rPr>
        <w:t>The effective tax rate increased to 23.4% for the first quarter of Fiscal 2021 compared to 21.7% for the first quarter of Fiscal 2020 due primarily to a favorable benefit in the prior year related to stock compensation.</w:t>
      </w:r>
    </w:p>
    <w:p>
      <w:pPr>
        <w:spacing w:after="0" w:line="209" w:lineRule="exact"/>
        <w:rPr>
          <w:sz w:val="20"/>
          <w:szCs w:val="20"/>
          <w:color w:val="auto"/>
        </w:rPr>
      </w:pPr>
    </w:p>
    <w:p>
      <w:pPr>
        <w:ind w:right="620"/>
        <w:spacing w:after="0" w:line="242" w:lineRule="auto"/>
        <w:rPr>
          <w:sz w:val="20"/>
          <w:szCs w:val="20"/>
          <w:color w:val="auto"/>
        </w:rPr>
      </w:pPr>
      <w:r>
        <w:rPr>
          <w:rFonts w:ascii="Arial" w:cs="Arial" w:eastAsia="Arial" w:hAnsi="Arial"/>
          <w:sz w:val="16"/>
          <w:szCs w:val="16"/>
          <w:color w:val="auto"/>
        </w:rPr>
        <w:t>Net income and diluted income per share increased in the first quarter of Fiscal 2021 compared to the first quarter of Fiscal 2020 primarily due to the profitability impact of higher organic revenues and improved profit margins, partially offset by a higher effective tax rate.</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Reconciliation</w:t>
      </w:r>
    </w:p>
    <w:p>
      <w:pPr>
        <w:spacing w:after="0" w:line="13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following table reconciles net income to consolidated EBITDA and Adjusted EBITDA for the three months ended November 28, 2020 and November 30, 2019: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58"/>
        </w:trPr>
        <w:tc>
          <w:tcPr>
            <w:tcW w:w="76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3"/>
                <w:szCs w:val="13"/>
                <w:color w:val="auto"/>
              </w:rPr>
            </w:pPr>
          </w:p>
        </w:tc>
        <w:tc>
          <w:tcPr>
            <w:tcW w:w="162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November 28,</w:t>
            </w:r>
          </w:p>
        </w:tc>
        <w:tc>
          <w:tcPr>
            <w:tcW w:w="220" w:type="dxa"/>
            <w:vAlign w:val="bottom"/>
          </w:tcPr>
          <w:p>
            <w:pPr>
              <w:spacing w:after="0"/>
              <w:rPr>
                <w:sz w:val="13"/>
                <w:szCs w:val="13"/>
                <w:color w:val="auto"/>
              </w:rPr>
            </w:pPr>
          </w:p>
        </w:tc>
        <w:tc>
          <w:tcPr>
            <w:tcW w:w="1520" w:type="dxa"/>
            <w:vAlign w:val="bottom"/>
          </w:tcPr>
          <w:p>
            <w:pPr>
              <w:jc w:val="right"/>
              <w:ind w:right="259"/>
              <w:spacing w:after="0" w:line="158" w:lineRule="exact"/>
              <w:rPr>
                <w:sz w:val="20"/>
                <w:szCs w:val="20"/>
                <w:color w:val="auto"/>
              </w:rPr>
            </w:pPr>
            <w:r>
              <w:rPr>
                <w:rFonts w:ascii="Arial" w:cs="Arial" w:eastAsia="Arial" w:hAnsi="Arial"/>
                <w:sz w:val="16"/>
                <w:szCs w:val="16"/>
                <w:b w:val="1"/>
                <w:bCs w:val="1"/>
                <w:color w:val="auto"/>
              </w:rPr>
              <w:t>November 30,</w:t>
            </w:r>
          </w:p>
        </w:tc>
        <w:tc>
          <w:tcPr>
            <w:tcW w:w="0" w:type="dxa"/>
            <w:vAlign w:val="bottom"/>
          </w:tcPr>
          <w:p>
            <w:pPr>
              <w:spacing w:after="0"/>
              <w:rPr>
                <w:sz w:val="1"/>
                <w:szCs w:val="1"/>
                <w:color w:val="auto"/>
              </w:rPr>
            </w:pPr>
          </w:p>
        </w:tc>
      </w:tr>
      <w:tr>
        <w:trPr>
          <w:trHeight w:val="215"/>
        </w:trPr>
        <w:tc>
          <w:tcPr>
            <w:tcW w:w="764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14,068</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9,941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6,049</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3,893</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4,160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3,586</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3,614</w:t>
            </w:r>
          </w:p>
        </w:tc>
        <w:tc>
          <w:tcPr>
            <w:tcW w:w="0" w:type="dxa"/>
            <w:vAlign w:val="bottom"/>
          </w:tcPr>
          <w:p>
            <w:pPr>
              <w:spacing w:after="0"/>
              <w:rPr>
                <w:sz w:val="1"/>
                <w:szCs w:val="1"/>
                <w:color w:val="auto"/>
              </w:rPr>
            </w:pPr>
          </w:p>
        </w:tc>
      </w:tr>
      <w:tr>
        <w:trPr>
          <w:trHeight w:val="209"/>
        </w:trPr>
        <w:tc>
          <w:tcPr>
            <w:tcW w:w="7640" w:type="dxa"/>
            <w:vAlign w:val="bottom"/>
          </w:tcPr>
          <w:p>
            <w:pPr>
              <w:ind w:left="140"/>
              <w:spacing w:after="0"/>
              <w:rPr>
                <w:sz w:val="20"/>
                <w:szCs w:val="20"/>
                <w:color w:val="auto"/>
              </w:rPr>
            </w:pPr>
            <w:r>
              <w:rPr>
                <w:rFonts w:ascii="Arial" w:cs="Arial" w:eastAsia="Arial" w:hAnsi="Arial"/>
                <w:sz w:val="16"/>
                <w:szCs w:val="16"/>
                <w:color w:val="auto"/>
              </w:rPr>
              <w:t>EBITDA</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92,671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31,210</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fair-value inventory step-up</w:t>
            </w:r>
          </w:p>
        </w:tc>
        <w:tc>
          <w:tcPr>
            <w:tcW w:w="2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Acquisition-related costs</w:t>
            </w:r>
          </w:p>
        </w:tc>
        <w:tc>
          <w:tcPr>
            <w:tcW w:w="24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9,950</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Gain on sale of property and equipment</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(3,565)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loss (income)</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3"/>
        </w:trPr>
        <w:tc>
          <w:tcPr>
            <w:tcW w:w="7640" w:type="dxa"/>
            <w:vAlign w:val="bottom"/>
          </w:tcPr>
          <w:p>
            <w:pPr>
              <w:ind w:left="140"/>
              <w:spacing w:after="0"/>
              <w:rPr>
                <w:sz w:val="20"/>
                <w:szCs w:val="20"/>
                <w:color w:val="auto"/>
              </w:rPr>
            </w:pPr>
            <w:r>
              <w:rPr>
                <w:rFonts w:ascii="Arial" w:cs="Arial" w:eastAsia="Arial" w:hAnsi="Arial"/>
                <w:sz w:val="16"/>
                <w:szCs w:val="16"/>
                <w:color w:val="auto"/>
              </w:rPr>
              <w:t>Adjusted EBITDA</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89,293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42,048</w:t>
            </w:r>
          </w:p>
        </w:tc>
        <w:tc>
          <w:tcPr>
            <w:tcW w:w="0" w:type="dxa"/>
            <w:vAlign w:val="bottom"/>
          </w:tcPr>
          <w:p>
            <w:pPr>
              <w:spacing w:after="0"/>
              <w:rPr>
                <w:sz w:val="1"/>
                <w:szCs w:val="1"/>
                <w:color w:val="auto"/>
              </w:rPr>
            </w:pPr>
          </w:p>
        </w:tc>
      </w:tr>
      <w:tr>
        <w:trPr>
          <w:trHeight w:val="21"/>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Reportable Segment Performance Summary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Towable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Towable segment for the three months ended November 28, 2020 compared to the three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November 30, 2019:</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 except ASP)</w:t>
            </w:r>
          </w:p>
        </w:tc>
        <w:tc>
          <w:tcPr>
            <w:tcW w:w="140" w:type="dxa"/>
            <w:vAlign w:val="bottom"/>
          </w:tcPr>
          <w:p>
            <w:pPr>
              <w:spacing w:after="0"/>
              <w:rPr>
                <w:sz w:val="13"/>
                <w:szCs w:val="13"/>
                <w:color w:val="auto"/>
              </w:rPr>
            </w:pPr>
          </w:p>
        </w:tc>
        <w:tc>
          <w:tcPr>
            <w:tcW w:w="130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rPr>
              <w:t>November 28,</w:t>
            </w:r>
          </w:p>
        </w:tc>
        <w:tc>
          <w:tcPr>
            <w:tcW w:w="100" w:type="dxa"/>
            <w:vAlign w:val="bottom"/>
          </w:tcPr>
          <w:p>
            <w:pPr>
              <w:spacing w:after="0"/>
              <w:rPr>
                <w:sz w:val="13"/>
                <w:szCs w:val="13"/>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13"/>
                <w:szCs w:val="13"/>
                <w:color w:val="auto"/>
              </w:rPr>
            </w:pPr>
          </w:p>
        </w:tc>
        <w:tc>
          <w:tcPr>
            <w:tcW w:w="128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rPr>
              <w:t>November 30,</w:t>
            </w:r>
          </w:p>
        </w:tc>
        <w:tc>
          <w:tcPr>
            <w:tcW w:w="120" w:type="dxa"/>
            <w:vAlign w:val="bottom"/>
          </w:tcPr>
          <w:p>
            <w:pPr>
              <w:spacing w:after="0"/>
              <w:rPr>
                <w:sz w:val="13"/>
                <w:szCs w:val="13"/>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3"/>
                <w:szCs w:val="13"/>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 Change</w:t>
            </w:r>
          </w:p>
        </w:tc>
        <w:tc>
          <w:tcPr>
            <w:tcW w:w="11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5"/>
        </w:trPr>
        <w:tc>
          <w:tcPr>
            <w:tcW w:w="3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454,901</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341,250</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113,651</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33.3 %</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63,143</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13.9 %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35,785</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10.5 %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27,358</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76.5 %</w:t>
            </w:r>
          </w:p>
        </w:tc>
        <w:tc>
          <w:tcPr>
            <w:tcW w:w="0" w:type="dxa"/>
            <w:vAlign w:val="bottom"/>
          </w:tcPr>
          <w:p>
            <w:pPr>
              <w:spacing w:after="0"/>
              <w:rPr>
                <w:sz w:val="1"/>
                <w:szCs w:val="1"/>
                <w:color w:val="auto"/>
              </w:rPr>
            </w:pPr>
          </w:p>
        </w:tc>
      </w:tr>
      <w:tr>
        <w:trPr>
          <w:trHeight w:val="260"/>
        </w:trPr>
        <w:tc>
          <w:tcPr>
            <w:tcW w:w="3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3160" w:type="dxa"/>
            <w:vAlign w:val="bottom"/>
          </w:tcPr>
          <w:p>
            <w:pPr>
              <w:ind w:left="20"/>
              <w:spacing w:after="0"/>
              <w:rPr>
                <w:sz w:val="20"/>
                <w:szCs w:val="20"/>
                <w:color w:val="auto"/>
              </w:rPr>
            </w:pPr>
            <w:r>
              <w:rPr>
                <w:rFonts w:ascii="Arial" w:cs="Arial" w:eastAsia="Arial" w:hAnsi="Arial"/>
                <w:sz w:val="16"/>
                <w:szCs w:val="16"/>
                <w:color w:val="auto"/>
              </w:rPr>
              <w:t>Average Selling Price ("ASP")</w:t>
            </w:r>
            <w:r>
              <w:rPr>
                <w:rFonts w:ascii="Arial" w:cs="Arial" w:eastAsia="Arial" w:hAnsi="Arial"/>
                <w:sz w:val="21"/>
                <w:szCs w:val="21"/>
                <w:color w:val="auto"/>
                <w:vertAlign w:val="superscript"/>
              </w:rPr>
              <w:t>(1)</w:t>
            </w: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32,089</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32,998</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(909)</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10"/>
        </w:trPr>
        <w:tc>
          <w:tcPr>
            <w:tcW w:w="3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13"/>
                <w:szCs w:val="13"/>
                <w:color w:val="auto"/>
              </w:rPr>
            </w:pPr>
          </w:p>
        </w:tc>
        <w:tc>
          <w:tcPr>
            <w:tcW w:w="130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rPr>
              <w:t>November 28,</w:t>
            </w:r>
          </w:p>
        </w:tc>
        <w:tc>
          <w:tcPr>
            <w:tcW w:w="10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rPr>
              <w:t>November 30,</w:t>
            </w:r>
          </w:p>
        </w:tc>
        <w:tc>
          <w:tcPr>
            <w:tcW w:w="12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100" w:type="dxa"/>
            <w:vAlign w:val="bottom"/>
            <w:vMerge w:val="restart"/>
          </w:tcPr>
          <w:p>
            <w:pPr>
              <w:spacing w:after="0"/>
              <w:rPr>
                <w:sz w:val="13"/>
                <w:szCs w:val="13"/>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Unit Change</w:t>
            </w:r>
          </w:p>
        </w:tc>
        <w:tc>
          <w:tcPr>
            <w:tcW w:w="100" w:type="dxa"/>
            <w:vAlign w:val="bottom"/>
            <w:vMerge w:val="restart"/>
          </w:tcPr>
          <w:p>
            <w:pPr>
              <w:spacing w:after="0"/>
              <w:rPr>
                <w:sz w:val="13"/>
                <w:szCs w:val="13"/>
                <w:color w:val="auto"/>
              </w:rPr>
            </w:pPr>
          </w:p>
        </w:tc>
        <w:tc>
          <w:tcPr>
            <w:tcW w:w="11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31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64.4 %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59.8 %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44.6 %</w:t>
            </w:r>
          </w:p>
        </w:tc>
        <w:tc>
          <w:tcPr>
            <w:tcW w:w="0" w:type="dxa"/>
            <w:vAlign w:val="bottom"/>
          </w:tcPr>
          <w:p>
            <w:pPr>
              <w:spacing w:after="0"/>
              <w:rPr>
                <w:sz w:val="1"/>
                <w:szCs w:val="1"/>
                <w:color w:val="auto"/>
              </w:rPr>
            </w:pPr>
          </w:p>
        </w:tc>
      </w:tr>
      <w:tr>
        <w:trPr>
          <w:trHeight w:val="213"/>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Fifth wheel</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5,054</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35.6 %</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4,263</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18.6 %</w:t>
            </w:r>
          </w:p>
        </w:tc>
        <w:tc>
          <w:tcPr>
            <w:tcW w:w="0" w:type="dxa"/>
            <w:vAlign w:val="bottom"/>
          </w:tcPr>
          <w:p>
            <w:pPr>
              <w:spacing w:after="0"/>
              <w:rPr>
                <w:sz w:val="1"/>
                <w:szCs w:val="1"/>
                <w:color w:val="auto"/>
              </w:rPr>
            </w:pPr>
          </w:p>
        </w:tc>
      </w:tr>
      <w:tr>
        <w:trPr>
          <w:trHeight w:val="233"/>
        </w:trPr>
        <w:tc>
          <w:tcPr>
            <w:tcW w:w="3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towables</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14,214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3,615</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34.1 %</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in thousands)</w:t>
            </w:r>
          </w:p>
        </w:tc>
        <w:tc>
          <w:tcPr>
            <w:tcW w:w="140" w:type="dxa"/>
            <w:vAlign w:val="bottom"/>
          </w:tcPr>
          <w:p>
            <w:pPr>
              <w:spacing w:after="0"/>
              <w:rPr>
                <w:sz w:val="23"/>
                <w:szCs w:val="23"/>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November 28,</w:t>
            </w: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b w:val="1"/>
                <w:bCs w:val="1"/>
                <w:color w:val="auto"/>
              </w:rPr>
              <w:t>November 30,</w:t>
            </w: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Change</w:t>
            </w:r>
          </w:p>
        </w:tc>
        <w:tc>
          <w:tcPr>
            <w:tcW w:w="11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5"/>
        </w:trPr>
        <w:tc>
          <w:tcPr>
            <w:tcW w:w="3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Backlog</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60" w:type="dxa"/>
            <w:vAlign w:val="bottom"/>
          </w:tcPr>
          <w:p>
            <w:pPr>
              <w:ind w:left="140"/>
              <w:spacing w:after="0"/>
              <w:rPr>
                <w:sz w:val="20"/>
                <w:szCs w:val="20"/>
                <w:color w:val="auto"/>
              </w:rPr>
            </w:pPr>
            <w:r>
              <w:rPr>
                <w:rFonts w:ascii="Arial" w:cs="Arial" w:eastAsia="Arial" w:hAnsi="Arial"/>
                <w:sz w:val="16"/>
                <w:szCs w:val="16"/>
                <w:color w:val="auto"/>
              </w:rPr>
              <w:t>Units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29,659</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7,174</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22,485</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313.4 %</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Dollars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865,420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242,853</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622,567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256.4 %</w:t>
            </w:r>
          </w:p>
        </w:tc>
        <w:tc>
          <w:tcPr>
            <w:tcW w:w="0" w:type="dxa"/>
            <w:vAlign w:val="bottom"/>
          </w:tcPr>
          <w:p>
            <w:pPr>
              <w:spacing w:after="0"/>
              <w:rPr>
                <w:sz w:val="1"/>
                <w:szCs w:val="1"/>
                <w:color w:val="auto"/>
              </w:rPr>
            </w:pPr>
          </w:p>
        </w:tc>
      </w:tr>
      <w:tr>
        <w:trPr>
          <w:trHeight w:val="215"/>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17,843</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Average selling price excludes off-invoice dealer incentives.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Net revenues increased in the first quarter of Fiscal 2021 compared to the first quarter of Fiscal 2020 driven by unit growth. Industry retail unit sales on a trailing three months through October 2020 as reported by SSI in December 2020 grew 27.2% while our Towable segment grew by 36.9% reflecting an increase in our market share.</w:t>
      </w:r>
    </w:p>
    <w:p>
      <w:pPr>
        <w:spacing w:after="0" w:line="228"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Adjusted EBITDA increased in the first quarter of Fiscal 2021 compared to the first quarter of Fiscal 2020 due to an increase in unit sales, lower allowances and operating leverage driven by our strong sales growth.</w:t>
      </w:r>
    </w:p>
    <w:p>
      <w:pPr>
        <w:spacing w:after="0" w:line="222"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auto"/>
        </w:rPr>
        <w:t>We have seen an increase in backlog as of November 28, 2020 compared to November 30, 2019 due to the continued strong retail demand by consumers of RVs as a safe travel option during the COVID-19 pandemic. As a result of this high retail demand, dealer inventory levels are lower, creating higher order backlog.</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Motorhome</w:t>
      </w:r>
    </w:p>
    <w:p>
      <w:pPr>
        <w:spacing w:after="0" w:line="129" w:lineRule="exact"/>
        <w:rPr>
          <w:sz w:val="20"/>
          <w:szCs w:val="20"/>
          <w:color w:val="auto"/>
        </w:rPr>
      </w:pPr>
    </w:p>
    <w:p>
      <w:pPr>
        <w:ind w:right="460"/>
        <w:spacing w:after="0" w:line="259" w:lineRule="auto"/>
        <w:rPr>
          <w:sz w:val="20"/>
          <w:szCs w:val="20"/>
          <w:color w:val="auto"/>
        </w:rPr>
      </w:pPr>
      <w:r>
        <w:rPr>
          <w:rFonts w:ascii="Arial" w:cs="Arial" w:eastAsia="Arial" w:hAnsi="Arial"/>
          <w:sz w:val="16"/>
          <w:szCs w:val="16"/>
          <w:color w:val="auto"/>
        </w:rPr>
        <w:t>The following is an analysis of key changes in our Motorhome segment for the three months ended November 28, 2020 compared to the three months ended November 30, 2019:</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3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ind w:left="24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1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 except ASP)</w:t>
            </w:r>
          </w:p>
        </w:tc>
        <w:tc>
          <w:tcPr>
            <w:tcW w:w="160" w:type="dxa"/>
            <w:vAlign w:val="bottom"/>
          </w:tcPr>
          <w:p>
            <w:pPr>
              <w:spacing w:after="0"/>
              <w:rPr>
                <w:sz w:val="13"/>
                <w:szCs w:val="13"/>
                <w:color w:val="auto"/>
              </w:rPr>
            </w:pPr>
          </w:p>
        </w:tc>
        <w:tc>
          <w:tcPr>
            <w:tcW w:w="130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rPr>
              <w:t>November 28,</w:t>
            </w:r>
          </w:p>
        </w:tc>
        <w:tc>
          <w:tcPr>
            <w:tcW w:w="100" w:type="dxa"/>
            <w:vAlign w:val="bottom"/>
          </w:tcPr>
          <w:p>
            <w:pPr>
              <w:spacing w:after="0"/>
              <w:rPr>
                <w:sz w:val="13"/>
                <w:szCs w:val="13"/>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3"/>
                <w:szCs w:val="13"/>
                <w:color w:val="auto"/>
              </w:rPr>
            </w:pPr>
          </w:p>
        </w:tc>
        <w:tc>
          <w:tcPr>
            <w:tcW w:w="130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rPr>
              <w:t>November 30,</w:t>
            </w:r>
          </w:p>
        </w:tc>
        <w:tc>
          <w:tcPr>
            <w:tcW w:w="100" w:type="dxa"/>
            <w:vAlign w:val="bottom"/>
          </w:tcPr>
          <w:p>
            <w:pPr>
              <w:spacing w:after="0"/>
              <w:rPr>
                <w:sz w:val="13"/>
                <w:szCs w:val="13"/>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3"/>
                <w:szCs w:val="13"/>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9"/>
              </w:rPr>
              <w:t>$ Change</w:t>
            </w:r>
          </w:p>
        </w:tc>
        <w:tc>
          <w:tcPr>
            <w:tcW w:w="116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5"/>
        </w:trPr>
        <w:tc>
          <w:tcPr>
            <w:tcW w:w="31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322,389</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225,891</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96,498</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42.7 %</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30,343</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9.4 %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9,331</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21,012</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225.2 %</w:t>
            </w:r>
          </w:p>
        </w:tc>
        <w:tc>
          <w:tcPr>
            <w:tcW w:w="0" w:type="dxa"/>
            <w:vAlign w:val="bottom"/>
          </w:tcPr>
          <w:p>
            <w:pPr>
              <w:spacing w:after="0"/>
              <w:rPr>
                <w:sz w:val="1"/>
                <w:szCs w:val="1"/>
                <w:color w:val="auto"/>
              </w:rPr>
            </w:pPr>
          </w:p>
        </w:tc>
      </w:tr>
      <w:tr>
        <w:trPr>
          <w:trHeight w:val="260"/>
        </w:trPr>
        <w:tc>
          <w:tcPr>
            <w:tcW w:w="3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73"/>
        </w:trPr>
        <w:tc>
          <w:tcPr>
            <w:tcW w:w="3140" w:type="dxa"/>
            <w:vAlign w:val="bottom"/>
          </w:tcPr>
          <w:p>
            <w:pPr>
              <w:ind w:left="20"/>
              <w:spacing w:after="0"/>
              <w:rPr>
                <w:sz w:val="20"/>
                <w:szCs w:val="20"/>
                <w:color w:val="auto"/>
              </w:rPr>
            </w:pPr>
            <w:r>
              <w:rPr>
                <w:rFonts w:ascii="Arial" w:cs="Arial" w:eastAsia="Arial" w:hAnsi="Arial"/>
                <w:sz w:val="32"/>
                <w:szCs w:val="32"/>
                <w:color w:val="auto"/>
                <w:vertAlign w:val="subscript"/>
              </w:rPr>
              <w:t>ASP</w:t>
            </w:r>
            <w:r>
              <w:rPr>
                <w:rFonts w:ascii="Arial" w:cs="Arial" w:eastAsia="Arial" w:hAnsi="Arial"/>
                <w:sz w:val="11"/>
                <w:szCs w:val="11"/>
                <w:color w:val="auto"/>
              </w:rPr>
              <w:t>(1)</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136,887</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119,749</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17,138</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14.3 %</w:t>
            </w:r>
          </w:p>
        </w:tc>
        <w:tc>
          <w:tcPr>
            <w:tcW w:w="0" w:type="dxa"/>
            <w:vAlign w:val="bottom"/>
          </w:tcPr>
          <w:p>
            <w:pPr>
              <w:spacing w:after="0"/>
              <w:rPr>
                <w:sz w:val="1"/>
                <w:szCs w:val="1"/>
                <w:color w:val="auto"/>
              </w:rPr>
            </w:pPr>
          </w:p>
        </w:tc>
      </w:tr>
      <w:tr>
        <w:trPr>
          <w:trHeight w:val="218"/>
        </w:trPr>
        <w:tc>
          <w:tcPr>
            <w:tcW w:w="3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ind w:left="24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1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Pr>
          <w:p>
            <w:pPr>
              <w:spacing w:after="0"/>
              <w:rPr>
                <w:sz w:val="13"/>
                <w:szCs w:val="13"/>
                <w:color w:val="auto"/>
              </w:rPr>
            </w:pPr>
          </w:p>
        </w:tc>
        <w:tc>
          <w:tcPr>
            <w:tcW w:w="130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rPr>
              <w:t>November 28,</w:t>
            </w:r>
          </w:p>
        </w:tc>
        <w:tc>
          <w:tcPr>
            <w:tcW w:w="10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rPr>
              <w:t>November 30,</w:t>
            </w:r>
          </w:p>
        </w:tc>
        <w:tc>
          <w:tcPr>
            <w:tcW w:w="10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100" w:type="dxa"/>
            <w:vAlign w:val="bottom"/>
            <w:vMerge w:val="restart"/>
          </w:tcPr>
          <w:p>
            <w:pPr>
              <w:spacing w:after="0"/>
              <w:rPr>
                <w:sz w:val="13"/>
                <w:szCs w:val="13"/>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Unit Change</w:t>
            </w:r>
          </w:p>
        </w:tc>
        <w:tc>
          <w:tcPr>
            <w:tcW w:w="120" w:type="dxa"/>
            <w:vAlign w:val="bottom"/>
            <w:vMerge w:val="restart"/>
          </w:tcPr>
          <w:p>
            <w:pPr>
              <w:spacing w:after="0"/>
              <w:rPr>
                <w:sz w:val="13"/>
                <w:szCs w:val="13"/>
                <w:color w:val="auto"/>
              </w:rPr>
            </w:pPr>
          </w:p>
        </w:tc>
        <w:tc>
          <w:tcPr>
            <w:tcW w:w="116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31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25.7 %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21.2 %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49.9 %</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Class B</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1,098</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47.1 %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809</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43.0 %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35.7 %</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3"/>
        </w:trPr>
        <w:tc>
          <w:tcPr>
            <w:tcW w:w="3140" w:type="dxa"/>
            <w:vAlign w:val="bottom"/>
          </w:tcPr>
          <w:p>
            <w:pPr>
              <w:ind w:left="140"/>
              <w:spacing w:after="0"/>
              <w:rPr>
                <w:sz w:val="20"/>
                <w:szCs w:val="20"/>
                <w:color w:val="auto"/>
              </w:rPr>
            </w:pPr>
            <w:r>
              <w:rPr>
                <w:rFonts w:ascii="Arial" w:cs="Arial" w:eastAsia="Arial" w:hAnsi="Arial"/>
                <w:sz w:val="16"/>
                <w:szCs w:val="16"/>
                <w:color w:val="auto"/>
              </w:rPr>
              <w:t>Total motorhomes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2,330</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1,882</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448</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23.8 %</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31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in thousands)</w:t>
            </w:r>
          </w:p>
        </w:tc>
        <w:tc>
          <w:tcPr>
            <w:tcW w:w="160" w:type="dxa"/>
            <w:vAlign w:val="bottom"/>
          </w:tcPr>
          <w:p>
            <w:pPr>
              <w:spacing w:after="0"/>
              <w:rPr>
                <w:sz w:val="24"/>
                <w:szCs w:val="24"/>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November 28,</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November 30,</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Change</w:t>
            </w:r>
          </w:p>
        </w:tc>
        <w:tc>
          <w:tcPr>
            <w:tcW w:w="116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5"/>
        </w:trPr>
        <w:tc>
          <w:tcPr>
            <w:tcW w:w="31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Backlog</w:t>
            </w: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40" w:type="dxa"/>
            <w:vAlign w:val="bottom"/>
          </w:tcPr>
          <w:p>
            <w:pPr>
              <w:ind w:left="140"/>
              <w:spacing w:after="0"/>
              <w:rPr>
                <w:sz w:val="20"/>
                <w:szCs w:val="20"/>
                <w:color w:val="auto"/>
              </w:rPr>
            </w:pPr>
            <w:r>
              <w:rPr>
                <w:rFonts w:ascii="Arial" w:cs="Arial" w:eastAsia="Arial" w:hAnsi="Arial"/>
                <w:sz w:val="16"/>
                <w:szCs w:val="16"/>
                <w:color w:val="auto"/>
              </w:rPr>
              <w:t>Units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13,217</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2,631</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10,586</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402.4 %</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Dollars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1,709,154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384,201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1,324,953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344.9 %</w:t>
            </w:r>
          </w:p>
        </w:tc>
        <w:tc>
          <w:tcPr>
            <w:tcW w:w="0" w:type="dxa"/>
            <w:vAlign w:val="bottom"/>
          </w:tcPr>
          <w:p>
            <w:pPr>
              <w:spacing w:after="0"/>
              <w:rPr>
                <w:sz w:val="1"/>
                <w:szCs w:val="1"/>
                <w:color w:val="auto"/>
              </w:rPr>
            </w:pPr>
          </w:p>
        </w:tc>
      </w:tr>
      <w:tr>
        <w:trPr>
          <w:trHeight w:val="215"/>
        </w:trPr>
        <w:tc>
          <w:tcPr>
            <w:tcW w:w="314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(3,046)</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ASP excludes off-invoice dealer incentives.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24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Net revenues increased in the first quarter of Fiscal 2021 compared to the first quarter of Fiscal 2020 primarily due to our acquisition of Newmar, organic unit growth, and increased pricing.</w:t>
      </w:r>
    </w:p>
    <w:p>
      <w:pPr>
        <w:spacing w:after="0" w:line="209" w:lineRule="exact"/>
        <w:rPr>
          <w:sz w:val="20"/>
          <w:szCs w:val="20"/>
          <w:color w:val="auto"/>
        </w:rPr>
      </w:pPr>
    </w:p>
    <w:p>
      <w:pPr>
        <w:ind w:right="260"/>
        <w:spacing w:after="0" w:line="242" w:lineRule="auto"/>
        <w:rPr>
          <w:sz w:val="20"/>
          <w:szCs w:val="20"/>
          <w:color w:val="auto"/>
        </w:rPr>
      </w:pPr>
      <w:r>
        <w:rPr>
          <w:rFonts w:ascii="Arial" w:cs="Arial" w:eastAsia="Arial" w:hAnsi="Arial"/>
          <w:sz w:val="16"/>
          <w:szCs w:val="16"/>
          <w:color w:val="auto"/>
        </w:rPr>
        <w:t>Adjusted EBITDA increased in the first quarter of Fiscal 2021 compared to the first quarter of Fiscal 2020 driven by productivity initiatives, pricing actions, higher revenue and associated operating leverage improvements, and our acquisition of Newmar.</w:t>
      </w:r>
    </w:p>
    <w:p>
      <w:pPr>
        <w:spacing w:after="0" w:line="236"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We have seen an increase in the volume and dollar value of backlog as of November 28, 2020 compared to November 30, 2019 due to the continued strong retail demand by consumers of RVs as a safe travel option during the COVID-19 pandemic. As a result of this high retail demand, dealer inventory levels are lower, creating higher order backlog.</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Financial Condition, Liquidity, and Resources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cash flows from operations for the three months ended November 28, 2020 and November 30, 2019: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58"/>
        </w:trPr>
        <w:tc>
          <w:tcPr>
            <w:tcW w:w="7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3"/>
                <w:szCs w:val="13"/>
                <w:color w:val="auto"/>
              </w:rPr>
            </w:pPr>
          </w:p>
        </w:tc>
        <w:tc>
          <w:tcPr>
            <w:tcW w:w="154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November 28,</w:t>
            </w:r>
          </w:p>
        </w:tc>
        <w:tc>
          <w:tcPr>
            <w:tcW w:w="200" w:type="dxa"/>
            <w:vAlign w:val="bottom"/>
          </w:tcPr>
          <w:p>
            <w:pPr>
              <w:spacing w:after="0"/>
              <w:rPr>
                <w:sz w:val="13"/>
                <w:szCs w:val="13"/>
                <w:color w:val="auto"/>
              </w:rPr>
            </w:pPr>
          </w:p>
        </w:tc>
        <w:tc>
          <w:tcPr>
            <w:tcW w:w="1440" w:type="dxa"/>
            <w:vAlign w:val="bottom"/>
          </w:tcPr>
          <w:p>
            <w:pPr>
              <w:jc w:val="right"/>
              <w:ind w:right="199"/>
              <w:spacing w:after="0" w:line="158" w:lineRule="exact"/>
              <w:rPr>
                <w:sz w:val="20"/>
                <w:szCs w:val="20"/>
                <w:color w:val="auto"/>
              </w:rPr>
            </w:pPr>
            <w:r>
              <w:rPr>
                <w:rFonts w:ascii="Arial" w:cs="Arial" w:eastAsia="Arial" w:hAnsi="Arial"/>
                <w:sz w:val="16"/>
                <w:szCs w:val="16"/>
                <w:b w:val="1"/>
                <w:bCs w:val="1"/>
                <w:color w:val="auto"/>
              </w:rPr>
              <w:t>November 30,</w:t>
            </w:r>
          </w:p>
        </w:tc>
        <w:tc>
          <w:tcPr>
            <w:tcW w:w="0" w:type="dxa"/>
            <w:vAlign w:val="bottom"/>
          </w:tcPr>
          <w:p>
            <w:pPr>
              <w:spacing w:after="0"/>
              <w:rPr>
                <w:sz w:val="1"/>
                <w:szCs w:val="1"/>
                <w:color w:val="auto"/>
              </w:rPr>
            </w:pPr>
          </w:p>
        </w:tc>
      </w:tr>
      <w:tr>
        <w:trPr>
          <w:trHeight w:val="215"/>
        </w:trPr>
        <w:tc>
          <w:tcPr>
            <w:tcW w:w="78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cash provided by (used in):</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Operating activities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(2,670)</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79,033</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Investing activities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(270,661)</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Financing activities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(15,818)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255,525</w:t>
            </w:r>
          </w:p>
        </w:tc>
        <w:tc>
          <w:tcPr>
            <w:tcW w:w="0" w:type="dxa"/>
            <w:vAlign w:val="bottom"/>
          </w:tcPr>
          <w:p>
            <w:pPr>
              <w:spacing w:after="0"/>
              <w:rPr>
                <w:sz w:val="1"/>
                <w:szCs w:val="1"/>
                <w:color w:val="auto"/>
              </w:rPr>
            </w:pPr>
          </w:p>
        </w:tc>
      </w:tr>
      <w:tr>
        <w:trPr>
          <w:trHeight w:val="23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(19,636)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63,897</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29"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Cash provided by operating activities decreased for the three months ended November 28, 2020 compared to the three months ended November 30, 2019 primarily due to an increase in our inventory partially offset by higher profitability in the first quarter of Fiscal 2021.</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129"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Cash used in investing activities decreased for the three months ended November 28, 2020 compared to the three months ended November 30, 2019 primarily due to our acquisition of Newmar during the first quarter of Fiscal 2020.</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29"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Cash provided by financing activities for the three months ended November 28, 2020 compared to cash used for three months ended November 30, 2019 changed primarily due to the issuance of Convertible Notes issued in the first quarter of Fiscal 2020 to finance our acquisition of Newmar and due to an increase in stock repurchases in the first quarter of Fiscal 2021.</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Debt and Capital</w:t>
      </w:r>
    </w:p>
    <w:p>
      <w:pPr>
        <w:spacing w:after="0" w:line="117"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color w:val="auto"/>
        </w:rPr>
        <w:t xml:space="preserve">During the first quarter of Fiscal 2020, we issued the Convertible Notes, which were used to partially fund the Newmar acquisition. Refer to Note 9, </w:t>
      </w:r>
      <w:r>
        <w:rPr>
          <w:rFonts w:ascii="Arial" w:cs="Arial" w:eastAsia="Arial" w:hAnsi="Arial"/>
          <w:sz w:val="16"/>
          <w:szCs w:val="16"/>
          <w:i w:val="1"/>
          <w:iCs w:val="1"/>
          <w:color w:val="auto"/>
        </w:rPr>
        <w:t>Long-Term Debt</w:t>
      </w:r>
      <w:r>
        <w:rPr>
          <w:rFonts w:ascii="Arial" w:cs="Arial" w:eastAsia="Arial" w:hAnsi="Arial"/>
          <w:sz w:val="16"/>
          <w:szCs w:val="16"/>
          <w:color w:val="auto"/>
        </w:rPr>
        <w:t>, of the Notes to Condensed Consolidated Financial Statements included in this Quarterly Report on Form 10-Q for additional details.</w:t>
      </w:r>
    </w:p>
    <w:p>
      <w:pPr>
        <w:spacing w:after="0" w:line="206"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 xml:space="preserve">On July 8, 2020, we closed our private offering (the "Senior Secured Notes Offering") of $300 million in aggregate principal amount of 6.25% senior secured notes due 2028 (the "Senior Secured Notes"). The proceeds from the Senior Secured Notes were used to repay the remaining debt on the term loan and for general corporate purposes. Refer to Note 9, </w:t>
      </w:r>
      <w:r>
        <w:rPr>
          <w:rFonts w:ascii="Arial" w:cs="Arial" w:eastAsia="Arial" w:hAnsi="Arial"/>
          <w:sz w:val="16"/>
          <w:szCs w:val="16"/>
          <w:i w:val="1"/>
          <w:iCs w:val="1"/>
          <w:color w:val="auto"/>
        </w:rPr>
        <w:t>Long-Term Debt</w:t>
      </w:r>
      <w:r>
        <w:rPr>
          <w:rFonts w:ascii="Arial" w:cs="Arial" w:eastAsia="Arial" w:hAnsi="Arial"/>
          <w:sz w:val="16"/>
          <w:szCs w:val="16"/>
          <w:color w:val="auto"/>
        </w:rPr>
        <w:t>, of the Notes to Condensed Consolidated Financial Statements included in this Quarterly Report on Form 10-Q for additional details.</w:t>
      </w:r>
    </w:p>
    <w:p>
      <w:pPr>
        <w:spacing w:after="0" w:line="229"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We maintain a $192.5 million asset-based revolving credit facility ("ABL Credit Facility") with a maturity date of October 22, 2024 subject to certain factors which may accelerate the maturity date. As of November 28, 2020, we had no borrowings against the ABL.</w:t>
      </w:r>
    </w:p>
    <w:p>
      <w:pPr>
        <w:spacing w:after="0" w:line="222" w:lineRule="exact"/>
        <w:rPr>
          <w:sz w:val="20"/>
          <w:szCs w:val="20"/>
          <w:color w:val="auto"/>
        </w:rPr>
      </w:pPr>
    </w:p>
    <w:p>
      <w:pPr>
        <w:ind w:right="680"/>
        <w:spacing w:after="0" w:line="260" w:lineRule="auto"/>
        <w:rPr>
          <w:sz w:val="20"/>
          <w:szCs w:val="20"/>
          <w:color w:val="auto"/>
        </w:rPr>
      </w:pPr>
      <w:r>
        <w:rPr>
          <w:rFonts w:ascii="Arial" w:cs="Arial" w:eastAsia="Arial" w:hAnsi="Arial"/>
          <w:sz w:val="16"/>
          <w:szCs w:val="16"/>
          <w:color w:val="auto"/>
        </w:rPr>
        <w:t>As of November 28, 2020, we had $272.9 million in cash and cash equivalents and $192.5 million in unused ABL Credit Facility. Our cash and cash equivalent balances consist of high quality, short-term money market instruments.</w:t>
      </w:r>
    </w:p>
    <w:p>
      <w:pPr>
        <w:spacing w:after="0" w:line="222"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We believe cash flow from operations, existing lines of credit, and access to debt and capital markets will be sufficient to meet our current liquidity needs, and we have committed liquidity and cash reserves in excess of our anticipated funding requirements. We evaluate the financial stability of the counterparties for the Convertible Notes, the Senior Secured Notes, and the ABL, and will continue to monitor counterparty risk on an on-going basis.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Financial Measures</w:t>
      </w:r>
    </w:p>
    <w:p>
      <w:pPr>
        <w:spacing w:after="0" w:line="133"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Working capital at November 28, 2020 and August 29, 2020 was $475.0 million and $413.2 million, respectively. We currently expect cash on hand, funds generated from operations, and the borrowing available under our ABL Credit Facility to be sufficient to cover both short-term and long-term operating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Repurchases and Dividends</w:t>
      </w:r>
    </w:p>
    <w:p>
      <w:pPr>
        <w:spacing w:after="0" w:line="133"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We repurchase our common stock and pay dividends pursuant to programs approved by our Board of Directors. Our long-term capital allocation strategy is to first fund operations and investments in growth, maintain a debt leverage ratio within our targeted zone, maintain reasonable liquidity, and then return excess cash over time to shareholders through dividends and share repurchases.</w:t>
      </w:r>
    </w:p>
    <w:p>
      <w:pPr>
        <w:spacing w:after="0" w:line="228"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On October 18, 2017, our Board of Directors authorized a share repurchase program in the amount of $70.0 million. There is no time restriction on the authorization. In the first quarter of Fiscal 2021, we repurchased 203,950 shares of our own common stock at a cost of $10.0 million under this authorization, and 29,449 shares at a cost of $1.6 million to satisfy tax obligations on employee equity awards vested. We continually evaluate if share repurchases reflect a prudent use of our capital and, subject to compliance with our ABL credit facility and Senior Secured Notes, we may purchase shares in the future. At November 28, 2020, we have $58.8 million remaining on our board repurchase authorization.</w:t>
      </w:r>
    </w:p>
    <w:p>
      <w:pPr>
        <w:spacing w:after="0" w:line="230" w:lineRule="exact"/>
        <w:rPr>
          <w:sz w:val="20"/>
          <w:szCs w:val="20"/>
          <w:color w:val="auto"/>
        </w:rPr>
      </w:pPr>
    </w:p>
    <w:p>
      <w:pPr>
        <w:ind w:right="920"/>
        <w:spacing w:after="0" w:line="260" w:lineRule="auto"/>
        <w:rPr>
          <w:sz w:val="20"/>
          <w:szCs w:val="20"/>
          <w:color w:val="auto"/>
        </w:rPr>
      </w:pPr>
      <w:r>
        <w:rPr>
          <w:rFonts w:ascii="Arial" w:cs="Arial" w:eastAsia="Arial" w:hAnsi="Arial"/>
          <w:sz w:val="16"/>
          <w:szCs w:val="16"/>
          <w:color w:val="auto"/>
        </w:rPr>
        <w:t>On December 16, 2020, our Board of Directors approved a quarterly cash dividend of $0.12 per share payable on January 27, 2021, to common stockholders of record at the close of business on January 13, 2021.</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Commercial Commitments</w:t>
      </w:r>
    </w:p>
    <w:p>
      <w:pPr>
        <w:spacing w:after="0" w:line="117"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 xml:space="preserve">There has been no material change in our contractual obligations since the end of Fiscal 2020. Refer to Note 9, </w:t>
      </w:r>
      <w:r>
        <w:rPr>
          <w:rFonts w:ascii="Arial" w:cs="Arial" w:eastAsia="Arial" w:hAnsi="Arial"/>
          <w:sz w:val="16"/>
          <w:szCs w:val="16"/>
          <w:i w:val="1"/>
          <w:iCs w:val="1"/>
          <w:color w:val="auto"/>
        </w:rPr>
        <w:t>Long-Term Debt</w:t>
      </w:r>
      <w:r>
        <w:rPr>
          <w:rFonts w:ascii="Arial" w:cs="Arial" w:eastAsia="Arial" w:hAnsi="Arial"/>
          <w:sz w:val="16"/>
          <w:szCs w:val="16"/>
          <w:color w:val="auto"/>
        </w:rPr>
        <w:t>, of the Notes to Condensed Consolidated Financial Statements included in this Quarterly Report on Form 10-Q for additional details on the Convertible Notes and Senior Secured Notes, and see our Annual Report on Form 10-K for the fiscal year ended August 29, 2020 for additional information regarding our contractual obligations and commercial commitments.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 and Estimates</w:t>
      </w:r>
    </w:p>
    <w:p>
      <w:pPr>
        <w:spacing w:after="0" w:line="117" w:lineRule="exact"/>
        <w:rPr>
          <w:sz w:val="20"/>
          <w:szCs w:val="20"/>
          <w:color w:val="auto"/>
        </w:rPr>
      </w:pPr>
    </w:p>
    <w:p>
      <w:pPr>
        <w:ind w:right="280"/>
        <w:spacing w:after="0" w:line="256" w:lineRule="auto"/>
        <w:rPr>
          <w:sz w:val="20"/>
          <w:szCs w:val="20"/>
          <w:color w:val="auto"/>
        </w:rPr>
      </w:pPr>
      <w:r>
        <w:rPr>
          <w:rFonts w:ascii="Arial" w:cs="Arial" w:eastAsia="Arial" w:hAnsi="Arial"/>
          <w:sz w:val="16"/>
          <w:szCs w:val="16"/>
          <w:color w:val="auto"/>
        </w:rPr>
        <w:t xml:space="preserve">We describe our significant accounting policies in Note 1,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of the Notes to Consolidated Financial Statements included in our Annual Report on Form 10-K for the fiscal year ended August 29, 2020. We discuss our critical accounting estimates in Item</w:t>
      </w:r>
    </w:p>
    <w:p>
      <w:pPr>
        <w:spacing w:after="0" w:line="1" w:lineRule="exact"/>
        <w:rPr>
          <w:sz w:val="20"/>
          <w:szCs w:val="20"/>
          <w:color w:val="auto"/>
        </w:rPr>
      </w:pPr>
    </w:p>
    <w:p>
      <w:pPr>
        <w:ind w:right="520"/>
        <w:spacing w:after="0" w:line="253" w:lineRule="auto"/>
        <w:rPr>
          <w:sz w:val="20"/>
          <w:szCs w:val="20"/>
          <w:color w:val="auto"/>
        </w:rPr>
      </w:pPr>
      <w:r>
        <w:rPr>
          <w:rFonts w:ascii="Arial" w:cs="Arial" w:eastAsia="Arial" w:hAnsi="Arial"/>
          <w:sz w:val="16"/>
          <w:szCs w:val="16"/>
          <w:color w:val="auto"/>
        </w:rPr>
        <w:t xml:space="preserve">7,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in our Annual Report on Form 10-K for the fiscal year ended August 29, 2020. There have been no significant changes in our significant accounting policies or critical accounting estimates since the end of Fiscal 2020.</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117" w:lineRule="exact"/>
        <w:rPr>
          <w:sz w:val="20"/>
          <w:szCs w:val="20"/>
          <w:color w:val="auto"/>
        </w:rPr>
      </w:pPr>
    </w:p>
    <w:p>
      <w:pPr>
        <w:ind w:right="460"/>
        <w:spacing w:after="0" w:line="281" w:lineRule="auto"/>
        <w:rPr>
          <w:sz w:val="20"/>
          <w:szCs w:val="20"/>
          <w:color w:val="auto"/>
        </w:rPr>
      </w:pPr>
      <w:r>
        <w:rPr>
          <w:rFonts w:ascii="Arial" w:cs="Arial" w:eastAsia="Arial" w:hAnsi="Arial"/>
          <w:sz w:val="16"/>
          <w:szCs w:val="16"/>
          <w:color w:val="auto"/>
        </w:rPr>
        <w:t xml:space="preserve">For a description of new applicable accounting pronouncements, see Note 1, </w:t>
      </w:r>
      <w:r>
        <w:rPr>
          <w:rFonts w:ascii="Arial" w:cs="Arial" w:eastAsia="Arial" w:hAnsi="Arial"/>
          <w:sz w:val="16"/>
          <w:szCs w:val="16"/>
          <w:i w:val="1"/>
          <w:iCs w:val="1"/>
          <w:color w:val="auto"/>
        </w:rPr>
        <w:t>Basis of Presentation</w:t>
      </w:r>
      <w:r>
        <w:rPr>
          <w:rFonts w:ascii="Arial" w:cs="Arial" w:eastAsia="Arial" w:hAnsi="Arial"/>
          <w:sz w:val="16"/>
          <w:szCs w:val="16"/>
          <w:color w:val="auto"/>
        </w:rPr>
        <w:t>, of the Notes to Condensed Consolidated Financial Statements included in this Quarterly Report on Form 10-Q.</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 Harbor Statement Under the Private Securities Litigation Reform Act</w:t>
      </w:r>
    </w:p>
    <w:p>
      <w:pPr>
        <w:spacing w:after="0" w:line="133"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 xml:space="preserve">Section 27A of the Securities Act of 1933, as amended (“Securities Act”), and Section 21E of the Securities Exchange Act of 1934, as amended (“Exchange Act”), provide a “safe harbor” for forward-looking statements to encourage companies to provide prospective information about their companies. With the exception of historical information, the matters discussed in this Quarterly Report on Form 10-Q are forward-looking statements and may be identified by the use of words such as "anticipate," "assume," "believe," "estimate," "expect," "guidance," "intend," "outlook," "plan," "project," and other words and terms of similar meaning. Such statements reflect our current views and estimates with respect to future market conditions, company performance and financial results, operational investments, business prospects, new strategies, the competitive environment, and other events. These statements are subject to certain risks and uncertainties that could cause actual results to differ materially from the potential results discussed in such forward-looking statements. Readers should review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of our Annual Report on Form 10-K for the fiscal year ended August 29, 2020, and Item 1A, </w:t>
      </w:r>
      <w:r>
        <w:rPr>
          <w:rFonts w:ascii="Arial" w:cs="Arial" w:eastAsia="Arial" w:hAnsi="Arial"/>
          <w:sz w:val="16"/>
          <w:szCs w:val="16"/>
          <w:i w:val="1"/>
          <w:iCs w:val="1"/>
          <w:color w:val="auto"/>
        </w:rPr>
        <w:t>Risk Factors</w:t>
      </w:r>
      <w:r>
        <w:rPr>
          <w:rFonts w:ascii="Arial" w:cs="Arial" w:eastAsia="Arial" w:hAnsi="Arial"/>
          <w:sz w:val="16"/>
          <w:szCs w:val="16"/>
          <w:color w:val="auto"/>
        </w:rPr>
        <w:t>, in Part II of this Quarterly Report on Form 10-Q, for a description of important factors that could cause our actual results to differ materially from those contemplated by the forward-looking statements made in this Quarterly Report on Form 10-Q. Among the factors that could cause actual results and outcomes to differ materially from those contained in such forward-looking statements are the following: competition and new product introductions by competitors, our ability to attract and retain qualified personnel, increases in market compensation rates, business or production disruptions, sales order cancellations, risk related to the terms of our credit agreements and compliance with debt covenants and leverage ratios, stock price volatility and share dilution, disruptions or unanticipated costs from facility expansions, availability of labor, a slowdown in the economy, low consumer confidence, the effect of global tensions, increases in interest rates, availability of credit, availability of financing for RV and marine dealers, impairment of goodwill, risk related to cyclicality and seasonality of our business, slower than anticipated sales of new or existing products, integration of operations relating to merger and acquisition activities generally, our acquisition of Newmar, the possibility that the Newmar acquisition may not perform as expected or may not result in earnings growth, difficulties and expenses related to integrating Newmar into our business, increased focus of management attention and resources on the acquisition of Newmar, risks related to the Convertible Notes and Senior Secured Notes, including our ability to satisfy our obligations under the Convertible Notes and Senior Secured Notes, risks related to our recent Convertible Note hedge and warrant transactions, inadequate liquidity or capital resources, inventory and distribution channel management, our ability to innovate, our reliance on large dealer organizations, significant increase in repurchase obligations, availability and price of fuel, availability of chassis and other key component parts, increased material and component costs, exposure to warranty claims, ability to protect our intellectual property, exposure to product liability claims, dependence on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information systems and web applications, any unexpected expenses related to the implementation of our ERP system, the duration and scope of the COVID-19 pandemic, actions governments, businesses, and individuals take in response to the COVID-19 pandemic, including mandatory business closures and restrictions of onsite commercial interactions; the impact of the pandemic and actions taken in response to the pandemic on regional economies and economic activity; the pace of recovery when the COVID-19 pandemic subsides; and general economic uncertainty in key markets and a worsening of domestic economic conditions or low levels of economic growth, risk related to data security, governmental regulation, including for climate change, risk related to anti-takeover provisions applicable to us, cyber-attacks and other factors. We caution that the foregoing list of important factors is not complete. Any forward-looking statements speak only as of the date they are made, and we assume no obligation to update any forward-looking statement that we may make.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33" w:lineRule="exact"/>
        <w:rPr>
          <w:sz w:val="20"/>
          <w:szCs w:val="20"/>
          <w:color w:val="auto"/>
        </w:rPr>
      </w:pPr>
    </w:p>
    <w:p>
      <w:pPr>
        <w:ind w:right="540"/>
        <w:spacing w:after="0" w:line="260" w:lineRule="auto"/>
        <w:rPr>
          <w:sz w:val="20"/>
          <w:szCs w:val="20"/>
          <w:color w:val="auto"/>
        </w:rPr>
      </w:pPr>
      <w:r>
        <w:rPr>
          <w:rFonts w:ascii="Arial" w:cs="Arial" w:eastAsia="Arial" w:hAnsi="Arial"/>
          <w:sz w:val="16"/>
          <w:szCs w:val="16"/>
          <w:color w:val="auto"/>
        </w:rPr>
        <w:t>The assets we maintain to fund deferred compensation have market risk, but we maintain a corresponding liability for these assets. The market risk is therefore borne by the participants in the deferred compensation program.</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November 28, 2020, we have no interest rate swaps outstanding and the Term Loan, that had been subject to variable interest rates, was repaid in the fourth quarter of Fiscal 2020 using the proceeds from the Senior Secured Notes. The ABL is our only floating rate debt instrument which remains undrawn as of November 28, 2020.</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129"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We maintain "disclosure controls and procedures", as such term is defined under Securities Exchange Act of 1934, as amended ("Exchange Act") Rule 13a-15(e), that are designed to ensure that information required to be disclosed in our reports filed or submitted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disclosures. Management necessarily applied its judgment in assessing the costs and benefits of such controls and procedures and believes that such controls and procedures are effective at the reasonable assurance level.</w:t>
      </w:r>
    </w:p>
    <w:p>
      <w:pPr>
        <w:spacing w:after="0" w:line="232"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Our management, under the supervision and with the participation of our Chief Executive Officer and Chief Financial Officer, has evaluated the effectiveness of the design and operation of our disclosure controls and procedures, required by Exchange Act Rule 13a-15(b), as of the end of the period covered by this report (the "Evaluation Date"). Based on this evaluation, the Chief Executive Officer and Chief Financial Officer have concluded that our disclosure controls and procedures were effective as of the Evaluation Date.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129"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We are implementing an ERP system, which is expected to improve the efficiency of certain financial and related transaction processes. The implementation of an ERP system will likely affect the processes that constitute our internal control over financial reporting and will require testing for effectiveness. As future phases of the ERP implementation are completed, internal controls over financial reporting will be tested for effectiveness with respect to the scope of the phase completed. We concluded, as part of our evaluation described in the above paragraphs, that the implementation of ERP in these circumstances has not materially affected our internal control over financial reporting. The implementation is continuing in a phased approach and will continue to be evaluated for effect on our internal control over financial reporting.</w:t>
      </w:r>
    </w:p>
    <w:p>
      <w:pPr>
        <w:spacing w:after="0" w:line="232"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There were no other changes in our internal control over financial reporting that occurred during the first quarter of Fiscal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17" w:lineRule="exact"/>
        <w:rPr>
          <w:sz w:val="20"/>
          <w:szCs w:val="20"/>
          <w:color w:val="auto"/>
        </w:rPr>
      </w:pPr>
    </w:p>
    <w:p>
      <w:pPr>
        <w:ind w:right="600"/>
        <w:spacing w:after="0" w:line="281" w:lineRule="auto"/>
        <w:rPr>
          <w:sz w:val="20"/>
          <w:szCs w:val="20"/>
          <w:color w:val="auto"/>
        </w:rPr>
      </w:pPr>
      <w:r>
        <w:rPr>
          <w:rFonts w:ascii="Arial" w:cs="Arial" w:eastAsia="Arial" w:hAnsi="Arial"/>
          <w:sz w:val="16"/>
          <w:szCs w:val="16"/>
          <w:color w:val="auto"/>
        </w:rPr>
        <w:t xml:space="preserve">For a description of our legal proceedings, see Note 11, </w:t>
      </w:r>
      <w:r>
        <w:rPr>
          <w:rFonts w:ascii="Arial" w:cs="Arial" w:eastAsia="Arial" w:hAnsi="Arial"/>
          <w:sz w:val="16"/>
          <w:szCs w:val="16"/>
          <w:i w:val="1"/>
          <w:iCs w:val="1"/>
          <w:color w:val="auto"/>
        </w:rPr>
        <w:t>Contingent Liabilities and Commitments</w:t>
      </w:r>
      <w:r>
        <w:rPr>
          <w:rFonts w:ascii="Arial" w:cs="Arial" w:eastAsia="Arial" w:hAnsi="Arial"/>
          <w:sz w:val="16"/>
          <w:szCs w:val="16"/>
          <w:color w:val="auto"/>
        </w:rPr>
        <w:t>, of the Notes to Condensed Consolidated Financial Statements, included in this Quarterly Report on Form 10-Q.</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17"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 xml:space="preserve">There have been no material changes from the risk factors previously disclosed in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of our Annual Report on Form 10-K for the fiscal year ended August 29, 2020.</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(c) Stock Repurchases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Purchases of our common stock during each fiscal month of the first quarter of Fiscal 2021 were: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rPr>
              <w:t>Total Number of</w:t>
            </w:r>
          </w:p>
        </w:tc>
        <w:tc>
          <w:tcPr>
            <w:tcW w:w="1400" w:type="dxa"/>
            <w:vAlign w:val="bottom"/>
            <w:gridSpan w:val="2"/>
            <w:vMerge w:val="restart"/>
          </w:tcPr>
          <w:p>
            <w:pPr>
              <w:jc w:val="right"/>
              <w:ind w:right="79"/>
              <w:spacing w:after="0"/>
              <w:rPr>
                <w:sz w:val="20"/>
                <w:szCs w:val="20"/>
                <w:color w:val="auto"/>
              </w:rPr>
            </w:pPr>
            <w:r>
              <w:rPr>
                <w:rFonts w:ascii="Arial" w:cs="Arial" w:eastAsia="Arial" w:hAnsi="Arial"/>
                <w:sz w:val="16"/>
                <w:szCs w:val="16"/>
                <w:b w:val="1"/>
                <w:bCs w:val="1"/>
                <w:color w:val="auto"/>
              </w:rPr>
              <w:t>Average Price</w:t>
            </w:r>
          </w:p>
        </w:tc>
        <w:tc>
          <w:tcPr>
            <w:tcW w:w="28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Number of Shares Purchased as</w:t>
            </w:r>
          </w:p>
        </w:tc>
        <w:tc>
          <w:tcPr>
            <w:tcW w:w="120" w:type="dxa"/>
            <w:vAlign w:val="bottom"/>
          </w:tcPr>
          <w:p>
            <w:pPr>
              <w:spacing w:after="0"/>
              <w:rPr>
                <w:sz w:val="16"/>
                <w:szCs w:val="16"/>
                <w:color w:val="auto"/>
              </w:rPr>
            </w:pPr>
          </w:p>
        </w:tc>
        <w:tc>
          <w:tcPr>
            <w:tcW w:w="2640" w:type="dxa"/>
            <w:vAlign w:val="bottom"/>
          </w:tcPr>
          <w:p>
            <w:pPr>
              <w:jc w:val="right"/>
              <w:ind w:right="219"/>
              <w:spacing w:after="0"/>
              <w:rPr>
                <w:sz w:val="20"/>
                <w:szCs w:val="20"/>
                <w:color w:val="auto"/>
              </w:rPr>
            </w:pPr>
            <w:r>
              <w:rPr>
                <w:rFonts w:ascii="Arial" w:cs="Arial" w:eastAsia="Arial" w:hAnsi="Arial"/>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26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5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w:t>
            </w:r>
          </w:p>
        </w:tc>
        <w:tc>
          <w:tcPr>
            <w:tcW w:w="1400" w:type="dxa"/>
            <w:vAlign w:val="bottom"/>
            <w:gridSpan w:val="2"/>
            <w:vMerge w:val="continue"/>
          </w:tcPr>
          <w:p>
            <w:pPr>
              <w:spacing w:after="0"/>
              <w:rPr>
                <w:sz w:val="14"/>
                <w:szCs w:val="14"/>
                <w:color w:val="auto"/>
              </w:rPr>
            </w:pPr>
          </w:p>
        </w:tc>
        <w:tc>
          <w:tcPr>
            <w:tcW w:w="28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Part of Publicly Announced Plans</w:t>
            </w:r>
          </w:p>
        </w:tc>
        <w:tc>
          <w:tcPr>
            <w:tcW w:w="276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rPr>
              <w:t>Shares That May Yet Be Purchased</w:t>
            </w:r>
          </w:p>
        </w:tc>
        <w:tc>
          <w:tcPr>
            <w:tcW w:w="0" w:type="dxa"/>
            <w:vAlign w:val="bottom"/>
          </w:tcPr>
          <w:p>
            <w:pPr>
              <w:spacing w:after="0"/>
              <w:rPr>
                <w:sz w:val="1"/>
                <w:szCs w:val="1"/>
                <w:color w:val="auto"/>
              </w:rPr>
            </w:pPr>
          </w:p>
        </w:tc>
      </w:tr>
      <w:tr>
        <w:trPr>
          <w:trHeight w:val="216"/>
        </w:trPr>
        <w:tc>
          <w:tcPr>
            <w:tcW w:w="260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7"/>
              </w:rPr>
              <w:t>Purchased</w:t>
            </w:r>
            <w:r>
              <w:rPr>
                <w:rFonts w:ascii="Arial" w:cs="Arial" w:eastAsia="Arial" w:hAnsi="Arial"/>
                <w:sz w:val="21"/>
                <w:szCs w:val="21"/>
                <w:b w:val="1"/>
                <w:bCs w:val="1"/>
                <w:color w:val="auto"/>
                <w:w w:val="97"/>
                <w:vertAlign w:val="superscript"/>
              </w:rPr>
              <w:t>(1)</w:t>
            </w:r>
          </w:p>
        </w:tc>
        <w:tc>
          <w:tcPr>
            <w:tcW w:w="14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Paid per Share</w:t>
            </w:r>
          </w:p>
        </w:tc>
        <w:tc>
          <w:tcPr>
            <w:tcW w:w="2880" w:type="dxa"/>
            <w:vAlign w:val="bottom"/>
            <w:tcBorders>
              <w:bottom w:val="single" w:sz="8" w:color="auto"/>
            </w:tcBorders>
            <w:gridSpan w:val="2"/>
          </w:tcPr>
          <w:p>
            <w:pPr>
              <w:jc w:val="center"/>
              <w:ind w:right="100"/>
              <w:spacing w:after="0" w:line="216" w:lineRule="exact"/>
              <w:rPr>
                <w:sz w:val="20"/>
                <w:szCs w:val="20"/>
                <w:color w:val="auto"/>
              </w:rPr>
            </w:pPr>
            <w:r>
              <w:rPr>
                <w:rFonts w:ascii="Arial" w:cs="Arial" w:eastAsia="Arial" w:hAnsi="Arial"/>
                <w:sz w:val="16"/>
                <w:szCs w:val="16"/>
                <w:b w:val="1"/>
                <w:bCs w:val="1"/>
                <w:color w:val="auto"/>
                <w:w w:val="97"/>
              </w:rPr>
              <w:t>or Programs</w:t>
            </w:r>
            <w:r>
              <w:rPr>
                <w:rFonts w:ascii="Arial" w:cs="Arial" w:eastAsia="Arial" w:hAnsi="Arial"/>
                <w:sz w:val="21"/>
                <w:szCs w:val="21"/>
                <w:b w:val="1"/>
                <w:bCs w:val="1"/>
                <w:color w:val="auto"/>
                <w:w w:val="97"/>
                <w:vertAlign w:val="superscript"/>
              </w:rPr>
              <w:t>(1)</w:t>
            </w:r>
          </w:p>
        </w:tc>
        <w:tc>
          <w:tcPr>
            <w:tcW w:w="1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jc w:val="right"/>
              <w:ind w:right="59"/>
              <w:spacing w:after="0" w:line="216" w:lineRule="exact"/>
              <w:rPr>
                <w:sz w:val="20"/>
                <w:szCs w:val="20"/>
                <w:color w:val="auto"/>
              </w:rPr>
            </w:pPr>
            <w:r>
              <w:rPr>
                <w:rFonts w:ascii="Arial" w:cs="Arial" w:eastAsia="Arial" w:hAnsi="Arial"/>
                <w:sz w:val="16"/>
                <w:szCs w:val="16"/>
                <w:b w:val="1"/>
                <w:bCs w:val="1"/>
                <w:color w:val="auto"/>
                <w:w w:val="97"/>
              </w:rPr>
              <w:t>Under the Plans or Programs</w:t>
            </w:r>
            <w:r>
              <w:rPr>
                <w:rFonts w:ascii="Arial" w:cs="Arial" w:eastAsia="Arial" w:hAnsi="Arial"/>
                <w:sz w:val="21"/>
                <w:szCs w:val="21"/>
                <w:b w:val="1"/>
                <w:bCs w:val="1"/>
                <w:color w:val="auto"/>
                <w:w w:val="97"/>
                <w:vertAlign w:val="superscript"/>
              </w:rPr>
              <w:t>(2)(3)</w:t>
            </w:r>
          </w:p>
        </w:tc>
        <w:tc>
          <w:tcPr>
            <w:tcW w:w="0" w:type="dxa"/>
            <w:vAlign w:val="bottom"/>
          </w:tcPr>
          <w:p>
            <w:pPr>
              <w:spacing w:after="0"/>
              <w:rPr>
                <w:sz w:val="1"/>
                <w:szCs w:val="1"/>
                <w:color w:val="auto"/>
              </w:rPr>
            </w:pPr>
          </w:p>
        </w:tc>
      </w:tr>
      <w:tr>
        <w:trPr>
          <w:trHeight w:val="210"/>
        </w:trPr>
        <w:tc>
          <w:tcPr>
            <w:tcW w:w="2600" w:type="dxa"/>
            <w:vAlign w:val="bottom"/>
            <w:shd w:val="clear" w:color="auto" w:fill="BFE4FF"/>
          </w:tcPr>
          <w:p>
            <w:pPr>
              <w:ind w:left="20"/>
              <w:spacing w:after="0"/>
              <w:rPr>
                <w:sz w:val="20"/>
                <w:szCs w:val="20"/>
                <w:color w:val="auto"/>
              </w:rPr>
            </w:pPr>
            <w:r>
              <w:rPr>
                <w:rFonts w:ascii="Arial" w:cs="Arial" w:eastAsia="Arial" w:hAnsi="Arial"/>
                <w:sz w:val="16"/>
                <w:szCs w:val="16"/>
                <w:color w:val="auto"/>
              </w:rPr>
              <w:t>08/30/20 - 10/03/20</w:t>
            </w:r>
          </w:p>
        </w:tc>
        <w:tc>
          <w:tcPr>
            <w:tcW w:w="15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BFE4FF"/>
          </w:tcPr>
          <w:p>
            <w:pPr>
              <w:ind w:lef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w:t>
            </w:r>
          </w:p>
        </w:tc>
        <w:tc>
          <w:tcPr>
            <w:tcW w:w="288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BFE4FF"/>
          </w:tcPr>
          <w:p>
            <w:pPr>
              <w:ind w:left="20"/>
              <w:spacing w:after="0"/>
              <w:rPr>
                <w:sz w:val="20"/>
                <w:szCs w:val="20"/>
                <w:color w:val="auto"/>
              </w:rPr>
            </w:pPr>
            <w:r>
              <w:rPr>
                <w:rFonts w:ascii="Arial" w:cs="Arial" w:eastAsia="Arial" w:hAnsi="Arial"/>
                <w:sz w:val="16"/>
                <w:szCs w:val="16"/>
                <w:color w:val="auto"/>
                <w:w w:val="89"/>
              </w:rPr>
              <w:t>$</w:t>
            </w:r>
          </w:p>
        </w:tc>
        <w:tc>
          <w:tcPr>
            <w:tcW w:w="26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68,761,000</w:t>
            </w:r>
          </w:p>
        </w:tc>
        <w:tc>
          <w:tcPr>
            <w:tcW w:w="0" w:type="dxa"/>
            <w:vAlign w:val="bottom"/>
          </w:tcPr>
          <w:p>
            <w:pPr>
              <w:spacing w:after="0"/>
              <w:rPr>
                <w:sz w:val="1"/>
                <w:szCs w:val="1"/>
                <w:color w:val="auto"/>
              </w:rPr>
            </w:pPr>
          </w:p>
        </w:tc>
      </w:tr>
      <w:tr>
        <w:trPr>
          <w:trHeight w:val="213"/>
        </w:trPr>
        <w:tc>
          <w:tcPr>
            <w:tcW w:w="2600" w:type="dxa"/>
            <w:vAlign w:val="bottom"/>
          </w:tcPr>
          <w:p>
            <w:pPr>
              <w:ind w:left="20"/>
              <w:spacing w:after="0"/>
              <w:rPr>
                <w:sz w:val="20"/>
                <w:szCs w:val="20"/>
                <w:color w:val="auto"/>
              </w:rPr>
            </w:pPr>
            <w:r>
              <w:rPr>
                <w:rFonts w:ascii="Arial" w:cs="Arial" w:eastAsia="Arial" w:hAnsi="Arial"/>
                <w:sz w:val="16"/>
                <w:szCs w:val="16"/>
                <w:color w:val="auto"/>
              </w:rPr>
              <w:t>10/04/20 - 10/31/20</w:t>
            </w:r>
          </w:p>
        </w:tc>
        <w:tc>
          <w:tcPr>
            <w:tcW w:w="1560" w:type="dxa"/>
            <w:vAlign w:val="bottom"/>
          </w:tcPr>
          <w:p>
            <w:pPr>
              <w:jc w:val="right"/>
              <w:spacing w:after="0"/>
              <w:rPr>
                <w:sz w:val="20"/>
                <w:szCs w:val="20"/>
                <w:color w:val="auto"/>
              </w:rPr>
            </w:pPr>
            <w:r>
              <w:rPr>
                <w:rFonts w:ascii="Arial" w:cs="Arial" w:eastAsia="Arial" w:hAnsi="Arial"/>
                <w:sz w:val="16"/>
                <w:szCs w:val="16"/>
                <w:color w:val="auto"/>
              </w:rPr>
              <w:t>170,174</w:t>
            </w:r>
          </w:p>
        </w:tc>
        <w:tc>
          <w:tcPr>
            <w:tcW w:w="52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50.30</w:t>
            </w:r>
          </w:p>
        </w:tc>
        <w:tc>
          <w:tcPr>
            <w:tcW w:w="2760" w:type="dxa"/>
            <w:vAlign w:val="bottom"/>
          </w:tcPr>
          <w:p>
            <w:pPr>
              <w:jc w:val="right"/>
              <w:spacing w:after="0"/>
              <w:rPr>
                <w:sz w:val="20"/>
                <w:szCs w:val="20"/>
                <w:color w:val="auto"/>
              </w:rPr>
            </w:pPr>
            <w:r>
              <w:rPr>
                <w:rFonts w:ascii="Arial" w:cs="Arial" w:eastAsia="Arial" w:hAnsi="Arial"/>
                <w:sz w:val="16"/>
                <w:szCs w:val="16"/>
                <w:color w:val="auto"/>
              </w:rPr>
              <w:t>141,662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Arial" w:cs="Arial" w:eastAsia="Arial" w:hAnsi="Arial"/>
                <w:sz w:val="16"/>
                <w:szCs w:val="16"/>
                <w:color w:val="auto"/>
              </w:rPr>
              <w:t>61,761,000</w:t>
            </w:r>
          </w:p>
        </w:tc>
        <w:tc>
          <w:tcPr>
            <w:tcW w:w="0" w:type="dxa"/>
            <w:vAlign w:val="bottom"/>
          </w:tcPr>
          <w:p>
            <w:pPr>
              <w:spacing w:after="0"/>
              <w:rPr>
                <w:sz w:val="1"/>
                <w:szCs w:val="1"/>
                <w:color w:val="auto"/>
              </w:rPr>
            </w:pPr>
          </w:p>
        </w:tc>
      </w:tr>
      <w:tr>
        <w:trPr>
          <w:trHeight w:val="216"/>
        </w:trPr>
        <w:tc>
          <w:tcPr>
            <w:tcW w:w="2600" w:type="dxa"/>
            <w:vAlign w:val="bottom"/>
            <w:shd w:val="clear" w:color="auto" w:fill="BFE4FF"/>
          </w:tcPr>
          <w:p>
            <w:pPr>
              <w:ind w:left="20"/>
              <w:spacing w:after="0"/>
              <w:rPr>
                <w:sz w:val="20"/>
                <w:szCs w:val="20"/>
                <w:color w:val="auto"/>
              </w:rPr>
            </w:pPr>
            <w:r>
              <w:rPr>
                <w:rFonts w:ascii="Arial" w:cs="Arial" w:eastAsia="Arial" w:hAnsi="Arial"/>
                <w:sz w:val="16"/>
                <w:szCs w:val="16"/>
                <w:color w:val="auto"/>
              </w:rPr>
              <w:t>11/01/20 - 11/28/20</w:t>
            </w:r>
          </w:p>
        </w:tc>
        <w:tc>
          <w:tcPr>
            <w:tcW w:w="15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63,225</w:t>
            </w:r>
          </w:p>
        </w:tc>
        <w:tc>
          <w:tcPr>
            <w:tcW w:w="520" w:type="dxa"/>
            <w:vAlign w:val="bottom"/>
            <w:shd w:val="clear" w:color="auto" w:fill="BFE4FF"/>
          </w:tcPr>
          <w:p>
            <w:pPr>
              <w:spacing w:after="0"/>
              <w:rPr>
                <w:sz w:val="18"/>
                <w:szCs w:val="18"/>
                <w:color w:val="auto"/>
              </w:rPr>
            </w:pPr>
          </w:p>
        </w:tc>
        <w:tc>
          <w:tcPr>
            <w:tcW w:w="88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48.12</w:t>
            </w:r>
          </w:p>
        </w:tc>
        <w:tc>
          <w:tcPr>
            <w:tcW w:w="27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62,288</w:t>
            </w:r>
          </w:p>
        </w:tc>
        <w:tc>
          <w:tcPr>
            <w:tcW w:w="120" w:type="dxa"/>
            <w:vAlign w:val="bottom"/>
            <w:shd w:val="clear" w:color="auto" w:fill="BFE4FF"/>
          </w:tcPr>
          <w:p>
            <w:pPr>
              <w:spacing w:after="0"/>
              <w:rPr>
                <w:sz w:val="18"/>
                <w:szCs w:val="18"/>
                <w:color w:val="auto"/>
              </w:rPr>
            </w:pPr>
          </w:p>
        </w:tc>
        <w:tc>
          <w:tcPr>
            <w:tcW w:w="120" w:type="dxa"/>
            <w:vAlign w:val="bottom"/>
            <w:tcBorders>
              <w:bottom w:val="single" w:sz="8" w:color="auto"/>
            </w:tcBorders>
            <w:shd w:val="clear" w:color="auto" w:fill="BFE4FF"/>
          </w:tcPr>
          <w:p>
            <w:pPr>
              <w:spacing w:after="0"/>
              <w:rPr>
                <w:sz w:val="18"/>
                <w:szCs w:val="18"/>
                <w:color w:val="auto"/>
              </w:rPr>
            </w:pPr>
          </w:p>
        </w:tc>
        <w:tc>
          <w:tcPr>
            <w:tcW w:w="26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58,761,000</w:t>
            </w:r>
          </w:p>
        </w:tc>
        <w:tc>
          <w:tcPr>
            <w:tcW w:w="0" w:type="dxa"/>
            <w:vAlign w:val="bottom"/>
          </w:tcPr>
          <w:p>
            <w:pPr>
              <w:spacing w:after="0"/>
              <w:rPr>
                <w:sz w:val="1"/>
                <w:szCs w:val="1"/>
                <w:color w:val="auto"/>
              </w:rPr>
            </w:pPr>
          </w:p>
        </w:tc>
      </w:tr>
      <w:tr>
        <w:trPr>
          <w:trHeight w:val="213"/>
        </w:trPr>
        <w:tc>
          <w:tcPr>
            <w:tcW w:w="2600" w:type="dxa"/>
            <w:vAlign w:val="bottom"/>
          </w:tcPr>
          <w:p>
            <w:pPr>
              <w:ind w:left="140"/>
              <w:spacing w:after="0"/>
              <w:rPr>
                <w:sz w:val="20"/>
                <w:szCs w:val="20"/>
                <w:color w:val="auto"/>
              </w:rPr>
            </w:pPr>
            <w:r>
              <w:rPr>
                <w:rFonts w:ascii="Arial" w:cs="Arial" w:eastAsia="Arial" w:hAnsi="Arial"/>
                <w:sz w:val="16"/>
                <w:szCs w:val="16"/>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233,399</w:t>
            </w:r>
          </w:p>
        </w:tc>
        <w:tc>
          <w:tcPr>
            <w:tcW w:w="520" w:type="dxa"/>
            <w:vAlign w:val="bottom"/>
          </w:tcPr>
          <w:p>
            <w:pPr>
              <w:ind w:left="1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49.71</w:t>
            </w: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203,950</w:t>
            </w:r>
          </w:p>
        </w:tc>
        <w:tc>
          <w:tcPr>
            <w:tcW w:w="12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58,761,000</w:t>
            </w:r>
          </w:p>
        </w:tc>
        <w:tc>
          <w:tcPr>
            <w:tcW w:w="0" w:type="dxa"/>
            <w:vAlign w:val="bottom"/>
          </w:tcPr>
          <w:p>
            <w:pPr>
              <w:spacing w:after="0"/>
              <w:rPr>
                <w:sz w:val="1"/>
                <w:szCs w:val="1"/>
                <w:color w:val="auto"/>
              </w:rPr>
            </w:pPr>
          </w:p>
        </w:tc>
      </w:tr>
      <w:tr>
        <w:trPr>
          <w:trHeight w:val="21"/>
        </w:trPr>
        <w:tc>
          <w:tcPr>
            <w:tcW w:w="26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260" w:right="80" w:hanging="252"/>
        <w:spacing w:after="0" w:line="241" w:lineRule="auto"/>
        <w:tabs>
          <w:tab w:leader="none" w:pos="353" w:val="left"/>
        </w:tabs>
        <w:numPr>
          <w:ilvl w:val="0"/>
          <w:numId w:val="15"/>
        </w:numPr>
        <w:rPr>
          <w:rFonts w:ascii="Arial" w:cs="Arial" w:eastAsia="Arial" w:hAnsi="Arial"/>
          <w:sz w:val="14"/>
          <w:szCs w:val="14"/>
          <w:color w:val="auto"/>
        </w:rPr>
      </w:pPr>
      <w:r>
        <w:rPr>
          <w:rFonts w:ascii="Arial" w:cs="Arial" w:eastAsia="Arial" w:hAnsi="Arial"/>
          <w:sz w:val="14"/>
          <w:szCs w:val="14"/>
          <w:color w:val="auto"/>
        </w:rPr>
        <w:t>Shares not purchased as part of a publicly announced program were repurchased from employees who vested in Company shares and elected to pay their payroll tax via the value of shares delivered as opposed to cash.</w:t>
      </w: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Pursuant to a $70.0 million share repurchase program authorized by our Board of Directors on October 18, 2017. There is no time restriction on the authorization.</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Adjustment in dollar amount for repurchases remaining from prior quarter reflects a correction in the counting of share repurchases against share authorizations.</w:t>
      </w:r>
    </w:p>
    <w:p>
      <w:pPr>
        <w:spacing w:after="0" w:line="225"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 xml:space="preserve">Our senior secured notes, as defined in Note 9,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of the Notes to Condensed Consolidated Financial Statements, included in Item 1, </w:t>
      </w:r>
      <w:r>
        <w:rPr>
          <w:rFonts w:ascii="Arial" w:cs="Arial" w:eastAsia="Arial" w:hAnsi="Arial"/>
          <w:sz w:val="16"/>
          <w:szCs w:val="16"/>
          <w:i w:val="1"/>
          <w:iCs w:val="1"/>
          <w:color w:val="auto"/>
        </w:rPr>
        <w:t>Condensed Consolidated Financial Statements</w:t>
      </w:r>
      <w:r>
        <w:rPr>
          <w:rFonts w:ascii="Arial" w:cs="Arial" w:eastAsia="Arial" w:hAnsi="Arial"/>
          <w:sz w:val="16"/>
          <w:szCs w:val="16"/>
          <w:color w:val="auto"/>
        </w:rPr>
        <w:t>, of this Quarterly Report on Form 10-Q, contains occurrence based restrictions that may limit our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make distributions or payments with respect to purchases of our common stock without consent of the lenders, except for limited purchases of our common stock from employees, in the event of a significant reduction in our EBITDA or in the event of a significant borrowing on our ABL Credit Facility.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212" w:lineRule="exact"/>
        <w:rPr>
          <w:sz w:val="20"/>
          <w:szCs w:val="20"/>
          <w:color w:val="auto"/>
        </w:rPr>
      </w:pPr>
    </w:p>
    <w:tbl>
      <w:tblPr>
        <w:tblLayout w:type="fixed"/>
        <w:tblInd w:w="140" w:type="dxa"/>
        <w:tblCellMar>
          <w:top w:w="0" w:type="dxa"/>
          <w:left w:w="0" w:type="dxa"/>
          <w:bottom w:w="0" w:type="dxa"/>
          <w:right w:w="0" w:type="dxa"/>
        </w:tblCellMar>
      </w:tblPr>
      <w:tr>
        <w:trPr>
          <w:trHeight w:val="215"/>
        </w:trPr>
        <w:tc>
          <w:tcPr>
            <w:tcW w:w="60" w:type="dxa"/>
            <w:vAlign w:val="bottom"/>
          </w:tcPr>
          <w:p>
            <w:pPr>
              <w:spacing w:after="0"/>
              <w:rPr>
                <w:sz w:val="18"/>
                <w:szCs w:val="18"/>
                <w:color w:val="auto"/>
              </w:rPr>
            </w:pPr>
          </w:p>
        </w:tc>
        <w:tc>
          <w:tcPr>
            <w:tcW w:w="140" w:type="dxa"/>
            <w:vAlign w:val="bottom"/>
          </w:tcPr>
          <w:p>
            <w:pPr>
              <w:jc w:val="right"/>
              <w:spacing w:after="0"/>
              <w:rPr>
                <w:rFonts w:ascii="Arial" w:cs="Arial" w:eastAsia="Arial" w:hAnsi="Arial"/>
                <w:sz w:val="15"/>
                <w:szCs w:val="15"/>
                <w:u w:val="single" w:color="auto"/>
                <w:color w:val="0000FF"/>
                <w:w w:val="71"/>
              </w:rPr>
            </w:pPr>
            <w:hyperlink w:anchor="page35">
              <w:r>
                <w:rPr>
                  <w:rFonts w:ascii="Arial" w:cs="Arial" w:eastAsia="Arial" w:hAnsi="Arial"/>
                  <w:sz w:val="15"/>
                  <w:szCs w:val="15"/>
                  <w:u w:val="single" w:color="auto"/>
                  <w:color w:val="0000FF"/>
                  <w:w w:val="71"/>
                </w:rPr>
                <w:t>3a</w:t>
              </w:r>
            </w:hyperlink>
          </w:p>
        </w:tc>
        <w:tc>
          <w:tcPr>
            <w:tcW w:w="920" w:type="dxa"/>
            <w:vAlign w:val="bottom"/>
            <w:gridSpan w:val="2"/>
            <w:shd w:val="clear" w:color="auto" w:fill="CCEEFF"/>
          </w:tcPr>
          <w:p>
            <w:pPr>
              <w:jc w:val="right"/>
              <w:ind w:right="840"/>
              <w:spacing w:after="0"/>
              <w:rPr>
                <w:rFonts w:ascii="Arial" w:cs="Arial" w:eastAsia="Arial" w:hAnsi="Arial"/>
                <w:sz w:val="16"/>
                <w:szCs w:val="16"/>
                <w:color w:val="0000FF"/>
              </w:rPr>
            </w:pPr>
            <w:hyperlink w:anchor="page35">
              <w:r>
                <w:rPr>
                  <w:rFonts w:ascii="Arial" w:cs="Arial" w:eastAsia="Arial" w:hAnsi="Arial"/>
                  <w:sz w:val="16"/>
                  <w:szCs w:val="16"/>
                  <w:color w:val="0000FF"/>
                </w:rPr>
                <w:t>.</w:t>
              </w:r>
            </w:hyperlink>
          </w:p>
        </w:tc>
        <w:tc>
          <w:tcPr>
            <w:tcW w:w="9520" w:type="dxa"/>
            <w:vAlign w:val="bottom"/>
            <w:gridSpan w:val="10"/>
            <w:shd w:val="clear" w:color="auto" w:fill="CCEEFF"/>
          </w:tcPr>
          <w:p>
            <w:pPr>
              <w:spacing w:after="0"/>
              <w:rPr>
                <w:rFonts w:ascii="Arial" w:cs="Arial" w:eastAsia="Arial" w:hAnsi="Arial"/>
                <w:sz w:val="16"/>
                <w:szCs w:val="16"/>
                <w:u w:val="single" w:color="auto"/>
                <w:color w:val="0000FF"/>
              </w:rPr>
            </w:pPr>
            <w:hyperlink w:anchor="page35">
              <w:r>
                <w:rPr>
                  <w:rFonts w:ascii="Arial" w:cs="Arial" w:eastAsia="Arial" w:hAnsi="Arial"/>
                  <w:sz w:val="16"/>
                  <w:szCs w:val="16"/>
                  <w:u w:val="single" w:color="auto"/>
                  <w:color w:val="0000FF"/>
                </w:rPr>
                <w:t>Articles of Incorporation of the Registrant, as amended and restated on December 17, 2020, and incorporated by reference herein.</w:t>
              </w:r>
            </w:hyperlink>
          </w:p>
        </w:tc>
      </w:tr>
      <w:tr>
        <w:trPr>
          <w:trHeight w:val="163"/>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8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5"/>
        </w:trPr>
        <w:tc>
          <w:tcPr>
            <w:tcW w:w="60" w:type="dxa"/>
            <w:vAlign w:val="bottom"/>
          </w:tcPr>
          <w:p>
            <w:pPr>
              <w:spacing w:after="0"/>
              <w:rPr>
                <w:sz w:val="15"/>
                <w:szCs w:val="15"/>
                <w:color w:val="auto"/>
              </w:rPr>
            </w:pPr>
          </w:p>
        </w:tc>
        <w:tc>
          <w:tcPr>
            <w:tcW w:w="1060" w:type="dxa"/>
            <w:vAlign w:val="bottom"/>
            <w:gridSpan w:val="3"/>
          </w:tcPr>
          <w:p>
            <w:pPr>
              <w:jc w:val="right"/>
              <w:ind w:right="840"/>
              <w:spacing w:after="0" w:line="175" w:lineRule="exact"/>
              <w:rPr>
                <w:rFonts w:ascii="Arial" w:cs="Arial" w:eastAsia="Arial" w:hAnsi="Arial"/>
                <w:sz w:val="16"/>
                <w:szCs w:val="16"/>
                <w:color w:val="0000FF"/>
                <w:w w:val="89"/>
              </w:rPr>
            </w:pPr>
            <w:hyperlink r:id="rId47">
              <w:r>
                <w:rPr>
                  <w:rFonts w:ascii="Arial" w:cs="Arial" w:eastAsia="Arial" w:hAnsi="Arial"/>
                  <w:sz w:val="16"/>
                  <w:szCs w:val="16"/>
                  <w:u w:val="single" w:color="auto"/>
                  <w:color w:val="0000FF"/>
                  <w:w w:val="89"/>
                </w:rPr>
                <w:t>3b</w:t>
              </w:r>
              <w:r>
                <w:rPr>
                  <w:rFonts w:ascii="Arial" w:cs="Arial" w:eastAsia="Arial" w:hAnsi="Arial"/>
                  <w:sz w:val="16"/>
                  <w:szCs w:val="16"/>
                  <w:color w:val="0000FF"/>
                  <w:w w:val="89"/>
                </w:rPr>
                <w:t>.</w:t>
              </w:r>
            </w:hyperlink>
          </w:p>
        </w:tc>
        <w:tc>
          <w:tcPr>
            <w:tcW w:w="9520" w:type="dxa"/>
            <w:vAlign w:val="bottom"/>
            <w:gridSpan w:val="10"/>
          </w:tcPr>
          <w:p>
            <w:pPr>
              <w:spacing w:after="0" w:line="175" w:lineRule="exact"/>
              <w:rPr>
                <w:rFonts w:ascii="Arial" w:cs="Arial" w:eastAsia="Arial" w:hAnsi="Arial"/>
                <w:sz w:val="16"/>
                <w:szCs w:val="16"/>
                <w:color w:val="0000FF"/>
              </w:rPr>
            </w:pPr>
            <w:hyperlink r:id="rId47">
              <w:r>
                <w:rPr>
                  <w:rFonts w:ascii="Arial" w:cs="Arial" w:eastAsia="Arial" w:hAnsi="Arial"/>
                  <w:sz w:val="16"/>
                  <w:szCs w:val="16"/>
                  <w:color w:val="0000FF"/>
                </w:rPr>
                <w:t>Amended By-Laws of the Registrant previously filed as Exhibit 3.1 to the Registrant's Current Report on Form 8-K dated March 16,</w:t>
              </w:r>
            </w:hyperlink>
          </w:p>
        </w:tc>
      </w:tr>
      <w:tr>
        <w:trPr>
          <w:trHeight w:val="142"/>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36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r:id="rId47">
              <w:r>
                <w:rPr>
                  <w:rFonts w:ascii="Arial" w:cs="Arial" w:eastAsia="Arial" w:hAnsi="Arial"/>
                  <w:sz w:val="16"/>
                  <w:szCs w:val="16"/>
                  <w:color w:val="0000FF"/>
                </w:rPr>
                <w:t>2016 (Commission File Number 001-06403) and incorporated by reference herein.</w:t>
              </w:r>
            </w:hyperlink>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8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1"/>
        </w:trPr>
        <w:tc>
          <w:tcPr>
            <w:tcW w:w="60" w:type="dxa"/>
            <w:vAlign w:val="bottom"/>
          </w:tcPr>
          <w:p>
            <w:pPr>
              <w:spacing w:after="0"/>
              <w:rPr>
                <w:sz w:val="20"/>
                <w:szCs w:val="20"/>
                <w:color w:val="auto"/>
              </w:rPr>
            </w:pPr>
          </w:p>
        </w:tc>
        <w:tc>
          <w:tcPr>
            <w:tcW w:w="1060" w:type="dxa"/>
            <w:vAlign w:val="bottom"/>
            <w:gridSpan w:val="3"/>
          </w:tcPr>
          <w:p>
            <w:pPr>
              <w:jc w:val="right"/>
              <w:ind w:right="840"/>
              <w:spacing w:after="0"/>
              <w:rPr>
                <w:rFonts w:ascii="Arial" w:cs="Arial" w:eastAsia="Arial" w:hAnsi="Arial"/>
                <w:sz w:val="16"/>
                <w:szCs w:val="16"/>
                <w:u w:val="single" w:color="auto"/>
                <w:color w:val="0000FF"/>
                <w:w w:val="93"/>
              </w:rPr>
            </w:pPr>
            <w:hyperlink w:anchor="page40">
              <w:r>
                <w:rPr>
                  <w:rFonts w:ascii="Arial" w:cs="Arial" w:eastAsia="Arial" w:hAnsi="Arial"/>
                  <w:sz w:val="16"/>
                  <w:szCs w:val="16"/>
                  <w:u w:val="single" w:color="auto"/>
                  <w:color w:val="0000FF"/>
                  <w:w w:val="93"/>
                </w:rPr>
                <w:t>3c.</w:t>
              </w:r>
            </w:hyperlink>
          </w:p>
        </w:tc>
        <w:tc>
          <w:tcPr>
            <w:tcW w:w="9520" w:type="dxa"/>
            <w:vAlign w:val="bottom"/>
            <w:gridSpan w:val="10"/>
          </w:tcPr>
          <w:p>
            <w:pPr>
              <w:spacing w:after="0"/>
              <w:rPr>
                <w:rFonts w:ascii="Arial" w:cs="Arial" w:eastAsia="Arial" w:hAnsi="Arial"/>
                <w:sz w:val="16"/>
                <w:szCs w:val="16"/>
                <w:u w:val="single" w:color="auto"/>
                <w:color w:val="0000FF"/>
              </w:rPr>
            </w:pPr>
            <w:hyperlink w:anchor="page40">
              <w:r>
                <w:rPr>
                  <w:rFonts w:ascii="Arial" w:cs="Arial" w:eastAsia="Arial" w:hAnsi="Arial"/>
                  <w:sz w:val="16"/>
                  <w:szCs w:val="16"/>
                  <w:u w:val="single" w:color="auto"/>
                  <w:color w:val="0000FF"/>
                </w:rPr>
                <w:t>Articles of Amendment as filed with the Iowa Secretary of State on December 17, 2020, and incorporated by reference herein.</w:t>
              </w:r>
            </w:hyperlink>
          </w:p>
        </w:tc>
      </w:tr>
      <w:tr>
        <w:trPr>
          <w:trHeight w:val="343"/>
        </w:trPr>
        <w:tc>
          <w:tcPr>
            <w:tcW w:w="1120" w:type="dxa"/>
            <w:vAlign w:val="bottom"/>
            <w:gridSpan w:val="4"/>
          </w:tcPr>
          <w:p>
            <w:pPr>
              <w:jc w:val="right"/>
              <w:ind w:right="840"/>
              <w:spacing w:after="0"/>
              <w:rPr>
                <w:rFonts w:ascii="Arial" w:cs="Arial" w:eastAsia="Arial" w:hAnsi="Arial"/>
                <w:sz w:val="16"/>
                <w:szCs w:val="16"/>
                <w:u w:val="single" w:color="auto"/>
                <w:color w:val="0000FF"/>
              </w:rPr>
            </w:pPr>
            <w:hyperlink r:id="rId48">
              <w:r>
                <w:rPr>
                  <w:rFonts w:ascii="Arial" w:cs="Arial" w:eastAsia="Arial" w:hAnsi="Arial"/>
                  <w:sz w:val="16"/>
                  <w:szCs w:val="16"/>
                  <w:u w:val="single" w:color="auto"/>
                  <w:color w:val="0000FF"/>
                </w:rPr>
                <w:t>4.1</w:t>
              </w:r>
            </w:hyperlink>
          </w:p>
        </w:tc>
        <w:tc>
          <w:tcPr>
            <w:tcW w:w="9520" w:type="dxa"/>
            <w:vAlign w:val="bottom"/>
            <w:gridSpan w:val="10"/>
          </w:tcPr>
          <w:p>
            <w:pPr>
              <w:spacing w:after="0"/>
              <w:rPr>
                <w:rFonts w:ascii="Arial" w:cs="Arial" w:eastAsia="Arial" w:hAnsi="Arial"/>
                <w:sz w:val="16"/>
                <w:szCs w:val="16"/>
                <w:color w:val="0000FF"/>
              </w:rPr>
            </w:pPr>
            <w:hyperlink r:id="rId48">
              <w:r>
                <w:rPr>
                  <w:rFonts w:ascii="Arial" w:cs="Arial" w:eastAsia="Arial" w:hAnsi="Arial"/>
                  <w:sz w:val="16"/>
                  <w:szCs w:val="16"/>
                  <w:color w:val="0000FF"/>
                </w:rPr>
                <w:t>Indenture, dated November 1, 2019, by and between Winnebago Industries, Inc. and U.S. Bank National Association previously filed</w:t>
              </w:r>
            </w:hyperlink>
          </w:p>
        </w:tc>
      </w:tr>
      <w:tr>
        <w:trPr>
          <w:trHeight w:val="142"/>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480" w:type="dxa"/>
            <w:vAlign w:val="bottom"/>
            <w:tcBorders>
              <w:top w:val="single" w:sz="8" w:color="0000FF"/>
            </w:tcBorders>
            <w:gridSpan w:val="9"/>
          </w:tcPr>
          <w:p>
            <w:pPr>
              <w:spacing w:after="0" w:line="142" w:lineRule="exact"/>
              <w:rPr>
                <w:rFonts w:ascii="Arial" w:cs="Arial" w:eastAsia="Arial" w:hAnsi="Arial"/>
                <w:sz w:val="16"/>
                <w:szCs w:val="16"/>
                <w:color w:val="0000FF"/>
              </w:rPr>
            </w:pPr>
            <w:hyperlink r:id="rId48">
              <w:r>
                <w:rPr>
                  <w:rFonts w:ascii="Arial" w:cs="Arial" w:eastAsia="Arial" w:hAnsi="Arial"/>
                  <w:sz w:val="16"/>
                  <w:szCs w:val="16"/>
                  <w:color w:val="0000FF"/>
                </w:rPr>
                <w:t>as Exhibit 4.1 with the Registrant’s Current Report on Form 8-K dated October 29, 2019.</w:t>
              </w:r>
            </w:hyperlink>
          </w:p>
        </w:tc>
        <w:tc>
          <w:tcPr>
            <w:tcW w:w="40" w:type="dxa"/>
            <w:vAlign w:val="bottom"/>
          </w:tcPr>
          <w:p>
            <w:pPr>
              <w:spacing w:after="0"/>
              <w:rPr>
                <w:sz w:val="12"/>
                <w:szCs w:val="12"/>
                <w:color w:val="auto"/>
              </w:rPr>
            </w:pPr>
          </w:p>
        </w:tc>
      </w:tr>
      <w:tr>
        <w:trPr>
          <w:trHeight w:val="21"/>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38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0" w:type="dxa"/>
            <w:vAlign w:val="bottom"/>
            <w:gridSpan w:val="2"/>
          </w:tcPr>
          <w:p>
            <w:pPr>
              <w:jc w:val="right"/>
              <w:spacing w:after="0"/>
              <w:rPr>
                <w:rFonts w:ascii="Arial" w:cs="Arial" w:eastAsia="Arial" w:hAnsi="Arial"/>
                <w:sz w:val="16"/>
                <w:szCs w:val="16"/>
                <w:u w:val="single" w:color="auto"/>
                <w:color w:val="0000FF"/>
              </w:rPr>
            </w:pPr>
            <w:hyperlink r:id="rId48">
              <w:r>
                <w:rPr>
                  <w:rFonts w:ascii="Arial" w:cs="Arial" w:eastAsia="Arial" w:hAnsi="Arial"/>
                  <w:sz w:val="16"/>
                  <w:szCs w:val="16"/>
                  <w:u w:val="single" w:color="auto"/>
                  <w:color w:val="0000FF"/>
                </w:rPr>
                <w:t>4.</w:t>
              </w:r>
            </w:hyperlink>
          </w:p>
        </w:tc>
        <w:tc>
          <w:tcPr>
            <w:tcW w:w="920" w:type="dxa"/>
            <w:vAlign w:val="bottom"/>
            <w:gridSpan w:val="2"/>
            <w:shd w:val="clear" w:color="auto" w:fill="CCEEFF"/>
          </w:tcPr>
          <w:p>
            <w:pPr>
              <w:jc w:val="right"/>
              <w:ind w:right="840"/>
              <w:spacing w:after="0"/>
              <w:rPr>
                <w:rFonts w:ascii="Arial" w:cs="Arial" w:eastAsia="Arial" w:hAnsi="Arial"/>
                <w:sz w:val="15"/>
                <w:szCs w:val="15"/>
                <w:u w:val="single" w:color="auto"/>
                <w:color w:val="0000FF"/>
                <w:w w:val="71"/>
              </w:rPr>
            </w:pPr>
            <w:hyperlink r:id="rId48">
              <w:r>
                <w:rPr>
                  <w:rFonts w:ascii="Arial" w:cs="Arial" w:eastAsia="Arial" w:hAnsi="Arial"/>
                  <w:sz w:val="15"/>
                  <w:szCs w:val="15"/>
                  <w:u w:val="single" w:color="auto"/>
                  <w:color w:val="0000FF"/>
                  <w:w w:val="71"/>
                </w:rPr>
                <w:t>2</w:t>
              </w:r>
            </w:hyperlink>
          </w:p>
        </w:tc>
        <w:tc>
          <w:tcPr>
            <w:tcW w:w="9520" w:type="dxa"/>
            <w:vAlign w:val="bottom"/>
            <w:gridSpan w:val="10"/>
            <w:shd w:val="clear" w:color="auto" w:fill="CCEEFF"/>
          </w:tcPr>
          <w:p>
            <w:pPr>
              <w:spacing w:after="0"/>
              <w:rPr>
                <w:rFonts w:ascii="Arial" w:cs="Arial" w:eastAsia="Arial" w:hAnsi="Arial"/>
                <w:sz w:val="16"/>
                <w:szCs w:val="16"/>
                <w:u w:val="single" w:color="auto"/>
                <w:color w:val="0000FF"/>
              </w:rPr>
            </w:pPr>
            <w:hyperlink r:id="rId48">
              <w:r>
                <w:rPr>
                  <w:rFonts w:ascii="Arial" w:cs="Arial" w:eastAsia="Arial" w:hAnsi="Arial"/>
                  <w:sz w:val="16"/>
                  <w:szCs w:val="16"/>
                  <w:u w:val="single" w:color="auto"/>
                  <w:color w:val="0000FF"/>
                </w:rPr>
                <w:t>Form of 1.50% Convertible Senior Note due 2025 (included in Exhibit 4.1).</w:t>
              </w:r>
            </w:hyperlink>
          </w:p>
        </w:tc>
      </w:tr>
      <w:tr>
        <w:trPr>
          <w:trHeight w:val="168"/>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8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5"/>
        </w:trPr>
        <w:tc>
          <w:tcPr>
            <w:tcW w:w="280" w:type="dxa"/>
            <w:vAlign w:val="bottom"/>
            <w:gridSpan w:val="3"/>
          </w:tcPr>
          <w:p>
            <w:pPr>
              <w:jc w:val="right"/>
              <w:spacing w:after="0" w:line="175" w:lineRule="exact"/>
              <w:rPr>
                <w:rFonts w:ascii="Arial" w:cs="Arial" w:eastAsia="Arial" w:hAnsi="Arial"/>
                <w:sz w:val="16"/>
                <w:szCs w:val="16"/>
                <w:color w:val="0000FF"/>
              </w:rPr>
            </w:pPr>
            <w:hyperlink r:id="rId49">
              <w:r>
                <w:rPr>
                  <w:rFonts w:ascii="Arial" w:cs="Arial" w:eastAsia="Arial" w:hAnsi="Arial"/>
                  <w:sz w:val="16"/>
                  <w:szCs w:val="16"/>
                  <w:color w:val="0000FF"/>
                </w:rPr>
                <w:t>4.</w:t>
              </w:r>
              <w:r>
                <w:rPr>
                  <w:rFonts w:ascii="Arial" w:cs="Arial" w:eastAsia="Arial" w:hAnsi="Arial"/>
                  <w:sz w:val="16"/>
                  <w:szCs w:val="16"/>
                  <w:u w:val="single" w:color="auto"/>
                  <w:color w:val="0000FF"/>
                </w:rPr>
                <w:t>3</w:t>
              </w:r>
            </w:hyperlink>
          </w:p>
        </w:tc>
        <w:tc>
          <w:tcPr>
            <w:tcW w:w="840" w:type="dxa"/>
            <w:vAlign w:val="bottom"/>
          </w:tcPr>
          <w:p>
            <w:pPr>
              <w:spacing w:after="0"/>
              <w:rPr>
                <w:sz w:val="15"/>
                <w:szCs w:val="15"/>
                <w:color w:val="auto"/>
              </w:rPr>
            </w:pPr>
          </w:p>
        </w:tc>
        <w:tc>
          <w:tcPr>
            <w:tcW w:w="9520" w:type="dxa"/>
            <w:vAlign w:val="bottom"/>
            <w:gridSpan w:val="10"/>
          </w:tcPr>
          <w:p>
            <w:pPr>
              <w:spacing w:after="0" w:line="175" w:lineRule="exact"/>
              <w:rPr>
                <w:rFonts w:ascii="Arial" w:cs="Arial" w:eastAsia="Arial" w:hAnsi="Arial"/>
                <w:sz w:val="16"/>
                <w:szCs w:val="16"/>
                <w:color w:val="0000FF"/>
              </w:rPr>
            </w:pPr>
            <w:hyperlink r:id="rId49">
              <w:r>
                <w:rPr>
                  <w:rFonts w:ascii="Arial" w:cs="Arial" w:eastAsia="Arial" w:hAnsi="Arial"/>
                  <w:sz w:val="16"/>
                  <w:szCs w:val="16"/>
                  <w:color w:val="0000FF"/>
                </w:rPr>
                <w:t>Indenture, dated as of July 8, 2020, by and among Winnebago Industries, Inc., the guarantors named therein and U.S. Bank</w:t>
              </w:r>
            </w:hyperlink>
          </w:p>
        </w:tc>
      </w:tr>
      <w:tr>
        <w:trPr>
          <w:trHeight w:val="20"/>
        </w:trPr>
        <w:tc>
          <w:tcPr>
            <w:tcW w:w="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6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520" w:type="dxa"/>
            <w:vAlign w:val="bottom"/>
            <w:gridSpan w:val="10"/>
          </w:tcPr>
          <w:p>
            <w:pPr>
              <w:spacing w:after="0" w:line="183" w:lineRule="exact"/>
              <w:rPr>
                <w:rFonts w:ascii="Arial" w:cs="Arial" w:eastAsia="Arial" w:hAnsi="Arial"/>
                <w:sz w:val="16"/>
                <w:szCs w:val="16"/>
                <w:u w:val="single" w:color="auto"/>
                <w:color w:val="0000FF"/>
              </w:rPr>
            </w:pPr>
            <w:hyperlink r:id="rId49">
              <w:r>
                <w:rPr>
                  <w:rFonts w:ascii="Arial" w:cs="Arial" w:eastAsia="Arial" w:hAnsi="Arial"/>
                  <w:sz w:val="16"/>
                  <w:szCs w:val="16"/>
                  <w:u w:val="single" w:color="auto"/>
                  <w:color w:val="0000FF"/>
                </w:rPr>
                <w:t>National Association, as trustee, previously filed as Exhibit 4.1 with the Registrant's Current Report on Form 8-K dated July 8, 2020.</w:t>
              </w:r>
            </w:hyperlink>
          </w:p>
        </w:tc>
      </w:tr>
      <w:tr>
        <w:trPr>
          <w:trHeight w:val="210"/>
        </w:trPr>
        <w:tc>
          <w:tcPr>
            <w:tcW w:w="200" w:type="dxa"/>
            <w:vAlign w:val="bottom"/>
            <w:gridSpan w:val="2"/>
          </w:tcPr>
          <w:p>
            <w:pPr>
              <w:jc w:val="right"/>
              <w:spacing w:after="0"/>
              <w:rPr>
                <w:rFonts w:ascii="Arial" w:cs="Arial" w:eastAsia="Arial" w:hAnsi="Arial"/>
                <w:sz w:val="16"/>
                <w:szCs w:val="16"/>
                <w:u w:val="single" w:color="auto"/>
                <w:color w:val="0000FF"/>
              </w:rPr>
            </w:pPr>
            <w:hyperlink r:id="rId49">
              <w:r>
                <w:rPr>
                  <w:rFonts w:ascii="Arial" w:cs="Arial" w:eastAsia="Arial" w:hAnsi="Arial"/>
                  <w:sz w:val="16"/>
                  <w:szCs w:val="16"/>
                  <w:u w:val="single" w:color="auto"/>
                  <w:color w:val="0000FF"/>
                </w:rPr>
                <w:t>4.</w:t>
              </w:r>
            </w:hyperlink>
          </w:p>
        </w:tc>
        <w:tc>
          <w:tcPr>
            <w:tcW w:w="920" w:type="dxa"/>
            <w:vAlign w:val="bottom"/>
            <w:gridSpan w:val="2"/>
            <w:shd w:val="clear" w:color="auto" w:fill="CCEEFF"/>
          </w:tcPr>
          <w:p>
            <w:pPr>
              <w:jc w:val="right"/>
              <w:ind w:right="840"/>
              <w:spacing w:after="0"/>
              <w:rPr>
                <w:rFonts w:ascii="Arial" w:cs="Arial" w:eastAsia="Arial" w:hAnsi="Arial"/>
                <w:sz w:val="15"/>
                <w:szCs w:val="15"/>
                <w:u w:val="single" w:color="auto"/>
                <w:color w:val="0000FF"/>
                <w:w w:val="71"/>
              </w:rPr>
            </w:pPr>
            <w:hyperlink r:id="rId49">
              <w:r>
                <w:rPr>
                  <w:rFonts w:ascii="Arial" w:cs="Arial" w:eastAsia="Arial" w:hAnsi="Arial"/>
                  <w:sz w:val="15"/>
                  <w:szCs w:val="15"/>
                  <w:u w:val="single" w:color="auto"/>
                  <w:color w:val="0000FF"/>
                  <w:w w:val="71"/>
                </w:rPr>
                <w:t>4</w:t>
              </w:r>
            </w:hyperlink>
          </w:p>
        </w:tc>
        <w:tc>
          <w:tcPr>
            <w:tcW w:w="9520" w:type="dxa"/>
            <w:vAlign w:val="bottom"/>
            <w:gridSpan w:val="10"/>
            <w:shd w:val="clear" w:color="auto" w:fill="CCEEFF"/>
          </w:tcPr>
          <w:p>
            <w:pPr>
              <w:spacing w:after="0"/>
              <w:rPr>
                <w:rFonts w:ascii="Arial" w:cs="Arial" w:eastAsia="Arial" w:hAnsi="Arial"/>
                <w:sz w:val="16"/>
                <w:szCs w:val="16"/>
                <w:u w:val="single" w:color="auto"/>
                <w:color w:val="0000FF"/>
              </w:rPr>
            </w:pPr>
            <w:hyperlink r:id="rId49">
              <w:r>
                <w:rPr>
                  <w:rFonts w:ascii="Arial" w:cs="Arial" w:eastAsia="Arial" w:hAnsi="Arial"/>
                  <w:sz w:val="16"/>
                  <w:szCs w:val="16"/>
                  <w:u w:val="single" w:color="auto"/>
                  <w:color w:val="0000FF"/>
                </w:rPr>
                <w:t>Form of 6.250% Senior Secured Note due 2028 (included in Exhibit 4.3)</w:t>
              </w:r>
            </w:hyperlink>
          </w:p>
        </w:tc>
      </w:tr>
      <w:tr>
        <w:trPr>
          <w:trHeight w:val="168"/>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8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210"/>
        </w:trPr>
        <w:tc>
          <w:tcPr>
            <w:tcW w:w="1120" w:type="dxa"/>
            <w:vAlign w:val="bottom"/>
            <w:gridSpan w:val="4"/>
          </w:tcPr>
          <w:p>
            <w:pPr>
              <w:jc w:val="right"/>
              <w:ind w:right="800"/>
              <w:spacing w:after="0"/>
              <w:rPr>
                <w:rFonts w:ascii="Arial" w:cs="Arial" w:eastAsia="Arial" w:hAnsi="Arial"/>
                <w:sz w:val="16"/>
                <w:szCs w:val="16"/>
                <w:u w:val="single" w:color="auto"/>
                <w:color w:val="0000FF"/>
                <w:w w:val="96"/>
              </w:rPr>
            </w:pPr>
            <w:hyperlink w:anchor="page43">
              <w:r>
                <w:rPr>
                  <w:rFonts w:ascii="Arial" w:cs="Arial" w:eastAsia="Arial" w:hAnsi="Arial"/>
                  <w:sz w:val="16"/>
                  <w:szCs w:val="16"/>
                  <w:u w:val="single" w:color="auto"/>
                  <w:color w:val="0000FF"/>
                  <w:w w:val="96"/>
                </w:rPr>
                <w:t>31.1</w:t>
              </w:r>
            </w:hyperlink>
          </w:p>
        </w:tc>
        <w:tc>
          <w:tcPr>
            <w:tcW w:w="9520" w:type="dxa"/>
            <w:vAlign w:val="bottom"/>
            <w:gridSpan w:val="10"/>
          </w:tcPr>
          <w:p>
            <w:pPr>
              <w:spacing w:after="0"/>
              <w:rPr>
                <w:rFonts w:ascii="Arial" w:cs="Arial" w:eastAsia="Arial" w:hAnsi="Arial"/>
                <w:sz w:val="16"/>
                <w:szCs w:val="16"/>
                <w:color w:val="0000FF"/>
              </w:rPr>
            </w:pPr>
            <w:hyperlink w:anchor="page43">
              <w:r>
                <w:rPr>
                  <w:rFonts w:ascii="Arial" w:cs="Arial" w:eastAsia="Arial" w:hAnsi="Arial"/>
                  <w:sz w:val="16"/>
                  <w:szCs w:val="16"/>
                  <w:u w:val="single" w:color="auto"/>
                  <w:color w:val="0000FF"/>
                </w:rPr>
                <w:t>Certification by the Chief Executive Officer pursuant to Section 302 of the Sarbanes-Oxley Act of 2002</w:t>
              </w:r>
            </w:hyperlink>
            <w:r>
              <w:rPr>
                <w:rFonts w:ascii="Arial" w:cs="Arial" w:eastAsia="Arial" w:hAnsi="Arial"/>
                <w:sz w:val="16"/>
                <w:szCs w:val="16"/>
                <w:color w:val="000000"/>
              </w:rPr>
              <w:t>.</w:t>
            </w:r>
          </w:p>
        </w:tc>
      </w:tr>
      <w:tr>
        <w:trPr>
          <w:trHeight w:val="168"/>
        </w:trPr>
        <w:tc>
          <w:tcPr>
            <w:tcW w:w="6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200" w:type="dxa"/>
            <w:vAlign w:val="bottom"/>
            <w:gridSpan w:val="2"/>
          </w:tcPr>
          <w:p>
            <w:pPr>
              <w:jc w:val="right"/>
              <w:spacing w:after="0"/>
              <w:rPr>
                <w:rFonts w:ascii="Arial" w:cs="Arial" w:eastAsia="Arial" w:hAnsi="Arial"/>
                <w:sz w:val="16"/>
                <w:szCs w:val="16"/>
                <w:u w:val="single" w:color="auto"/>
                <w:color w:val="0000FF"/>
                <w:w w:val="80"/>
              </w:rPr>
            </w:pPr>
            <w:hyperlink w:anchor="page44">
              <w:r>
                <w:rPr>
                  <w:rFonts w:ascii="Arial" w:cs="Arial" w:eastAsia="Arial" w:hAnsi="Arial"/>
                  <w:sz w:val="16"/>
                  <w:szCs w:val="16"/>
                  <w:u w:val="single" w:color="auto"/>
                  <w:color w:val="0000FF"/>
                  <w:w w:val="80"/>
                </w:rPr>
                <w:t>31.</w:t>
              </w:r>
            </w:hyperlink>
          </w:p>
        </w:tc>
        <w:tc>
          <w:tcPr>
            <w:tcW w:w="920" w:type="dxa"/>
            <w:vAlign w:val="bottom"/>
            <w:gridSpan w:val="2"/>
            <w:shd w:val="clear" w:color="auto" w:fill="CCEEFF"/>
          </w:tcPr>
          <w:p>
            <w:pPr>
              <w:jc w:val="right"/>
              <w:ind w:right="800"/>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2</w:t>
              </w:r>
            </w:hyperlink>
          </w:p>
        </w:tc>
        <w:tc>
          <w:tcPr>
            <w:tcW w:w="9520" w:type="dxa"/>
            <w:vAlign w:val="bottom"/>
            <w:gridSpan w:val="10"/>
            <w:shd w:val="clear" w:color="auto" w:fill="CCEEFF"/>
          </w:tcPr>
          <w:p>
            <w:pPr>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Certification by the Chief Financial Officer pursuant to Section 302 of the Sarbanes-Oxley Act of 2002.</w:t>
              </w:r>
            </w:hyperlink>
          </w:p>
        </w:tc>
      </w:tr>
      <w:tr>
        <w:trPr>
          <w:trHeight w:val="168"/>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8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5"/>
        </w:trPr>
        <w:tc>
          <w:tcPr>
            <w:tcW w:w="1120" w:type="dxa"/>
            <w:vAlign w:val="bottom"/>
            <w:gridSpan w:val="4"/>
          </w:tcPr>
          <w:p>
            <w:pPr>
              <w:jc w:val="right"/>
              <w:ind w:right="800"/>
              <w:spacing w:after="0" w:line="175" w:lineRule="exact"/>
              <w:rPr>
                <w:rFonts w:ascii="Arial" w:cs="Arial" w:eastAsia="Arial" w:hAnsi="Arial"/>
                <w:sz w:val="16"/>
                <w:szCs w:val="16"/>
                <w:u w:val="single" w:color="auto"/>
                <w:color w:val="0000FF"/>
                <w:w w:val="96"/>
              </w:rPr>
            </w:pPr>
            <w:hyperlink w:anchor="page45">
              <w:r>
                <w:rPr>
                  <w:rFonts w:ascii="Arial" w:cs="Arial" w:eastAsia="Arial" w:hAnsi="Arial"/>
                  <w:sz w:val="16"/>
                  <w:szCs w:val="16"/>
                  <w:u w:val="single" w:color="auto"/>
                  <w:color w:val="0000FF"/>
                  <w:w w:val="96"/>
                </w:rPr>
                <w:t>32.1</w:t>
              </w:r>
            </w:hyperlink>
          </w:p>
        </w:tc>
        <w:tc>
          <w:tcPr>
            <w:tcW w:w="9520" w:type="dxa"/>
            <w:vAlign w:val="bottom"/>
            <w:gridSpan w:val="10"/>
          </w:tcPr>
          <w:p>
            <w:pPr>
              <w:spacing w:after="0" w:line="175" w:lineRule="exact"/>
              <w:rPr>
                <w:rFonts w:ascii="Arial" w:cs="Arial" w:eastAsia="Arial" w:hAnsi="Arial"/>
                <w:sz w:val="16"/>
                <w:szCs w:val="16"/>
                <w:color w:val="0000FF"/>
              </w:rPr>
            </w:pPr>
            <w:hyperlink w:anchor="page45">
              <w:r>
                <w:rPr>
                  <w:rFonts w:ascii="Arial" w:cs="Arial" w:eastAsia="Arial" w:hAnsi="Arial"/>
                  <w:sz w:val="16"/>
                  <w:szCs w:val="16"/>
                  <w:color w:val="0000FF"/>
                </w:rPr>
                <w:t>Certification by the Chief Executive Officer pursuant to 18 U.S.C. Section 1350, as adopted pursuant to Section 906 of the</w:t>
              </w:r>
            </w:hyperlink>
          </w:p>
        </w:tc>
      </w:tr>
      <w:tr>
        <w:trPr>
          <w:trHeight w:val="142"/>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740" w:type="dxa"/>
            <w:vAlign w:val="bottom"/>
            <w:tcBorders>
              <w:top w:val="single" w:sz="8" w:color="0000FF"/>
            </w:tcBorders>
            <w:gridSpan w:val="5"/>
          </w:tcPr>
          <w:p>
            <w:pPr>
              <w:spacing w:after="0" w:line="142" w:lineRule="exact"/>
              <w:rPr>
                <w:rFonts w:ascii="Arial" w:cs="Arial" w:eastAsia="Arial" w:hAnsi="Arial"/>
                <w:sz w:val="16"/>
                <w:szCs w:val="16"/>
                <w:color w:val="0000FF"/>
              </w:rPr>
            </w:pPr>
            <w:hyperlink w:anchor="page45">
              <w:r>
                <w:rPr>
                  <w:rFonts w:ascii="Arial" w:cs="Arial" w:eastAsia="Arial" w:hAnsi="Arial"/>
                  <w:sz w:val="16"/>
                  <w:szCs w:val="16"/>
                  <w:color w:val="0000FF"/>
                </w:rPr>
                <w:t>Sarbanes-Oxley Act of 2002.</w:t>
              </w:r>
            </w:hyperlink>
          </w:p>
        </w:tc>
        <w:tc>
          <w:tcPr>
            <w:tcW w:w="720" w:type="dxa"/>
            <w:vAlign w:val="bottom"/>
            <w:gridSpan w:val="3"/>
          </w:tcPr>
          <w:p>
            <w:pPr>
              <w:spacing w:after="0"/>
              <w:rPr>
                <w:sz w:val="12"/>
                <w:szCs w:val="12"/>
                <w:color w:val="auto"/>
              </w:rPr>
            </w:pPr>
          </w:p>
        </w:tc>
        <w:tc>
          <w:tcPr>
            <w:tcW w:w="60" w:type="dxa"/>
            <w:vAlign w:val="bottom"/>
            <w:gridSpan w:val="2"/>
          </w:tcPr>
          <w:p>
            <w:pPr>
              <w:spacing w:after="0"/>
              <w:rPr>
                <w:sz w:val="12"/>
                <w:szCs w:val="12"/>
                <w:color w:val="auto"/>
              </w:rPr>
            </w:pPr>
          </w:p>
        </w:tc>
      </w:tr>
      <w:tr>
        <w:trPr>
          <w:trHeight w:val="20"/>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200" w:type="dxa"/>
            <w:vAlign w:val="bottom"/>
            <w:gridSpan w:val="2"/>
          </w:tcPr>
          <w:p>
            <w:pPr>
              <w:jc w:val="right"/>
              <w:spacing w:after="0" w:line="175" w:lineRule="exact"/>
              <w:rPr>
                <w:rFonts w:ascii="Arial" w:cs="Arial" w:eastAsia="Arial" w:hAnsi="Arial"/>
                <w:sz w:val="16"/>
                <w:szCs w:val="16"/>
                <w:u w:val="single" w:color="auto"/>
                <w:color w:val="0000FF"/>
                <w:w w:val="80"/>
              </w:rPr>
            </w:pPr>
            <w:hyperlink w:anchor="page46">
              <w:r>
                <w:rPr>
                  <w:rFonts w:ascii="Arial" w:cs="Arial" w:eastAsia="Arial" w:hAnsi="Arial"/>
                  <w:sz w:val="16"/>
                  <w:szCs w:val="16"/>
                  <w:u w:val="single" w:color="auto"/>
                  <w:color w:val="0000FF"/>
                  <w:w w:val="80"/>
                </w:rPr>
                <w:t>32.</w:t>
              </w:r>
            </w:hyperlink>
          </w:p>
        </w:tc>
        <w:tc>
          <w:tcPr>
            <w:tcW w:w="920" w:type="dxa"/>
            <w:vAlign w:val="bottom"/>
            <w:gridSpan w:val="2"/>
            <w:shd w:val="clear" w:color="auto" w:fill="CCEEFF"/>
          </w:tcPr>
          <w:p>
            <w:pPr>
              <w:jc w:val="right"/>
              <w:ind w:right="800"/>
              <w:spacing w:after="0" w:line="175" w:lineRule="exact"/>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2</w:t>
              </w:r>
            </w:hyperlink>
          </w:p>
        </w:tc>
        <w:tc>
          <w:tcPr>
            <w:tcW w:w="9520" w:type="dxa"/>
            <w:vAlign w:val="bottom"/>
            <w:gridSpan w:val="10"/>
            <w:shd w:val="clear" w:color="auto" w:fill="CCEEFF"/>
          </w:tcPr>
          <w:p>
            <w:pPr>
              <w:spacing w:after="0" w:line="175" w:lineRule="exact"/>
              <w:rPr>
                <w:rFonts w:ascii="Arial" w:cs="Arial" w:eastAsia="Arial" w:hAnsi="Arial"/>
                <w:sz w:val="16"/>
                <w:szCs w:val="16"/>
                <w:color w:val="0000FF"/>
              </w:rPr>
            </w:pPr>
            <w:hyperlink w:anchor="page46">
              <w:r>
                <w:rPr>
                  <w:rFonts w:ascii="Arial" w:cs="Arial" w:eastAsia="Arial" w:hAnsi="Arial"/>
                  <w:sz w:val="16"/>
                  <w:szCs w:val="16"/>
                  <w:color w:val="0000FF"/>
                </w:rPr>
                <w:t>Certification by the Chief Financial Officer pursuant to 18 U.S.C. Section 1350, as adopted pursuant to Section 906 of the Sarbanes-</w:t>
              </w:r>
            </w:hyperlink>
          </w:p>
        </w:tc>
      </w:tr>
      <w:tr>
        <w:trPr>
          <w:trHeight w:val="142"/>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9460" w:type="dxa"/>
            <w:vAlign w:val="bottom"/>
            <w:tcBorders>
              <w:top w:val="single" w:sz="8" w:color="0000FF"/>
            </w:tcBorders>
            <w:gridSpan w:val="8"/>
            <w:shd w:val="clear" w:color="auto" w:fill="CCEEFF"/>
          </w:tcPr>
          <w:p>
            <w:pPr>
              <w:spacing w:after="0" w:line="142" w:lineRule="exact"/>
              <w:rPr>
                <w:rFonts w:ascii="Arial" w:cs="Arial" w:eastAsia="Arial" w:hAnsi="Arial"/>
                <w:sz w:val="16"/>
                <w:szCs w:val="16"/>
                <w:color w:val="0000FF"/>
              </w:rPr>
            </w:pPr>
            <w:hyperlink w:anchor="page46">
              <w:r>
                <w:rPr>
                  <w:rFonts w:ascii="Arial" w:cs="Arial" w:eastAsia="Arial" w:hAnsi="Arial"/>
                  <w:sz w:val="16"/>
                  <w:szCs w:val="16"/>
                  <w:color w:val="0000FF"/>
                </w:rPr>
                <w:t>Oxley Act of 2002.</w:t>
              </w:r>
            </w:hyperlink>
          </w:p>
        </w:tc>
        <w:tc>
          <w:tcPr>
            <w:tcW w:w="60" w:type="dxa"/>
            <w:vAlign w:val="bottom"/>
            <w:tcBorders>
              <w:top w:val="single" w:sz="8" w:color="CCEEFF"/>
            </w:tcBorders>
            <w:gridSpan w:val="2"/>
            <w:shd w:val="clear" w:color="auto" w:fill="CCEEFF"/>
          </w:tcPr>
          <w:p>
            <w:pPr>
              <w:spacing w:after="0"/>
              <w:rPr>
                <w:sz w:val="12"/>
                <w:szCs w:val="12"/>
                <w:color w:val="auto"/>
              </w:rPr>
            </w:pPr>
          </w:p>
        </w:tc>
      </w:tr>
      <w:tr>
        <w:trPr>
          <w:trHeight w:val="21"/>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-2159635</wp:posOffset>
            </wp:positionV>
            <wp:extent cx="6635115" cy="2400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6635115" cy="240030"/>
                    </a:xfrm>
                    <a:prstGeom prst="rect">
                      <a:avLst/>
                    </a:prstGeom>
                    <a:noFill/>
                  </pic:spPr>
                </pic:pic>
              </a:graphicData>
            </a:graphic>
          </wp:anchor>
        </w:drawing>
      </w:r>
    </w:p>
    <w:p>
      <w:pPr>
        <w:ind w:left="1260" w:right="120" w:hanging="1090"/>
        <w:spacing w:after="0" w:line="217" w:lineRule="auto"/>
        <w:tabs>
          <w:tab w:leader="none" w:pos="1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following financial statements from our Quarterly Report on Form 10-Q for the first quarter of Fiscal 2021 in Inline Extensible Business Reporting Language ("iXBRL"): (i) the Condensed Consolidated Balance Sheets at November 28, 2020, and August 29, 2020, (ii) the Condensed Consolidated Statements of Income and Comprehensive Income for the three months ended November 28, 2020, and November 30, 2019, (iii) the Condensed Consolidated Statements of Cash Flows for the three months ended November 28, 2020, and November 30, 2019, (iv) the Condensed Consolidated Statements of Changes in Stockholders’ Equity for the three months ended November 28, 2020, and November 30, 2019, and (v) the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5080</wp:posOffset>
            </wp:positionV>
            <wp:extent cx="6635115" cy="2400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6635115" cy="240030"/>
                    </a:xfrm>
                    <a:prstGeom prst="rect">
                      <a:avLst/>
                    </a:prstGeom>
                    <a:noFill/>
                  </pic:spPr>
                </pic:pic>
              </a:graphicData>
            </a:graphic>
          </wp:anchor>
        </w:drawing>
      </w:r>
    </w:p>
    <w:p>
      <w:pPr>
        <w:spacing w:after="0" w:line="4" w:lineRule="exact"/>
        <w:rPr>
          <w:sz w:val="20"/>
          <w:szCs w:val="20"/>
          <w:color w:val="auto"/>
        </w:rPr>
      </w:pPr>
    </w:p>
    <w:p>
      <w:pPr>
        <w:ind w:left="1260" w:right="160" w:hanging="1090"/>
        <w:spacing w:after="0" w:line="232" w:lineRule="auto"/>
        <w:tabs>
          <w:tab w:leader="none" w:pos="1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cover page from our Quarterly Report on Form 10-Q for the first quarter of Fiscal 2021 formatted in iXBRL (included as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141" w:right="79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187"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7240" w:type="dxa"/>
            <w:vAlign w:val="bottom"/>
            <w:gridSpan w:val="2"/>
          </w:tcPr>
          <w:p>
            <w:pPr>
              <w:ind w:left="1560"/>
              <w:spacing w:after="0"/>
              <w:rPr>
                <w:sz w:val="20"/>
                <w:szCs w:val="20"/>
                <w:color w:val="auto"/>
              </w:rPr>
            </w:pPr>
            <w:r>
              <w:rPr>
                <w:rFonts w:ascii="Arial" w:cs="Arial" w:eastAsia="Arial" w:hAnsi="Arial"/>
                <w:sz w:val="16"/>
                <w:szCs w:val="16"/>
                <w:color w:val="auto"/>
              </w:rPr>
              <w:t>WINNEBAGO INDUSTRIES, INC.</w:t>
            </w:r>
          </w:p>
        </w:tc>
      </w:tr>
      <w:tr>
        <w:trPr>
          <w:trHeight w:val="435"/>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3140" w:type="dxa"/>
            <w:vAlign w:val="bottom"/>
          </w:tcPr>
          <w:p>
            <w:pPr>
              <w:ind w:left="160"/>
              <w:spacing w:after="0"/>
              <w:rPr>
                <w:sz w:val="20"/>
                <w:szCs w:val="20"/>
                <w:color w:val="auto"/>
              </w:rPr>
            </w:pPr>
            <w:r>
              <w:rPr>
                <w:rFonts w:ascii="Arial" w:cs="Arial" w:eastAsia="Arial" w:hAnsi="Arial"/>
                <w:sz w:val="16"/>
                <w:szCs w:val="16"/>
                <w:color w:val="auto"/>
              </w:rPr>
              <w:t>December 18, 2020</w:t>
            </w:r>
          </w:p>
        </w:tc>
        <w:tc>
          <w:tcPr>
            <w:tcW w:w="7240" w:type="dxa"/>
            <w:vAlign w:val="bottom"/>
            <w:gridSpan w:val="2"/>
          </w:tcPr>
          <w:p>
            <w:pPr>
              <w:ind w:left="156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Michael J. Happe</w:t>
            </w:r>
          </w:p>
        </w:tc>
      </w:tr>
      <w:tr>
        <w:trPr>
          <w:trHeight w:val="261"/>
        </w:trPr>
        <w:tc>
          <w:tcPr>
            <w:tcW w:w="54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52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Michael J. Happe</w:t>
            </w:r>
          </w:p>
        </w:tc>
      </w:tr>
      <w:tr>
        <w:trPr>
          <w:trHeight w:val="270"/>
        </w:trPr>
        <w:tc>
          <w:tcPr>
            <w:tcW w:w="54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Chief Executive Officer, President</w:t>
            </w:r>
          </w:p>
        </w:tc>
      </w:tr>
      <w:tr>
        <w:trPr>
          <w:trHeight w:val="216"/>
        </w:trPr>
        <w:tc>
          <w:tcPr>
            <w:tcW w:w="5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(Principal Executive Officer)</w:t>
            </w:r>
          </w:p>
        </w:tc>
      </w:tr>
      <w:tr>
        <w:trPr>
          <w:trHeight w:val="435"/>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3140" w:type="dxa"/>
            <w:vAlign w:val="bottom"/>
          </w:tcPr>
          <w:p>
            <w:pPr>
              <w:ind w:left="160"/>
              <w:spacing w:after="0"/>
              <w:rPr>
                <w:sz w:val="20"/>
                <w:szCs w:val="20"/>
                <w:color w:val="auto"/>
              </w:rPr>
            </w:pPr>
            <w:r>
              <w:rPr>
                <w:rFonts w:ascii="Arial" w:cs="Arial" w:eastAsia="Arial" w:hAnsi="Arial"/>
                <w:sz w:val="16"/>
                <w:szCs w:val="16"/>
                <w:color w:val="auto"/>
              </w:rPr>
              <w:t>December 18, 2020</w:t>
            </w:r>
          </w:p>
        </w:tc>
        <w:tc>
          <w:tcPr>
            <w:tcW w:w="7240" w:type="dxa"/>
            <w:vAlign w:val="bottom"/>
            <w:gridSpan w:val="2"/>
          </w:tcPr>
          <w:p>
            <w:pPr>
              <w:ind w:left="156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Bryan L. Hughes</w:t>
            </w:r>
          </w:p>
        </w:tc>
      </w:tr>
      <w:tr>
        <w:trPr>
          <w:trHeight w:val="206"/>
        </w:trPr>
        <w:tc>
          <w:tcPr>
            <w:tcW w:w="54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2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Bryan L. Hughes</w:t>
            </w:r>
          </w:p>
        </w:tc>
      </w:tr>
      <w:tr>
        <w:trPr>
          <w:trHeight w:val="216"/>
        </w:trPr>
        <w:tc>
          <w:tcPr>
            <w:tcW w:w="5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Chief Financial Officer and Senior Vice President</w:t>
            </w:r>
          </w:p>
        </w:tc>
      </w:tr>
      <w:tr>
        <w:trPr>
          <w:trHeight w:val="216"/>
        </w:trPr>
        <w:tc>
          <w:tcPr>
            <w:tcW w:w="5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0940"/>
          </w:cols>
          <w:pgMar w:left="320" w:top="141" w:right="639" w:bottom="1440" w:gutter="0" w:footer="0" w:header="0"/>
        </w:sectPr>
      </w:pPr>
    </w:p>
    <w:bookmarkStart w:id="34" w:name="page35"/>
    <w:bookmarkEnd w:id="34"/>
    <w:p>
      <w:pPr>
        <w:jc w:val="right"/>
        <w:spacing w:after="0"/>
        <w:rPr>
          <w:sz w:val="20"/>
          <w:szCs w:val="20"/>
          <w:color w:val="auto"/>
        </w:rPr>
      </w:pPr>
      <w:r>
        <w:rPr>
          <w:rFonts w:ascii="Arial" w:cs="Arial" w:eastAsia="Arial" w:hAnsi="Arial"/>
          <w:sz w:val="22"/>
          <w:szCs w:val="22"/>
          <w:color w:val="auto"/>
        </w:rPr>
        <w:t>Exhibit 3a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AND RESTATEMENT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ARTICLES OF INCORPORATION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WINNEBAGO INDUSTRIES, INC.</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 THE SECRETARY OF STATE OF THE STATE OF IOWA:</w:t>
      </w:r>
    </w:p>
    <w:p>
      <w:pPr>
        <w:spacing w:after="0" w:line="253" w:lineRule="exact"/>
        <w:rPr>
          <w:sz w:val="20"/>
          <w:szCs w:val="20"/>
          <w:color w:val="auto"/>
        </w:rPr>
      </w:pPr>
    </w:p>
    <w:p>
      <w:pPr>
        <w:ind w:left="220"/>
        <w:spacing w:after="0"/>
        <w:rPr>
          <w:sz w:val="20"/>
          <w:szCs w:val="20"/>
          <w:color w:val="auto"/>
        </w:rPr>
      </w:pPr>
      <w:r>
        <w:rPr>
          <w:rFonts w:ascii="Arial" w:cs="Arial" w:eastAsia="Arial" w:hAnsi="Arial"/>
          <w:sz w:val="19"/>
          <w:szCs w:val="19"/>
          <w:color w:val="auto"/>
        </w:rPr>
        <w:t>Winnebago Industries, Inc., an Iowa corporation (the “Corporation”), adopts the following amendment and restatement of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Corporation’s Articles of Incorporation:</w:t>
      </w:r>
    </w:p>
    <w:p>
      <w:pPr>
        <w:spacing w:after="0" w:line="229" w:lineRule="exact"/>
        <w:rPr>
          <w:sz w:val="20"/>
          <w:szCs w:val="20"/>
          <w:color w:val="auto"/>
        </w:rPr>
      </w:pPr>
    </w:p>
    <w:p>
      <w:pPr>
        <w:ind w:left="1040" w:hanging="384"/>
        <w:spacing w:after="0"/>
        <w:tabs>
          <w:tab w:leader="none" w:pos="1040"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name of the Corporation is Winnebago Industries, Inc.</w:t>
      </w:r>
    </w:p>
    <w:p>
      <w:pPr>
        <w:spacing w:after="0" w:line="246" w:lineRule="exact"/>
        <w:rPr>
          <w:rFonts w:ascii="Arial" w:cs="Arial" w:eastAsia="Arial" w:hAnsi="Arial"/>
          <w:sz w:val="22"/>
          <w:szCs w:val="22"/>
          <w:color w:val="auto"/>
        </w:rPr>
      </w:pPr>
    </w:p>
    <w:p>
      <w:pPr>
        <w:ind w:right="640" w:firstLine="656"/>
        <w:spacing w:after="0" w:line="250" w:lineRule="auto"/>
        <w:tabs>
          <w:tab w:leader="none" w:pos="1022"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Articles of Incorporation are hereby amended pursuant to Section 490.1005, subsection 8 and 490.602, subsection (1)(b) of the Iowa Business Corporation Act to cancel and eliminate the Certificate of Designations of Series A Preferred Stock filed on May 15, 2000. This amendment was approved by the Board of Directors of the Corporation in the manner prescribed by the Iowa Business Corporation Act.</w:t>
      </w:r>
    </w:p>
    <w:p>
      <w:pPr>
        <w:spacing w:after="0" w:line="214" w:lineRule="exact"/>
        <w:rPr>
          <w:rFonts w:ascii="Arial" w:cs="Arial" w:eastAsia="Arial" w:hAnsi="Arial"/>
          <w:sz w:val="22"/>
          <w:szCs w:val="22"/>
          <w:color w:val="auto"/>
        </w:rPr>
      </w:pPr>
    </w:p>
    <w:p>
      <w:pPr>
        <w:ind w:right="380" w:firstLine="656"/>
        <w:spacing w:after="0" w:line="312" w:lineRule="auto"/>
        <w:tabs>
          <w:tab w:leader="none" w:pos="1022" w:val="left"/>
        </w:tabs>
        <w:numPr>
          <w:ilvl w:val="0"/>
          <w:numId w:val="18"/>
        </w:numPr>
        <w:rPr>
          <w:rFonts w:ascii="Arial" w:cs="Arial" w:eastAsia="Arial" w:hAnsi="Arial"/>
          <w:sz w:val="19"/>
          <w:szCs w:val="19"/>
          <w:color w:val="auto"/>
        </w:rPr>
      </w:pPr>
      <w:r>
        <w:rPr>
          <w:rFonts w:ascii="Arial" w:cs="Arial" w:eastAsia="Arial" w:hAnsi="Arial"/>
          <w:sz w:val="19"/>
          <w:szCs w:val="19"/>
          <w:color w:val="auto"/>
        </w:rPr>
        <w:t xml:space="preserve">The Restated Articles of Incorporation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“Restated Articles”) were adopted by the Board of Directors of the Corporation in the manner prescribed by Section 490.1007 of the Iowa Business Corporation Act. Accordingly, the Restated Articles supersede the original Articles of Incorporation and all amendments thereto.</w:t>
      </w:r>
    </w:p>
    <w:p>
      <w:pPr>
        <w:spacing w:after="0" w:line="160" w:lineRule="exact"/>
        <w:rPr>
          <w:rFonts w:ascii="Arial" w:cs="Arial" w:eastAsia="Arial" w:hAnsi="Arial"/>
          <w:sz w:val="19"/>
          <w:szCs w:val="19"/>
          <w:color w:val="auto"/>
        </w:rPr>
      </w:pPr>
    </w:p>
    <w:p>
      <w:pPr>
        <w:ind w:left="660" w:right="860" w:hanging="4"/>
        <w:spacing w:after="0" w:line="471" w:lineRule="auto"/>
        <w:tabs>
          <w:tab w:leader="none" w:pos="1034"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This amendment and restatement of the Articles of Incorporation was adopted effective December 17, 2020. Dated: December 17, 2020</w:t>
      </w:r>
    </w:p>
    <w:p>
      <w:pPr>
        <w:ind w:left="1520"/>
        <w:spacing w:after="0"/>
        <w:rPr>
          <w:rFonts w:ascii="Arial" w:cs="Arial" w:eastAsia="Arial" w:hAnsi="Arial"/>
          <w:sz w:val="22"/>
          <w:szCs w:val="22"/>
          <w:color w:val="auto"/>
        </w:rPr>
      </w:pPr>
      <w:r>
        <w:rPr>
          <w:rFonts w:ascii="Arial" w:cs="Arial" w:eastAsia="Arial" w:hAnsi="Arial"/>
          <w:sz w:val="22"/>
          <w:szCs w:val="22"/>
          <w:b w:val="1"/>
          <w:bCs w:val="1"/>
          <w:color w:val="auto"/>
        </w:rPr>
        <w:t>WINNEBAGO INDUSTRIES, INC.</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By: /s/ Stacy L. Bogart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1197610</wp:posOffset>
            </wp:positionH>
            <wp:positionV relativeFrom="paragraph">
              <wp:posOffset>-17780</wp:posOffset>
            </wp:positionV>
            <wp:extent cx="14401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1" w:lineRule="exact"/>
        <w:rPr>
          <w:sz w:val="20"/>
          <w:szCs w:val="20"/>
          <w:color w:val="auto"/>
        </w:rPr>
      </w:pPr>
    </w:p>
    <w:p>
      <w:pPr>
        <w:ind w:left="5200" w:right="240"/>
        <w:spacing w:after="0" w:line="246" w:lineRule="auto"/>
        <w:rPr>
          <w:sz w:val="20"/>
          <w:szCs w:val="20"/>
          <w:color w:val="auto"/>
        </w:rPr>
      </w:pPr>
      <w:r>
        <w:rPr>
          <w:rFonts w:ascii="Arial" w:cs="Arial" w:eastAsia="Arial" w:hAnsi="Arial"/>
          <w:sz w:val="22"/>
          <w:szCs w:val="22"/>
          <w:color w:val="auto"/>
        </w:rPr>
        <w:t>Stacy L. Bogart, Senior Vice President, General Counsel, Secretary and Corporate Responsibility</w:t>
      </w:r>
    </w:p>
    <w:p>
      <w:pPr>
        <w:sectPr>
          <w:pgSz w:w="11900" w:h="16838" w:orient="portrait"/>
          <w:cols w:equalWidth="0" w:num="1">
            <w:col w:w="11240"/>
          </w:cols>
          <w:pgMar w:left="320" w:top="132" w:right="339" w:bottom="1440" w:gutter="0" w:footer="0" w:header="0"/>
        </w:sectPr>
      </w:pPr>
    </w:p>
    <w:bookmarkStart w:id="35" w:name="page36"/>
    <w:bookmarkEnd w:id="35"/>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RESTATED ARTICLES OF INCORPORATION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OF</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WINNEBAGO INDUSTRIES,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NAME OF CORPORATION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name of the Corporation shall be “Winnebago Industries, Inc.”</w:t>
      </w:r>
    </w:p>
    <w:p>
      <w:pPr>
        <w:spacing w:after="0" w:line="220"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ARTICLE II</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DURATION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period of its duration shall be perpetual.</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III</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POWERS AND PURPOSES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Corporation shall have unlimited power to engage in, or do any lawful act concerning any or all lawful businesses for which corporations may be organized under said Act.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IV</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 total number of shares of stock which the Corporation shall have authority to issue is: one hundred thirty million (130,000,000), of which one hundred twenty million (120,000,000) shall be shares of Common Stock, $.50 par value, and ten million (10,000,000) shall be shares of Preferred Stock, $.01 par value (</w:t>
      </w:r>
      <w:r>
        <w:rPr>
          <w:rFonts w:ascii="Arial" w:cs="Arial" w:eastAsia="Arial" w:hAnsi="Arial"/>
          <w:sz w:val="21"/>
          <w:szCs w:val="21"/>
          <w:i w:val="1"/>
          <w:iCs w:val="1"/>
          <w:color w:val="auto"/>
        </w:rPr>
        <w:t>“Series Preference Stock”</w:t>
      </w:r>
      <w:r>
        <w:rPr>
          <w:rFonts w:ascii="Arial" w:cs="Arial" w:eastAsia="Arial" w:hAnsi="Arial"/>
          <w:sz w:val="21"/>
          <w:szCs w:val="21"/>
          <w:color w:val="auto"/>
        </w:rPr>
        <w:t>).</w:t>
      </w:r>
    </w:p>
    <w:p>
      <w:pPr>
        <w:spacing w:after="0" w:line="16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A statement of the designations and the powers, preferences and rights of such classes of stock and the qualifications, limitations or restrictions thereof, the fixing of which by the Articles of Incorporation is desired, and the authority of the Board of Directors to fix, by resolution or resolutions, the designations and the powers, preferences and rights of such classes of stock or the qualifications, limitations or restrictions thereof, which are not fixed hereby, are as follows:</w:t>
      </w:r>
    </w:p>
    <w:p>
      <w:pPr>
        <w:spacing w:after="0" w:line="142" w:lineRule="exact"/>
        <w:rPr>
          <w:sz w:val="20"/>
          <w:szCs w:val="20"/>
          <w:color w:val="auto"/>
        </w:rPr>
      </w:pPr>
    </w:p>
    <w:p>
      <w:pPr>
        <w:ind w:left="440" w:hanging="432"/>
        <w:spacing w:after="0"/>
        <w:tabs>
          <w:tab w:leader="none" w:pos="440" w:val="left"/>
        </w:tabs>
        <w:numPr>
          <w:ilvl w:val="0"/>
          <w:numId w:val="19"/>
        </w:numPr>
        <w:rPr>
          <w:rFonts w:ascii="Arial" w:cs="Arial" w:eastAsia="Arial" w:hAnsi="Arial"/>
          <w:sz w:val="22"/>
          <w:szCs w:val="22"/>
          <w:color w:val="auto"/>
        </w:rPr>
      </w:pPr>
      <w:r>
        <w:rPr>
          <w:rFonts w:ascii="Arial" w:cs="Arial" w:eastAsia="Arial" w:hAnsi="Arial"/>
          <w:sz w:val="22"/>
          <w:szCs w:val="22"/>
          <w:color w:val="auto"/>
        </w:rPr>
        <w:t>Provisions Applicable to All Series of Series Preference Stock.</w:t>
      </w:r>
    </w:p>
    <w:p>
      <w:pPr>
        <w:spacing w:after="0" w:line="219" w:lineRule="exact"/>
        <w:rPr>
          <w:rFonts w:ascii="Arial" w:cs="Arial" w:eastAsia="Arial" w:hAnsi="Arial"/>
          <w:sz w:val="22"/>
          <w:szCs w:val="22"/>
          <w:color w:val="auto"/>
        </w:rPr>
      </w:pPr>
    </w:p>
    <w:p>
      <w:pPr>
        <w:jc w:val="both"/>
        <w:ind w:left="660" w:firstLine="644"/>
        <w:spacing w:after="0" w:line="248" w:lineRule="auto"/>
        <w:tabs>
          <w:tab w:leader="none" w:pos="1784" w:val="left"/>
        </w:tabs>
        <w:numPr>
          <w:ilvl w:val="1"/>
          <w:numId w:val="19"/>
        </w:numPr>
        <w:rPr>
          <w:rFonts w:ascii="Arial" w:cs="Arial" w:eastAsia="Arial" w:hAnsi="Arial"/>
          <w:sz w:val="22"/>
          <w:szCs w:val="22"/>
          <w:color w:val="auto"/>
        </w:rPr>
      </w:pPr>
      <w:r>
        <w:rPr>
          <w:rFonts w:ascii="Arial" w:cs="Arial" w:eastAsia="Arial" w:hAnsi="Arial"/>
          <w:sz w:val="22"/>
          <w:szCs w:val="22"/>
          <w:color w:val="auto"/>
        </w:rPr>
        <w:t>Shares of Series Preference Stock may be issued from time to time in one or more series. The voting powers, designations, preferences, limitations and relative rights of each series may differ from those of any and all other series already outstanding; the terms of each series shall be specified in the resolution or resolutions hereinafter referred to; and the Board of Directors of the Corporation is hereby expressly granted authority to fix, by resolution or resolutions adopted prior to the issuance of any shares of</w:t>
      </w:r>
    </w:p>
    <w:p>
      <w:pPr>
        <w:sectPr>
          <w:pgSz w:w="11900" w:h="16838" w:orient="portrait"/>
          <w:cols w:equalWidth="0" w:num="1">
            <w:col w:w="11240"/>
          </w:cols>
          <w:pgMar w:left="320" w:top="1440" w:right="339" w:bottom="1440" w:gutter="0" w:footer="0" w:header="0"/>
        </w:sectPr>
      </w:pPr>
    </w:p>
    <w:bookmarkStart w:id="36" w:name="page37"/>
    <w:bookmarkEnd w:id="36"/>
    <w:p>
      <w:pPr>
        <w:ind w:left="652"/>
        <w:spacing w:after="0" w:line="263" w:lineRule="auto"/>
        <w:rPr>
          <w:sz w:val="20"/>
          <w:szCs w:val="20"/>
          <w:color w:val="auto"/>
        </w:rPr>
      </w:pPr>
      <w:r>
        <w:rPr>
          <w:rFonts w:ascii="Arial" w:cs="Arial" w:eastAsia="Arial" w:hAnsi="Arial"/>
          <w:sz w:val="22"/>
          <w:szCs w:val="22"/>
          <w:color w:val="auto"/>
        </w:rPr>
        <w:t>a particular series of Series Preference Stock, the voting powers, designations, preferences, limitations and relative rights of each series, including, but without limiting the generality of the foregoing, the following:</w:t>
      </w:r>
    </w:p>
    <w:p>
      <w:pPr>
        <w:spacing w:after="0" w:line="175" w:lineRule="exact"/>
        <w:rPr>
          <w:sz w:val="20"/>
          <w:szCs w:val="20"/>
          <w:color w:val="auto"/>
        </w:rPr>
      </w:pPr>
    </w:p>
    <w:p>
      <w:pPr>
        <w:ind w:left="1292" w:firstLine="652"/>
        <w:spacing w:after="0" w:line="263" w:lineRule="auto"/>
        <w:tabs>
          <w:tab w:leader="none" w:pos="2567" w:val="left"/>
        </w:tabs>
        <w:numPr>
          <w:ilvl w:val="2"/>
          <w:numId w:val="20"/>
        </w:numPr>
        <w:rPr>
          <w:rFonts w:ascii="Arial" w:cs="Arial" w:eastAsia="Arial" w:hAnsi="Arial"/>
          <w:sz w:val="22"/>
          <w:szCs w:val="22"/>
          <w:color w:val="auto"/>
        </w:rPr>
      </w:pPr>
      <w:r>
        <w:rPr>
          <w:rFonts w:ascii="Arial" w:cs="Arial" w:eastAsia="Arial" w:hAnsi="Arial"/>
          <w:sz w:val="22"/>
          <w:szCs w:val="22"/>
          <w:color w:val="auto"/>
        </w:rPr>
        <w:t>The rate and times at which, and the terms and conditions on which, dividends on the Series Preference Stock of such series shall be paid;</w:t>
      </w:r>
    </w:p>
    <w:p>
      <w:pPr>
        <w:spacing w:after="0" w:line="174" w:lineRule="exact"/>
        <w:rPr>
          <w:rFonts w:ascii="Arial" w:cs="Arial" w:eastAsia="Arial" w:hAnsi="Arial"/>
          <w:sz w:val="22"/>
          <w:szCs w:val="22"/>
          <w:color w:val="auto"/>
        </w:rPr>
      </w:pPr>
    </w:p>
    <w:p>
      <w:pPr>
        <w:jc w:val="both"/>
        <w:ind w:left="1292" w:firstLine="652"/>
        <w:spacing w:after="0" w:line="253" w:lineRule="auto"/>
        <w:tabs>
          <w:tab w:leader="none" w:pos="2487" w:val="left"/>
        </w:tabs>
        <w:numPr>
          <w:ilvl w:val="2"/>
          <w:numId w:val="20"/>
        </w:numPr>
        <w:rPr>
          <w:rFonts w:ascii="Arial" w:cs="Arial" w:eastAsia="Arial" w:hAnsi="Arial"/>
          <w:sz w:val="22"/>
          <w:szCs w:val="22"/>
          <w:color w:val="auto"/>
        </w:rPr>
      </w:pPr>
      <w:r>
        <w:rPr>
          <w:rFonts w:ascii="Arial" w:cs="Arial" w:eastAsia="Arial" w:hAnsi="Arial"/>
          <w:sz w:val="22"/>
          <w:szCs w:val="22"/>
          <w:color w:val="auto"/>
        </w:rPr>
        <w:t>The right, if any, of holders of Series Preference Stock of such series to convert the same into, or exchange the same for, other classes of stock of the Corporation and the terms and conditions of such conversion or exchange;</w:t>
      </w:r>
    </w:p>
    <w:p>
      <w:pPr>
        <w:spacing w:after="0" w:line="185" w:lineRule="exact"/>
        <w:rPr>
          <w:rFonts w:ascii="Arial" w:cs="Arial" w:eastAsia="Arial" w:hAnsi="Arial"/>
          <w:sz w:val="22"/>
          <w:szCs w:val="22"/>
          <w:color w:val="auto"/>
        </w:rPr>
      </w:pPr>
    </w:p>
    <w:p>
      <w:pPr>
        <w:ind w:left="1292" w:firstLine="652"/>
        <w:spacing w:after="0" w:line="263" w:lineRule="auto"/>
        <w:tabs>
          <w:tab w:leader="none" w:pos="2425" w:val="left"/>
        </w:tabs>
        <w:numPr>
          <w:ilvl w:val="2"/>
          <w:numId w:val="20"/>
        </w:numPr>
        <w:rPr>
          <w:rFonts w:ascii="Arial" w:cs="Arial" w:eastAsia="Arial" w:hAnsi="Arial"/>
          <w:sz w:val="22"/>
          <w:szCs w:val="22"/>
          <w:color w:val="auto"/>
        </w:rPr>
      </w:pPr>
      <w:r>
        <w:rPr>
          <w:rFonts w:ascii="Arial" w:cs="Arial" w:eastAsia="Arial" w:hAnsi="Arial"/>
          <w:sz w:val="22"/>
          <w:szCs w:val="22"/>
          <w:color w:val="auto"/>
        </w:rPr>
        <w:t>The redemption price or prices and the time at which, and the terms and conditions on which, Series Preference Stock of such series may be redeemed;</w:t>
      </w:r>
    </w:p>
    <w:p>
      <w:pPr>
        <w:spacing w:after="0" w:line="174" w:lineRule="exact"/>
        <w:rPr>
          <w:rFonts w:ascii="Arial" w:cs="Arial" w:eastAsia="Arial" w:hAnsi="Arial"/>
          <w:sz w:val="22"/>
          <w:szCs w:val="22"/>
          <w:color w:val="auto"/>
        </w:rPr>
      </w:pPr>
    </w:p>
    <w:p>
      <w:pPr>
        <w:ind w:left="1292" w:firstLine="652"/>
        <w:spacing w:after="0" w:line="263" w:lineRule="auto"/>
        <w:tabs>
          <w:tab w:leader="none" w:pos="2436" w:val="left"/>
        </w:tabs>
        <w:numPr>
          <w:ilvl w:val="2"/>
          <w:numId w:val="20"/>
        </w:numPr>
        <w:rPr>
          <w:rFonts w:ascii="Arial" w:cs="Arial" w:eastAsia="Arial" w:hAnsi="Arial"/>
          <w:sz w:val="22"/>
          <w:szCs w:val="22"/>
          <w:color w:val="auto"/>
        </w:rPr>
      </w:pPr>
      <w:r>
        <w:rPr>
          <w:rFonts w:ascii="Arial" w:cs="Arial" w:eastAsia="Arial" w:hAnsi="Arial"/>
          <w:sz w:val="22"/>
          <w:szCs w:val="22"/>
          <w:color w:val="auto"/>
        </w:rPr>
        <w:t>The rights of the holders of Series Preference Stock of such series upon the voluntary or involuntary liquidation, distribution or sale of assets, dissolution or winding up of the Corporation;</w:t>
      </w:r>
    </w:p>
    <w:p>
      <w:pPr>
        <w:spacing w:after="0" w:line="174" w:lineRule="exact"/>
        <w:rPr>
          <w:rFonts w:ascii="Arial" w:cs="Arial" w:eastAsia="Arial" w:hAnsi="Arial"/>
          <w:sz w:val="22"/>
          <w:szCs w:val="22"/>
          <w:color w:val="auto"/>
        </w:rPr>
      </w:pPr>
    </w:p>
    <w:p>
      <w:pPr>
        <w:ind w:left="2392" w:hanging="448"/>
        <w:spacing w:after="0"/>
        <w:tabs>
          <w:tab w:leader="none" w:pos="2392" w:val="left"/>
        </w:tabs>
        <w:numPr>
          <w:ilvl w:val="2"/>
          <w:numId w:val="20"/>
        </w:numPr>
        <w:rPr>
          <w:rFonts w:ascii="Arial" w:cs="Arial" w:eastAsia="Arial" w:hAnsi="Arial"/>
          <w:sz w:val="22"/>
          <w:szCs w:val="22"/>
          <w:color w:val="auto"/>
        </w:rPr>
      </w:pPr>
      <w:r>
        <w:rPr>
          <w:rFonts w:ascii="Arial" w:cs="Arial" w:eastAsia="Arial" w:hAnsi="Arial"/>
          <w:sz w:val="22"/>
          <w:szCs w:val="22"/>
          <w:color w:val="auto"/>
        </w:rPr>
        <w:t>The voting power, if any, of the Series Preference Stock of such series; and</w:t>
      </w:r>
    </w:p>
    <w:p>
      <w:pPr>
        <w:spacing w:after="0" w:line="219" w:lineRule="exact"/>
        <w:rPr>
          <w:rFonts w:ascii="Arial" w:cs="Arial" w:eastAsia="Arial" w:hAnsi="Arial"/>
          <w:sz w:val="22"/>
          <w:szCs w:val="22"/>
          <w:color w:val="auto"/>
        </w:rPr>
      </w:pPr>
    </w:p>
    <w:p>
      <w:pPr>
        <w:ind w:left="1292" w:right="20" w:firstLine="652"/>
        <w:spacing w:after="0" w:line="263" w:lineRule="auto"/>
        <w:tabs>
          <w:tab w:leader="none" w:pos="2383" w:val="left"/>
        </w:tabs>
        <w:numPr>
          <w:ilvl w:val="2"/>
          <w:numId w:val="20"/>
        </w:numPr>
        <w:rPr>
          <w:rFonts w:ascii="Arial" w:cs="Arial" w:eastAsia="Arial" w:hAnsi="Arial"/>
          <w:sz w:val="22"/>
          <w:szCs w:val="22"/>
          <w:color w:val="auto"/>
        </w:rPr>
      </w:pPr>
      <w:r>
        <w:rPr>
          <w:rFonts w:ascii="Arial" w:cs="Arial" w:eastAsia="Arial" w:hAnsi="Arial"/>
          <w:sz w:val="22"/>
          <w:szCs w:val="22"/>
          <w:color w:val="auto"/>
        </w:rPr>
        <w:t>The terms of the sinking fund or redemption or purchase account, if any, to be provided for the Series Preference Stock of such series.</w:t>
      </w:r>
    </w:p>
    <w:p>
      <w:pPr>
        <w:spacing w:after="0" w:line="174" w:lineRule="exact"/>
        <w:rPr>
          <w:rFonts w:ascii="Arial" w:cs="Arial" w:eastAsia="Arial" w:hAnsi="Arial"/>
          <w:sz w:val="22"/>
          <w:szCs w:val="22"/>
          <w:color w:val="auto"/>
        </w:rPr>
      </w:pPr>
    </w:p>
    <w:p>
      <w:pPr>
        <w:jc w:val="both"/>
        <w:ind w:left="652" w:firstLine="644"/>
        <w:spacing w:after="0" w:line="250" w:lineRule="auto"/>
        <w:tabs>
          <w:tab w:leader="none" w:pos="1783" w:val="left"/>
        </w:tabs>
        <w:numPr>
          <w:ilvl w:val="1"/>
          <w:numId w:val="21"/>
        </w:numPr>
        <w:rPr>
          <w:rFonts w:ascii="Arial" w:cs="Arial" w:eastAsia="Arial" w:hAnsi="Arial"/>
          <w:sz w:val="22"/>
          <w:szCs w:val="22"/>
          <w:color w:val="auto"/>
        </w:rPr>
      </w:pPr>
      <w:r>
        <w:rPr>
          <w:rFonts w:ascii="Arial" w:cs="Arial" w:eastAsia="Arial" w:hAnsi="Arial"/>
          <w:sz w:val="22"/>
          <w:szCs w:val="22"/>
          <w:color w:val="auto"/>
        </w:rPr>
        <w:t>All shares of each series shall be identical in all respects to the other shares of such Series. The rights of the Common Stock of the Corporation shall be subject to the preferences and relative participating, optional and other special rights of the Series Preference Stock of each series as fixed herein and from time to time by the Board of Directors as aforesaid.</w:t>
      </w:r>
    </w:p>
    <w:p>
      <w:pPr>
        <w:spacing w:after="0" w:line="187" w:lineRule="exact"/>
        <w:rPr>
          <w:rFonts w:ascii="Arial" w:cs="Arial" w:eastAsia="Arial" w:hAnsi="Arial"/>
          <w:sz w:val="22"/>
          <w:szCs w:val="22"/>
          <w:color w:val="auto"/>
        </w:rPr>
      </w:pPr>
    </w:p>
    <w:p>
      <w:pPr>
        <w:ind w:left="412" w:hanging="412"/>
        <w:spacing w:after="0"/>
        <w:tabs>
          <w:tab w:leader="none" w:pos="412" w:val="left"/>
        </w:tabs>
        <w:numPr>
          <w:ilvl w:val="0"/>
          <w:numId w:val="22"/>
        </w:numPr>
        <w:rPr>
          <w:rFonts w:ascii="Arial" w:cs="Arial" w:eastAsia="Arial" w:hAnsi="Arial"/>
          <w:sz w:val="22"/>
          <w:szCs w:val="22"/>
          <w:color w:val="auto"/>
        </w:rPr>
      </w:pPr>
      <w:r>
        <w:rPr>
          <w:rFonts w:ascii="Arial" w:cs="Arial" w:eastAsia="Arial" w:hAnsi="Arial"/>
          <w:sz w:val="22"/>
          <w:szCs w:val="22"/>
          <w:color w:val="auto"/>
        </w:rPr>
        <w:t>Provisions Applicable to Common Stock.</w:t>
      </w:r>
    </w:p>
    <w:p>
      <w:pPr>
        <w:spacing w:after="0" w:line="219" w:lineRule="exact"/>
        <w:rPr>
          <w:rFonts w:ascii="Arial" w:cs="Arial" w:eastAsia="Arial" w:hAnsi="Arial"/>
          <w:sz w:val="22"/>
          <w:szCs w:val="22"/>
          <w:color w:val="auto"/>
        </w:rPr>
      </w:pPr>
    </w:p>
    <w:p>
      <w:pPr>
        <w:jc w:val="both"/>
        <w:ind w:left="652" w:firstLine="644"/>
        <w:spacing w:after="0" w:line="248" w:lineRule="auto"/>
        <w:tabs>
          <w:tab w:leader="none" w:pos="1796" w:val="left"/>
        </w:tabs>
        <w:numPr>
          <w:ilvl w:val="1"/>
          <w:numId w:val="22"/>
        </w:numPr>
        <w:rPr>
          <w:rFonts w:ascii="Arial" w:cs="Arial" w:eastAsia="Arial" w:hAnsi="Arial"/>
          <w:sz w:val="22"/>
          <w:szCs w:val="22"/>
          <w:color w:val="auto"/>
        </w:rPr>
      </w:pPr>
      <w:r>
        <w:rPr>
          <w:rFonts w:ascii="Arial" w:cs="Arial" w:eastAsia="Arial" w:hAnsi="Arial"/>
          <w:sz w:val="22"/>
          <w:szCs w:val="22"/>
          <w:color w:val="auto"/>
        </w:rPr>
        <w:t>After the requirements with respect to preferential dividends upon the Series Preference Stock of all classes and series thereof shall have been met and after the Corporation shall have complied with all requirements, if any, with respect to the setting aside of sums as a sinking fund or redemption or purchase account for the benefit of any class or series thereof, then, and not otherwise, the holders of Common Stock shall be entitled to receive such dividends as may be declared from time to time by the Board of Directors.</w:t>
      </w:r>
    </w:p>
    <w:p>
      <w:pPr>
        <w:spacing w:after="0" w:line="191" w:lineRule="exact"/>
        <w:rPr>
          <w:rFonts w:ascii="Arial" w:cs="Arial" w:eastAsia="Arial" w:hAnsi="Arial"/>
          <w:sz w:val="22"/>
          <w:szCs w:val="22"/>
          <w:color w:val="auto"/>
        </w:rPr>
      </w:pPr>
    </w:p>
    <w:p>
      <w:pPr>
        <w:jc w:val="both"/>
        <w:ind w:left="652" w:firstLine="644"/>
        <w:spacing w:after="0" w:line="265" w:lineRule="auto"/>
        <w:tabs>
          <w:tab w:leader="none" w:pos="1800" w:val="left"/>
        </w:tabs>
        <w:numPr>
          <w:ilvl w:val="1"/>
          <w:numId w:val="22"/>
        </w:numPr>
        <w:rPr>
          <w:rFonts w:ascii="Arial" w:cs="Arial" w:eastAsia="Arial" w:hAnsi="Arial"/>
          <w:sz w:val="21"/>
          <w:szCs w:val="21"/>
          <w:color w:val="auto"/>
        </w:rPr>
      </w:pPr>
      <w:r>
        <w:rPr>
          <w:rFonts w:ascii="Arial" w:cs="Arial" w:eastAsia="Arial" w:hAnsi="Arial"/>
          <w:sz w:val="21"/>
          <w:szCs w:val="21"/>
          <w:color w:val="auto"/>
        </w:rPr>
        <w:t>After distribution in full of the preferential amounts to be distributed to the holders of all classes and series thereof of Series Preference Stock then outstanding in the event of a voluntary or involuntary liquidation, dissolution or winding up of the Corporation and subject any additional or special rights of the Series Preference Stock as to the remaining assets of the Corporation for distribution, the holders of the Common</w:t>
      </w:r>
    </w:p>
    <w:p>
      <w:pPr>
        <w:sectPr>
          <w:pgSz w:w="11900" w:h="16838" w:orient="portrait"/>
          <w:cols w:equalWidth="0" w:num="1">
            <w:col w:w="11232"/>
          </w:cols>
          <w:pgMar w:left="328" w:top="1428" w:right="339" w:bottom="1440" w:gutter="0" w:footer="0" w:header="0"/>
        </w:sectPr>
      </w:pPr>
    </w:p>
    <w:bookmarkStart w:id="37" w:name="page38"/>
    <w:bookmarkEnd w:id="37"/>
    <w:p>
      <w:pPr>
        <w:ind w:left="660"/>
        <w:spacing w:after="0" w:line="263" w:lineRule="auto"/>
        <w:rPr>
          <w:sz w:val="20"/>
          <w:szCs w:val="20"/>
          <w:color w:val="auto"/>
        </w:rPr>
      </w:pPr>
      <w:r>
        <w:rPr>
          <w:rFonts w:ascii="Arial" w:cs="Arial" w:eastAsia="Arial" w:hAnsi="Arial"/>
          <w:sz w:val="22"/>
          <w:szCs w:val="22"/>
          <w:color w:val="auto"/>
        </w:rPr>
        <w:t>Stock shall be entitled to receive the remaining assets of the Corporation available for distribution to its shareholders ratably in proportion to the number of shares of Common Stock held by them respectively.</w:t>
      </w:r>
    </w:p>
    <w:p>
      <w:pPr>
        <w:spacing w:after="0" w:line="175" w:lineRule="exact"/>
        <w:rPr>
          <w:sz w:val="20"/>
          <w:szCs w:val="20"/>
          <w:color w:val="auto"/>
        </w:rPr>
      </w:pPr>
    </w:p>
    <w:p>
      <w:pPr>
        <w:ind w:left="1780" w:hanging="476"/>
        <w:spacing w:after="0"/>
        <w:tabs>
          <w:tab w:leader="none" w:pos="1780" w:val="left"/>
        </w:tabs>
        <w:numPr>
          <w:ilvl w:val="0"/>
          <w:numId w:val="23"/>
        </w:numPr>
        <w:rPr>
          <w:rFonts w:ascii="Arial" w:cs="Arial" w:eastAsia="Arial" w:hAnsi="Arial"/>
          <w:sz w:val="19"/>
          <w:szCs w:val="19"/>
          <w:color w:val="auto"/>
        </w:rPr>
      </w:pPr>
      <w:r>
        <w:rPr>
          <w:rFonts w:ascii="Arial" w:cs="Arial" w:eastAsia="Arial" w:hAnsi="Arial"/>
          <w:sz w:val="19"/>
          <w:szCs w:val="19"/>
          <w:color w:val="auto"/>
        </w:rPr>
        <w:t>Each holder of Common Stock shall have one vote in respect of each share of such stock held by such holder.</w:t>
      </w:r>
    </w:p>
    <w:p>
      <w:pPr>
        <w:spacing w:after="0" w:line="254" w:lineRule="exact"/>
        <w:rPr>
          <w:rFonts w:ascii="Arial" w:cs="Arial" w:eastAsia="Arial" w:hAnsi="Arial"/>
          <w:sz w:val="19"/>
          <w:szCs w:val="19"/>
          <w:color w:val="auto"/>
        </w:rPr>
      </w:pPr>
    </w:p>
    <w:p>
      <w:pPr>
        <w:ind w:left="5060"/>
        <w:spacing w:after="0"/>
        <w:rPr>
          <w:rFonts w:ascii="Arial" w:cs="Arial" w:eastAsia="Arial" w:hAnsi="Arial"/>
          <w:sz w:val="19"/>
          <w:szCs w:val="19"/>
          <w:color w:val="auto"/>
        </w:rPr>
      </w:pPr>
      <w:r>
        <w:rPr>
          <w:rFonts w:ascii="Arial" w:cs="Arial" w:eastAsia="Arial" w:hAnsi="Arial"/>
          <w:sz w:val="22"/>
          <w:szCs w:val="22"/>
          <w:color w:val="auto"/>
        </w:rPr>
        <w:t>ARTICLE V</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THE REGISTERED OFFICE AND AGENT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address of the registered office of the Corporation shall be 400 East Court Avenue, Des Moines, IA 50309, and its registered agent at such address shall be CT Corporation System.</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DIRECTORS</w:t>
      </w:r>
    </w:p>
    <w:p>
      <w:pPr>
        <w:spacing w:after="0" w:line="22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The number of directors constituting the Board of Directors of the Corporation shall be not more than fifteen (15) and not less than three (3), the precise number to be determined by resolution of the Board of Directors from time to time.</w:t>
      </w:r>
    </w:p>
    <w:p>
      <w:pPr>
        <w:spacing w:after="0" w:line="10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Effective with the election of the directors at the annual meeting of shareholders to be held in 2000, the directors shall be classified, with respect to the time for which they severally hold office, into three classes, as nearly equal in number as possible, as shall be provided in the manner specified in the By-Laws; one class to hold office initially for a term expiring at the annual meeting of shareholders to be held in 2001, another class to hold office initially for a term expiring at the annual meeting of shareholders to be held in 2002, and another class to hold office initially for a term expiring at the annual meeting of shareholders to be held in 2003, with the respective members of each class to hold office until their respective successors are elected and qualified. At each annual meeting of shareholders commencing with the annual meeting in 2001, the successors to the class of directors whose term then expires shall be elected to serve a three-year term and until their successors are duly elected and qualified. No decrease in the number of directors shall have the effect of shortening the term of any incumbent director. Any increase or decrease in the number of directors shall be apportioned among the classes so as to make all classes as nearly equal in number as possible.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Shareholders may remove directors only for cause.</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Notwithstanding anything contained herein to the contrary, the affirmative vote of the holders of seventy-five percent (75%) of all issued and outstanding shares of the Corporation entitled to vote thereon, voting together as a single class, shall be required to alter, amend or adopt any provisions inconsistent with, or repeal this Article VI or any provision hereof at any annual or special meeting of shareholders.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w:t>
      </w:r>
    </w:p>
    <w:p>
      <w:pPr>
        <w:sectPr>
          <w:pgSz w:w="11900" w:h="16838" w:orient="portrait"/>
          <w:cols w:equalWidth="0" w:num="1">
            <w:col w:w="11240"/>
          </w:cols>
          <w:pgMar w:left="320" w:top="1428" w:right="339" w:bottom="1440" w:gutter="0" w:footer="0" w:header="0"/>
        </w:sectPr>
      </w:pPr>
    </w:p>
    <w:bookmarkStart w:id="38" w:name="page39"/>
    <w:bookmarkEnd w:id="38"/>
    <w:p>
      <w:pPr>
        <w:ind w:left="440" w:hanging="432"/>
        <w:spacing w:after="0"/>
        <w:tabs>
          <w:tab w:leader="none" w:pos="440"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NON-LIABILITY</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A director of this Corporation shall not be personally liable to the Corporation or its shareholders for monetary damages for breach of fiduciary duty as a director except for liability (i) for any breach of the director’s duty of loyalty to the Corporation or its shareholders, (ii) for acts or omissions not in good faith or which involve intentional misconduct or knowing violation of the law, (iii) for any transaction from which the director derived an improper personal benefit, or (iv) under Section 490.833 of the Iowa Business Corporation Act. No amendment to or repeal of this Article shall apply to or have any effect on the liability or alleged liability of any director of the Corporation for or with respect to any acts or omissions of such director occurring prior to such amendment or repeal. If Iowa law is hereafter changed to permit further elimination or limitation of the liability of directors for monetary damages to the Corporation or its shareholders, then the liability of a director of this Corporation shall be eliminated or limited to the full extent then permitted.</w:t>
      </w:r>
    </w:p>
    <w:p>
      <w:pPr>
        <w:spacing w:after="0" w:line="179" w:lineRule="exact"/>
        <w:rPr>
          <w:sz w:val="20"/>
          <w:szCs w:val="20"/>
          <w:color w:val="auto"/>
        </w:rPr>
      </w:pPr>
    </w:p>
    <w:p>
      <w:pPr>
        <w:ind w:left="420" w:hanging="412"/>
        <w:spacing w:after="0"/>
        <w:tabs>
          <w:tab w:leader="none" w:pos="420"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INDEMNIFICATION</w:t>
      </w:r>
    </w:p>
    <w:p>
      <w:pPr>
        <w:spacing w:after="0" w:line="22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This Corporation shall indemnify any person who is or was a director of the Corporation or is or was serving (at such time as he or she is or was a director of the Corporation) at the request of this Corporation, as a director, officer, partner, trustee, employee or agent of another corporation, partnership, joint venture, trust, other enterprise or employee benefit plan to the fullest extent possible against all expenses, liabilities and loss (including attorneys’ fees, judgments, fines or penalties and amounts paid or to be paid in settlement), actually incurred by such person relating to his or her conduct as a director of this Corporation or as a director, officer, partner, trustee, employee or agent of another corporation, partnership, joint venture, trust, other enterprise or employee benefit plan, except that the aforesaid mandatory indemnification shall not apply (i) to a breach of a director’s duty of loyalty to the Corporation or its shareholders, (ii) for acts or omissions not in good faith or which involve intentional misconduct or knowing violation of the law, (ii) for a transaction from which a director derived an improper personal benefit, (iv) under Section 490.833 of the Iowa Business Corporation Act, or (v) against judgments, penalties, fines and settlements arising from any proceeding by or in the right of the Corporation, or against expenses in any such case where such director shall be adjudged liable to the Corporation. The indemnification provided by this Article shall not be deemed exclusive of any other rights which any person may have or hereafter acquire under a provision of the Restated Articles of Incorporation, By-Laws, agreements, vote of shareholders or disinterested directors or otherwise, both as to action in a person’s official capacity and as to action in another capacity while holding such office. The Corporation may purchase and maintain insurance to protect itself and any person who is or was a director or is or was serving (as such time as he or she is or was a director of the Corporation) at the request of the Corporation as a director, officer, employee or agent of another corporation, partnership, joint venture, trust or other enterprise, including service with respect to employee benefit plans, against any liability asserted against such person and incurred by him or her in any such capacity, or arising out of his or her status as such, whether or not the Corporation would have the power to indemnify such person against such liability under the provisions of this Article.</w:t>
      </w:r>
    </w:p>
    <w:p>
      <w:pPr>
        <w:sectPr>
          <w:pgSz w:w="11900" w:h="16838" w:orient="portrait"/>
          <w:cols w:equalWidth="0" w:num="1">
            <w:col w:w="11240"/>
          </w:cols>
          <w:pgMar w:left="320" w:top="1428"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color w:val="auto"/>
        </w:rPr>
        <w:t>Exhibit 3c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ARTICLES OF AMENDMENT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WINNEBAGO INDUSTRIES, INC.</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the Secretary of State of the State of Iowa:</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Pursuant to Section 1006 of the Iowa Business Corporation Act, the undersigned corporation adopts the following amendment to the corporation’s articles of incorporation.</w:t>
      </w:r>
    </w:p>
    <w:p>
      <w:pPr>
        <w:spacing w:after="0" w:line="175" w:lineRule="exact"/>
        <w:rPr>
          <w:sz w:val="20"/>
          <w:szCs w:val="20"/>
          <w:color w:val="auto"/>
        </w:rPr>
      </w:pPr>
    </w:p>
    <w:p>
      <w:pPr>
        <w:ind w:left="1040" w:hanging="384"/>
        <w:spacing w:after="0"/>
        <w:tabs>
          <w:tab w:leader="none" w:pos="10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name of the corporation is Winnebago Industries, Inc.</w:t>
      </w:r>
    </w:p>
    <w:p>
      <w:pPr>
        <w:spacing w:after="0" w:line="219" w:lineRule="exact"/>
        <w:rPr>
          <w:rFonts w:ascii="Arial" w:cs="Arial" w:eastAsia="Arial" w:hAnsi="Arial"/>
          <w:sz w:val="22"/>
          <w:szCs w:val="22"/>
          <w:color w:val="auto"/>
        </w:rPr>
      </w:pPr>
    </w:p>
    <w:p>
      <w:pPr>
        <w:ind w:firstLine="656"/>
        <w:spacing w:after="0" w:line="263" w:lineRule="auto"/>
        <w:tabs>
          <w:tab w:leader="none" w:pos="1119" w:val="left"/>
        </w:tabs>
        <w:numPr>
          <w:ilvl w:val="0"/>
          <w:numId w:val="26"/>
        </w:numPr>
        <w:rPr>
          <w:rFonts w:ascii="Arial" w:cs="Arial" w:eastAsia="Arial" w:hAnsi="Arial"/>
          <w:sz w:val="22"/>
          <w:szCs w:val="22"/>
          <w:color w:val="auto"/>
        </w:rPr>
      </w:pPr>
      <w:r>
        <w:rPr>
          <w:rFonts w:ascii="Arial" w:cs="Arial" w:eastAsia="Arial" w:hAnsi="Arial"/>
          <w:sz w:val="22"/>
          <w:szCs w:val="22"/>
          <w:color w:val="auto"/>
        </w:rPr>
        <w:t>Article IV of the Articles of Incorporation of Winnebago Industries, Inc., as previously amended and restated, is further amended to read and restated to read as follows: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 total number of shares of stock which the Corporation shall have authority to issue is: one hundred thirty million (130,000,000), of which one hundred twenty million (120,000,000) shall be shares of Common Stock, $.50 par value, and ten million (10,000,000) shall be shares of Preferred Stock, $.01 par value (</w:t>
      </w:r>
      <w:r>
        <w:rPr>
          <w:rFonts w:ascii="Arial" w:cs="Arial" w:eastAsia="Arial" w:hAnsi="Arial"/>
          <w:sz w:val="21"/>
          <w:szCs w:val="21"/>
          <w:i w:val="1"/>
          <w:iCs w:val="1"/>
          <w:color w:val="auto"/>
        </w:rPr>
        <w:t>“Series Preference Stock”</w:t>
      </w:r>
      <w:r>
        <w:rPr>
          <w:rFonts w:ascii="Arial" w:cs="Arial" w:eastAsia="Arial" w:hAnsi="Arial"/>
          <w:sz w:val="21"/>
          <w:szCs w:val="21"/>
          <w:color w:val="auto"/>
        </w:rPr>
        <w:t>).</w:t>
      </w:r>
    </w:p>
    <w:p>
      <w:pPr>
        <w:spacing w:after="0" w:line="16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A statement of the designations and the powers, preferences and rights of such classes of stock and the qualifications, limitations or restrictions thereof, the fixing of which by the Articles of Incorporation is desired, and the authority of the Board of Directors to fix, by resolution or resolutions, the designations and the powers, preferences and rights of such classes of stock or the qualifications, limitations or restrictions thereof, which are not fixed hereby, are as follows:</w:t>
      </w:r>
    </w:p>
    <w:p>
      <w:pPr>
        <w:spacing w:after="0" w:line="142" w:lineRule="exact"/>
        <w:rPr>
          <w:sz w:val="20"/>
          <w:szCs w:val="20"/>
          <w:color w:val="auto"/>
        </w:rPr>
      </w:pPr>
    </w:p>
    <w:p>
      <w:pPr>
        <w:ind w:left="440" w:hanging="432"/>
        <w:spacing w:after="0"/>
        <w:tabs>
          <w:tab w:leader="none" w:pos="440" w:val="left"/>
        </w:tabs>
        <w:numPr>
          <w:ilvl w:val="0"/>
          <w:numId w:val="27"/>
        </w:numPr>
        <w:rPr>
          <w:rFonts w:ascii="Arial" w:cs="Arial" w:eastAsia="Arial" w:hAnsi="Arial"/>
          <w:sz w:val="22"/>
          <w:szCs w:val="22"/>
          <w:color w:val="auto"/>
        </w:rPr>
      </w:pPr>
      <w:r>
        <w:rPr>
          <w:rFonts w:ascii="Arial" w:cs="Arial" w:eastAsia="Arial" w:hAnsi="Arial"/>
          <w:sz w:val="22"/>
          <w:szCs w:val="22"/>
          <w:color w:val="auto"/>
        </w:rPr>
        <w:t>Provisions Applicable to All Series of Series Preference Stock.</w:t>
      </w:r>
    </w:p>
    <w:p>
      <w:pPr>
        <w:spacing w:after="0" w:line="219" w:lineRule="exact"/>
        <w:rPr>
          <w:rFonts w:ascii="Arial" w:cs="Arial" w:eastAsia="Arial" w:hAnsi="Arial"/>
          <w:sz w:val="22"/>
          <w:szCs w:val="22"/>
          <w:color w:val="auto"/>
        </w:rPr>
      </w:pPr>
    </w:p>
    <w:p>
      <w:pPr>
        <w:jc w:val="both"/>
        <w:ind w:left="660" w:firstLine="644"/>
        <w:spacing w:after="0" w:line="246" w:lineRule="auto"/>
        <w:tabs>
          <w:tab w:leader="none" w:pos="1784" w:val="left"/>
        </w:tabs>
        <w:numPr>
          <w:ilvl w:val="1"/>
          <w:numId w:val="27"/>
        </w:numPr>
        <w:rPr>
          <w:rFonts w:ascii="Arial" w:cs="Arial" w:eastAsia="Arial" w:hAnsi="Arial"/>
          <w:sz w:val="22"/>
          <w:szCs w:val="22"/>
          <w:color w:val="auto"/>
        </w:rPr>
      </w:pPr>
      <w:r>
        <w:rPr>
          <w:rFonts w:ascii="Arial" w:cs="Arial" w:eastAsia="Arial" w:hAnsi="Arial"/>
          <w:sz w:val="22"/>
          <w:szCs w:val="22"/>
          <w:color w:val="auto"/>
        </w:rPr>
        <w:t>Shares of Series Preference Stock may be issued from time to time in one or more series. The voting powers, designations, preferences, limitations and relative rights of each series may differ from those of any and all other series already outstanding; the terms of each series shall be specified in the resolution or resolutions hereinafter referred to; and the Board of Directors of the Corporation is hereby expressly granted authority to fix, by resolution or resolutions adopted prior to the issuance of any shares of a particular series of Series Preference Stock, the voting powers, designations, preferences, limitations and relative rights of each series, including, but without limiting the generality of the foregoing, the following:</w:t>
      </w:r>
    </w:p>
    <w:p>
      <w:pPr>
        <w:spacing w:after="0" w:line="196" w:lineRule="exact"/>
        <w:rPr>
          <w:rFonts w:ascii="Arial" w:cs="Arial" w:eastAsia="Arial" w:hAnsi="Arial"/>
          <w:sz w:val="22"/>
          <w:szCs w:val="22"/>
          <w:color w:val="auto"/>
        </w:rPr>
      </w:pPr>
    </w:p>
    <w:p>
      <w:pPr>
        <w:ind w:left="1300" w:firstLine="652"/>
        <w:spacing w:after="0" w:line="263" w:lineRule="auto"/>
        <w:tabs>
          <w:tab w:leader="none" w:pos="2575" w:val="left"/>
        </w:tabs>
        <w:numPr>
          <w:ilvl w:val="2"/>
          <w:numId w:val="27"/>
        </w:numPr>
        <w:rPr>
          <w:rFonts w:ascii="Arial" w:cs="Arial" w:eastAsia="Arial" w:hAnsi="Arial"/>
          <w:sz w:val="22"/>
          <w:szCs w:val="22"/>
          <w:color w:val="auto"/>
        </w:rPr>
      </w:pPr>
      <w:r>
        <w:rPr>
          <w:rFonts w:ascii="Arial" w:cs="Arial" w:eastAsia="Arial" w:hAnsi="Arial"/>
          <w:sz w:val="22"/>
          <w:szCs w:val="22"/>
          <w:color w:val="auto"/>
        </w:rPr>
        <w:t>The rate and times at which, and the terms and conditions on which, dividends on the Series Preference Stock of such series shall be paid;</w:t>
      </w:r>
    </w:p>
    <w:p>
      <w:pPr>
        <w:spacing w:after="0" w:line="174" w:lineRule="exact"/>
        <w:rPr>
          <w:rFonts w:ascii="Arial" w:cs="Arial" w:eastAsia="Arial" w:hAnsi="Arial"/>
          <w:sz w:val="22"/>
          <w:szCs w:val="22"/>
          <w:color w:val="auto"/>
        </w:rPr>
      </w:pPr>
    </w:p>
    <w:p>
      <w:pPr>
        <w:jc w:val="both"/>
        <w:ind w:left="1300" w:firstLine="652"/>
        <w:spacing w:after="0" w:line="253" w:lineRule="auto"/>
        <w:tabs>
          <w:tab w:leader="none" w:pos="2495" w:val="left"/>
        </w:tabs>
        <w:numPr>
          <w:ilvl w:val="2"/>
          <w:numId w:val="27"/>
        </w:numPr>
        <w:rPr>
          <w:rFonts w:ascii="Arial" w:cs="Arial" w:eastAsia="Arial" w:hAnsi="Arial"/>
          <w:sz w:val="22"/>
          <w:szCs w:val="22"/>
          <w:color w:val="auto"/>
        </w:rPr>
      </w:pPr>
      <w:r>
        <w:rPr>
          <w:rFonts w:ascii="Arial" w:cs="Arial" w:eastAsia="Arial" w:hAnsi="Arial"/>
          <w:sz w:val="22"/>
          <w:szCs w:val="22"/>
          <w:color w:val="auto"/>
        </w:rPr>
        <w:t>The right, if any, of holders of Series Preference Stock of such series to convert the same into, or exchange the same for, other classes of stock of the Corporation and the terms and conditions of such conversion or exchange;</w:t>
      </w:r>
    </w:p>
    <w:p>
      <w:pPr>
        <w:sectPr>
          <w:pgSz w:w="11900" w:h="16838" w:orient="portrait"/>
          <w:cols w:equalWidth="0" w:num="1">
            <w:col w:w="11240"/>
          </w:cols>
          <w:pgMar w:left="320" w:top="132" w:right="339" w:bottom="1440" w:gutter="0" w:footer="0" w:header="0"/>
        </w:sectPr>
      </w:pPr>
    </w:p>
    <w:bookmarkStart w:id="40" w:name="page41"/>
    <w:bookmarkEnd w:id="40"/>
    <w:p>
      <w:pPr>
        <w:ind w:left="1300" w:firstLine="652"/>
        <w:spacing w:after="0" w:line="263" w:lineRule="auto"/>
        <w:tabs>
          <w:tab w:leader="none" w:pos="2433" w:val="left"/>
        </w:tabs>
        <w:numPr>
          <w:ilvl w:val="3"/>
          <w:numId w:val="28"/>
        </w:numPr>
        <w:rPr>
          <w:rFonts w:ascii="Arial" w:cs="Arial" w:eastAsia="Arial" w:hAnsi="Arial"/>
          <w:sz w:val="22"/>
          <w:szCs w:val="22"/>
          <w:color w:val="auto"/>
        </w:rPr>
      </w:pPr>
      <w:r>
        <w:rPr>
          <w:rFonts w:ascii="Arial" w:cs="Arial" w:eastAsia="Arial" w:hAnsi="Arial"/>
          <w:sz w:val="22"/>
          <w:szCs w:val="22"/>
          <w:color w:val="auto"/>
        </w:rPr>
        <w:t>The redemption price or prices and the time at which, and the terms and conditions on which, Series Preference Stock of such series may be redeemed;</w:t>
      </w:r>
    </w:p>
    <w:p>
      <w:pPr>
        <w:spacing w:after="0" w:line="174" w:lineRule="exact"/>
        <w:rPr>
          <w:rFonts w:ascii="Arial" w:cs="Arial" w:eastAsia="Arial" w:hAnsi="Arial"/>
          <w:sz w:val="22"/>
          <w:szCs w:val="22"/>
          <w:color w:val="auto"/>
        </w:rPr>
      </w:pPr>
    </w:p>
    <w:p>
      <w:pPr>
        <w:ind w:left="1300" w:firstLine="652"/>
        <w:spacing w:after="0" w:line="263" w:lineRule="auto"/>
        <w:tabs>
          <w:tab w:leader="none" w:pos="2444" w:val="left"/>
        </w:tabs>
        <w:numPr>
          <w:ilvl w:val="3"/>
          <w:numId w:val="28"/>
        </w:numPr>
        <w:rPr>
          <w:rFonts w:ascii="Arial" w:cs="Arial" w:eastAsia="Arial" w:hAnsi="Arial"/>
          <w:sz w:val="22"/>
          <w:szCs w:val="22"/>
          <w:color w:val="auto"/>
        </w:rPr>
      </w:pPr>
      <w:r>
        <w:rPr>
          <w:rFonts w:ascii="Arial" w:cs="Arial" w:eastAsia="Arial" w:hAnsi="Arial"/>
          <w:sz w:val="22"/>
          <w:szCs w:val="22"/>
          <w:color w:val="auto"/>
        </w:rPr>
        <w:t>The rights of the holders of Series Preference Stock of such series upon the voluntary or involuntary liquidation, distribution or sale of assets, dissolution or winding up of the Corporation;</w:t>
      </w:r>
    </w:p>
    <w:p>
      <w:pPr>
        <w:spacing w:after="0" w:line="174" w:lineRule="exact"/>
        <w:rPr>
          <w:rFonts w:ascii="Arial" w:cs="Arial" w:eastAsia="Arial" w:hAnsi="Arial"/>
          <w:sz w:val="22"/>
          <w:szCs w:val="22"/>
          <w:color w:val="auto"/>
        </w:rPr>
      </w:pPr>
    </w:p>
    <w:p>
      <w:pPr>
        <w:ind w:left="2400" w:hanging="448"/>
        <w:spacing w:after="0"/>
        <w:tabs>
          <w:tab w:leader="none" w:pos="2400" w:val="left"/>
        </w:tabs>
        <w:numPr>
          <w:ilvl w:val="3"/>
          <w:numId w:val="28"/>
        </w:numPr>
        <w:rPr>
          <w:rFonts w:ascii="Arial" w:cs="Arial" w:eastAsia="Arial" w:hAnsi="Arial"/>
          <w:sz w:val="22"/>
          <w:szCs w:val="22"/>
          <w:color w:val="auto"/>
        </w:rPr>
      </w:pPr>
      <w:r>
        <w:rPr>
          <w:rFonts w:ascii="Arial" w:cs="Arial" w:eastAsia="Arial" w:hAnsi="Arial"/>
          <w:sz w:val="22"/>
          <w:szCs w:val="22"/>
          <w:color w:val="auto"/>
        </w:rPr>
        <w:t>The voting power, if any, of the Series Preference Stock of such series; and</w:t>
      </w:r>
    </w:p>
    <w:p>
      <w:pPr>
        <w:spacing w:after="0" w:line="219" w:lineRule="exact"/>
        <w:rPr>
          <w:rFonts w:ascii="Arial" w:cs="Arial" w:eastAsia="Arial" w:hAnsi="Arial"/>
          <w:sz w:val="22"/>
          <w:szCs w:val="22"/>
          <w:color w:val="auto"/>
        </w:rPr>
      </w:pPr>
    </w:p>
    <w:p>
      <w:pPr>
        <w:ind w:left="1300" w:right="20" w:firstLine="652"/>
        <w:spacing w:after="0" w:line="263" w:lineRule="auto"/>
        <w:tabs>
          <w:tab w:leader="none" w:pos="2391" w:val="left"/>
        </w:tabs>
        <w:numPr>
          <w:ilvl w:val="3"/>
          <w:numId w:val="28"/>
        </w:numPr>
        <w:rPr>
          <w:rFonts w:ascii="Arial" w:cs="Arial" w:eastAsia="Arial" w:hAnsi="Arial"/>
          <w:sz w:val="22"/>
          <w:szCs w:val="22"/>
          <w:color w:val="auto"/>
        </w:rPr>
      </w:pPr>
      <w:r>
        <w:rPr>
          <w:rFonts w:ascii="Arial" w:cs="Arial" w:eastAsia="Arial" w:hAnsi="Arial"/>
          <w:sz w:val="22"/>
          <w:szCs w:val="22"/>
          <w:color w:val="auto"/>
        </w:rPr>
        <w:t>The terms of the sinking fund or redemption or purchase account, if any, to be provided for the Series Preference Stock of such series.</w:t>
      </w:r>
    </w:p>
    <w:p>
      <w:pPr>
        <w:spacing w:after="0" w:line="174" w:lineRule="exact"/>
        <w:rPr>
          <w:rFonts w:ascii="Arial" w:cs="Arial" w:eastAsia="Arial" w:hAnsi="Arial"/>
          <w:sz w:val="22"/>
          <w:szCs w:val="22"/>
          <w:color w:val="auto"/>
        </w:rPr>
      </w:pPr>
    </w:p>
    <w:p>
      <w:pPr>
        <w:jc w:val="both"/>
        <w:ind w:left="660" w:firstLine="644"/>
        <w:spacing w:after="0" w:line="250" w:lineRule="auto"/>
        <w:tabs>
          <w:tab w:leader="none" w:pos="1791" w:val="left"/>
        </w:tabs>
        <w:numPr>
          <w:ilvl w:val="2"/>
          <w:numId w:val="29"/>
        </w:numPr>
        <w:rPr>
          <w:rFonts w:ascii="Arial" w:cs="Arial" w:eastAsia="Arial" w:hAnsi="Arial"/>
          <w:sz w:val="22"/>
          <w:szCs w:val="22"/>
          <w:color w:val="auto"/>
        </w:rPr>
      </w:pPr>
      <w:r>
        <w:rPr>
          <w:rFonts w:ascii="Arial" w:cs="Arial" w:eastAsia="Arial" w:hAnsi="Arial"/>
          <w:sz w:val="22"/>
          <w:szCs w:val="22"/>
          <w:color w:val="auto"/>
        </w:rPr>
        <w:t>All shares of each series shall be identical in all respects to the other shares of such Series. The rights of the Common Stock of the Corporation shall be subject to the preferences and relative participating, optional and other special rights of the Series Preference Stock of each series as fixed herein and from time to time by the Board of Directors as aforesaid.</w:t>
      </w:r>
    </w:p>
    <w:p>
      <w:pPr>
        <w:spacing w:after="0" w:line="187"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B.  Provisions Applicable to Common Stock.</w:t>
      </w:r>
    </w:p>
    <w:p>
      <w:pPr>
        <w:spacing w:after="0" w:line="219" w:lineRule="exact"/>
        <w:rPr>
          <w:rFonts w:ascii="Arial" w:cs="Arial" w:eastAsia="Arial" w:hAnsi="Arial"/>
          <w:sz w:val="22"/>
          <w:szCs w:val="22"/>
          <w:color w:val="auto"/>
        </w:rPr>
      </w:pPr>
    </w:p>
    <w:p>
      <w:pPr>
        <w:jc w:val="both"/>
        <w:ind w:left="660" w:firstLine="644"/>
        <w:spacing w:after="0" w:line="248" w:lineRule="auto"/>
        <w:tabs>
          <w:tab w:leader="none" w:pos="1804" w:val="left"/>
        </w:tabs>
        <w:numPr>
          <w:ilvl w:val="2"/>
          <w:numId w:val="30"/>
        </w:numPr>
        <w:rPr>
          <w:rFonts w:ascii="Arial" w:cs="Arial" w:eastAsia="Arial" w:hAnsi="Arial"/>
          <w:sz w:val="22"/>
          <w:szCs w:val="22"/>
          <w:color w:val="auto"/>
        </w:rPr>
      </w:pPr>
      <w:r>
        <w:rPr>
          <w:rFonts w:ascii="Arial" w:cs="Arial" w:eastAsia="Arial" w:hAnsi="Arial"/>
          <w:sz w:val="22"/>
          <w:szCs w:val="22"/>
          <w:color w:val="auto"/>
        </w:rPr>
        <w:t>After the requirements with respect to preferential dividends upon the Series Preference Stock of all classes and series thereof shall have been met and after the Corporation shall have complied with all requirements, if any, with respect to the setting aside of sums as a sinking fund or redemption or purchase account for the benefit of any class or series thereof, then, and not otherwise, the holders of Common Stock shall be entitled to receive such dividends as may be declared from time to time by the Board of Directors.</w:t>
      </w:r>
    </w:p>
    <w:p>
      <w:pPr>
        <w:spacing w:after="0" w:line="191" w:lineRule="exact"/>
        <w:rPr>
          <w:rFonts w:ascii="Arial" w:cs="Arial" w:eastAsia="Arial" w:hAnsi="Arial"/>
          <w:sz w:val="22"/>
          <w:szCs w:val="22"/>
          <w:color w:val="auto"/>
        </w:rPr>
      </w:pPr>
    </w:p>
    <w:p>
      <w:pPr>
        <w:jc w:val="both"/>
        <w:ind w:left="660" w:firstLine="644"/>
        <w:spacing w:after="0" w:line="261" w:lineRule="auto"/>
        <w:tabs>
          <w:tab w:leader="none" w:pos="1808" w:val="left"/>
        </w:tabs>
        <w:numPr>
          <w:ilvl w:val="2"/>
          <w:numId w:val="30"/>
        </w:numPr>
        <w:rPr>
          <w:rFonts w:ascii="Arial" w:cs="Arial" w:eastAsia="Arial" w:hAnsi="Arial"/>
          <w:sz w:val="21"/>
          <w:szCs w:val="21"/>
          <w:color w:val="auto"/>
        </w:rPr>
      </w:pPr>
      <w:r>
        <w:rPr>
          <w:rFonts w:ascii="Arial" w:cs="Arial" w:eastAsia="Arial" w:hAnsi="Arial"/>
          <w:sz w:val="21"/>
          <w:szCs w:val="21"/>
          <w:color w:val="auto"/>
        </w:rPr>
        <w:t>After distribution in full of the preferential amounts to be distributed to the holders of all classes and series thereof of Series Preference Stock then outstanding in the event of a voluntary or involuntary liquidation, dissolution or winding up of the Corporation and subject any additional or special rights of the Series Preference Stock as to the remaining assets of the Corporation for distribution, the holders of the Common Stock shall be entitled to receive the remaining assets of the Corporation available for distribution to its shareholders ratably in proportion to the number of shares of Common Stock held by them respectively.</w:t>
      </w:r>
    </w:p>
    <w:p>
      <w:pPr>
        <w:spacing w:after="0" w:line="179" w:lineRule="exact"/>
        <w:rPr>
          <w:rFonts w:ascii="Arial" w:cs="Arial" w:eastAsia="Arial" w:hAnsi="Arial"/>
          <w:sz w:val="21"/>
          <w:szCs w:val="21"/>
          <w:color w:val="auto"/>
        </w:rPr>
      </w:pPr>
    </w:p>
    <w:p>
      <w:pPr>
        <w:ind w:left="1780" w:hanging="476"/>
        <w:spacing w:after="0"/>
        <w:tabs>
          <w:tab w:leader="none" w:pos="1780" w:val="left"/>
        </w:tabs>
        <w:numPr>
          <w:ilvl w:val="2"/>
          <w:numId w:val="30"/>
        </w:numPr>
        <w:rPr>
          <w:rFonts w:ascii="Arial" w:cs="Arial" w:eastAsia="Arial" w:hAnsi="Arial"/>
          <w:sz w:val="19"/>
          <w:szCs w:val="19"/>
          <w:color w:val="auto"/>
        </w:rPr>
      </w:pPr>
      <w:r>
        <w:rPr>
          <w:rFonts w:ascii="Arial" w:cs="Arial" w:eastAsia="Arial" w:hAnsi="Arial"/>
          <w:sz w:val="19"/>
          <w:szCs w:val="19"/>
          <w:color w:val="auto"/>
        </w:rPr>
        <w:t>Each holder of Common Stock shall have one vote in respect of each share of such stock held by such holder.</w:t>
      </w:r>
    </w:p>
    <w:p>
      <w:pPr>
        <w:spacing w:after="0" w:line="254" w:lineRule="exact"/>
        <w:rPr>
          <w:rFonts w:ascii="Arial" w:cs="Arial" w:eastAsia="Arial" w:hAnsi="Arial"/>
          <w:sz w:val="19"/>
          <w:szCs w:val="19"/>
          <w:color w:val="auto"/>
        </w:rPr>
      </w:pPr>
    </w:p>
    <w:p>
      <w:pPr>
        <w:ind w:left="1040" w:hanging="384"/>
        <w:spacing w:after="0"/>
        <w:tabs>
          <w:tab w:leader="none" w:pos="1040" w:val="left"/>
        </w:tabs>
        <w:numPr>
          <w:ilvl w:val="1"/>
          <w:numId w:val="31"/>
        </w:numPr>
        <w:rPr>
          <w:rFonts w:ascii="Arial" w:cs="Arial" w:eastAsia="Arial" w:hAnsi="Arial"/>
          <w:sz w:val="22"/>
          <w:szCs w:val="22"/>
          <w:color w:val="auto"/>
        </w:rPr>
      </w:pPr>
      <w:r>
        <w:rPr>
          <w:rFonts w:ascii="Arial" w:cs="Arial" w:eastAsia="Arial" w:hAnsi="Arial"/>
          <w:sz w:val="22"/>
          <w:szCs w:val="22"/>
          <w:color w:val="auto"/>
        </w:rPr>
        <w:t>The date of adoption of the amendment to Article IV was December 17, 2020.</w:t>
      </w:r>
    </w:p>
    <w:p>
      <w:pPr>
        <w:spacing w:after="0" w:line="219" w:lineRule="exact"/>
        <w:rPr>
          <w:rFonts w:ascii="Arial" w:cs="Arial" w:eastAsia="Arial" w:hAnsi="Arial"/>
          <w:sz w:val="22"/>
          <w:szCs w:val="22"/>
          <w:color w:val="auto"/>
        </w:rPr>
      </w:pPr>
    </w:p>
    <w:p>
      <w:pPr>
        <w:ind w:left="1040" w:hanging="384"/>
        <w:spacing w:after="0"/>
        <w:tabs>
          <w:tab w:leader="none" w:pos="1040" w:val="left"/>
        </w:tabs>
        <w:numPr>
          <w:ilvl w:val="1"/>
          <w:numId w:val="31"/>
        </w:numPr>
        <w:rPr>
          <w:rFonts w:ascii="Arial" w:cs="Arial" w:eastAsia="Arial" w:hAnsi="Arial"/>
          <w:sz w:val="22"/>
          <w:szCs w:val="22"/>
          <w:color w:val="auto"/>
        </w:rPr>
      </w:pPr>
      <w:r>
        <w:rPr>
          <w:rFonts w:ascii="Arial" w:cs="Arial" w:eastAsia="Arial" w:hAnsi="Arial"/>
          <w:sz w:val="22"/>
          <w:szCs w:val="22"/>
          <w:color w:val="auto"/>
        </w:rPr>
        <w:t>The amendment to Article IV was approved by the Corporation’s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41" w:name="page42"/>
    <w:bookmarkEnd w:id="41"/>
    <w:p>
      <w:pPr>
        <w:spacing w:after="0"/>
        <w:rPr>
          <w:sz w:val="20"/>
          <w:szCs w:val="20"/>
          <w:color w:val="auto"/>
        </w:rPr>
      </w:pPr>
      <w:r>
        <w:rPr>
          <w:rFonts w:ascii="Arial" w:cs="Arial" w:eastAsia="Arial" w:hAnsi="Arial"/>
          <w:sz w:val="22"/>
          <w:szCs w:val="22"/>
          <w:color w:val="auto"/>
        </w:rPr>
        <w:t>The effective date and time of this document is the time of filing on the date it is filed.</w:t>
      </w:r>
    </w:p>
    <w:p>
      <w:pPr>
        <w:spacing w:after="0" w:line="220"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WINNEBAGO INDUSTRIES, INC.</w:t>
      </w:r>
    </w:p>
    <w:p>
      <w:pPr>
        <w:spacing w:after="0" w:line="200" w:lineRule="exact"/>
        <w:rPr>
          <w:sz w:val="20"/>
          <w:szCs w:val="20"/>
          <w:color w:val="auto"/>
        </w:rPr>
      </w:pPr>
    </w:p>
    <w:p>
      <w:pPr>
        <w:spacing w:after="0" w:line="290"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By:/s/ Stacy L. Bogart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2664460</wp:posOffset>
            </wp:positionH>
            <wp:positionV relativeFrom="paragraph">
              <wp:posOffset>-17780</wp:posOffset>
            </wp:positionV>
            <wp:extent cx="11658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Stacy L. Bogart</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Senior Vice President, General Counsel, Secretary and Corporate</w:t>
      </w:r>
    </w:p>
    <w:p>
      <w:pPr>
        <w:spacing w:after="0" w:line="4"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Responsibility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9840"/>
          </w:cols>
          <w:pgMar w:left="980" w:top="1428" w:right="107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CERTIFICATION BY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Michael J. Happe, Chief Executive Officer of Winnebago Industries, Inc., certify that:</w:t>
      </w:r>
    </w:p>
    <w:p>
      <w:pPr>
        <w:spacing w:after="0" w:line="248"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248" w:lineRule="exact"/>
        <w:rPr>
          <w:rFonts w:ascii="Arial" w:cs="Arial" w:eastAsia="Arial" w:hAnsi="Arial"/>
          <w:sz w:val="16"/>
          <w:szCs w:val="16"/>
          <w:color w:val="auto"/>
        </w:rPr>
      </w:pPr>
    </w:p>
    <w:p>
      <w:pPr>
        <w:jc w:val="both"/>
        <w:ind w:left="340" w:right="440" w:hanging="332"/>
        <w:spacing w:after="0" w:line="253"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6"/>
          <w:szCs w:val="16"/>
          <w:color w:val="auto"/>
        </w:rPr>
      </w:pPr>
    </w:p>
    <w:p>
      <w:pPr>
        <w:ind w:left="340" w:right="20" w:hanging="332"/>
        <w:spacing w:after="0" w:line="260"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16"/>
          <w:szCs w:val="16"/>
          <w:color w:val="auto"/>
        </w:rPr>
      </w:pPr>
    </w:p>
    <w:p>
      <w:pPr>
        <w:ind w:left="340" w:right="180" w:hanging="332"/>
        <w:spacing w:after="0" w:line="253"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6"/>
          <w:szCs w:val="16"/>
          <w:color w:val="auto"/>
        </w:rPr>
      </w:pPr>
    </w:p>
    <w:p>
      <w:pPr>
        <w:ind w:left="660" w:right="300" w:hanging="328"/>
        <w:spacing w:after="0" w:line="253" w:lineRule="auto"/>
        <w:tabs>
          <w:tab w:leader="none" w:pos="6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6"/>
          <w:szCs w:val="16"/>
          <w:color w:val="auto"/>
        </w:rPr>
      </w:pPr>
    </w:p>
    <w:p>
      <w:pPr>
        <w:ind w:left="660" w:right="20" w:hanging="328"/>
        <w:spacing w:after="0" w:line="253" w:lineRule="auto"/>
        <w:tabs>
          <w:tab w:leader="none" w:pos="6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6"/>
          <w:szCs w:val="16"/>
          <w:color w:val="auto"/>
        </w:rPr>
      </w:pPr>
    </w:p>
    <w:p>
      <w:pPr>
        <w:jc w:val="both"/>
        <w:ind w:left="660" w:right="820" w:hanging="328"/>
        <w:spacing w:after="0" w:line="260" w:lineRule="auto"/>
        <w:tabs>
          <w:tab w:leader="none" w:pos="651"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2"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6"/>
          <w:szCs w:val="16"/>
          <w:color w:val="auto"/>
        </w:rPr>
      </w:pPr>
    </w:p>
    <w:p>
      <w:pPr>
        <w:ind w:left="340" w:right="440" w:hanging="332"/>
        <w:spacing w:after="0" w:line="260"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2"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left="660" w:right="360" w:hanging="328"/>
        <w:spacing w:after="0" w:line="260" w:lineRule="auto"/>
        <w:tabs>
          <w:tab w:leader="none" w:pos="6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20"/>
        <w:spacing w:after="0"/>
        <w:tabs>
          <w:tab w:leader="none" w:pos="960" w:val="left"/>
          <w:tab w:leader="none" w:pos="6120" w:val="left"/>
          <w:tab w:leader="none" w:pos="69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18,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20955</wp:posOffset>
            </wp:positionV>
            <wp:extent cx="27000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96"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Michael J. Happe</w:t>
      </w:r>
    </w:p>
    <w:p>
      <w:pPr>
        <w:spacing w:after="0" w:line="86"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240"/>
          </w:cols>
          <w:pgMar w:left="320" w:top="89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color w:val="auto"/>
        </w:rPr>
        <w:t>Exhibit 31.2</w:t>
      </w:r>
    </w:p>
    <w:p>
      <w:pPr>
        <w:spacing w:after="0" w:line="25"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CERTIFICATION BY CHIEF FINANCIAL OFFICER</w:t>
      </w:r>
    </w:p>
    <w:p>
      <w:pPr>
        <w:spacing w:after="0" w:line="5"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auto"/>
        </w:rPr>
        <w:t>AS ADOPTED PURSUANT TO SECTION 302</w:t>
      </w:r>
    </w:p>
    <w:p>
      <w:pPr>
        <w:spacing w:after="0" w:line="5" w:lineRule="exact"/>
        <w:rPr>
          <w:sz w:val="20"/>
          <w:szCs w:val="20"/>
          <w:color w:val="auto"/>
        </w:rPr>
      </w:pPr>
    </w:p>
    <w:p>
      <w:pPr>
        <w:ind w:left="4020"/>
        <w:spacing w:after="0"/>
        <w:rPr>
          <w:sz w:val="20"/>
          <w:szCs w:val="20"/>
          <w:color w:val="auto"/>
        </w:rPr>
      </w:pPr>
      <w:r>
        <w:rPr>
          <w:rFonts w:ascii="Arial" w:cs="Arial" w:eastAsia="Arial" w:hAnsi="Arial"/>
          <w:sz w:val="16"/>
          <w:szCs w:val="16"/>
          <w:b w:val="1"/>
          <w:bCs w:val="1"/>
          <w:color w:val="auto"/>
        </w:rPr>
        <w:t>OF THE SARBANES-OXLEY ACT OF 2002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 Bryan L. Hughes, Chief Financial Officer of Winnebago Industries, Inc., certify that:</w:t>
      </w:r>
    </w:p>
    <w:p>
      <w:pPr>
        <w:spacing w:after="0" w:line="248"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248" w:lineRule="exact"/>
        <w:rPr>
          <w:rFonts w:ascii="Arial" w:cs="Arial" w:eastAsia="Arial" w:hAnsi="Arial"/>
          <w:sz w:val="16"/>
          <w:szCs w:val="16"/>
          <w:color w:val="auto"/>
        </w:rPr>
      </w:pPr>
    </w:p>
    <w:p>
      <w:pPr>
        <w:jc w:val="both"/>
        <w:ind w:left="340" w:right="440" w:hanging="332"/>
        <w:spacing w:after="0" w:line="253"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6"/>
          <w:szCs w:val="16"/>
          <w:color w:val="auto"/>
        </w:rPr>
      </w:pPr>
    </w:p>
    <w:p>
      <w:pPr>
        <w:ind w:left="340" w:right="20" w:hanging="332"/>
        <w:spacing w:after="0" w:line="260"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16"/>
          <w:szCs w:val="16"/>
          <w:color w:val="auto"/>
        </w:rPr>
      </w:pPr>
    </w:p>
    <w:p>
      <w:pPr>
        <w:ind w:left="340" w:right="180" w:hanging="332"/>
        <w:spacing w:after="0" w:line="253"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6"/>
          <w:szCs w:val="16"/>
          <w:color w:val="auto"/>
        </w:rPr>
      </w:pPr>
    </w:p>
    <w:p>
      <w:pPr>
        <w:ind w:left="660" w:right="300" w:hanging="328"/>
        <w:spacing w:after="0" w:line="253" w:lineRule="auto"/>
        <w:tabs>
          <w:tab w:leader="none" w:pos="6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6"/>
          <w:szCs w:val="16"/>
          <w:color w:val="auto"/>
        </w:rPr>
      </w:pPr>
    </w:p>
    <w:p>
      <w:pPr>
        <w:ind w:left="660" w:right="20" w:hanging="328"/>
        <w:spacing w:after="0" w:line="253" w:lineRule="auto"/>
        <w:tabs>
          <w:tab w:leader="none" w:pos="6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6"/>
          <w:szCs w:val="16"/>
          <w:color w:val="auto"/>
        </w:rPr>
      </w:pPr>
    </w:p>
    <w:p>
      <w:pPr>
        <w:jc w:val="both"/>
        <w:ind w:left="660" w:right="820" w:hanging="328"/>
        <w:spacing w:after="0" w:line="260" w:lineRule="auto"/>
        <w:tabs>
          <w:tab w:leader="none" w:pos="651"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2"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6"/>
          <w:szCs w:val="16"/>
          <w:color w:val="auto"/>
        </w:rPr>
      </w:pPr>
    </w:p>
    <w:p>
      <w:pPr>
        <w:ind w:left="340" w:right="440" w:hanging="332"/>
        <w:spacing w:after="0" w:line="260"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2"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left="660" w:right="360" w:hanging="328"/>
        <w:spacing w:after="0" w:line="260" w:lineRule="auto"/>
        <w:tabs>
          <w:tab w:leader="none" w:pos="6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20"/>
        <w:spacing w:after="0"/>
        <w:tabs>
          <w:tab w:leader="none" w:pos="960" w:val="left"/>
          <w:tab w:leader="none" w:pos="6120" w:val="left"/>
          <w:tab w:leader="none" w:pos="69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18,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20955</wp:posOffset>
            </wp:positionV>
            <wp:extent cx="27000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42"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Bryan L. Hughes</w:t>
      </w:r>
    </w:p>
    <w:p>
      <w:pPr>
        <w:spacing w:after="0" w:line="32"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Senior Vice President, Chief Financial Officer</w:t>
      </w:r>
    </w:p>
    <w:p>
      <w:pPr>
        <w:sectPr>
          <w:pgSz w:w="11900" w:h="16838" w:orient="portrait"/>
          <w:cols w:equalWidth="0" w:num="1">
            <w:col w:w="11240"/>
          </w:cols>
          <w:pgMar w:left="320" w:top="89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CERTIFICATION BY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Section 1350, as adopted pursuant to Section 906 of the Sarbanes-Oxley Act of 2002, I, Michael J. Happe, Chief Executive Officer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(the "Company"), hereby certify that to my knowledge:</w:t>
      </w:r>
    </w:p>
    <w:p>
      <w:pPr>
        <w:spacing w:after="0" w:line="248" w:lineRule="exact"/>
        <w:rPr>
          <w:sz w:val="20"/>
          <w:szCs w:val="20"/>
          <w:color w:val="auto"/>
        </w:rPr>
      </w:pPr>
    </w:p>
    <w:p>
      <w:pPr>
        <w:ind w:left="660" w:right="700" w:hanging="328"/>
        <w:spacing w:after="0" w:line="260"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November 28, 2020 (the "Report") of the Company, fully complies with the requirements of Section 13(a) or 15(d) of the Securities Exchange Act of 1934, and</w:t>
      </w:r>
    </w:p>
    <w:p>
      <w:pPr>
        <w:spacing w:after="0" w:line="222"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219" w:lineRule="exact"/>
        <w:rPr>
          <w:sz w:val="20"/>
          <w:szCs w:val="20"/>
          <w:color w:val="auto"/>
        </w:rPr>
      </w:pPr>
    </w:p>
    <w:p>
      <w:pPr>
        <w:ind w:left="20"/>
        <w:spacing w:after="0"/>
        <w:tabs>
          <w:tab w:leader="none" w:pos="960" w:val="left"/>
          <w:tab w:leader="none" w:pos="6120" w:val="left"/>
          <w:tab w:leader="none" w:pos="69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18,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20955</wp:posOffset>
            </wp:positionV>
            <wp:extent cx="27000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96"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Michael J. Happe</w:t>
      </w:r>
    </w:p>
    <w:p>
      <w:pPr>
        <w:spacing w:after="0" w:line="86"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240"/>
          </w:cols>
          <w:pgMar w:left="320" w:top="89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CERTIFICATION BY CHIEF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Section 1350, as adopted pursuant to Section 906 of the Sarbanes-Oxley Act of 2002, I, Bryan L. Hughes, Chief Financial Officer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(the "Company"), hereby certify that to my knowledge:</w:t>
      </w:r>
    </w:p>
    <w:p>
      <w:pPr>
        <w:spacing w:after="0" w:line="248" w:lineRule="exact"/>
        <w:rPr>
          <w:sz w:val="20"/>
          <w:szCs w:val="20"/>
          <w:color w:val="auto"/>
        </w:rPr>
      </w:pPr>
    </w:p>
    <w:p>
      <w:pPr>
        <w:ind w:left="660" w:right="700" w:hanging="328"/>
        <w:spacing w:after="0" w:line="260"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November 28, 2020 (the "Report") of the Company, fully complies with the requirements of Section 13(a) or 15(d) of the Securities Exchange Act of 1934, and</w:t>
      </w:r>
    </w:p>
    <w:p>
      <w:pPr>
        <w:spacing w:after="0" w:line="222"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273" w:lineRule="exact"/>
        <w:rPr>
          <w:sz w:val="20"/>
          <w:szCs w:val="20"/>
          <w:color w:val="auto"/>
        </w:rPr>
      </w:pPr>
    </w:p>
    <w:p>
      <w:pPr>
        <w:ind w:left="20"/>
        <w:spacing w:after="0"/>
        <w:tabs>
          <w:tab w:leader="none" w:pos="960" w:val="left"/>
          <w:tab w:leader="none" w:pos="6120" w:val="left"/>
          <w:tab w:leader="none" w:pos="69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18,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20955</wp:posOffset>
            </wp:positionV>
            <wp:extent cx="27000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42"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Bryan L. Hughes</w:t>
      </w:r>
    </w:p>
    <w:p>
      <w:pPr>
        <w:spacing w:after="0" w:line="32"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Senior Vice President, 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decimal"/>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decimal"/>
      <w:start w:val="101"/>
    </w:lvl>
  </w:abstractNum>
  <w:abstractNum w:abstractNumId="16">
    <w:nsid w:val="B03E0C6"/>
    <w:multiLevelType w:val="hybridMultilevel"/>
    <w:lvl w:ilvl="0">
      <w:lvlJc w:val="left"/>
      <w:lvlText w:val="%1"/>
      <w:numFmt w:val="decimal"/>
      <w:start w:val="104"/>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upperLetter"/>
      <w:start w:val="1"/>
    </w:lvl>
    <w:lvl w:ilvl="1">
      <w:lvlJc w:val="left"/>
      <w:lvlText w:val="(%2)"/>
      <w:numFmt w:val="decimal"/>
      <w:start w:val="1"/>
    </w:lvl>
  </w:abstractNum>
  <w:abstractNum w:abstractNumId="19">
    <w:nsid w:val="71F32454"/>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0">
    <w:nsid w:val="2CA88611"/>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21">
    <w:nsid w:val="836C40E"/>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22">
    <w:nsid w:val="2901D82"/>
    <w:multiLevelType w:val="hybridMultilevel"/>
    <w:lvl w:ilvl="0">
      <w:lvlJc w:val="left"/>
      <w:lvlText w:val="(%1)"/>
      <w:numFmt w:val="decimal"/>
      <w:start w:val="3"/>
    </w:lvl>
  </w:abstractNum>
  <w:abstractNum w:abstractNumId="23">
    <w:nsid w:val="3A95F874"/>
    <w:multiLevelType w:val="hybridMultilevel"/>
    <w:lvl w:ilvl="0">
      <w:lvlJc w:val="left"/>
      <w:lvlText w:val="%1."/>
      <w:numFmt w:val="upperLetter"/>
      <w:start w:val="1"/>
    </w:lvl>
  </w:abstractNum>
  <w:abstractNum w:abstractNumId="24">
    <w:nsid w:val="8138641"/>
    <w:multiLevelType w:val="hybridMultilevel"/>
    <w:lvl w:ilvl="0">
      <w:lvlJc w:val="left"/>
      <w:lvlText w:val="%1."/>
      <w:numFmt w:val="upperLetter"/>
      <w:start w:val="2"/>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7">
    <w:nsid w:val="737B8DDC"/>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lvl w:ilvl="3">
      <w:lvlJc w:val="left"/>
      <w:lvlText w:val="(%4)"/>
      <w:numFmt w:val="lowerLetter"/>
      <w:start w:val="3"/>
    </w:lvl>
  </w:abstractNum>
  <w:abstractNum w:abstractNumId="28">
    <w:nsid w:val="6CEAF087"/>
    <w:multiLevelType w:val="hybridMultilevel"/>
    <w:lvl w:ilvl="0">
      <w:lvlJc w:val="left"/>
      <w:lvlText w:val="%1"/>
      <w:numFmt w:val="upperLetter"/>
      <w:start w:val="1"/>
    </w:lvl>
    <w:lvl w:ilvl="1">
      <w:lvlJc w:val="left"/>
      <w:lvlText w:val="%2"/>
      <w:numFmt w:val="decimal"/>
      <w:start w:val="1"/>
    </w:lvl>
    <w:lvl w:ilvl="2">
      <w:lvlJc w:val="left"/>
      <w:lvlText w:val="(%3)"/>
      <w:numFmt w:val="decimal"/>
      <w:start w:val="2"/>
    </w:lvl>
    <w:lvl w:ilvl="3">
      <w:lvlJc w:val="left"/>
      <w:lvlText w:val="%4"/>
      <w:numFmt w:val="lowerLetter"/>
      <w:start w:val="1"/>
    </w:lvl>
  </w:abstractNum>
  <w:abstractNum w:abstractNumId="29">
    <w:nsid w:val="22221A70"/>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30">
    <w:nsid w:val="4516DDE9"/>
    <w:multiLevelType w:val="hybridMultilevel"/>
    <w:lvl w:ilvl="0">
      <w:lvlJc w:val="left"/>
      <w:lvlText w:val="%1"/>
      <w:numFmt w:val="upperLetter"/>
      <w:start w:val="1"/>
    </w:lvl>
    <w:lvl w:ilvl="1">
      <w:lvlJc w:val="left"/>
      <w:lvlText w:val="%2."/>
      <w:numFmt w:val="decimal"/>
      <w:start w:val="3"/>
    </w:lvl>
    <w:lvl w:ilvl="2">
      <w:lvlJc w:val="left"/>
      <w:lvlText w:val="%3"/>
      <w:numFmt w:val="decimal"/>
      <w:start w:val="1"/>
    </w:lvl>
    <w:lvl w:ilvl="3">
      <w:lvlJc w:val="left"/>
      <w:lvlText w:val="%4"/>
      <w:numFmt w:val="lowerLetter"/>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lowerLetter"/>
      <w:start w:val="1"/>
    </w:lvl>
  </w:abstractNum>
  <w:abstractNum w:abstractNumId="34">
    <w:nsid w:val="5577F8E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47" Type="http://schemas.openxmlformats.org/officeDocument/2006/relationships/hyperlink" Target="http://www.sec.gov/Archives/edgar/data/107687/000010768716000075/exh31by-lawsasamended3x16x.htm" TargetMode="External"/><Relationship Id="rId48" Type="http://schemas.openxmlformats.org/officeDocument/2006/relationships/hyperlink" Target="http://www.sec.gov/Archives/edgar/data/107687/000110465919059604/a19-21005_2ex4d1.htm" TargetMode="External"/><Relationship Id="rId49" Type="http://schemas.openxmlformats.org/officeDocument/2006/relationships/hyperlink" Target="https://www.sec.gov/Archives/edgar/data/107687/000110465920082433/tm2024371d1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2020-12-18T15:11:26Z</dcterms:created>
  <dcterms:modified xsi:type="dcterms:W3CDTF">2020-12-18T15:11:26Z</dcterms:modified>
</cp:coreProperties>
</file>