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report (Date of earliest event reported) December 8,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1078230</wp:posOffset>
            </wp:positionV>
            <wp:extent cx="13804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-1270</wp:posOffset>
            </wp:positionV>
            <wp:extent cx="1895475" cy="823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23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79" w:lineRule="exact"/>
        <w:rPr>
          <w:sz w:val="24"/>
          <w:szCs w:val="24"/>
          <w:color w:val="auto"/>
        </w:rPr>
      </w:pPr>
    </w:p>
    <w:tbl>
      <w:tblPr>
        <w:tblLayout w:type="fixed"/>
        <w:tblInd w:w="1100" w:type="dxa"/>
        <w:tblCellMar>
          <w:top w:w="0" w:type="dxa"/>
          <w:left w:w="0" w:type="dxa"/>
          <w:bottom w:w="0" w:type="dxa"/>
          <w:right w:w="0" w:type="dxa"/>
        </w:tblCellMar>
      </w:tblPr>
      <w:tr>
        <w:trPr>
          <w:trHeight w:val="246"/>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7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001-06403</w:t>
            </w:r>
          </w:p>
        </w:tc>
        <w:tc>
          <w:tcPr>
            <w:tcW w:w="316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42-0802678</w:t>
            </w:r>
          </w:p>
        </w:tc>
      </w:tr>
      <w:tr>
        <w:trPr>
          <w:trHeight w:val="229"/>
        </w:trPr>
        <w:tc>
          <w:tcPr>
            <w:tcW w:w="3320" w:type="dxa"/>
            <w:vAlign w:val="bottom"/>
          </w:tcPr>
          <w:p>
            <w:pPr>
              <w:jc w:val="center"/>
              <w:spacing w:after="0"/>
              <w:rPr>
                <w:sz w:val="20"/>
                <w:szCs w:val="20"/>
                <w:color w:val="auto"/>
              </w:rPr>
            </w:pPr>
            <w:r>
              <w:rPr>
                <w:rFonts w:ascii="Arial" w:cs="Arial" w:eastAsia="Arial" w:hAnsi="Arial"/>
                <w:sz w:val="18"/>
                <w:szCs w:val="18"/>
                <w:color w:val="auto"/>
                <w:w w:val="99"/>
              </w:rPr>
              <w:t>(State or Other Jurisdiction</w:t>
            </w:r>
          </w:p>
        </w:tc>
        <w:tc>
          <w:tcPr>
            <w:tcW w:w="2740" w:type="dxa"/>
            <w:vAlign w:val="bottom"/>
          </w:tcPr>
          <w:p>
            <w:pPr>
              <w:jc w:val="center"/>
              <w:spacing w:after="0"/>
              <w:rPr>
                <w:sz w:val="20"/>
                <w:szCs w:val="20"/>
                <w:color w:val="auto"/>
              </w:rPr>
            </w:pPr>
            <w:r>
              <w:rPr>
                <w:rFonts w:ascii="Arial" w:cs="Arial" w:eastAsia="Arial" w:hAnsi="Arial"/>
                <w:sz w:val="18"/>
                <w:szCs w:val="18"/>
                <w:color w:val="auto"/>
                <w:w w:val="99"/>
              </w:rPr>
              <w:t>(Commission File Number)</w:t>
            </w:r>
          </w:p>
        </w:tc>
        <w:tc>
          <w:tcPr>
            <w:tcW w:w="3160" w:type="dxa"/>
            <w:vAlign w:val="bottom"/>
          </w:tcPr>
          <w:p>
            <w:pPr>
              <w:jc w:val="center"/>
              <w:spacing w:after="0"/>
              <w:rPr>
                <w:sz w:val="20"/>
                <w:szCs w:val="20"/>
                <w:color w:val="auto"/>
              </w:rPr>
            </w:pPr>
            <w:r>
              <w:rPr>
                <w:rFonts w:ascii="Arial" w:cs="Arial" w:eastAsia="Arial" w:hAnsi="Arial"/>
                <w:sz w:val="18"/>
                <w:szCs w:val="18"/>
                <w:color w:val="auto"/>
                <w:w w:val="99"/>
              </w:rPr>
              <w:t>(IRS Employer</w:t>
            </w:r>
          </w:p>
        </w:tc>
      </w:tr>
      <w:tr>
        <w:trPr>
          <w:trHeight w:val="217"/>
        </w:trPr>
        <w:tc>
          <w:tcPr>
            <w:tcW w:w="3320" w:type="dxa"/>
            <w:vAlign w:val="bottom"/>
          </w:tcPr>
          <w:p>
            <w:pPr>
              <w:jc w:val="center"/>
              <w:spacing w:after="0"/>
              <w:rPr>
                <w:sz w:val="20"/>
                <w:szCs w:val="20"/>
                <w:color w:val="auto"/>
              </w:rPr>
            </w:pPr>
            <w:r>
              <w:rPr>
                <w:rFonts w:ascii="Arial" w:cs="Arial" w:eastAsia="Arial" w:hAnsi="Arial"/>
                <w:sz w:val="18"/>
                <w:szCs w:val="18"/>
                <w:color w:val="auto"/>
              </w:rPr>
              <w:t>of Incorporation)</w:t>
            </w:r>
          </w:p>
        </w:tc>
        <w:tc>
          <w:tcPr>
            <w:tcW w:w="2740" w:type="dxa"/>
            <w:vAlign w:val="bottom"/>
          </w:tcPr>
          <w:p>
            <w:pPr>
              <w:spacing w:after="0"/>
              <w:rPr>
                <w:sz w:val="18"/>
                <w:szCs w:val="18"/>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9"/>
              </w:rPr>
              <w:t>Identification No.)</w:t>
            </w:r>
          </w:p>
        </w:tc>
      </w:tr>
      <w:tr>
        <w:trPr>
          <w:trHeight w:val="520"/>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740" w:type="dxa"/>
            <w:vAlign w:val="bottom"/>
          </w:tcPr>
          <w:p>
            <w:pPr>
              <w:spacing w:after="0"/>
              <w:rPr>
                <w:sz w:val="24"/>
                <w:szCs w:val="24"/>
                <w:color w:val="auto"/>
              </w:rPr>
            </w:pPr>
          </w:p>
        </w:tc>
        <w:tc>
          <w:tcPr>
            <w:tcW w:w="316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50436</w:t>
            </w:r>
          </w:p>
        </w:tc>
      </w:tr>
      <w:tr>
        <w:trPr>
          <w:trHeight w:val="243"/>
        </w:trPr>
        <w:tc>
          <w:tcPr>
            <w:tcW w:w="3320" w:type="dxa"/>
            <w:vAlign w:val="bottom"/>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2740" w:type="dxa"/>
            <w:vAlign w:val="bottom"/>
          </w:tcPr>
          <w:p>
            <w:pPr>
              <w:spacing w:after="0"/>
              <w:rPr>
                <w:sz w:val="21"/>
                <w:szCs w:val="21"/>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8"/>
              </w:rPr>
              <w:t>(Zip Code)</w:t>
            </w:r>
          </w:p>
        </w:tc>
      </w:tr>
      <w:tr>
        <w:trPr>
          <w:trHeight w:val="486"/>
        </w:trPr>
        <w:tc>
          <w:tcPr>
            <w:tcW w:w="6060" w:type="dxa"/>
            <w:vAlign w:val="bottom"/>
            <w:gridSpan w:val="2"/>
          </w:tcPr>
          <w:p>
            <w:pPr>
              <w:ind w:left="1940"/>
              <w:spacing w:after="0"/>
              <w:rPr>
                <w:sz w:val="20"/>
                <w:szCs w:val="20"/>
                <w:color w:val="auto"/>
              </w:rPr>
            </w:pPr>
            <w:r>
              <w:rPr>
                <w:rFonts w:ascii="Arial" w:cs="Arial" w:eastAsia="Arial" w:hAnsi="Arial"/>
                <w:sz w:val="18"/>
                <w:szCs w:val="18"/>
                <w:color w:val="auto"/>
                <w:w w:val="99"/>
              </w:rPr>
              <w:t>Registrant's telephone number, including area code</w:t>
            </w:r>
          </w:p>
        </w:tc>
        <w:tc>
          <w:tcPr>
            <w:tcW w:w="3160" w:type="dxa"/>
            <w:vAlign w:val="bottom"/>
          </w:tcPr>
          <w:p>
            <w:pPr>
              <w:jc w:val="right"/>
              <w:ind w:right="1830"/>
              <w:spacing w:after="0"/>
              <w:rPr>
                <w:sz w:val="20"/>
                <w:szCs w:val="20"/>
                <w:color w:val="auto"/>
              </w:rPr>
            </w:pPr>
            <w:r>
              <w:rPr>
                <w:rFonts w:ascii="Arial" w:cs="Arial" w:eastAsia="Arial" w:hAnsi="Arial"/>
                <w:sz w:val="18"/>
                <w:szCs w:val="18"/>
                <w:b w:val="1"/>
                <w:bCs w:val="1"/>
                <w:color w:val="auto"/>
              </w:rPr>
              <w:t>641-585-3535</w:t>
            </w:r>
          </w:p>
        </w:tc>
      </w:tr>
    </w:tbl>
    <w:p>
      <w:pPr>
        <w:spacing w:after="0" w:line="256" w:lineRule="exact"/>
        <w:rPr>
          <w:sz w:val="24"/>
          <w:szCs w:val="24"/>
          <w:color w:val="auto"/>
        </w:rPr>
      </w:pPr>
    </w:p>
    <w:p>
      <w:pPr>
        <w:ind w:left="222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255270</wp:posOffset>
            </wp:positionV>
            <wp:extent cx="13633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6" w:lineRule="exact"/>
        <w:rPr>
          <w:sz w:val="24"/>
          <w:szCs w:val="24"/>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67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Winnebago Industries, Inc. (Winnebago Industries) is filing herewith a press release issued on December 8, 2011, as Exhibit 99.1 which is included herein. The press release was issued to report that on December 15, 2011, Winnebago Industries anticipates announcing its financial results for its first quarter of Fiscal 2012 ended November 26, 2011. In connection with the announcement, Winnebago Industries will host a conference call on December 15, 2011 at 9:00 a.m. Central time. Details regarding the conference call are contained in the press release included 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7"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Exhibit</w:t>
      </w:r>
    </w:p>
    <w:p>
      <w:pPr>
        <w:spacing w:after="0" w:line="31"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7"/>
          <w:szCs w:val="17"/>
          <w:b w:val="1"/>
          <w:bCs w:val="1"/>
          <w:u w:val="single" w:color="auto"/>
          <w:color w:val="auto"/>
        </w:rPr>
        <w:t>Description</w:t>
      </w:r>
    </w:p>
    <w:p>
      <w:pPr>
        <w:spacing w:after="0" w:line="9"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Press release of Winnebago Industries, Inc. dated December 8, 2011.</w:t>
      </w:r>
    </w:p>
    <w:p>
      <w:pPr>
        <w:sectPr>
          <w:pgSz w:w="11900" w:h="16838" w:orient="portrait"/>
          <w:cols w:equalWidth="0" w:num="1">
            <w:col w:w="11340"/>
          </w:cols>
          <w:pgMar w:left="240" w:top="792" w:right="31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22"/>
          <w:szCs w:val="22"/>
          <w:b w:val="1"/>
          <w:bCs w:val="1"/>
          <w:color w:val="auto"/>
        </w:rPr>
        <w:t>SIGNATURES</w:t>
      </w:r>
    </w:p>
    <w:p>
      <w:pPr>
        <w:spacing w:after="0" w:line="17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72"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WINNEBAGO INDUSTRIES, INC.</w:t>
      </w:r>
    </w:p>
    <w:p>
      <w:pPr>
        <w:spacing w:after="0" w:line="63"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(Registrant)</w:t>
      </w: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224"/>
        </w:trPr>
        <w:tc>
          <w:tcPr>
            <w:tcW w:w="2740" w:type="dxa"/>
            <w:vAlign w:val="bottom"/>
          </w:tcPr>
          <w:p>
            <w:pPr>
              <w:spacing w:after="0"/>
              <w:rPr>
                <w:sz w:val="20"/>
                <w:szCs w:val="20"/>
                <w:color w:val="auto"/>
              </w:rPr>
            </w:pPr>
            <w:r>
              <w:rPr>
                <w:rFonts w:ascii="Arial" w:cs="Arial" w:eastAsia="Arial" w:hAnsi="Arial"/>
                <w:sz w:val="18"/>
                <w:szCs w:val="18"/>
                <w:color w:val="auto"/>
              </w:rPr>
              <w:t>Dated:  December 8, 2011</w:t>
            </w:r>
          </w:p>
        </w:tc>
        <w:tc>
          <w:tcPr>
            <w:tcW w:w="1300" w:type="dxa"/>
            <w:vAlign w:val="bottom"/>
          </w:tcPr>
          <w:p>
            <w:pPr>
              <w:ind w:left="6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Randy J. Potts</w:t>
            </w:r>
          </w:p>
        </w:tc>
      </w:tr>
      <w:tr>
        <w:trPr>
          <w:trHeight w:val="243"/>
        </w:trPr>
        <w:tc>
          <w:tcPr>
            <w:tcW w:w="2740" w:type="dxa"/>
            <w:vAlign w:val="bottom"/>
          </w:tcPr>
          <w:p>
            <w:pPr>
              <w:spacing w:after="0"/>
              <w:rPr>
                <w:sz w:val="21"/>
                <w:szCs w:val="21"/>
                <w:color w:val="auto"/>
              </w:rPr>
            </w:pPr>
          </w:p>
        </w:tc>
        <w:tc>
          <w:tcPr>
            <w:tcW w:w="1300" w:type="dxa"/>
            <w:vAlign w:val="bottom"/>
          </w:tcPr>
          <w:p>
            <w:pPr>
              <w:ind w:left="620"/>
              <w:spacing w:after="0"/>
              <w:rPr>
                <w:sz w:val="20"/>
                <w:szCs w:val="20"/>
                <w:color w:val="auto"/>
              </w:rPr>
            </w:pPr>
            <w:r>
              <w:rPr>
                <w:rFonts w:ascii="Arial" w:cs="Arial" w:eastAsia="Arial" w:hAnsi="Arial"/>
                <w:sz w:val="18"/>
                <w:szCs w:val="18"/>
                <w:color w:val="auto"/>
              </w:rPr>
              <w:t>Name:</w:t>
            </w:r>
          </w:p>
        </w:tc>
        <w:tc>
          <w:tcPr>
            <w:tcW w:w="5140" w:type="dxa"/>
            <w:vAlign w:val="bottom"/>
          </w:tcPr>
          <w:p>
            <w:pPr>
              <w:ind w:left="40"/>
              <w:spacing w:after="0"/>
              <w:rPr>
                <w:sz w:val="20"/>
                <w:szCs w:val="20"/>
                <w:color w:val="auto"/>
              </w:rPr>
            </w:pPr>
            <w:r>
              <w:rPr>
                <w:rFonts w:ascii="Arial" w:cs="Arial" w:eastAsia="Arial" w:hAnsi="Arial"/>
                <w:sz w:val="18"/>
                <w:szCs w:val="18"/>
                <w:color w:val="auto"/>
              </w:rPr>
              <w:t>Randy J. Potts</w:t>
            </w:r>
          </w:p>
        </w:tc>
      </w:tr>
      <w:tr>
        <w:trPr>
          <w:trHeight w:val="270"/>
        </w:trPr>
        <w:tc>
          <w:tcPr>
            <w:tcW w:w="2740" w:type="dxa"/>
            <w:vAlign w:val="bottom"/>
          </w:tcPr>
          <w:p>
            <w:pPr>
              <w:spacing w:after="0"/>
              <w:rPr>
                <w:sz w:val="23"/>
                <w:szCs w:val="23"/>
                <w:color w:val="auto"/>
              </w:rPr>
            </w:pPr>
          </w:p>
        </w:tc>
        <w:tc>
          <w:tcPr>
            <w:tcW w:w="1300" w:type="dxa"/>
            <w:vAlign w:val="bottom"/>
          </w:tcPr>
          <w:p>
            <w:pPr>
              <w:ind w:left="620"/>
              <w:spacing w:after="0"/>
              <w:rPr>
                <w:sz w:val="20"/>
                <w:szCs w:val="20"/>
                <w:color w:val="auto"/>
              </w:rPr>
            </w:pPr>
            <w:r>
              <w:rPr>
                <w:rFonts w:ascii="Arial" w:cs="Arial" w:eastAsia="Arial" w:hAnsi="Arial"/>
                <w:sz w:val="18"/>
                <w:szCs w:val="18"/>
                <w:color w:val="auto"/>
              </w:rPr>
              <w:t>Title:</w:t>
            </w:r>
          </w:p>
        </w:tc>
        <w:tc>
          <w:tcPr>
            <w:tcW w:w="5140" w:type="dxa"/>
            <w:vAlign w:val="bottom"/>
          </w:tcPr>
          <w:p>
            <w:pPr>
              <w:ind w:left="40"/>
              <w:spacing w:after="0"/>
              <w:rPr>
                <w:sz w:val="20"/>
                <w:szCs w:val="20"/>
                <w:color w:val="auto"/>
              </w:rPr>
            </w:pPr>
            <w:r>
              <w:rPr>
                <w:rFonts w:ascii="Arial" w:cs="Arial" w:eastAsia="Arial" w:hAnsi="Arial"/>
                <w:sz w:val="18"/>
                <w:szCs w:val="18"/>
                <w:color w:val="auto"/>
              </w:rPr>
              <w:t>Chief Executive Officer and President</w:t>
            </w:r>
          </w:p>
        </w:tc>
      </w:tr>
    </w:tbl>
    <w:p>
      <w:pPr>
        <w:sectPr>
          <w:pgSz w:w="11900" w:h="16838" w:orient="portrait"/>
          <w:cols w:equalWidth="0" w:num="1">
            <w:col w:w="11120"/>
          </w:cols>
          <w:pgMar w:left="240" w:top="580" w:right="5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22"/>
          <w:szCs w:val="22"/>
          <w:b w:val="1"/>
          <w:bCs w:val="1"/>
          <w:color w:val="auto"/>
        </w:rPr>
        <w:t>EXHIBIT INDEX</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18"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306" w:lineRule="exact"/>
        <w:rPr>
          <w:sz w:val="20"/>
          <w:szCs w:val="20"/>
          <w:color w:val="auto"/>
        </w:rPr>
      </w:pPr>
    </w:p>
    <w:p>
      <w:pPr>
        <w:ind w:left="140"/>
        <w:spacing w:after="0"/>
        <w:tabs>
          <w:tab w:leader="none" w:pos="12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Press release of Winnebago Industries, Inc. dated December 8, 2011.</w:t>
      </w:r>
    </w:p>
    <w:p>
      <w:pPr>
        <w:sectPr>
          <w:pgSz w:w="11900" w:h="16838" w:orient="portrait"/>
          <w:cols w:equalWidth="0" w:num="1">
            <w:col w:w="9039"/>
          </w:cols>
          <w:pgMar w:left="1420" w:top="580" w:right="1440" w:bottom="1440" w:gutter="0" w:footer="0" w:header="0"/>
        </w:sectPr>
      </w:pPr>
    </w:p>
    <w:bookmarkStart w:id="4" w:name="page5"/>
    <w:bookmarkEnd w:id="4"/>
    <w:p>
      <w:pPr>
        <w:spacing w:after="0"/>
        <w:tabs>
          <w:tab w:leader="none" w:pos="2060" w:val="left"/>
        </w:tabs>
        <w:rPr>
          <w:sz w:val="20"/>
          <w:szCs w:val="20"/>
          <w:color w:val="auto"/>
        </w:rPr>
      </w:pPr>
      <w:r>
        <w:rPr>
          <w:rFonts w:ascii="Arial" w:cs="Arial" w:eastAsia="Arial" w:hAnsi="Arial"/>
          <w:sz w:val="18"/>
          <w:szCs w:val="18"/>
          <w:color w:val="auto"/>
        </w:rPr>
        <w:t>For further information:</w:t>
        <w:tab/>
        <w:t>Sheila Davis, PR/IR Manager - 641-585-6803</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WINNEBAGO INDUSTRIES FIRST QUARTER FISCAL 2012 FINANCIAL RESULTS ANNOUNCEMENT TO BE MADE ON DECEMBER 15,</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Conference Call Scheduled for 9:00 a.m. CT --</w:t>
      </w:r>
    </w:p>
    <w:p>
      <w:pPr>
        <w:spacing w:after="0" w:line="225"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FOREST CITY, IOWA, December 8, 2011 - Winnebago Industries, Inc. (NYSE: WGO), a leading United States (U.S.) recreation vehicle manufacturer, will issue an advisory release and host a conference call on Thursday, December 15, 2011. In compliance with the U.S. Securities and Exchange Commission's ("SEC") guidance regarding "notice-and-access" news releases</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the Company plans has discontinued the issuance of full-text financial news releases via a wire service and issues only advisory press releases notifying investors when new and material information is available on its website. Winnebago Industries plans to issue an advisory release before the market opens on December 15, 2011 notifying the public that a complete and full-text press release discussing the financial results for the Company's first quarter of Fiscal 2012 ended November 26, 2011 will be available no earlier than 6:00 a.m. Central Time (CT) in the “Investor Relations” section of the Company's website at: </w:t>
      </w:r>
      <w:r>
        <w:rPr>
          <w:rFonts w:ascii="Arial" w:cs="Arial" w:eastAsia="Arial" w:hAnsi="Arial"/>
          <w:sz w:val="18"/>
          <w:szCs w:val="18"/>
          <w:u w:val="single" w:color="auto"/>
          <w:color w:val="0000FF"/>
        </w:rPr>
        <w:t>www.winnebagoind.com/investor.html</w:t>
      </w:r>
      <w:r>
        <w:rPr>
          <w:rFonts w:ascii="Arial" w:cs="Arial" w:eastAsia="Arial" w:hAnsi="Arial"/>
          <w:sz w:val="18"/>
          <w:szCs w:val="18"/>
          <w:color w:val="auto"/>
        </w:rPr>
        <w:t>.</w:t>
      </w:r>
    </w:p>
    <w:p>
      <w:pPr>
        <w:spacing w:after="0" w:line="21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The Company will also host a conference call on December 15, 2011 at 9 a.m. Central Time (CT) to discuss the financial results for its first quarter of Fiscal 2012. Winnebago Industries' conference call may be heard live via the Company's website, </w:t>
      </w:r>
      <w:r>
        <w:rPr>
          <w:rFonts w:ascii="Arial" w:cs="Arial" w:eastAsia="Arial" w:hAnsi="Arial"/>
          <w:sz w:val="18"/>
          <w:szCs w:val="18"/>
          <w:u w:val="single" w:color="auto"/>
          <w:color w:val="0000FF"/>
        </w:rPr>
        <w:t>http://www.winnebagoind.com/investor.html</w:t>
      </w:r>
      <w:r>
        <w:rPr>
          <w:rFonts w:ascii="Arial" w:cs="Arial" w:eastAsia="Arial" w:hAnsi="Arial"/>
          <w:sz w:val="18"/>
          <w:szCs w:val="18"/>
          <w:color w:val="000000"/>
        </w:rPr>
        <w:t>. The event will be archived and available for replay for the next 90 days. To access the replay, click</w:t>
      </w:r>
      <w:r>
        <w:rPr>
          <w:rFonts w:ascii="Arial" w:cs="Arial" w:eastAsia="Arial" w:hAnsi="Arial"/>
          <w:sz w:val="18"/>
          <w:szCs w:val="18"/>
          <w:color w:val="0000FF"/>
        </w:rPr>
        <w:t xml:space="preserve"> </w:t>
      </w:r>
      <w:r>
        <w:rPr>
          <w:rFonts w:ascii="Arial" w:cs="Arial" w:eastAsia="Arial" w:hAnsi="Arial"/>
          <w:sz w:val="18"/>
          <w:szCs w:val="18"/>
          <w:color w:val="000000"/>
        </w:rPr>
        <w:t xml:space="preserve">on </w:t>
      </w:r>
      <w:r>
        <w:rPr>
          <w:rFonts w:ascii="Arial" w:cs="Arial" w:eastAsia="Arial" w:hAnsi="Arial"/>
          <w:sz w:val="18"/>
          <w:szCs w:val="18"/>
          <w:u w:val="single" w:color="auto"/>
          <w:color w:val="0000FF"/>
        </w:rPr>
        <w:t>http://www.winnebagoind.com/investor.html</w:t>
      </w:r>
      <w:r>
        <w:rPr>
          <w:rFonts w:ascii="Arial" w:cs="Arial" w:eastAsia="Arial" w:hAnsi="Arial"/>
          <w:sz w:val="18"/>
          <w:szCs w:val="18"/>
          <w:color w:val="000000"/>
        </w:rPr>
        <w: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Minimum requirements to listen to the webcast: either Windows Media Player or RealPlayer and at least a 28.8 Kbps connection to the Internet.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Windows Media Player software is downloadable free at: </w:t>
      </w:r>
      <w:r>
        <w:rPr>
          <w:rFonts w:ascii="Arial" w:cs="Arial" w:eastAsia="Arial" w:hAnsi="Arial"/>
          <w:sz w:val="18"/>
          <w:szCs w:val="18"/>
          <w:u w:val="single" w:color="auto"/>
          <w:color w:val="0000FF"/>
        </w:rPr>
        <w:t>www.microsoft.com/windows/windowsmedia/download/default.asp</w:t>
      </w:r>
      <w:r>
        <w:rPr>
          <w:rFonts w:ascii="Arial" w:cs="Arial" w:eastAsia="Arial" w:hAnsi="Arial"/>
          <w:sz w:val="18"/>
          <w:szCs w:val="18"/>
          <w:color w:val="auto"/>
        </w:rPr>
        <w:t>, and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RealPlayer software is downloadable free at: </w:t>
      </w:r>
      <w:r>
        <w:rPr>
          <w:rFonts w:ascii="Arial" w:cs="Arial" w:eastAsia="Arial" w:hAnsi="Arial"/>
          <w:sz w:val="18"/>
          <w:szCs w:val="18"/>
          <w:u w:val="single" w:color="auto"/>
          <w:color w:val="0000FF"/>
        </w:rPr>
        <w:t>www.real.com/products/player/index.html</w:t>
      </w:r>
      <w:r>
        <w:rPr>
          <w:rFonts w:ascii="Arial" w:cs="Arial" w:eastAsia="Arial" w:hAnsi="Arial"/>
          <w:sz w:val="18"/>
          <w:szCs w:val="18"/>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Winnebago Industries</w:t>
      </w:r>
    </w:p>
    <w:p>
      <w:pPr>
        <w:spacing w:after="0" w:line="29"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Winnebago Industries, Inc., The Most Recognized Name In Motor Homes</w:t>
      </w:r>
      <w:r>
        <w:rPr>
          <w:rFonts w:ascii="Arial" w:cs="Arial" w:eastAsia="Arial" w:hAnsi="Arial"/>
          <w:sz w:val="21"/>
          <w:szCs w:val="21"/>
          <w:color w:val="auto"/>
          <w:vertAlign w:val="superscript"/>
        </w:rPr>
        <w:t>®</w:t>
      </w:r>
      <w:r>
        <w:rPr>
          <w:rFonts w:ascii="Arial" w:cs="Arial" w:eastAsia="Arial" w:hAnsi="Arial"/>
          <w:sz w:val="18"/>
          <w:szCs w:val="18"/>
          <w:color w:val="auto"/>
        </w:rPr>
        <w:t>, is a leading U.S. manufacturer of recreation vehicles, which are used primarily in leisure travel and outdoor recreation activities. The Company builds quality motor homes, travel trailers and fifth wheel products under the Winnebago, Itasca, Era and SunnyBrook brand names. Winnebago Industries has received the Quality Circle Award from the Recreation Vehicle Dealers Association every year since the award's inception in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http://www.winnebagoind.com/investor.html</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(1) SEC Release Nos. 34-58288, IC-28351; File No. S7-23-08</w:t>
      </w:r>
    </w:p>
    <w:sectPr>
      <w:pgSz w:w="11900" w:h="16838" w:orient="portrait"/>
      <w:cols w:equalWidth="0" w:num="1">
        <w:col w:w="11420"/>
      </w:cols>
      <w:pgMar w:left="240" w:top="5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2019-12-10T04:31:50Z</dcterms:created>
  <dcterms:modified xsi:type="dcterms:W3CDTF">2019-12-10T04:31:50Z</dcterms:modified>
</cp:coreProperties>
</file>