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57"/>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1" w:lineRule="exact"/>
        <w:rPr>
          <w:sz w:val="24"/>
          <w:szCs w:val="24"/>
          <w:color w:val="auto"/>
        </w:rPr>
      </w:pPr>
    </w:p>
    <w:p>
      <w:pPr>
        <w:jc w:val="center"/>
        <w:ind w:right="3957"/>
        <w:spacing w:after="0"/>
        <w:rPr>
          <w:sz w:val="20"/>
          <w:szCs w:val="20"/>
          <w:color w:val="auto"/>
        </w:rPr>
      </w:pPr>
      <w:r>
        <w:rPr>
          <w:rFonts w:ascii="Courier New" w:cs="Courier New" w:eastAsia="Courier New" w:hAnsi="Courier New"/>
          <w:sz w:val="16"/>
          <w:szCs w:val="16"/>
          <w:color w:val="auto"/>
        </w:rPr>
        <w:t>WASHINGTON, D.C. 20549</w:t>
      </w:r>
    </w:p>
    <w:p>
      <w:pPr>
        <w:spacing w:after="0" w:line="200" w:lineRule="exact"/>
        <w:rPr>
          <w:sz w:val="24"/>
          <w:szCs w:val="24"/>
          <w:color w:val="auto"/>
        </w:rPr>
      </w:pPr>
    </w:p>
    <w:p>
      <w:pPr>
        <w:spacing w:after="0" w:line="346" w:lineRule="exact"/>
        <w:rPr>
          <w:sz w:val="24"/>
          <w:szCs w:val="24"/>
          <w:color w:val="auto"/>
        </w:rPr>
      </w:pPr>
    </w:p>
    <w:p>
      <w:pPr>
        <w:ind w:left="3303"/>
        <w:spacing w:after="0"/>
        <w:rPr>
          <w:sz w:val="20"/>
          <w:szCs w:val="20"/>
          <w:color w:val="auto"/>
        </w:rPr>
      </w:pPr>
      <w:r>
        <w:rPr>
          <w:rFonts w:ascii="Courier New" w:cs="Courier New" w:eastAsia="Courier New" w:hAnsi="Courier New"/>
          <w:sz w:val="16"/>
          <w:szCs w:val="16"/>
          <w:color w:val="auto"/>
        </w:rPr>
        <w:t>FORM 10-Q</w:t>
      </w:r>
    </w:p>
    <w:p>
      <w:pPr>
        <w:spacing w:after="0" w:line="364" w:lineRule="exact"/>
        <w:rPr>
          <w:sz w:val="24"/>
          <w:szCs w:val="24"/>
          <w:color w:val="auto"/>
        </w:rPr>
      </w:pPr>
    </w:p>
    <w:p>
      <w:pPr>
        <w:ind w:left="3"/>
        <w:spacing w:after="0"/>
        <w:rPr>
          <w:sz w:val="20"/>
          <w:szCs w:val="20"/>
          <w:color w:val="auto"/>
        </w:rPr>
      </w:pPr>
      <w:r>
        <w:rPr>
          <w:rFonts w:ascii="Courier New" w:cs="Courier New" w:eastAsia="Courier New" w:hAnsi="Courier New"/>
          <w:sz w:val="16"/>
          <w:szCs w:val="16"/>
          <w:color w:val="auto"/>
        </w:rPr>
        <w:t>(Mark One)</w:t>
      </w:r>
    </w:p>
    <w:p>
      <w:pPr>
        <w:spacing w:after="0" w:line="186" w:lineRule="exact"/>
        <w:rPr>
          <w:sz w:val="24"/>
          <w:szCs w:val="24"/>
          <w:color w:val="auto"/>
        </w:rPr>
      </w:pPr>
    </w:p>
    <w:p>
      <w:pPr>
        <w:ind w:left="463" w:right="3960" w:hanging="463"/>
        <w:spacing w:after="0" w:line="237" w:lineRule="auto"/>
        <w:tabs>
          <w:tab w:leader="none" w:pos="463"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QUARTERLY REPORT PURSUANT TO SECTION 13 OR 15(d) OF THE SECURITIES EXCHANGE ACT OF 1934</w:t>
      </w:r>
    </w:p>
    <w:p>
      <w:pPr>
        <w:spacing w:after="0" w:line="184" w:lineRule="exact"/>
        <w:rPr>
          <w:sz w:val="24"/>
          <w:szCs w:val="24"/>
          <w:color w:val="auto"/>
        </w:rPr>
      </w:pPr>
    </w:p>
    <w:tbl>
      <w:tblPr>
        <w:tblLayout w:type="fixed"/>
        <w:tblInd w:w="3" w:type="dxa"/>
        <w:tblCellMar>
          <w:top w:w="0" w:type="dxa"/>
          <w:left w:w="0" w:type="dxa"/>
          <w:bottom w:w="0" w:type="dxa"/>
          <w:right w:w="0" w:type="dxa"/>
        </w:tblCellMar>
      </w:tblPr>
      <w:tr>
        <w:trPr>
          <w:trHeight w:val="181"/>
        </w:trPr>
        <w:tc>
          <w:tcPr>
            <w:tcW w:w="3220" w:type="dxa"/>
            <w:vAlign w:val="bottom"/>
          </w:tcPr>
          <w:p>
            <w:pPr>
              <w:spacing w:after="0"/>
              <w:rPr>
                <w:sz w:val="20"/>
                <w:szCs w:val="20"/>
                <w:color w:val="auto"/>
              </w:rPr>
            </w:pPr>
            <w:r>
              <w:rPr>
                <w:rFonts w:ascii="Courier New" w:cs="Courier New" w:eastAsia="Courier New" w:hAnsi="Courier New"/>
                <w:sz w:val="16"/>
                <w:szCs w:val="16"/>
                <w:color w:val="auto"/>
              </w:rPr>
              <w:t>For the quarterly period ended</w:t>
            </w:r>
          </w:p>
        </w:tc>
        <w:tc>
          <w:tcPr>
            <w:tcW w:w="1500" w:type="dxa"/>
            <w:vAlign w:val="bottom"/>
          </w:tcPr>
          <w:p>
            <w:pPr>
              <w:ind w:left="380"/>
              <w:spacing w:after="0"/>
              <w:rPr>
                <w:sz w:val="20"/>
                <w:szCs w:val="20"/>
                <w:color w:val="auto"/>
              </w:rPr>
            </w:pPr>
            <w:r>
              <w:rPr>
                <w:rFonts w:ascii="Courier New" w:cs="Courier New" w:eastAsia="Courier New" w:hAnsi="Courier New"/>
                <w:sz w:val="16"/>
                <w:szCs w:val="16"/>
                <w:color w:val="auto"/>
                <w:w w:val="95"/>
              </w:rPr>
              <w:t>May 27, 1995</w:t>
            </w:r>
          </w:p>
        </w:tc>
      </w:tr>
    </w:tbl>
    <w:p>
      <w:pPr>
        <w:spacing w:after="0" w:line="364" w:lineRule="exact"/>
        <w:rPr>
          <w:sz w:val="24"/>
          <w:szCs w:val="24"/>
          <w:color w:val="auto"/>
        </w:rPr>
      </w:pPr>
    </w:p>
    <w:p>
      <w:pPr>
        <w:jc w:val="center"/>
        <w:ind w:right="3957"/>
        <w:spacing w:after="0"/>
        <w:rPr>
          <w:sz w:val="20"/>
          <w:szCs w:val="20"/>
          <w:color w:val="auto"/>
        </w:rPr>
      </w:pPr>
      <w:r>
        <w:rPr>
          <w:rFonts w:ascii="Courier New" w:cs="Courier New" w:eastAsia="Courier New" w:hAnsi="Courier New"/>
          <w:sz w:val="16"/>
          <w:szCs w:val="16"/>
          <w:color w:val="auto"/>
        </w:rPr>
        <w:t>OR</w:t>
      </w:r>
    </w:p>
    <w:p>
      <w:pPr>
        <w:spacing w:after="0" w:line="186" w:lineRule="exact"/>
        <w:rPr>
          <w:sz w:val="24"/>
          <w:szCs w:val="24"/>
          <w:color w:val="auto"/>
        </w:rPr>
      </w:pPr>
    </w:p>
    <w:p>
      <w:pPr>
        <w:ind w:left="563" w:right="4620"/>
        <w:spacing w:after="0" w:line="237" w:lineRule="auto"/>
        <w:rPr>
          <w:sz w:val="20"/>
          <w:szCs w:val="20"/>
          <w:color w:val="auto"/>
        </w:rPr>
      </w:pPr>
      <w:r>
        <w:rPr>
          <w:rFonts w:ascii="Courier New" w:cs="Courier New" w:eastAsia="Courier New" w:hAnsi="Courier New"/>
          <w:sz w:val="16"/>
          <w:szCs w:val="16"/>
          <w:color w:val="auto"/>
        </w:rPr>
        <w:t>TRANSITION REPORT PURSUANT TO SECTION 13 OR 15(d) OF THE SECURITIES EXCHANGE ACT OF 1934</w:t>
      </w:r>
    </w:p>
    <w:p>
      <w:pPr>
        <w:spacing w:after="0" w:line="184" w:lineRule="exact"/>
        <w:rPr>
          <w:sz w:val="24"/>
          <w:szCs w:val="24"/>
          <w:color w:val="auto"/>
        </w:rPr>
      </w:pPr>
    </w:p>
    <w:p>
      <w:pPr>
        <w:ind w:left="3"/>
        <w:spacing w:after="0"/>
        <w:rPr>
          <w:sz w:val="20"/>
          <w:szCs w:val="20"/>
          <w:color w:val="auto"/>
        </w:rPr>
      </w:pPr>
      <w:r>
        <w:rPr>
          <w:rFonts w:ascii="Courier New" w:cs="Courier New" w:eastAsia="Courier New" w:hAnsi="Courier New"/>
          <w:sz w:val="16"/>
          <w:szCs w:val="16"/>
          <w:color w:val="auto"/>
        </w:rPr>
        <w:t>For the transition period from __________________ to _____________________</w:t>
      </w:r>
    </w:p>
    <w:p>
      <w:pPr>
        <w:spacing w:after="0" w:line="183" w:lineRule="exact"/>
        <w:rPr>
          <w:sz w:val="24"/>
          <w:szCs w:val="24"/>
          <w:color w:val="auto"/>
        </w:rPr>
      </w:pPr>
    </w:p>
    <w:p>
      <w:pPr>
        <w:ind w:left="3"/>
        <w:spacing w:after="0"/>
        <w:tabs>
          <w:tab w:leader="none" w:pos="2243" w:val="left"/>
        </w:tabs>
        <w:rPr>
          <w:sz w:val="20"/>
          <w:szCs w:val="20"/>
          <w:color w:val="auto"/>
        </w:rPr>
      </w:pPr>
      <w:r>
        <w:rPr>
          <w:rFonts w:ascii="Courier New" w:cs="Courier New" w:eastAsia="Courier New" w:hAnsi="Courier New"/>
          <w:sz w:val="16"/>
          <w:szCs w:val="16"/>
          <w:color w:val="auto"/>
        </w:rPr>
        <w:t>Commission file number</w:t>
        <w:tab/>
        <w:t>1-6403</w:t>
      </w:r>
    </w:p>
    <w:p>
      <w:pPr>
        <w:spacing w:after="0" w:line="364" w:lineRule="exact"/>
        <w:rPr>
          <w:sz w:val="24"/>
          <w:szCs w:val="24"/>
          <w:color w:val="auto"/>
        </w:rPr>
      </w:pPr>
    </w:p>
    <w:tbl>
      <w:tblPr>
        <w:tblLayout w:type="fixed"/>
        <w:tblInd w:w="3" w:type="dxa"/>
        <w:tblCellMar>
          <w:top w:w="0" w:type="dxa"/>
          <w:left w:w="0" w:type="dxa"/>
          <w:bottom w:w="0" w:type="dxa"/>
          <w:right w:w="0" w:type="dxa"/>
        </w:tblCellMar>
      </w:tblPr>
      <w:tr>
        <w:trPr>
          <w:trHeight w:val="181"/>
        </w:trPr>
        <w:tc>
          <w:tcPr>
            <w:tcW w:w="900" w:type="dxa"/>
            <w:vAlign w:val="bottom"/>
          </w:tcPr>
          <w:p>
            <w:pPr>
              <w:spacing w:after="0"/>
              <w:rPr>
                <w:sz w:val="15"/>
                <w:szCs w:val="15"/>
                <w:color w:val="auto"/>
              </w:rPr>
            </w:pPr>
          </w:p>
        </w:tc>
        <w:tc>
          <w:tcPr>
            <w:tcW w:w="4400" w:type="dxa"/>
            <w:vAlign w:val="bottom"/>
          </w:tcPr>
          <w:p>
            <w:pPr>
              <w:jc w:val="center"/>
              <w:ind w:left="1281"/>
              <w:spacing w:after="0"/>
              <w:rPr>
                <w:sz w:val="20"/>
                <w:szCs w:val="20"/>
                <w:color w:val="auto"/>
              </w:rPr>
            </w:pPr>
            <w:r>
              <w:rPr>
                <w:rFonts w:ascii="Courier New" w:cs="Courier New" w:eastAsia="Courier New" w:hAnsi="Courier New"/>
                <w:sz w:val="16"/>
                <w:szCs w:val="16"/>
                <w:color w:val="auto"/>
                <w:w w:val="97"/>
              </w:rPr>
              <w:t>WINNEBAGO INDUSTRIES, INC.</w:t>
            </w:r>
          </w:p>
        </w:tc>
        <w:tc>
          <w:tcPr>
            <w:tcW w:w="2080" w:type="dxa"/>
            <w:vAlign w:val="bottom"/>
          </w:tcPr>
          <w:p>
            <w:pPr>
              <w:spacing w:after="0"/>
              <w:rPr>
                <w:sz w:val="15"/>
                <w:szCs w:val="15"/>
                <w:color w:val="auto"/>
              </w:rPr>
            </w:pPr>
          </w:p>
        </w:tc>
      </w:tr>
      <w:tr>
        <w:trPr>
          <w:trHeight w:val="364"/>
        </w:trPr>
        <w:tc>
          <w:tcPr>
            <w:tcW w:w="900" w:type="dxa"/>
            <w:vAlign w:val="bottom"/>
          </w:tcPr>
          <w:p>
            <w:pPr>
              <w:spacing w:after="0"/>
              <w:rPr>
                <w:sz w:val="24"/>
                <w:szCs w:val="24"/>
                <w:color w:val="auto"/>
              </w:rPr>
            </w:pPr>
          </w:p>
        </w:tc>
        <w:tc>
          <w:tcPr>
            <w:tcW w:w="6480" w:type="dxa"/>
            <w:vAlign w:val="bottom"/>
            <w:gridSpan w:val="2"/>
          </w:tcPr>
          <w:p>
            <w:pPr>
              <w:jc w:val="center"/>
              <w:ind w:right="641"/>
              <w:spacing w:after="0"/>
              <w:rPr>
                <w:sz w:val="20"/>
                <w:szCs w:val="20"/>
                <w:color w:val="auto"/>
              </w:rPr>
            </w:pPr>
            <w:r>
              <w:rPr>
                <w:rFonts w:ascii="Courier New" w:cs="Courier New" w:eastAsia="Courier New" w:hAnsi="Courier New"/>
                <w:sz w:val="16"/>
                <w:szCs w:val="16"/>
                <w:color w:val="auto"/>
                <w:w w:val="98"/>
              </w:rPr>
              <w:t>(Exact name of registrant as specified in its charter)</w:t>
            </w:r>
          </w:p>
        </w:tc>
      </w:tr>
      <w:tr>
        <w:trPr>
          <w:trHeight w:val="364"/>
        </w:trPr>
        <w:tc>
          <w:tcPr>
            <w:tcW w:w="900" w:type="dxa"/>
            <w:vAlign w:val="bottom"/>
          </w:tcPr>
          <w:p>
            <w:pPr>
              <w:spacing w:after="0"/>
              <w:rPr>
                <w:sz w:val="24"/>
                <w:szCs w:val="24"/>
                <w:color w:val="auto"/>
              </w:rPr>
            </w:pPr>
          </w:p>
        </w:tc>
        <w:tc>
          <w:tcPr>
            <w:tcW w:w="4400" w:type="dxa"/>
            <w:vAlign w:val="bottom"/>
          </w:tcPr>
          <w:p>
            <w:pPr>
              <w:ind w:left="40"/>
              <w:spacing w:after="0"/>
              <w:rPr>
                <w:sz w:val="20"/>
                <w:szCs w:val="20"/>
                <w:color w:val="auto"/>
              </w:rPr>
            </w:pPr>
            <w:r>
              <w:rPr>
                <w:rFonts w:ascii="Courier New" w:cs="Courier New" w:eastAsia="Courier New" w:hAnsi="Courier New"/>
                <w:sz w:val="16"/>
                <w:szCs w:val="16"/>
                <w:color w:val="auto"/>
              </w:rPr>
              <w:t>IOWA</w:t>
            </w:r>
          </w:p>
        </w:tc>
        <w:tc>
          <w:tcPr>
            <w:tcW w:w="20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42-0803978</w:t>
            </w:r>
          </w:p>
        </w:tc>
      </w:tr>
      <w:tr>
        <w:trPr>
          <w:trHeight w:val="182"/>
        </w:trPr>
        <w:tc>
          <w:tcPr>
            <w:tcW w:w="900" w:type="dxa"/>
            <w:vAlign w:val="bottom"/>
          </w:tcPr>
          <w:p>
            <w:pPr>
              <w:spacing w:after="0"/>
              <w:rPr>
                <w:sz w:val="20"/>
                <w:szCs w:val="20"/>
                <w:color w:val="auto"/>
              </w:rPr>
            </w:pPr>
            <w:r>
              <w:rPr>
                <w:rFonts w:ascii="Courier New" w:cs="Courier New" w:eastAsia="Courier New" w:hAnsi="Courier New"/>
                <w:sz w:val="16"/>
                <w:szCs w:val="16"/>
                <w:color w:val="auto"/>
              </w:rPr>
              <w:t>(State or</w:t>
            </w:r>
          </w:p>
        </w:tc>
        <w:tc>
          <w:tcPr>
            <w:tcW w:w="4400" w:type="dxa"/>
            <w:vAlign w:val="bottom"/>
          </w:tcPr>
          <w:p>
            <w:pPr>
              <w:ind w:left="40"/>
              <w:spacing w:after="0"/>
              <w:rPr>
                <w:sz w:val="20"/>
                <w:szCs w:val="20"/>
                <w:color w:val="auto"/>
              </w:rPr>
            </w:pPr>
            <w:r>
              <w:rPr>
                <w:rFonts w:ascii="Courier New" w:cs="Courier New" w:eastAsia="Courier New" w:hAnsi="Courier New"/>
                <w:sz w:val="16"/>
                <w:szCs w:val="16"/>
                <w:color w:val="auto"/>
              </w:rPr>
              <w:t>other jurisdiction of</w:t>
            </w:r>
          </w:p>
        </w:tc>
        <w:tc>
          <w:tcPr>
            <w:tcW w:w="2080" w:type="dxa"/>
            <w:vAlign w:val="bottom"/>
          </w:tcPr>
          <w:p>
            <w:pPr>
              <w:jc w:val="center"/>
              <w:ind w:left="101"/>
              <w:spacing w:after="0"/>
              <w:rPr>
                <w:sz w:val="20"/>
                <w:szCs w:val="20"/>
                <w:color w:val="auto"/>
              </w:rPr>
            </w:pPr>
            <w:r>
              <w:rPr>
                <w:rFonts w:ascii="Courier New" w:cs="Courier New" w:eastAsia="Courier New" w:hAnsi="Courier New"/>
                <w:sz w:val="16"/>
                <w:szCs w:val="16"/>
                <w:color w:val="auto"/>
                <w:w w:val="97"/>
              </w:rPr>
              <w:t>(I.R.S. Employer</w:t>
            </w:r>
          </w:p>
        </w:tc>
      </w:tr>
      <w:tr>
        <w:trPr>
          <w:trHeight w:val="182"/>
        </w:trPr>
        <w:tc>
          <w:tcPr>
            <w:tcW w:w="5300" w:type="dxa"/>
            <w:vAlign w:val="bottom"/>
            <w:gridSpan w:val="2"/>
          </w:tcPr>
          <w:p>
            <w:pPr>
              <w:spacing w:after="0"/>
              <w:rPr>
                <w:sz w:val="20"/>
                <w:szCs w:val="20"/>
                <w:color w:val="auto"/>
              </w:rPr>
            </w:pPr>
            <w:r>
              <w:rPr>
                <w:rFonts w:ascii="Courier New" w:cs="Courier New" w:eastAsia="Courier New" w:hAnsi="Courier New"/>
                <w:sz w:val="16"/>
                <w:szCs w:val="16"/>
                <w:color w:val="auto"/>
              </w:rPr>
              <w:t>incorporation or organization)</w:t>
            </w:r>
          </w:p>
        </w:tc>
        <w:tc>
          <w:tcPr>
            <w:tcW w:w="2080" w:type="dxa"/>
            <w:vAlign w:val="bottom"/>
          </w:tcPr>
          <w:p>
            <w:pPr>
              <w:jc w:val="center"/>
              <w:ind w:left="201"/>
              <w:spacing w:after="0"/>
              <w:rPr>
                <w:sz w:val="20"/>
                <w:szCs w:val="20"/>
                <w:color w:val="auto"/>
              </w:rPr>
            </w:pPr>
            <w:r>
              <w:rPr>
                <w:rFonts w:ascii="Courier New" w:cs="Courier New" w:eastAsia="Courier New" w:hAnsi="Courier New"/>
                <w:sz w:val="16"/>
                <w:szCs w:val="16"/>
                <w:color w:val="auto"/>
                <w:w w:val="98"/>
              </w:rPr>
              <w:t>Identification No.)</w:t>
            </w:r>
          </w:p>
        </w:tc>
      </w:tr>
      <w:tr>
        <w:trPr>
          <w:trHeight w:val="364"/>
        </w:trPr>
        <w:tc>
          <w:tcPr>
            <w:tcW w:w="900" w:type="dxa"/>
            <w:vAlign w:val="bottom"/>
          </w:tcPr>
          <w:p>
            <w:pPr>
              <w:spacing w:after="0"/>
              <w:rPr>
                <w:sz w:val="20"/>
                <w:szCs w:val="20"/>
                <w:color w:val="auto"/>
              </w:rPr>
            </w:pPr>
            <w:r>
              <w:rPr>
                <w:rFonts w:ascii="Courier New" w:cs="Courier New" w:eastAsia="Courier New" w:hAnsi="Courier New"/>
                <w:sz w:val="16"/>
                <w:szCs w:val="16"/>
                <w:color w:val="auto"/>
              </w:rPr>
              <w:t>P. O. Box</w:t>
            </w:r>
          </w:p>
        </w:tc>
        <w:tc>
          <w:tcPr>
            <w:tcW w:w="4400" w:type="dxa"/>
            <w:vAlign w:val="bottom"/>
          </w:tcPr>
          <w:p>
            <w:pPr>
              <w:ind w:left="40"/>
              <w:spacing w:after="0"/>
              <w:rPr>
                <w:sz w:val="20"/>
                <w:szCs w:val="20"/>
                <w:color w:val="auto"/>
              </w:rPr>
            </w:pPr>
            <w:r>
              <w:rPr>
                <w:rFonts w:ascii="Courier New" w:cs="Courier New" w:eastAsia="Courier New" w:hAnsi="Courier New"/>
                <w:sz w:val="16"/>
                <w:szCs w:val="16"/>
                <w:color w:val="auto"/>
              </w:rPr>
              <w:t>152, Forest City, Iowa</w:t>
            </w:r>
          </w:p>
        </w:tc>
        <w:tc>
          <w:tcPr>
            <w:tcW w:w="208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50436</w:t>
            </w:r>
          </w:p>
        </w:tc>
      </w:tr>
      <w:tr>
        <w:trPr>
          <w:trHeight w:val="182"/>
        </w:trPr>
        <w:tc>
          <w:tcPr>
            <w:tcW w:w="5300" w:type="dxa"/>
            <w:vAlign w:val="bottom"/>
            <w:gridSpan w:val="2"/>
          </w:tcPr>
          <w:p>
            <w:pPr>
              <w:spacing w:after="0"/>
              <w:rPr>
                <w:sz w:val="20"/>
                <w:szCs w:val="20"/>
                <w:color w:val="auto"/>
              </w:rPr>
            </w:pPr>
            <w:r>
              <w:rPr>
                <w:rFonts w:ascii="Courier New" w:cs="Courier New" w:eastAsia="Courier New" w:hAnsi="Courier New"/>
                <w:sz w:val="16"/>
                <w:szCs w:val="16"/>
                <w:color w:val="auto"/>
              </w:rPr>
              <w:t>(Address of principal executive offices)</w:t>
            </w:r>
          </w:p>
        </w:tc>
        <w:tc>
          <w:tcPr>
            <w:tcW w:w="2080" w:type="dxa"/>
            <w:vAlign w:val="bottom"/>
          </w:tcPr>
          <w:p>
            <w:pPr>
              <w:ind w:left="740"/>
              <w:spacing w:after="0"/>
              <w:rPr>
                <w:sz w:val="20"/>
                <w:szCs w:val="20"/>
                <w:color w:val="auto"/>
              </w:rPr>
            </w:pPr>
            <w:r>
              <w:rPr>
                <w:rFonts w:ascii="Courier New" w:cs="Courier New" w:eastAsia="Courier New" w:hAnsi="Courier New"/>
                <w:sz w:val="16"/>
                <w:szCs w:val="16"/>
                <w:color w:val="auto"/>
              </w:rPr>
              <w:t>(Zip Code)</w:t>
            </w:r>
          </w:p>
        </w:tc>
      </w:tr>
    </w:tbl>
    <w:p>
      <w:pPr>
        <w:spacing w:after="0" w:line="183" w:lineRule="exact"/>
        <w:rPr>
          <w:sz w:val="24"/>
          <w:szCs w:val="24"/>
          <w:color w:val="auto"/>
        </w:rPr>
      </w:pPr>
    </w:p>
    <w:p>
      <w:pPr>
        <w:ind w:left="3"/>
        <w:spacing w:after="0"/>
        <w:tabs>
          <w:tab w:leader="none" w:pos="4983" w:val="left"/>
        </w:tabs>
        <w:rPr>
          <w:sz w:val="20"/>
          <w:szCs w:val="20"/>
          <w:color w:val="auto"/>
        </w:rPr>
      </w:pPr>
      <w:r>
        <w:rPr>
          <w:rFonts w:ascii="Courier New" w:cs="Courier New" w:eastAsia="Courier New" w:hAnsi="Courier New"/>
          <w:sz w:val="16"/>
          <w:szCs w:val="16"/>
          <w:color w:val="auto"/>
        </w:rPr>
        <w:t>Registrant's telephone number, including area code:</w:t>
      </w:r>
      <w:r>
        <w:rPr>
          <w:sz w:val="20"/>
          <w:szCs w:val="20"/>
          <w:color w:val="auto"/>
        </w:rPr>
        <w:tab/>
      </w:r>
      <w:r>
        <w:rPr>
          <w:rFonts w:ascii="Courier New" w:cs="Courier New" w:eastAsia="Courier New" w:hAnsi="Courier New"/>
          <w:sz w:val="15"/>
          <w:szCs w:val="15"/>
          <w:color w:val="auto"/>
        </w:rPr>
        <w:t>(515) 582-3535</w:t>
      </w:r>
    </w:p>
    <w:p>
      <w:pPr>
        <w:spacing w:after="0" w:line="186" w:lineRule="exact"/>
        <w:rPr>
          <w:sz w:val="24"/>
          <w:szCs w:val="24"/>
          <w:color w:val="auto"/>
        </w:rPr>
      </w:pPr>
    </w:p>
    <w:p>
      <w:pPr>
        <w:ind w:left="3" w:right="3960"/>
        <w:spacing w:after="0" w:line="239" w:lineRule="auto"/>
        <w:rPr>
          <w:sz w:val="20"/>
          <w:szCs w:val="20"/>
          <w:color w:val="auto"/>
        </w:rPr>
      </w:pPr>
      <w:r>
        <w:rPr>
          <w:rFonts w:ascii="Courier New" w:cs="Courier New" w:eastAsia="Courier New" w:hAnsi="Courier New"/>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____.</w:t>
      </w:r>
    </w:p>
    <w:p>
      <w:pPr>
        <w:spacing w:after="0" w:line="189" w:lineRule="exact"/>
        <w:rPr>
          <w:sz w:val="24"/>
          <w:szCs w:val="24"/>
          <w:color w:val="auto"/>
        </w:rPr>
      </w:pPr>
    </w:p>
    <w:p>
      <w:pPr>
        <w:ind w:left="3" w:right="4060"/>
        <w:spacing w:after="0" w:line="237" w:lineRule="auto"/>
        <w:rPr>
          <w:sz w:val="20"/>
          <w:szCs w:val="20"/>
          <w:color w:val="auto"/>
        </w:rPr>
      </w:pPr>
      <w:r>
        <w:rPr>
          <w:rFonts w:ascii="Courier New" w:cs="Courier New" w:eastAsia="Courier New" w:hAnsi="Courier New"/>
          <w:sz w:val="16"/>
          <w:szCs w:val="16"/>
          <w:color w:val="auto"/>
        </w:rPr>
        <w:t>There were 25,338,042 shares of $.50 par value common stock outstanding on July 6, 1995.</w:t>
      </w:r>
    </w:p>
    <w:p>
      <w:pPr>
        <w:spacing w:after="0" w:line="366" w:lineRule="exact"/>
        <w:rPr>
          <w:sz w:val="24"/>
          <w:szCs w:val="24"/>
          <w:color w:val="auto"/>
        </w:rPr>
      </w:pPr>
    </w:p>
    <w:p>
      <w:pPr>
        <w:ind w:left="1703"/>
        <w:spacing w:after="0"/>
        <w:rPr>
          <w:sz w:val="20"/>
          <w:szCs w:val="20"/>
          <w:color w:val="auto"/>
        </w:rPr>
      </w:pPr>
      <w:r>
        <w:rPr>
          <w:rFonts w:ascii="Courier New" w:cs="Courier New" w:eastAsia="Courier New" w:hAnsi="Courier New"/>
          <w:sz w:val="16"/>
          <w:szCs w:val="16"/>
          <w:color w:val="auto"/>
        </w:rPr>
        <w:t>WINNEBAGO INDUSTRIES, INC. AND SUBSIDIARIES</w:t>
      </w:r>
    </w:p>
    <w:p>
      <w:pPr>
        <w:spacing w:after="0" w:line="183" w:lineRule="exact"/>
        <w:rPr>
          <w:sz w:val="24"/>
          <w:szCs w:val="24"/>
          <w:color w:val="auto"/>
        </w:rPr>
      </w:pPr>
    </w:p>
    <w:tbl>
      <w:tblPr>
        <w:tblLayout w:type="fixed"/>
        <w:tblInd w:w="283" w:type="dxa"/>
        <w:tblCellMar>
          <w:top w:w="0" w:type="dxa"/>
          <w:left w:w="0" w:type="dxa"/>
          <w:bottom w:w="0" w:type="dxa"/>
          <w:right w:w="0" w:type="dxa"/>
        </w:tblCellMar>
      </w:tblPr>
      <w:tr>
        <w:trPr>
          <w:trHeight w:val="181"/>
        </w:trPr>
        <w:tc>
          <w:tcPr>
            <w:tcW w:w="1000" w:type="dxa"/>
            <w:vAlign w:val="bottom"/>
          </w:tcPr>
          <w:p>
            <w:pPr>
              <w:spacing w:after="0"/>
              <w:rPr>
                <w:sz w:val="15"/>
                <w:szCs w:val="15"/>
                <w:color w:val="auto"/>
              </w:rPr>
            </w:pPr>
          </w:p>
        </w:tc>
        <w:tc>
          <w:tcPr>
            <w:tcW w:w="8080" w:type="dxa"/>
            <w:vAlign w:val="bottom"/>
          </w:tcPr>
          <w:p>
            <w:pPr>
              <w:ind w:left="1180"/>
              <w:spacing w:after="0"/>
              <w:rPr>
                <w:sz w:val="20"/>
                <w:szCs w:val="20"/>
                <w:color w:val="auto"/>
              </w:rPr>
            </w:pPr>
            <w:r>
              <w:rPr>
                <w:rFonts w:ascii="Courier New" w:cs="Courier New" w:eastAsia="Courier New" w:hAnsi="Courier New"/>
                <w:sz w:val="16"/>
                <w:szCs w:val="16"/>
                <w:color w:val="auto"/>
              </w:rPr>
              <w:t>INDEX TO REPORT ON FORM 10-Q</w:t>
            </w:r>
          </w:p>
        </w:tc>
        <w:tc>
          <w:tcPr>
            <w:tcW w:w="156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909"/>
        </w:trPr>
        <w:tc>
          <w:tcPr>
            <w:tcW w:w="1000" w:type="dxa"/>
            <w:vAlign w:val="bottom"/>
          </w:tcPr>
          <w:p>
            <w:pPr>
              <w:spacing w:after="0"/>
              <w:rPr>
                <w:sz w:val="24"/>
                <w:szCs w:val="24"/>
                <w:color w:val="auto"/>
              </w:rPr>
            </w:pPr>
          </w:p>
        </w:tc>
        <w:tc>
          <w:tcPr>
            <w:tcW w:w="808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Page</w:t>
            </w:r>
          </w:p>
        </w:tc>
        <w:tc>
          <w:tcPr>
            <w:tcW w:w="600" w:type="dxa"/>
            <w:vAlign w:val="bottom"/>
          </w:tcPr>
          <w:p>
            <w:pPr>
              <w:ind w:left="40"/>
              <w:spacing w:after="0"/>
              <w:rPr>
                <w:sz w:val="20"/>
                <w:szCs w:val="20"/>
                <w:color w:val="auto"/>
              </w:rPr>
            </w:pPr>
            <w:r>
              <w:rPr>
                <w:rFonts w:ascii="Courier New" w:cs="Courier New" w:eastAsia="Courier New" w:hAnsi="Courier New"/>
                <w:sz w:val="16"/>
                <w:szCs w:val="16"/>
                <w:color w:val="auto"/>
                <w:w w:val="93"/>
              </w:rPr>
              <w:t>Number</w:t>
            </w:r>
          </w:p>
        </w:tc>
      </w:tr>
      <w:tr>
        <w:trPr>
          <w:trHeight w:val="182"/>
        </w:trPr>
        <w:tc>
          <w:tcPr>
            <w:tcW w:w="1000" w:type="dxa"/>
            <w:vAlign w:val="bottom"/>
          </w:tcPr>
          <w:p>
            <w:pPr>
              <w:spacing w:after="0"/>
              <w:rPr>
                <w:sz w:val="20"/>
                <w:szCs w:val="20"/>
                <w:color w:val="auto"/>
              </w:rPr>
            </w:pPr>
            <w:r>
              <w:rPr>
                <w:rFonts w:ascii="Courier New" w:cs="Courier New" w:eastAsia="Courier New" w:hAnsi="Courier New"/>
                <w:sz w:val="16"/>
                <w:szCs w:val="16"/>
                <w:color w:val="auto"/>
              </w:rPr>
              <w:t>PART I.</w:t>
            </w:r>
          </w:p>
        </w:tc>
        <w:tc>
          <w:tcPr>
            <w:tcW w:w="8080" w:type="dxa"/>
            <w:vAlign w:val="bottom"/>
          </w:tcPr>
          <w:p>
            <w:pPr>
              <w:ind w:left="240"/>
              <w:spacing w:after="0"/>
              <w:rPr>
                <w:sz w:val="20"/>
                <w:szCs w:val="20"/>
                <w:color w:val="auto"/>
              </w:rPr>
            </w:pPr>
            <w:r>
              <w:rPr>
                <w:rFonts w:ascii="Courier New" w:cs="Courier New" w:eastAsia="Courier New" w:hAnsi="Courier New"/>
                <w:sz w:val="16"/>
                <w:szCs w:val="16"/>
                <w:color w:val="auto"/>
              </w:rPr>
              <w:t>FINANCIAL INFORMATION:  (Interim period information unaudited)</w:t>
            </w:r>
          </w:p>
        </w:tc>
        <w:tc>
          <w:tcPr>
            <w:tcW w:w="156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546"/>
        </w:trPr>
        <w:tc>
          <w:tcPr>
            <w:tcW w:w="1000" w:type="dxa"/>
            <w:vAlign w:val="bottom"/>
          </w:tcPr>
          <w:p>
            <w:pPr>
              <w:spacing w:after="0"/>
              <w:rPr>
                <w:sz w:val="24"/>
                <w:szCs w:val="24"/>
                <w:color w:val="auto"/>
              </w:rPr>
            </w:pPr>
          </w:p>
        </w:tc>
        <w:tc>
          <w:tcPr>
            <w:tcW w:w="8080" w:type="dxa"/>
            <w:vAlign w:val="bottom"/>
          </w:tcPr>
          <w:p>
            <w:pPr>
              <w:ind w:left="240"/>
              <w:spacing w:after="0"/>
              <w:rPr>
                <w:sz w:val="20"/>
                <w:szCs w:val="20"/>
                <w:color w:val="auto"/>
              </w:rPr>
            </w:pPr>
            <w:r>
              <w:rPr>
                <w:rFonts w:ascii="Courier New" w:cs="Courier New" w:eastAsia="Courier New" w:hAnsi="Courier New"/>
                <w:sz w:val="16"/>
                <w:szCs w:val="16"/>
                <w:color w:val="auto"/>
              </w:rPr>
              <w:t>Consolidated Balance Sheets</w:t>
            </w: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1</w:t>
            </w:r>
          </w:p>
        </w:tc>
        <w:tc>
          <w:tcPr>
            <w:tcW w:w="600" w:type="dxa"/>
            <w:vAlign w:val="bottom"/>
          </w:tcPr>
          <w:p>
            <w:pPr>
              <w:ind w:left="40"/>
              <w:spacing w:after="0"/>
              <w:rPr>
                <w:sz w:val="20"/>
                <w:szCs w:val="20"/>
                <w:color w:val="auto"/>
              </w:rPr>
            </w:pPr>
            <w:r>
              <w:rPr>
                <w:rFonts w:ascii="Courier New" w:cs="Courier New" w:eastAsia="Courier New" w:hAnsi="Courier New"/>
                <w:sz w:val="16"/>
                <w:szCs w:val="16"/>
                <w:color w:val="auto"/>
              </w:rPr>
              <w:t>&amp; 2</w:t>
            </w:r>
          </w:p>
        </w:tc>
      </w:tr>
      <w:tr>
        <w:trPr>
          <w:trHeight w:val="364"/>
        </w:trPr>
        <w:tc>
          <w:tcPr>
            <w:tcW w:w="1000" w:type="dxa"/>
            <w:vAlign w:val="bottom"/>
          </w:tcPr>
          <w:p>
            <w:pPr>
              <w:spacing w:after="0"/>
              <w:rPr>
                <w:sz w:val="24"/>
                <w:szCs w:val="24"/>
                <w:color w:val="auto"/>
              </w:rPr>
            </w:pPr>
          </w:p>
        </w:tc>
        <w:tc>
          <w:tcPr>
            <w:tcW w:w="8080" w:type="dxa"/>
            <w:vAlign w:val="bottom"/>
          </w:tcPr>
          <w:p>
            <w:pPr>
              <w:ind w:left="240"/>
              <w:spacing w:after="0"/>
              <w:rPr>
                <w:sz w:val="20"/>
                <w:szCs w:val="20"/>
                <w:color w:val="auto"/>
              </w:rPr>
            </w:pPr>
            <w:r>
              <w:rPr>
                <w:rFonts w:ascii="Courier New" w:cs="Courier New" w:eastAsia="Courier New" w:hAnsi="Courier New"/>
                <w:sz w:val="16"/>
                <w:szCs w:val="16"/>
                <w:color w:val="auto"/>
              </w:rPr>
              <w:t>Unaudited Consolidated Statements of Operations</w:t>
            </w:r>
          </w:p>
        </w:tc>
        <w:tc>
          <w:tcPr>
            <w:tcW w:w="1560" w:type="dxa"/>
            <w:vAlign w:val="bottom"/>
          </w:tcPr>
          <w:p>
            <w:pPr>
              <w:spacing w:after="0"/>
              <w:rPr>
                <w:sz w:val="24"/>
                <w:szCs w:val="24"/>
                <w:color w:val="auto"/>
              </w:rPr>
            </w:pPr>
          </w:p>
        </w:tc>
        <w:tc>
          <w:tcPr>
            <w:tcW w:w="600" w:type="dxa"/>
            <w:vAlign w:val="bottom"/>
          </w:tcPr>
          <w:p>
            <w:pPr>
              <w:ind w:left="40"/>
              <w:spacing w:after="0"/>
              <w:rPr>
                <w:sz w:val="20"/>
                <w:szCs w:val="20"/>
                <w:color w:val="auto"/>
              </w:rPr>
            </w:pPr>
            <w:r>
              <w:rPr>
                <w:rFonts w:ascii="Courier New" w:cs="Courier New" w:eastAsia="Courier New" w:hAnsi="Courier New"/>
                <w:sz w:val="16"/>
                <w:szCs w:val="16"/>
                <w:color w:val="auto"/>
              </w:rPr>
              <w:t>3</w:t>
            </w:r>
          </w:p>
        </w:tc>
      </w:tr>
      <w:tr>
        <w:trPr>
          <w:trHeight w:val="364"/>
        </w:trPr>
        <w:tc>
          <w:tcPr>
            <w:tcW w:w="1000" w:type="dxa"/>
            <w:vAlign w:val="bottom"/>
          </w:tcPr>
          <w:p>
            <w:pPr>
              <w:spacing w:after="0"/>
              <w:rPr>
                <w:sz w:val="24"/>
                <w:szCs w:val="24"/>
                <w:color w:val="auto"/>
              </w:rPr>
            </w:pPr>
          </w:p>
        </w:tc>
        <w:tc>
          <w:tcPr>
            <w:tcW w:w="8080" w:type="dxa"/>
            <w:vAlign w:val="bottom"/>
          </w:tcPr>
          <w:p>
            <w:pPr>
              <w:ind w:left="240"/>
              <w:spacing w:after="0"/>
              <w:rPr>
                <w:sz w:val="20"/>
                <w:szCs w:val="20"/>
                <w:color w:val="auto"/>
              </w:rPr>
            </w:pPr>
            <w:r>
              <w:rPr>
                <w:rFonts w:ascii="Courier New" w:cs="Courier New" w:eastAsia="Courier New" w:hAnsi="Courier New"/>
                <w:sz w:val="16"/>
                <w:szCs w:val="16"/>
                <w:color w:val="auto"/>
              </w:rPr>
              <w:t>Unaudited Consolidated Condensed Statements of Cash Flows</w:t>
            </w:r>
          </w:p>
        </w:tc>
        <w:tc>
          <w:tcPr>
            <w:tcW w:w="1560" w:type="dxa"/>
            <w:vAlign w:val="bottom"/>
          </w:tcPr>
          <w:p>
            <w:pPr>
              <w:spacing w:after="0"/>
              <w:rPr>
                <w:sz w:val="24"/>
                <w:szCs w:val="24"/>
                <w:color w:val="auto"/>
              </w:rPr>
            </w:pPr>
          </w:p>
        </w:tc>
        <w:tc>
          <w:tcPr>
            <w:tcW w:w="600" w:type="dxa"/>
            <w:vAlign w:val="bottom"/>
          </w:tcPr>
          <w:p>
            <w:pPr>
              <w:ind w:left="40"/>
              <w:spacing w:after="0"/>
              <w:rPr>
                <w:sz w:val="20"/>
                <w:szCs w:val="20"/>
                <w:color w:val="auto"/>
              </w:rPr>
            </w:pPr>
            <w:r>
              <w:rPr>
                <w:rFonts w:ascii="Courier New" w:cs="Courier New" w:eastAsia="Courier New" w:hAnsi="Courier New"/>
                <w:sz w:val="16"/>
                <w:szCs w:val="16"/>
                <w:color w:val="auto"/>
              </w:rPr>
              <w:t>4</w:t>
            </w:r>
          </w:p>
        </w:tc>
      </w:tr>
      <w:tr>
        <w:trPr>
          <w:trHeight w:val="364"/>
        </w:trPr>
        <w:tc>
          <w:tcPr>
            <w:tcW w:w="1000" w:type="dxa"/>
            <w:vAlign w:val="bottom"/>
          </w:tcPr>
          <w:p>
            <w:pPr>
              <w:spacing w:after="0"/>
              <w:rPr>
                <w:sz w:val="24"/>
                <w:szCs w:val="24"/>
                <w:color w:val="auto"/>
              </w:rPr>
            </w:pPr>
          </w:p>
        </w:tc>
        <w:tc>
          <w:tcPr>
            <w:tcW w:w="8080" w:type="dxa"/>
            <w:vAlign w:val="bottom"/>
          </w:tcPr>
          <w:p>
            <w:pPr>
              <w:ind w:left="240"/>
              <w:spacing w:after="0"/>
              <w:rPr>
                <w:sz w:val="20"/>
                <w:szCs w:val="20"/>
                <w:color w:val="auto"/>
              </w:rPr>
            </w:pPr>
            <w:r>
              <w:rPr>
                <w:rFonts w:ascii="Courier New" w:cs="Courier New" w:eastAsia="Courier New" w:hAnsi="Courier New"/>
                <w:sz w:val="16"/>
                <w:szCs w:val="16"/>
                <w:color w:val="auto"/>
              </w:rPr>
              <w:t>Unaudited Condensed Notes to Consolidated Financial Statements</w:t>
            </w: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5</w:t>
            </w:r>
          </w:p>
        </w:tc>
        <w:tc>
          <w:tcPr>
            <w:tcW w:w="600" w:type="dxa"/>
            <w:vAlign w:val="bottom"/>
          </w:tcPr>
          <w:p>
            <w:pPr>
              <w:ind w:left="40"/>
              <w:spacing w:after="0"/>
              <w:rPr>
                <w:sz w:val="20"/>
                <w:szCs w:val="20"/>
                <w:color w:val="auto"/>
              </w:rPr>
            </w:pPr>
            <w:r>
              <w:rPr>
                <w:rFonts w:ascii="Courier New" w:cs="Courier New" w:eastAsia="Courier New" w:hAnsi="Courier New"/>
                <w:sz w:val="16"/>
                <w:szCs w:val="16"/>
                <w:color w:val="auto"/>
              </w:rPr>
              <w:t>&amp; 6</w:t>
            </w:r>
          </w:p>
        </w:tc>
      </w:tr>
      <w:tr>
        <w:trPr>
          <w:trHeight w:val="364"/>
        </w:trPr>
        <w:tc>
          <w:tcPr>
            <w:tcW w:w="1000" w:type="dxa"/>
            <w:vAlign w:val="bottom"/>
          </w:tcPr>
          <w:p>
            <w:pPr>
              <w:spacing w:after="0"/>
              <w:rPr>
                <w:sz w:val="24"/>
                <w:szCs w:val="24"/>
                <w:color w:val="auto"/>
              </w:rPr>
            </w:pPr>
          </w:p>
        </w:tc>
        <w:tc>
          <w:tcPr>
            <w:tcW w:w="8080" w:type="dxa"/>
            <w:vAlign w:val="bottom"/>
          </w:tcPr>
          <w:p>
            <w:pPr>
              <w:ind w:left="240"/>
              <w:spacing w:after="0"/>
              <w:rPr>
                <w:sz w:val="20"/>
                <w:szCs w:val="20"/>
                <w:color w:val="auto"/>
              </w:rPr>
            </w:pPr>
            <w:r>
              <w:rPr>
                <w:rFonts w:ascii="Courier New" w:cs="Courier New" w:eastAsia="Courier New" w:hAnsi="Courier New"/>
                <w:sz w:val="16"/>
                <w:szCs w:val="16"/>
                <w:color w:val="auto"/>
              </w:rPr>
              <w:t>Management's Discussion and Analysis of Financial Condition and Results</w:t>
            </w:r>
          </w:p>
        </w:tc>
        <w:tc>
          <w:tcPr>
            <w:tcW w:w="15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82"/>
        </w:trPr>
        <w:tc>
          <w:tcPr>
            <w:tcW w:w="1000" w:type="dxa"/>
            <w:vAlign w:val="bottom"/>
          </w:tcPr>
          <w:p>
            <w:pPr>
              <w:spacing w:after="0"/>
              <w:rPr>
                <w:sz w:val="15"/>
                <w:szCs w:val="15"/>
                <w:color w:val="auto"/>
              </w:rPr>
            </w:pPr>
          </w:p>
        </w:tc>
        <w:tc>
          <w:tcPr>
            <w:tcW w:w="8080" w:type="dxa"/>
            <w:vAlign w:val="bottom"/>
          </w:tcPr>
          <w:p>
            <w:pPr>
              <w:ind w:left="520"/>
              <w:spacing w:after="0"/>
              <w:rPr>
                <w:sz w:val="20"/>
                <w:szCs w:val="20"/>
                <w:color w:val="auto"/>
              </w:rPr>
            </w:pPr>
            <w:r>
              <w:rPr>
                <w:rFonts w:ascii="Courier New" w:cs="Courier New" w:eastAsia="Courier New" w:hAnsi="Courier New"/>
                <w:sz w:val="16"/>
                <w:szCs w:val="16"/>
                <w:color w:val="auto"/>
              </w:rPr>
              <w:t>of Operations</w:t>
            </w: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7</w:t>
            </w:r>
          </w:p>
        </w:tc>
        <w:tc>
          <w:tcPr>
            <w:tcW w:w="600" w:type="dxa"/>
            <w:vAlign w:val="bottom"/>
          </w:tcPr>
          <w:p>
            <w:pPr>
              <w:ind w:left="40"/>
              <w:spacing w:after="0"/>
              <w:rPr>
                <w:sz w:val="20"/>
                <w:szCs w:val="20"/>
                <w:color w:val="auto"/>
              </w:rPr>
            </w:pPr>
            <w:r>
              <w:rPr>
                <w:rFonts w:ascii="Courier New" w:cs="Courier New" w:eastAsia="Courier New" w:hAnsi="Courier New"/>
                <w:sz w:val="16"/>
                <w:szCs w:val="16"/>
                <w:color w:val="auto"/>
              </w:rPr>
              <w:t>- 9</w:t>
            </w:r>
          </w:p>
        </w:tc>
      </w:tr>
      <w:tr>
        <w:trPr>
          <w:trHeight w:val="364"/>
        </w:trPr>
        <w:tc>
          <w:tcPr>
            <w:tcW w:w="1000" w:type="dxa"/>
            <w:vAlign w:val="bottom"/>
          </w:tcPr>
          <w:p>
            <w:pPr>
              <w:spacing w:after="0"/>
              <w:rPr>
                <w:sz w:val="20"/>
                <w:szCs w:val="20"/>
                <w:color w:val="auto"/>
              </w:rPr>
            </w:pPr>
            <w:r>
              <w:rPr>
                <w:rFonts w:ascii="Courier New" w:cs="Courier New" w:eastAsia="Courier New" w:hAnsi="Courier New"/>
                <w:sz w:val="16"/>
                <w:szCs w:val="16"/>
                <w:color w:val="auto"/>
              </w:rPr>
              <w:t>PART II.</w:t>
            </w:r>
          </w:p>
        </w:tc>
        <w:tc>
          <w:tcPr>
            <w:tcW w:w="8080" w:type="dxa"/>
            <w:vAlign w:val="bottom"/>
          </w:tcPr>
          <w:p>
            <w:pPr>
              <w:ind w:left="240"/>
              <w:spacing w:after="0"/>
              <w:rPr>
                <w:sz w:val="20"/>
                <w:szCs w:val="20"/>
                <w:color w:val="auto"/>
              </w:rPr>
            </w:pPr>
            <w:r>
              <w:rPr>
                <w:rFonts w:ascii="Courier New" w:cs="Courier New" w:eastAsia="Courier New" w:hAnsi="Courier New"/>
                <w:sz w:val="16"/>
                <w:szCs w:val="16"/>
                <w:color w:val="auto"/>
              </w:rPr>
              <w:t>OTHER INFORMATION</w:t>
            </w: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10</w:t>
            </w:r>
          </w:p>
        </w:tc>
        <w:tc>
          <w:tcPr>
            <w:tcW w:w="600" w:type="dxa"/>
            <w:vAlign w:val="bottom"/>
          </w:tcPr>
          <w:p>
            <w:pPr>
              <w:ind w:left="40"/>
              <w:spacing w:after="0"/>
              <w:rPr>
                <w:sz w:val="20"/>
                <w:szCs w:val="20"/>
                <w:color w:val="auto"/>
              </w:rPr>
            </w:pPr>
            <w:r>
              <w:rPr>
                <w:rFonts w:ascii="Courier New" w:cs="Courier New" w:eastAsia="Courier New" w:hAnsi="Courier New"/>
                <w:sz w:val="16"/>
                <w:szCs w:val="16"/>
                <w:color w:val="auto"/>
              </w:rPr>
              <w:t>&amp; 11</w:t>
            </w:r>
          </w:p>
        </w:tc>
      </w:tr>
    </w:tbl>
    <w:p>
      <w:pPr>
        <w:spacing w:after="0" w:line="200" w:lineRule="exact"/>
        <w:rPr>
          <w:sz w:val="24"/>
          <w:szCs w:val="24"/>
          <w:color w:val="auto"/>
        </w:rPr>
      </w:pPr>
    </w:p>
    <w:p>
      <w:pPr>
        <w:spacing w:after="0" w:line="200" w:lineRule="exact"/>
        <w:rPr>
          <w:sz w:val="24"/>
          <w:szCs w:val="24"/>
          <w:color w:val="auto"/>
        </w:rPr>
      </w:pPr>
    </w:p>
    <w:p>
      <w:pPr>
        <w:spacing w:after="0" w:line="328" w:lineRule="exact"/>
        <w:rPr>
          <w:sz w:val="24"/>
          <w:szCs w:val="24"/>
          <w:color w:val="auto"/>
        </w:rPr>
      </w:pPr>
    </w:p>
    <w:p>
      <w:pPr>
        <w:ind w:left="2463"/>
        <w:spacing w:after="0"/>
        <w:rPr>
          <w:sz w:val="20"/>
          <w:szCs w:val="20"/>
          <w:color w:val="auto"/>
        </w:rPr>
      </w:pPr>
      <w:r>
        <w:rPr>
          <w:rFonts w:ascii="Courier New" w:cs="Courier New" w:eastAsia="Courier New" w:hAnsi="Courier New"/>
          <w:sz w:val="16"/>
          <w:szCs w:val="16"/>
          <w:color w:val="auto"/>
        </w:rPr>
        <w:t>PART I FINANCIAL INFORMATION</w:t>
      </w:r>
    </w:p>
    <w:p>
      <w:pPr>
        <w:spacing w:after="0" w:line="1" w:lineRule="exact"/>
        <w:rPr>
          <w:sz w:val="24"/>
          <w:szCs w:val="24"/>
          <w:color w:val="auto"/>
        </w:rPr>
      </w:pPr>
    </w:p>
    <w:p>
      <w:pPr>
        <w:ind w:left="1703"/>
        <w:spacing w:after="0"/>
        <w:rPr>
          <w:sz w:val="20"/>
          <w:szCs w:val="20"/>
          <w:color w:val="auto"/>
        </w:rPr>
      </w:pPr>
      <w:r>
        <w:rPr>
          <w:rFonts w:ascii="Courier New" w:cs="Courier New" w:eastAsia="Courier New" w:hAnsi="Courier New"/>
          <w:sz w:val="16"/>
          <w:szCs w:val="16"/>
          <w:color w:val="auto"/>
        </w:rPr>
        <w:t>WINNEBAGO INDUSTRIES, INC. AND SUBSIDIARIES</w:t>
      </w:r>
    </w:p>
    <w:p>
      <w:pPr>
        <w:spacing w:after="0" w:line="1" w:lineRule="exact"/>
        <w:rPr>
          <w:sz w:val="24"/>
          <w:szCs w:val="24"/>
          <w:color w:val="auto"/>
        </w:rPr>
      </w:pPr>
    </w:p>
    <w:p>
      <w:pPr>
        <w:ind w:left="2463"/>
        <w:spacing w:after="0"/>
        <w:rPr>
          <w:sz w:val="20"/>
          <w:szCs w:val="20"/>
          <w:color w:val="auto"/>
        </w:rPr>
      </w:pPr>
      <w:r>
        <w:rPr>
          <w:rFonts w:ascii="Courier New" w:cs="Courier New" w:eastAsia="Courier New" w:hAnsi="Courier New"/>
          <w:sz w:val="16"/>
          <w:szCs w:val="16"/>
          <w:color w:val="auto"/>
        </w:rPr>
        <w:t>CONSOLIDATED BALANCE SHEETS</w:t>
      </w:r>
    </w:p>
    <w:p>
      <w:pPr>
        <w:spacing w:after="0" w:line="364" w:lineRule="exact"/>
        <w:rPr>
          <w:sz w:val="24"/>
          <w:szCs w:val="24"/>
          <w:color w:val="auto"/>
        </w:rPr>
      </w:pPr>
    </w:p>
    <w:p>
      <w:pPr>
        <w:ind w:left="3"/>
        <w:spacing w:after="0"/>
        <w:rPr>
          <w:sz w:val="20"/>
          <w:szCs w:val="20"/>
          <w:color w:val="auto"/>
        </w:rPr>
      </w:pPr>
      <w:r>
        <w:rPr>
          <w:rFonts w:ascii="Courier New" w:cs="Courier New" w:eastAsia="Courier New" w:hAnsi="Courier New"/>
          <w:sz w:val="16"/>
          <w:szCs w:val="16"/>
          <w:color w:val="auto"/>
        </w:rPr>
        <w:t>Dollars in thousands</w:t>
      </w:r>
    </w:p>
    <w:p>
      <w:pPr>
        <w:sectPr>
          <w:pgSz w:w="11900" w:h="16838" w:orient="portrait"/>
          <w:cols w:equalWidth="0" w:num="1">
            <w:col w:w="11523"/>
          </w:cols>
          <w:pgMar w:left="237" w:top="598" w:right="1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ind w:left="2183"/>
        <w:spacing w:after="0"/>
        <w:rPr>
          <w:sz w:val="20"/>
          <w:szCs w:val="20"/>
          <w:color w:val="auto"/>
        </w:rPr>
      </w:pPr>
      <w:r>
        <w:rPr>
          <w:rFonts w:ascii="Courier New" w:cs="Courier New" w:eastAsia="Courier New" w:hAnsi="Courier New"/>
          <w:sz w:val="15"/>
          <w:szCs w:val="15"/>
          <w:color w:val="auto"/>
        </w:rPr>
        <w:t>ASSETS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May 27, 1995</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(Unaudited)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August 27, 1994</w:t>
      </w:r>
    </w:p>
    <w:p>
      <w:pPr>
        <w:sectPr>
          <w:pgSz w:w="11900" w:h="16838" w:orient="portrait"/>
          <w:cols w:equalWidth="0" w:num="3">
            <w:col w:w="5143" w:space="720"/>
            <w:col w:w="1140" w:space="460"/>
            <w:col w:w="4060"/>
          </w:cols>
          <w:pgMar w:left="237" w:top="598" w:right="1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81"/>
        </w:trPr>
        <w:tc>
          <w:tcPr>
            <w:tcW w:w="5820" w:type="dxa"/>
            <w:vAlign w:val="bottom"/>
          </w:tcPr>
          <w:p>
            <w:pPr>
              <w:spacing w:after="0"/>
              <w:rPr>
                <w:sz w:val="20"/>
                <w:szCs w:val="20"/>
                <w:color w:val="auto"/>
              </w:rPr>
            </w:pPr>
            <w:r>
              <w:rPr>
                <w:rFonts w:ascii="Courier New" w:cs="Courier New" w:eastAsia="Courier New" w:hAnsi="Courier New"/>
                <w:sz w:val="16"/>
                <w:szCs w:val="16"/>
                <w:color w:val="auto"/>
              </w:rPr>
              <w:t>CURRENT ASSETS</w:t>
            </w: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2"/>
        </w:trPr>
        <w:tc>
          <w:tcPr>
            <w:tcW w:w="5820" w:type="dxa"/>
            <w:vAlign w:val="bottom"/>
          </w:tcPr>
          <w:p>
            <w:pPr>
              <w:spacing w:after="0"/>
              <w:rPr>
                <w:sz w:val="20"/>
                <w:szCs w:val="20"/>
                <w:color w:val="auto"/>
              </w:rPr>
            </w:pPr>
            <w:r>
              <w:rPr>
                <w:rFonts w:ascii="Courier New" w:cs="Courier New" w:eastAsia="Courier New" w:hAnsi="Courier New"/>
                <w:sz w:val="16"/>
                <w:szCs w:val="16"/>
                <w:color w:val="auto"/>
              </w:rPr>
              <w:t>Cash and cash equivalents</w:t>
            </w:r>
          </w:p>
        </w:tc>
        <w:tc>
          <w:tcPr>
            <w:tcW w:w="4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2,118</w:t>
            </w:r>
          </w:p>
        </w:tc>
        <w:tc>
          <w:tcPr>
            <w:tcW w:w="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14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847</w:t>
            </w:r>
          </w:p>
        </w:tc>
      </w:tr>
      <w:tr>
        <w:trPr>
          <w:trHeight w:val="182"/>
        </w:trPr>
        <w:tc>
          <w:tcPr>
            <w:tcW w:w="5820" w:type="dxa"/>
            <w:vAlign w:val="bottom"/>
          </w:tcPr>
          <w:p>
            <w:pPr>
              <w:spacing w:after="0"/>
              <w:rPr>
                <w:sz w:val="20"/>
                <w:szCs w:val="20"/>
                <w:color w:val="auto"/>
              </w:rPr>
            </w:pPr>
            <w:r>
              <w:rPr>
                <w:rFonts w:ascii="Courier New" w:cs="Courier New" w:eastAsia="Courier New" w:hAnsi="Courier New"/>
                <w:sz w:val="16"/>
                <w:szCs w:val="16"/>
                <w:color w:val="auto"/>
              </w:rPr>
              <w:t>Marketable securities</w:t>
            </w:r>
          </w:p>
        </w:tc>
        <w:tc>
          <w:tcPr>
            <w:tcW w:w="4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2,623</w:t>
            </w: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40" w:type="dxa"/>
            <w:vAlign w:val="bottom"/>
          </w:tcPr>
          <w:p>
            <w:pPr>
              <w:jc w:val="right"/>
              <w:ind w:right="581"/>
              <w:spacing w:after="0"/>
              <w:rPr>
                <w:sz w:val="20"/>
                <w:szCs w:val="20"/>
                <w:color w:val="auto"/>
              </w:rPr>
            </w:pPr>
            <w:r>
              <w:rPr>
                <w:rFonts w:ascii="Courier New" w:cs="Courier New" w:eastAsia="Courier New" w:hAnsi="Courier New"/>
                <w:sz w:val="16"/>
                <w:szCs w:val="16"/>
                <w:color w:val="auto"/>
                <w:w w:val="95"/>
              </w:rPr>
              <w:t>3,301</w:t>
            </w:r>
          </w:p>
        </w:tc>
      </w:tr>
      <w:tr>
        <w:trPr>
          <w:trHeight w:val="182"/>
        </w:trPr>
        <w:tc>
          <w:tcPr>
            <w:tcW w:w="5820" w:type="dxa"/>
            <w:vAlign w:val="bottom"/>
          </w:tcPr>
          <w:p>
            <w:pPr>
              <w:spacing w:after="0"/>
              <w:rPr>
                <w:sz w:val="20"/>
                <w:szCs w:val="20"/>
                <w:color w:val="auto"/>
              </w:rPr>
            </w:pPr>
            <w:r>
              <w:rPr>
                <w:rFonts w:ascii="Courier New" w:cs="Courier New" w:eastAsia="Courier New" w:hAnsi="Courier New"/>
                <w:sz w:val="16"/>
                <w:szCs w:val="16"/>
                <w:color w:val="auto"/>
              </w:rPr>
              <w:t>Receivables, less allowance for doubtful</w:t>
            </w: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2"/>
        </w:trPr>
        <w:tc>
          <w:tcPr>
            <w:tcW w:w="5820" w:type="dxa"/>
            <w:vAlign w:val="bottom"/>
          </w:tcPr>
          <w:p>
            <w:pPr>
              <w:ind w:left="280"/>
              <w:spacing w:after="0"/>
              <w:rPr>
                <w:sz w:val="20"/>
                <w:szCs w:val="20"/>
                <w:color w:val="auto"/>
              </w:rPr>
            </w:pPr>
            <w:r>
              <w:rPr>
                <w:rFonts w:ascii="Courier New" w:cs="Courier New" w:eastAsia="Courier New" w:hAnsi="Courier New"/>
                <w:sz w:val="16"/>
                <w:szCs w:val="16"/>
                <w:color w:val="auto"/>
              </w:rPr>
              <w:t>accounts ($1,586 and $1,545, respectively)</w:t>
            </w:r>
          </w:p>
        </w:tc>
        <w:tc>
          <w:tcPr>
            <w:tcW w:w="4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36,010</w:t>
            </w:r>
          </w:p>
        </w:tc>
        <w:tc>
          <w:tcPr>
            <w:tcW w:w="900" w:type="dxa"/>
            <w:vAlign w:val="bottom"/>
          </w:tcPr>
          <w:p>
            <w:pPr>
              <w:spacing w:after="0"/>
              <w:rPr>
                <w:sz w:val="15"/>
                <w:szCs w:val="15"/>
                <w:color w:val="auto"/>
              </w:rPr>
            </w:pPr>
          </w:p>
        </w:tc>
        <w:tc>
          <w:tcPr>
            <w:tcW w:w="1520" w:type="dxa"/>
            <w:vAlign w:val="bottom"/>
            <w:gridSpan w:val="2"/>
          </w:tcPr>
          <w:p>
            <w:pPr>
              <w:jc w:val="right"/>
              <w:ind w:right="581"/>
              <w:spacing w:after="0"/>
              <w:rPr>
                <w:sz w:val="20"/>
                <w:szCs w:val="20"/>
                <w:color w:val="auto"/>
              </w:rPr>
            </w:pPr>
            <w:r>
              <w:rPr>
                <w:rFonts w:ascii="Courier New" w:cs="Courier New" w:eastAsia="Courier New" w:hAnsi="Courier New"/>
                <w:sz w:val="16"/>
                <w:szCs w:val="16"/>
                <w:color w:val="auto"/>
              </w:rPr>
              <w:t>36,602</w:t>
            </w:r>
          </w:p>
        </w:tc>
      </w:tr>
      <w:tr>
        <w:trPr>
          <w:trHeight w:val="182"/>
        </w:trPr>
        <w:tc>
          <w:tcPr>
            <w:tcW w:w="5820" w:type="dxa"/>
            <w:vAlign w:val="bottom"/>
          </w:tcPr>
          <w:p>
            <w:pPr>
              <w:spacing w:after="0"/>
              <w:rPr>
                <w:sz w:val="20"/>
                <w:szCs w:val="20"/>
                <w:color w:val="auto"/>
              </w:rPr>
            </w:pPr>
            <w:r>
              <w:rPr>
                <w:rFonts w:ascii="Courier New" w:cs="Courier New" w:eastAsia="Courier New" w:hAnsi="Courier New"/>
                <w:sz w:val="16"/>
                <w:szCs w:val="16"/>
                <w:color w:val="auto"/>
              </w:rPr>
              <w:t>Dealer financing receivables less allowance</w:t>
            </w: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2"/>
        </w:trPr>
        <w:tc>
          <w:tcPr>
            <w:tcW w:w="5820" w:type="dxa"/>
            <w:vAlign w:val="bottom"/>
          </w:tcPr>
          <w:p>
            <w:pPr>
              <w:ind w:left="280"/>
              <w:spacing w:after="0"/>
              <w:rPr>
                <w:sz w:val="20"/>
                <w:szCs w:val="20"/>
                <w:color w:val="auto"/>
              </w:rPr>
            </w:pPr>
            <w:r>
              <w:rPr>
                <w:rFonts w:ascii="Courier New" w:cs="Courier New" w:eastAsia="Courier New" w:hAnsi="Courier New"/>
                <w:sz w:val="16"/>
                <w:szCs w:val="16"/>
                <w:color w:val="auto"/>
              </w:rPr>
              <w:t>for doubtful accounts ($309 and $279, respectively)</w:t>
            </w:r>
          </w:p>
        </w:tc>
        <w:tc>
          <w:tcPr>
            <w:tcW w:w="4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8,643</w:t>
            </w: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40" w:type="dxa"/>
            <w:vAlign w:val="bottom"/>
          </w:tcPr>
          <w:p>
            <w:pPr>
              <w:jc w:val="right"/>
              <w:ind w:right="581"/>
              <w:spacing w:after="0"/>
              <w:rPr>
                <w:sz w:val="20"/>
                <w:szCs w:val="20"/>
                <w:color w:val="auto"/>
              </w:rPr>
            </w:pPr>
            <w:r>
              <w:rPr>
                <w:rFonts w:ascii="Courier New" w:cs="Courier New" w:eastAsia="Courier New" w:hAnsi="Courier New"/>
                <w:sz w:val="16"/>
                <w:szCs w:val="16"/>
                <w:color w:val="auto"/>
                <w:w w:val="95"/>
              </w:rPr>
              <w:t>8,565</w:t>
            </w:r>
          </w:p>
        </w:tc>
      </w:tr>
      <w:tr>
        <w:trPr>
          <w:trHeight w:val="182"/>
        </w:trPr>
        <w:tc>
          <w:tcPr>
            <w:tcW w:w="5820" w:type="dxa"/>
            <w:vAlign w:val="bottom"/>
          </w:tcPr>
          <w:p>
            <w:pPr>
              <w:spacing w:after="0"/>
              <w:rPr>
                <w:sz w:val="20"/>
                <w:szCs w:val="20"/>
                <w:color w:val="auto"/>
              </w:rPr>
            </w:pPr>
            <w:r>
              <w:rPr>
                <w:rFonts w:ascii="Courier New" w:cs="Courier New" w:eastAsia="Courier New" w:hAnsi="Courier New"/>
                <w:sz w:val="16"/>
                <w:szCs w:val="16"/>
                <w:color w:val="auto"/>
              </w:rPr>
              <w:t>Prepaid income taxes</w:t>
            </w:r>
          </w:p>
        </w:tc>
        <w:tc>
          <w:tcPr>
            <w:tcW w:w="4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6,498</w:t>
            </w: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40" w:type="dxa"/>
            <w:vAlign w:val="bottom"/>
          </w:tcPr>
          <w:p>
            <w:pPr>
              <w:jc w:val="right"/>
              <w:ind w:right="581"/>
              <w:spacing w:after="0"/>
              <w:rPr>
                <w:sz w:val="20"/>
                <w:szCs w:val="20"/>
                <w:color w:val="auto"/>
              </w:rPr>
            </w:pPr>
            <w:r>
              <w:rPr>
                <w:rFonts w:ascii="Courier New" w:cs="Courier New" w:eastAsia="Courier New" w:hAnsi="Courier New"/>
                <w:sz w:val="16"/>
                <w:szCs w:val="16"/>
                <w:color w:val="auto"/>
                <w:w w:val="95"/>
              </w:rPr>
              <w:t>- - -</w:t>
            </w:r>
          </w:p>
        </w:tc>
      </w:tr>
      <w:tr>
        <w:trPr>
          <w:trHeight w:val="182"/>
        </w:trPr>
        <w:tc>
          <w:tcPr>
            <w:tcW w:w="5820" w:type="dxa"/>
            <w:vAlign w:val="bottom"/>
          </w:tcPr>
          <w:p>
            <w:pPr>
              <w:spacing w:after="0"/>
              <w:rPr>
                <w:sz w:val="20"/>
                <w:szCs w:val="20"/>
                <w:color w:val="auto"/>
              </w:rPr>
            </w:pPr>
            <w:r>
              <w:rPr>
                <w:rFonts w:ascii="Courier New" w:cs="Courier New" w:eastAsia="Courier New" w:hAnsi="Courier New"/>
                <w:sz w:val="16"/>
                <w:szCs w:val="16"/>
                <w:color w:val="auto"/>
              </w:rPr>
              <w:t>Inventories</w:t>
            </w:r>
          </w:p>
        </w:tc>
        <w:tc>
          <w:tcPr>
            <w:tcW w:w="4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68,389</w:t>
            </w:r>
          </w:p>
        </w:tc>
        <w:tc>
          <w:tcPr>
            <w:tcW w:w="900" w:type="dxa"/>
            <w:vAlign w:val="bottom"/>
          </w:tcPr>
          <w:p>
            <w:pPr>
              <w:spacing w:after="0"/>
              <w:rPr>
                <w:sz w:val="15"/>
                <w:szCs w:val="15"/>
                <w:color w:val="auto"/>
              </w:rPr>
            </w:pPr>
          </w:p>
        </w:tc>
        <w:tc>
          <w:tcPr>
            <w:tcW w:w="1520" w:type="dxa"/>
            <w:vAlign w:val="bottom"/>
            <w:gridSpan w:val="2"/>
          </w:tcPr>
          <w:p>
            <w:pPr>
              <w:jc w:val="right"/>
              <w:ind w:right="581"/>
              <w:spacing w:after="0"/>
              <w:rPr>
                <w:sz w:val="20"/>
                <w:szCs w:val="20"/>
                <w:color w:val="auto"/>
              </w:rPr>
            </w:pPr>
            <w:r>
              <w:rPr>
                <w:rFonts w:ascii="Courier New" w:cs="Courier New" w:eastAsia="Courier New" w:hAnsi="Courier New"/>
                <w:sz w:val="16"/>
                <w:szCs w:val="16"/>
                <w:color w:val="auto"/>
              </w:rPr>
              <w:t>55,450</w:t>
            </w:r>
          </w:p>
        </w:tc>
      </w:tr>
      <w:tr>
        <w:trPr>
          <w:trHeight w:val="182"/>
        </w:trPr>
        <w:tc>
          <w:tcPr>
            <w:tcW w:w="5820" w:type="dxa"/>
            <w:vAlign w:val="bottom"/>
          </w:tcPr>
          <w:p>
            <w:pPr>
              <w:spacing w:after="0"/>
              <w:rPr>
                <w:sz w:val="20"/>
                <w:szCs w:val="20"/>
                <w:color w:val="auto"/>
              </w:rPr>
            </w:pPr>
            <w:r>
              <w:rPr>
                <w:rFonts w:ascii="Courier New" w:cs="Courier New" w:eastAsia="Courier New" w:hAnsi="Courier New"/>
                <w:sz w:val="16"/>
                <w:szCs w:val="16"/>
                <w:color w:val="auto"/>
              </w:rPr>
              <w:t>Prepaid expenses</w:t>
            </w:r>
          </w:p>
        </w:tc>
        <w:tc>
          <w:tcPr>
            <w:tcW w:w="4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3,815</w:t>
            </w: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40" w:type="dxa"/>
            <w:vAlign w:val="bottom"/>
          </w:tcPr>
          <w:p>
            <w:pPr>
              <w:jc w:val="right"/>
              <w:ind w:right="581"/>
              <w:spacing w:after="0"/>
              <w:rPr>
                <w:sz w:val="20"/>
                <w:szCs w:val="20"/>
                <w:color w:val="auto"/>
              </w:rPr>
            </w:pPr>
            <w:r>
              <w:rPr>
                <w:rFonts w:ascii="Courier New" w:cs="Courier New" w:eastAsia="Courier New" w:hAnsi="Courier New"/>
                <w:sz w:val="16"/>
                <w:szCs w:val="16"/>
                <w:color w:val="auto"/>
                <w:w w:val="95"/>
              </w:rPr>
              <w:t>3,870</w:t>
            </w:r>
          </w:p>
        </w:tc>
      </w:tr>
      <w:tr>
        <w:trPr>
          <w:trHeight w:val="182"/>
        </w:trPr>
        <w:tc>
          <w:tcPr>
            <w:tcW w:w="5820" w:type="dxa"/>
            <w:vAlign w:val="bottom"/>
          </w:tcPr>
          <w:p>
            <w:pPr>
              <w:spacing w:after="0"/>
              <w:rPr>
                <w:sz w:val="20"/>
                <w:szCs w:val="20"/>
                <w:color w:val="auto"/>
              </w:rPr>
            </w:pPr>
            <w:r>
              <w:rPr>
                <w:rFonts w:ascii="Courier New" w:cs="Courier New" w:eastAsia="Courier New" w:hAnsi="Courier New"/>
                <w:sz w:val="16"/>
                <w:szCs w:val="16"/>
                <w:color w:val="auto"/>
              </w:rPr>
              <w:t>Deferred income taxes</w:t>
            </w:r>
          </w:p>
        </w:tc>
        <w:tc>
          <w:tcPr>
            <w:tcW w:w="4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6,581</w:t>
            </w: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40" w:type="dxa"/>
            <w:vAlign w:val="bottom"/>
          </w:tcPr>
          <w:p>
            <w:pPr>
              <w:jc w:val="right"/>
              <w:ind w:right="581"/>
              <w:spacing w:after="0"/>
              <w:rPr>
                <w:sz w:val="20"/>
                <w:szCs w:val="20"/>
                <w:color w:val="auto"/>
              </w:rPr>
            </w:pPr>
            <w:r>
              <w:rPr>
                <w:rFonts w:ascii="Courier New" w:cs="Courier New" w:eastAsia="Courier New" w:hAnsi="Courier New"/>
                <w:sz w:val="16"/>
                <w:szCs w:val="16"/>
                <w:color w:val="auto"/>
                <w:w w:val="95"/>
              </w:rPr>
              <w:t>2,252</w:t>
            </w:r>
          </w:p>
        </w:tc>
      </w:tr>
      <w:tr>
        <w:trPr>
          <w:trHeight w:val="364"/>
        </w:trPr>
        <w:tc>
          <w:tcPr>
            <w:tcW w:w="5820" w:type="dxa"/>
            <w:vAlign w:val="bottom"/>
          </w:tcPr>
          <w:p>
            <w:pPr>
              <w:ind w:left="460"/>
              <w:spacing w:after="0"/>
              <w:rPr>
                <w:sz w:val="20"/>
                <w:szCs w:val="20"/>
                <w:color w:val="auto"/>
              </w:rPr>
            </w:pPr>
            <w:r>
              <w:rPr>
                <w:rFonts w:ascii="Courier New" w:cs="Courier New" w:eastAsia="Courier New" w:hAnsi="Courier New"/>
                <w:sz w:val="16"/>
                <w:szCs w:val="16"/>
                <w:color w:val="auto"/>
              </w:rPr>
              <w:t>Total current assets</w:t>
            </w:r>
          </w:p>
        </w:tc>
        <w:tc>
          <w:tcPr>
            <w:tcW w:w="4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w w:val="95"/>
              </w:rPr>
              <w:t>134,677</w:t>
            </w:r>
          </w:p>
        </w:tc>
        <w:tc>
          <w:tcPr>
            <w:tcW w:w="900" w:type="dxa"/>
            <w:vAlign w:val="bottom"/>
          </w:tcPr>
          <w:p>
            <w:pPr>
              <w:spacing w:after="0"/>
              <w:rPr>
                <w:sz w:val="24"/>
                <w:szCs w:val="24"/>
                <w:color w:val="auto"/>
              </w:rPr>
            </w:pPr>
          </w:p>
        </w:tc>
        <w:tc>
          <w:tcPr>
            <w:tcW w:w="1520" w:type="dxa"/>
            <w:vAlign w:val="bottom"/>
            <w:gridSpan w:val="2"/>
          </w:tcPr>
          <w:p>
            <w:pPr>
              <w:jc w:val="right"/>
              <w:ind w:right="581"/>
              <w:spacing w:after="0"/>
              <w:rPr>
                <w:sz w:val="20"/>
                <w:szCs w:val="20"/>
                <w:color w:val="auto"/>
              </w:rPr>
            </w:pPr>
            <w:r>
              <w:rPr>
                <w:rFonts w:ascii="Courier New" w:cs="Courier New" w:eastAsia="Courier New" w:hAnsi="Courier New"/>
                <w:sz w:val="16"/>
                <w:szCs w:val="16"/>
                <w:color w:val="auto"/>
              </w:rPr>
              <w:t>110,887</w:t>
            </w:r>
          </w:p>
        </w:tc>
      </w:tr>
      <w:tr>
        <w:trPr>
          <w:trHeight w:val="364"/>
        </w:trPr>
        <w:tc>
          <w:tcPr>
            <w:tcW w:w="5820" w:type="dxa"/>
            <w:vAlign w:val="bottom"/>
          </w:tcPr>
          <w:p>
            <w:pPr>
              <w:spacing w:after="0"/>
              <w:rPr>
                <w:sz w:val="20"/>
                <w:szCs w:val="20"/>
                <w:color w:val="auto"/>
              </w:rPr>
            </w:pPr>
            <w:r>
              <w:rPr>
                <w:rFonts w:ascii="Courier New" w:cs="Courier New" w:eastAsia="Courier New" w:hAnsi="Courier New"/>
                <w:sz w:val="16"/>
                <w:szCs w:val="16"/>
                <w:color w:val="auto"/>
              </w:rPr>
              <w:t>PROPERTY AND EQUIPMENT, at cost</w:t>
            </w: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82"/>
        </w:trPr>
        <w:tc>
          <w:tcPr>
            <w:tcW w:w="5820" w:type="dxa"/>
            <w:vAlign w:val="bottom"/>
          </w:tcPr>
          <w:p>
            <w:pPr>
              <w:spacing w:after="0"/>
              <w:rPr>
                <w:sz w:val="20"/>
                <w:szCs w:val="20"/>
                <w:color w:val="auto"/>
              </w:rPr>
            </w:pPr>
            <w:r>
              <w:rPr>
                <w:rFonts w:ascii="Courier New" w:cs="Courier New" w:eastAsia="Courier New" w:hAnsi="Courier New"/>
                <w:sz w:val="16"/>
                <w:szCs w:val="16"/>
                <w:color w:val="auto"/>
              </w:rPr>
              <w:t>Land</w:t>
            </w:r>
          </w:p>
        </w:tc>
        <w:tc>
          <w:tcPr>
            <w:tcW w:w="4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1,562</w:t>
            </w: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40" w:type="dxa"/>
            <w:vAlign w:val="bottom"/>
          </w:tcPr>
          <w:p>
            <w:pPr>
              <w:jc w:val="right"/>
              <w:ind w:right="581"/>
              <w:spacing w:after="0"/>
              <w:rPr>
                <w:sz w:val="20"/>
                <w:szCs w:val="20"/>
                <w:color w:val="auto"/>
              </w:rPr>
            </w:pPr>
            <w:r>
              <w:rPr>
                <w:rFonts w:ascii="Courier New" w:cs="Courier New" w:eastAsia="Courier New" w:hAnsi="Courier New"/>
                <w:sz w:val="16"/>
                <w:szCs w:val="16"/>
                <w:color w:val="auto"/>
                <w:w w:val="95"/>
              </w:rPr>
              <w:t>1,539</w:t>
            </w:r>
          </w:p>
        </w:tc>
      </w:tr>
      <w:tr>
        <w:trPr>
          <w:trHeight w:val="182"/>
        </w:trPr>
        <w:tc>
          <w:tcPr>
            <w:tcW w:w="5820" w:type="dxa"/>
            <w:vAlign w:val="bottom"/>
          </w:tcPr>
          <w:p>
            <w:pPr>
              <w:spacing w:after="0"/>
              <w:rPr>
                <w:sz w:val="20"/>
                <w:szCs w:val="20"/>
                <w:color w:val="auto"/>
              </w:rPr>
            </w:pPr>
            <w:r>
              <w:rPr>
                <w:rFonts w:ascii="Courier New" w:cs="Courier New" w:eastAsia="Courier New" w:hAnsi="Courier New"/>
                <w:sz w:val="16"/>
                <w:szCs w:val="16"/>
                <w:color w:val="auto"/>
              </w:rPr>
              <w:t>Buildings</w:t>
            </w:r>
          </w:p>
        </w:tc>
        <w:tc>
          <w:tcPr>
            <w:tcW w:w="4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42,218</w:t>
            </w:r>
          </w:p>
        </w:tc>
        <w:tc>
          <w:tcPr>
            <w:tcW w:w="900" w:type="dxa"/>
            <w:vAlign w:val="bottom"/>
          </w:tcPr>
          <w:p>
            <w:pPr>
              <w:spacing w:after="0"/>
              <w:rPr>
                <w:sz w:val="15"/>
                <w:szCs w:val="15"/>
                <w:color w:val="auto"/>
              </w:rPr>
            </w:pPr>
          </w:p>
        </w:tc>
        <w:tc>
          <w:tcPr>
            <w:tcW w:w="1520" w:type="dxa"/>
            <w:vAlign w:val="bottom"/>
            <w:gridSpan w:val="2"/>
          </w:tcPr>
          <w:p>
            <w:pPr>
              <w:jc w:val="right"/>
              <w:ind w:right="581"/>
              <w:spacing w:after="0"/>
              <w:rPr>
                <w:sz w:val="20"/>
                <w:szCs w:val="20"/>
                <w:color w:val="auto"/>
              </w:rPr>
            </w:pPr>
            <w:r>
              <w:rPr>
                <w:rFonts w:ascii="Courier New" w:cs="Courier New" w:eastAsia="Courier New" w:hAnsi="Courier New"/>
                <w:sz w:val="16"/>
                <w:szCs w:val="16"/>
                <w:color w:val="auto"/>
              </w:rPr>
              <w:t>40,905</w:t>
            </w:r>
          </w:p>
        </w:tc>
      </w:tr>
      <w:tr>
        <w:trPr>
          <w:trHeight w:val="182"/>
        </w:trPr>
        <w:tc>
          <w:tcPr>
            <w:tcW w:w="5820" w:type="dxa"/>
            <w:vAlign w:val="bottom"/>
          </w:tcPr>
          <w:p>
            <w:pPr>
              <w:spacing w:after="0"/>
              <w:rPr>
                <w:sz w:val="20"/>
                <w:szCs w:val="20"/>
                <w:color w:val="auto"/>
              </w:rPr>
            </w:pPr>
            <w:r>
              <w:rPr>
                <w:rFonts w:ascii="Courier New" w:cs="Courier New" w:eastAsia="Courier New" w:hAnsi="Courier New"/>
                <w:sz w:val="16"/>
                <w:szCs w:val="16"/>
                <w:color w:val="auto"/>
              </w:rPr>
              <w:t>Machinery and equipment</w:t>
            </w:r>
          </w:p>
        </w:tc>
        <w:tc>
          <w:tcPr>
            <w:tcW w:w="4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78,668</w:t>
            </w:r>
          </w:p>
        </w:tc>
        <w:tc>
          <w:tcPr>
            <w:tcW w:w="900" w:type="dxa"/>
            <w:vAlign w:val="bottom"/>
          </w:tcPr>
          <w:p>
            <w:pPr>
              <w:spacing w:after="0"/>
              <w:rPr>
                <w:sz w:val="15"/>
                <w:szCs w:val="15"/>
                <w:color w:val="auto"/>
              </w:rPr>
            </w:pPr>
          </w:p>
        </w:tc>
        <w:tc>
          <w:tcPr>
            <w:tcW w:w="1520" w:type="dxa"/>
            <w:vAlign w:val="bottom"/>
            <w:gridSpan w:val="2"/>
          </w:tcPr>
          <w:p>
            <w:pPr>
              <w:jc w:val="right"/>
              <w:ind w:right="581"/>
              <w:spacing w:after="0"/>
              <w:rPr>
                <w:sz w:val="20"/>
                <w:szCs w:val="20"/>
                <w:color w:val="auto"/>
              </w:rPr>
            </w:pPr>
            <w:r>
              <w:rPr>
                <w:rFonts w:ascii="Courier New" w:cs="Courier New" w:eastAsia="Courier New" w:hAnsi="Courier New"/>
                <w:sz w:val="16"/>
                <w:szCs w:val="16"/>
                <w:color w:val="auto"/>
              </w:rPr>
              <w:t>75,139</w:t>
            </w:r>
          </w:p>
        </w:tc>
      </w:tr>
      <w:tr>
        <w:trPr>
          <w:trHeight w:val="182"/>
        </w:trPr>
        <w:tc>
          <w:tcPr>
            <w:tcW w:w="5820" w:type="dxa"/>
            <w:vAlign w:val="bottom"/>
          </w:tcPr>
          <w:p>
            <w:pPr>
              <w:spacing w:after="0"/>
              <w:rPr>
                <w:sz w:val="20"/>
                <w:szCs w:val="20"/>
                <w:color w:val="auto"/>
              </w:rPr>
            </w:pPr>
            <w:r>
              <w:rPr>
                <w:rFonts w:ascii="Courier New" w:cs="Courier New" w:eastAsia="Courier New" w:hAnsi="Courier New"/>
                <w:sz w:val="16"/>
                <w:szCs w:val="16"/>
                <w:color w:val="auto"/>
              </w:rPr>
              <w:t>Transportation equipment</w:t>
            </w:r>
          </w:p>
        </w:tc>
        <w:tc>
          <w:tcPr>
            <w:tcW w:w="4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7,958</w:t>
            </w: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40" w:type="dxa"/>
            <w:vAlign w:val="bottom"/>
          </w:tcPr>
          <w:p>
            <w:pPr>
              <w:jc w:val="right"/>
              <w:ind w:right="581"/>
              <w:spacing w:after="0"/>
              <w:rPr>
                <w:sz w:val="20"/>
                <w:szCs w:val="20"/>
                <w:color w:val="auto"/>
              </w:rPr>
            </w:pPr>
            <w:r>
              <w:rPr>
                <w:rFonts w:ascii="Courier New" w:cs="Courier New" w:eastAsia="Courier New" w:hAnsi="Courier New"/>
                <w:sz w:val="16"/>
                <w:szCs w:val="16"/>
                <w:color w:val="auto"/>
                <w:w w:val="95"/>
              </w:rPr>
              <w:t>7,985</w:t>
            </w:r>
          </w:p>
        </w:tc>
      </w:tr>
      <w:tr>
        <w:trPr>
          <w:trHeight w:val="182"/>
        </w:trPr>
        <w:tc>
          <w:tcPr>
            <w:tcW w:w="58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w w:val="95"/>
              </w:rPr>
              <w:t>130,406</w:t>
            </w:r>
          </w:p>
        </w:tc>
        <w:tc>
          <w:tcPr>
            <w:tcW w:w="900" w:type="dxa"/>
            <w:vAlign w:val="bottom"/>
          </w:tcPr>
          <w:p>
            <w:pPr>
              <w:spacing w:after="0"/>
              <w:rPr>
                <w:sz w:val="15"/>
                <w:szCs w:val="15"/>
                <w:color w:val="auto"/>
              </w:rPr>
            </w:pPr>
          </w:p>
        </w:tc>
        <w:tc>
          <w:tcPr>
            <w:tcW w:w="1520" w:type="dxa"/>
            <w:vAlign w:val="bottom"/>
            <w:gridSpan w:val="2"/>
          </w:tcPr>
          <w:p>
            <w:pPr>
              <w:jc w:val="right"/>
              <w:ind w:right="581"/>
              <w:spacing w:after="0"/>
              <w:rPr>
                <w:sz w:val="20"/>
                <w:szCs w:val="20"/>
                <w:color w:val="auto"/>
              </w:rPr>
            </w:pPr>
            <w:r>
              <w:rPr>
                <w:rFonts w:ascii="Courier New" w:cs="Courier New" w:eastAsia="Courier New" w:hAnsi="Courier New"/>
                <w:sz w:val="16"/>
                <w:szCs w:val="16"/>
                <w:color w:val="auto"/>
              </w:rPr>
              <w:t>125,568</w:t>
            </w:r>
          </w:p>
        </w:tc>
      </w:tr>
      <w:tr>
        <w:trPr>
          <w:trHeight w:val="182"/>
        </w:trPr>
        <w:tc>
          <w:tcPr>
            <w:tcW w:w="5820" w:type="dxa"/>
            <w:vAlign w:val="bottom"/>
          </w:tcPr>
          <w:p>
            <w:pPr>
              <w:ind w:left="460"/>
              <w:spacing w:after="0"/>
              <w:rPr>
                <w:sz w:val="20"/>
                <w:szCs w:val="20"/>
                <w:color w:val="auto"/>
              </w:rPr>
            </w:pPr>
            <w:r>
              <w:rPr>
                <w:rFonts w:ascii="Courier New" w:cs="Courier New" w:eastAsia="Courier New" w:hAnsi="Courier New"/>
                <w:sz w:val="16"/>
                <w:szCs w:val="16"/>
                <w:color w:val="auto"/>
              </w:rPr>
              <w:t>Less accumulated depreciation</w:t>
            </w:r>
          </w:p>
        </w:tc>
        <w:tc>
          <w:tcPr>
            <w:tcW w:w="4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87,456</w:t>
            </w:r>
          </w:p>
        </w:tc>
        <w:tc>
          <w:tcPr>
            <w:tcW w:w="900" w:type="dxa"/>
            <w:vAlign w:val="bottom"/>
          </w:tcPr>
          <w:p>
            <w:pPr>
              <w:spacing w:after="0"/>
              <w:rPr>
                <w:sz w:val="15"/>
                <w:szCs w:val="15"/>
                <w:color w:val="auto"/>
              </w:rPr>
            </w:pPr>
          </w:p>
        </w:tc>
        <w:tc>
          <w:tcPr>
            <w:tcW w:w="1520" w:type="dxa"/>
            <w:vAlign w:val="bottom"/>
            <w:gridSpan w:val="2"/>
          </w:tcPr>
          <w:p>
            <w:pPr>
              <w:jc w:val="right"/>
              <w:ind w:right="581"/>
              <w:spacing w:after="0"/>
              <w:rPr>
                <w:sz w:val="20"/>
                <w:szCs w:val="20"/>
                <w:color w:val="auto"/>
              </w:rPr>
            </w:pPr>
            <w:r>
              <w:rPr>
                <w:rFonts w:ascii="Courier New" w:cs="Courier New" w:eastAsia="Courier New" w:hAnsi="Courier New"/>
                <w:sz w:val="16"/>
                <w:szCs w:val="16"/>
                <w:color w:val="auto"/>
              </w:rPr>
              <w:t>83,970</w:t>
            </w:r>
          </w:p>
        </w:tc>
      </w:tr>
      <w:tr>
        <w:trPr>
          <w:trHeight w:val="364"/>
        </w:trPr>
        <w:tc>
          <w:tcPr>
            <w:tcW w:w="5820" w:type="dxa"/>
            <w:vAlign w:val="bottom"/>
          </w:tcPr>
          <w:p>
            <w:pPr>
              <w:ind w:left="460"/>
              <w:spacing w:after="0"/>
              <w:rPr>
                <w:sz w:val="20"/>
                <w:szCs w:val="20"/>
                <w:color w:val="auto"/>
              </w:rPr>
            </w:pPr>
            <w:r>
              <w:rPr>
                <w:rFonts w:ascii="Courier New" w:cs="Courier New" w:eastAsia="Courier New" w:hAnsi="Courier New"/>
                <w:sz w:val="16"/>
                <w:szCs w:val="16"/>
                <w:color w:val="auto"/>
              </w:rPr>
              <w:t>Total property and equipment, net</w:t>
            </w:r>
          </w:p>
        </w:tc>
        <w:tc>
          <w:tcPr>
            <w:tcW w:w="4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42,950</w:t>
            </w:r>
          </w:p>
        </w:tc>
        <w:tc>
          <w:tcPr>
            <w:tcW w:w="900" w:type="dxa"/>
            <w:vAlign w:val="bottom"/>
          </w:tcPr>
          <w:p>
            <w:pPr>
              <w:spacing w:after="0"/>
              <w:rPr>
                <w:sz w:val="24"/>
                <w:szCs w:val="24"/>
                <w:color w:val="auto"/>
              </w:rPr>
            </w:pPr>
          </w:p>
        </w:tc>
        <w:tc>
          <w:tcPr>
            <w:tcW w:w="1520" w:type="dxa"/>
            <w:vAlign w:val="bottom"/>
            <w:gridSpan w:val="2"/>
          </w:tcPr>
          <w:p>
            <w:pPr>
              <w:jc w:val="right"/>
              <w:ind w:right="581"/>
              <w:spacing w:after="0"/>
              <w:rPr>
                <w:sz w:val="20"/>
                <w:szCs w:val="20"/>
                <w:color w:val="auto"/>
              </w:rPr>
            </w:pPr>
            <w:r>
              <w:rPr>
                <w:rFonts w:ascii="Courier New" w:cs="Courier New" w:eastAsia="Courier New" w:hAnsi="Courier New"/>
                <w:sz w:val="16"/>
                <w:szCs w:val="16"/>
                <w:color w:val="auto"/>
              </w:rPr>
              <w:t>41,598</w:t>
            </w:r>
          </w:p>
        </w:tc>
      </w:tr>
      <w:tr>
        <w:trPr>
          <w:trHeight w:val="364"/>
        </w:trPr>
        <w:tc>
          <w:tcPr>
            <w:tcW w:w="5820" w:type="dxa"/>
            <w:vAlign w:val="bottom"/>
          </w:tcPr>
          <w:p>
            <w:pPr>
              <w:spacing w:after="0"/>
              <w:rPr>
                <w:sz w:val="20"/>
                <w:szCs w:val="20"/>
                <w:color w:val="auto"/>
              </w:rPr>
            </w:pPr>
            <w:r>
              <w:rPr>
                <w:rFonts w:ascii="Courier New" w:cs="Courier New" w:eastAsia="Courier New" w:hAnsi="Courier New"/>
                <w:sz w:val="16"/>
                <w:szCs w:val="16"/>
                <w:color w:val="auto"/>
              </w:rPr>
              <w:t>LONG-TERM NOTES RECEIVABLE, less allowances</w:t>
            </w: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82"/>
        </w:trPr>
        <w:tc>
          <w:tcPr>
            <w:tcW w:w="5820" w:type="dxa"/>
            <w:vAlign w:val="bottom"/>
          </w:tcPr>
          <w:p>
            <w:pPr>
              <w:ind w:left="380"/>
              <w:spacing w:after="0"/>
              <w:rPr>
                <w:sz w:val="20"/>
                <w:szCs w:val="20"/>
                <w:color w:val="auto"/>
              </w:rPr>
            </w:pPr>
            <w:r>
              <w:rPr>
                <w:rFonts w:ascii="Courier New" w:cs="Courier New" w:eastAsia="Courier New" w:hAnsi="Courier New"/>
                <w:sz w:val="16"/>
                <w:szCs w:val="16"/>
                <w:color w:val="auto"/>
              </w:rPr>
              <w:t>($950 and $2,024, respectively)</w:t>
            </w:r>
          </w:p>
        </w:tc>
        <w:tc>
          <w:tcPr>
            <w:tcW w:w="4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2,228</w:t>
            </w: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40" w:type="dxa"/>
            <w:vAlign w:val="bottom"/>
          </w:tcPr>
          <w:p>
            <w:pPr>
              <w:jc w:val="right"/>
              <w:ind w:right="581"/>
              <w:spacing w:after="0"/>
              <w:rPr>
                <w:sz w:val="20"/>
                <w:szCs w:val="20"/>
                <w:color w:val="auto"/>
              </w:rPr>
            </w:pPr>
            <w:r>
              <w:rPr>
                <w:rFonts w:ascii="Courier New" w:cs="Courier New" w:eastAsia="Courier New" w:hAnsi="Courier New"/>
                <w:sz w:val="16"/>
                <w:szCs w:val="16"/>
                <w:color w:val="auto"/>
                <w:w w:val="95"/>
              </w:rPr>
              <w:t>4,884</w:t>
            </w:r>
          </w:p>
        </w:tc>
      </w:tr>
      <w:tr>
        <w:trPr>
          <w:trHeight w:val="364"/>
        </w:trPr>
        <w:tc>
          <w:tcPr>
            <w:tcW w:w="5820" w:type="dxa"/>
            <w:vAlign w:val="bottom"/>
          </w:tcPr>
          <w:p>
            <w:pPr>
              <w:spacing w:after="0"/>
              <w:rPr>
                <w:sz w:val="20"/>
                <w:szCs w:val="20"/>
                <w:color w:val="auto"/>
              </w:rPr>
            </w:pPr>
            <w:r>
              <w:rPr>
                <w:rFonts w:ascii="Courier New" w:cs="Courier New" w:eastAsia="Courier New" w:hAnsi="Courier New"/>
                <w:sz w:val="16"/>
                <w:szCs w:val="16"/>
                <w:color w:val="auto"/>
              </w:rPr>
              <w:t>INVESTMENT IN LIFE INSURANCE</w:t>
            </w:r>
          </w:p>
        </w:tc>
        <w:tc>
          <w:tcPr>
            <w:tcW w:w="4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16,320</w:t>
            </w:r>
          </w:p>
        </w:tc>
        <w:tc>
          <w:tcPr>
            <w:tcW w:w="900" w:type="dxa"/>
            <w:vAlign w:val="bottom"/>
          </w:tcPr>
          <w:p>
            <w:pPr>
              <w:spacing w:after="0"/>
              <w:rPr>
                <w:sz w:val="24"/>
                <w:szCs w:val="24"/>
                <w:color w:val="auto"/>
              </w:rPr>
            </w:pPr>
          </w:p>
        </w:tc>
        <w:tc>
          <w:tcPr>
            <w:tcW w:w="1520" w:type="dxa"/>
            <w:vAlign w:val="bottom"/>
            <w:gridSpan w:val="2"/>
          </w:tcPr>
          <w:p>
            <w:pPr>
              <w:jc w:val="right"/>
              <w:ind w:right="581"/>
              <w:spacing w:after="0"/>
              <w:rPr>
                <w:sz w:val="20"/>
                <w:szCs w:val="20"/>
                <w:color w:val="auto"/>
              </w:rPr>
            </w:pPr>
            <w:r>
              <w:rPr>
                <w:rFonts w:ascii="Courier New" w:cs="Courier New" w:eastAsia="Courier New" w:hAnsi="Courier New"/>
                <w:sz w:val="16"/>
                <w:szCs w:val="16"/>
                <w:color w:val="auto"/>
              </w:rPr>
              <w:t>15,479</w:t>
            </w:r>
          </w:p>
        </w:tc>
      </w:tr>
      <w:tr>
        <w:trPr>
          <w:trHeight w:val="364"/>
        </w:trPr>
        <w:tc>
          <w:tcPr>
            <w:tcW w:w="5820" w:type="dxa"/>
            <w:vAlign w:val="bottom"/>
          </w:tcPr>
          <w:p>
            <w:pPr>
              <w:spacing w:after="0"/>
              <w:rPr>
                <w:sz w:val="20"/>
                <w:szCs w:val="20"/>
                <w:color w:val="auto"/>
              </w:rPr>
            </w:pPr>
            <w:r>
              <w:rPr>
                <w:rFonts w:ascii="Courier New" w:cs="Courier New" w:eastAsia="Courier New" w:hAnsi="Courier New"/>
                <w:sz w:val="16"/>
                <w:szCs w:val="16"/>
                <w:color w:val="auto"/>
              </w:rPr>
              <w:t>NET DEFERRED INCOME TAXES</w:t>
            </w:r>
          </w:p>
        </w:tc>
        <w:tc>
          <w:tcPr>
            <w:tcW w:w="4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5,720</w:t>
            </w: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jc w:val="right"/>
              <w:ind w:right="581"/>
              <w:spacing w:after="0"/>
              <w:rPr>
                <w:sz w:val="20"/>
                <w:szCs w:val="20"/>
                <w:color w:val="auto"/>
              </w:rPr>
            </w:pPr>
            <w:r>
              <w:rPr>
                <w:rFonts w:ascii="Courier New" w:cs="Courier New" w:eastAsia="Courier New" w:hAnsi="Courier New"/>
                <w:sz w:val="16"/>
                <w:szCs w:val="16"/>
                <w:color w:val="auto"/>
                <w:w w:val="95"/>
              </w:rPr>
              <w:t>4,049</w:t>
            </w:r>
          </w:p>
        </w:tc>
      </w:tr>
      <w:tr>
        <w:trPr>
          <w:trHeight w:val="364"/>
        </w:trPr>
        <w:tc>
          <w:tcPr>
            <w:tcW w:w="5820" w:type="dxa"/>
            <w:vAlign w:val="bottom"/>
          </w:tcPr>
          <w:p>
            <w:pPr>
              <w:spacing w:after="0"/>
              <w:rPr>
                <w:sz w:val="20"/>
                <w:szCs w:val="20"/>
                <w:color w:val="auto"/>
              </w:rPr>
            </w:pPr>
            <w:r>
              <w:rPr>
                <w:rFonts w:ascii="Courier New" w:cs="Courier New" w:eastAsia="Courier New" w:hAnsi="Courier New"/>
                <w:sz w:val="16"/>
                <w:szCs w:val="16"/>
                <w:color w:val="auto"/>
              </w:rPr>
              <w:t>OTHER ASSETS</w:t>
            </w:r>
          </w:p>
        </w:tc>
        <w:tc>
          <w:tcPr>
            <w:tcW w:w="4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14,785</w:t>
            </w: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jc w:val="right"/>
              <w:ind w:right="581"/>
              <w:spacing w:after="0"/>
              <w:rPr>
                <w:sz w:val="20"/>
                <w:szCs w:val="20"/>
                <w:color w:val="auto"/>
              </w:rPr>
            </w:pPr>
            <w:r>
              <w:rPr>
                <w:rFonts w:ascii="Courier New" w:cs="Courier New" w:eastAsia="Courier New" w:hAnsi="Courier New"/>
                <w:sz w:val="16"/>
                <w:szCs w:val="16"/>
                <w:color w:val="auto"/>
                <w:w w:val="95"/>
              </w:rPr>
              <w:t>4,851</w:t>
            </w:r>
          </w:p>
        </w:tc>
      </w:tr>
      <w:tr>
        <w:trPr>
          <w:trHeight w:val="364"/>
        </w:trPr>
        <w:tc>
          <w:tcPr>
            <w:tcW w:w="5820" w:type="dxa"/>
            <w:vAlign w:val="bottom"/>
          </w:tcPr>
          <w:p>
            <w:pPr>
              <w:spacing w:after="0"/>
              <w:rPr>
                <w:sz w:val="20"/>
                <w:szCs w:val="20"/>
                <w:color w:val="auto"/>
              </w:rPr>
            </w:pPr>
            <w:r>
              <w:rPr>
                <w:rFonts w:ascii="Courier New" w:cs="Courier New" w:eastAsia="Courier New" w:hAnsi="Courier New"/>
                <w:sz w:val="16"/>
                <w:szCs w:val="16"/>
                <w:color w:val="auto"/>
              </w:rPr>
              <w:t>TOTAL ASSETS</w:t>
            </w:r>
          </w:p>
        </w:tc>
        <w:tc>
          <w:tcPr>
            <w:tcW w:w="4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w w:val="95"/>
              </w:rPr>
              <w:t>216,680</w:t>
            </w:r>
          </w:p>
        </w:tc>
        <w:tc>
          <w:tcPr>
            <w:tcW w:w="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1520" w:type="dxa"/>
            <w:vAlign w:val="bottom"/>
            <w:gridSpan w:val="2"/>
          </w:tcPr>
          <w:p>
            <w:pPr>
              <w:jc w:val="right"/>
              <w:ind w:right="581"/>
              <w:spacing w:after="0"/>
              <w:rPr>
                <w:sz w:val="20"/>
                <w:szCs w:val="20"/>
                <w:color w:val="auto"/>
              </w:rPr>
            </w:pPr>
            <w:r>
              <w:rPr>
                <w:rFonts w:ascii="Courier New" w:cs="Courier New" w:eastAsia="Courier New" w:hAnsi="Courier New"/>
                <w:sz w:val="16"/>
                <w:szCs w:val="16"/>
                <w:color w:val="auto"/>
              </w:rPr>
              <w:t>181,748</w:t>
            </w:r>
          </w:p>
        </w:tc>
      </w:tr>
      <w:tr>
        <w:trPr>
          <w:trHeight w:val="728"/>
        </w:trPr>
        <w:tc>
          <w:tcPr>
            <w:tcW w:w="6240" w:type="dxa"/>
            <w:vAlign w:val="bottom"/>
            <w:gridSpan w:val="2"/>
          </w:tcPr>
          <w:p>
            <w:pPr>
              <w:spacing w:after="0"/>
              <w:rPr>
                <w:sz w:val="20"/>
                <w:szCs w:val="20"/>
                <w:color w:val="auto"/>
              </w:rPr>
            </w:pPr>
            <w:r>
              <w:rPr>
                <w:rFonts w:ascii="Courier New" w:cs="Courier New" w:eastAsia="Courier New" w:hAnsi="Courier New"/>
                <w:sz w:val="16"/>
                <w:szCs w:val="16"/>
                <w:color w:val="auto"/>
                <w:w w:val="98"/>
              </w:rPr>
              <w:t>See Unaudited Condensed Notes to Consolidated Financial Statements</w:t>
            </w:r>
          </w:p>
        </w:tc>
        <w:tc>
          <w:tcPr>
            <w:tcW w:w="7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546"/>
        </w:trPr>
        <w:tc>
          <w:tcPr>
            <w:tcW w:w="5820" w:type="dxa"/>
            <w:vAlign w:val="bottom"/>
          </w:tcPr>
          <w:p>
            <w:pPr>
              <w:ind w:left="1700"/>
              <w:spacing w:after="0"/>
              <w:rPr>
                <w:sz w:val="20"/>
                <w:szCs w:val="20"/>
                <w:color w:val="auto"/>
              </w:rPr>
            </w:pPr>
            <w:r>
              <w:rPr>
                <w:rFonts w:ascii="Courier New" w:cs="Courier New" w:eastAsia="Courier New" w:hAnsi="Courier New"/>
                <w:sz w:val="16"/>
                <w:szCs w:val="16"/>
                <w:color w:val="auto"/>
                <w:w w:val="99"/>
              </w:rPr>
              <w:t>WINNEBAGO INDUSTRIES, INC. AND SUBSIDIARIES</w:t>
            </w: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82"/>
        </w:trPr>
        <w:tc>
          <w:tcPr>
            <w:tcW w:w="5820" w:type="dxa"/>
            <w:vAlign w:val="bottom"/>
          </w:tcPr>
          <w:p>
            <w:pPr>
              <w:ind w:left="2460"/>
              <w:spacing w:after="0"/>
              <w:rPr>
                <w:sz w:val="20"/>
                <w:szCs w:val="20"/>
                <w:color w:val="auto"/>
              </w:rPr>
            </w:pPr>
            <w:r>
              <w:rPr>
                <w:rFonts w:ascii="Courier New" w:cs="Courier New" w:eastAsia="Courier New" w:hAnsi="Courier New"/>
                <w:sz w:val="16"/>
                <w:szCs w:val="16"/>
                <w:color w:val="auto"/>
              </w:rPr>
              <w:t>CONSOLIDATED BALANCE SHEETS</w:t>
            </w: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546"/>
        </w:trPr>
        <w:tc>
          <w:tcPr>
            <w:tcW w:w="5820" w:type="dxa"/>
            <w:vAlign w:val="bottom"/>
          </w:tcPr>
          <w:p>
            <w:pPr>
              <w:spacing w:after="0"/>
              <w:rPr>
                <w:sz w:val="20"/>
                <w:szCs w:val="20"/>
                <w:color w:val="auto"/>
              </w:rPr>
            </w:pPr>
            <w:r>
              <w:rPr>
                <w:rFonts w:ascii="Courier New" w:cs="Courier New" w:eastAsia="Courier New" w:hAnsi="Courier New"/>
                <w:sz w:val="16"/>
                <w:szCs w:val="16"/>
                <w:color w:val="auto"/>
              </w:rPr>
              <w:t>Dollars in thousands</w:t>
            </w: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909"/>
        </w:trPr>
        <w:tc>
          <w:tcPr>
            <w:tcW w:w="5820" w:type="dxa"/>
            <w:vAlign w:val="bottom"/>
          </w:tcPr>
          <w:p>
            <w:pPr>
              <w:spacing w:after="0"/>
              <w:rPr>
                <w:sz w:val="20"/>
                <w:szCs w:val="20"/>
                <w:color w:val="auto"/>
              </w:rPr>
            </w:pPr>
            <w:r>
              <w:rPr>
                <w:rFonts w:ascii="Courier New" w:cs="Courier New" w:eastAsia="Courier New" w:hAnsi="Courier New"/>
                <w:sz w:val="16"/>
                <w:szCs w:val="16"/>
                <w:color w:val="auto"/>
              </w:rPr>
              <w:t>LIABILITIES AND STOCKHOLDERS' EQUITY</w:t>
            </w:r>
          </w:p>
        </w:tc>
        <w:tc>
          <w:tcPr>
            <w:tcW w:w="420" w:type="dxa"/>
            <w:vAlign w:val="bottom"/>
          </w:tcPr>
          <w:p>
            <w:pPr>
              <w:spacing w:after="0"/>
              <w:rPr>
                <w:sz w:val="24"/>
                <w:szCs w:val="24"/>
                <w:color w:val="auto"/>
              </w:rPr>
            </w:pPr>
          </w:p>
        </w:tc>
        <w:tc>
          <w:tcPr>
            <w:tcW w:w="160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May 27,1995</w:t>
            </w:r>
          </w:p>
        </w:tc>
        <w:tc>
          <w:tcPr>
            <w:tcW w:w="15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August 27, 1994</w:t>
            </w:r>
          </w:p>
        </w:tc>
      </w:tr>
      <w:tr>
        <w:trPr>
          <w:trHeight w:val="182"/>
        </w:trPr>
        <w:tc>
          <w:tcPr>
            <w:tcW w:w="58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(Unaudited)</w:t>
            </w:r>
          </w:p>
        </w:tc>
        <w:tc>
          <w:tcPr>
            <w:tcW w:w="3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546"/>
        </w:trPr>
        <w:tc>
          <w:tcPr>
            <w:tcW w:w="5820" w:type="dxa"/>
            <w:vAlign w:val="bottom"/>
          </w:tcPr>
          <w:p>
            <w:pPr>
              <w:spacing w:after="0"/>
              <w:rPr>
                <w:sz w:val="20"/>
                <w:szCs w:val="20"/>
                <w:color w:val="auto"/>
              </w:rPr>
            </w:pPr>
            <w:r>
              <w:rPr>
                <w:rFonts w:ascii="Courier New" w:cs="Courier New" w:eastAsia="Courier New" w:hAnsi="Courier New"/>
                <w:sz w:val="16"/>
                <w:szCs w:val="16"/>
                <w:color w:val="auto"/>
              </w:rPr>
              <w:t>CURRENT LIABILITIES</w:t>
            </w: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82"/>
        </w:trPr>
        <w:tc>
          <w:tcPr>
            <w:tcW w:w="5820" w:type="dxa"/>
            <w:vAlign w:val="bottom"/>
          </w:tcPr>
          <w:p>
            <w:pPr>
              <w:spacing w:after="0"/>
              <w:rPr>
                <w:sz w:val="20"/>
                <w:szCs w:val="20"/>
                <w:color w:val="auto"/>
              </w:rPr>
            </w:pPr>
            <w:r>
              <w:rPr>
                <w:rFonts w:ascii="Courier New" w:cs="Courier New" w:eastAsia="Courier New" w:hAnsi="Courier New"/>
                <w:sz w:val="16"/>
                <w:szCs w:val="16"/>
                <w:color w:val="auto"/>
              </w:rPr>
              <w:t>Current maturities of long-term debt</w:t>
            </w:r>
          </w:p>
        </w:tc>
        <w:tc>
          <w:tcPr>
            <w:tcW w:w="420" w:type="dxa"/>
            <w:vAlign w:val="bottom"/>
          </w:tcPr>
          <w:p>
            <w:pPr>
              <w:spacing w:after="0"/>
              <w:rPr>
                <w:sz w:val="15"/>
                <w:szCs w:val="15"/>
                <w:color w:val="auto"/>
              </w:rPr>
            </w:pPr>
          </w:p>
        </w:tc>
        <w:tc>
          <w:tcPr>
            <w:tcW w:w="700" w:type="dxa"/>
            <w:vAlign w:val="bottom"/>
          </w:tcPr>
          <w:p>
            <w:pPr>
              <w:ind w:left="380"/>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3,876</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2,504</w:t>
            </w:r>
          </w:p>
        </w:tc>
      </w:tr>
      <w:tr>
        <w:trPr>
          <w:trHeight w:val="182"/>
        </w:trPr>
        <w:tc>
          <w:tcPr>
            <w:tcW w:w="5820" w:type="dxa"/>
            <w:vAlign w:val="bottom"/>
          </w:tcPr>
          <w:p>
            <w:pPr>
              <w:spacing w:after="0"/>
              <w:rPr>
                <w:sz w:val="20"/>
                <w:szCs w:val="20"/>
                <w:color w:val="auto"/>
              </w:rPr>
            </w:pPr>
            <w:r>
              <w:rPr>
                <w:rFonts w:ascii="Courier New" w:cs="Courier New" w:eastAsia="Courier New" w:hAnsi="Courier New"/>
                <w:sz w:val="16"/>
                <w:szCs w:val="16"/>
                <w:color w:val="auto"/>
              </w:rPr>
              <w:t>Notes payable</w:t>
            </w: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3,000</w:t>
            </w:r>
          </w:p>
        </w:tc>
        <w:tc>
          <w:tcPr>
            <w:tcW w:w="380" w:type="dxa"/>
            <w:vAlign w:val="bottom"/>
          </w:tcPr>
          <w:p>
            <w:pPr>
              <w:spacing w:after="0"/>
              <w:rPr>
                <w:sz w:val="15"/>
                <w:szCs w:val="15"/>
                <w:color w:val="auto"/>
              </w:rPr>
            </w:pP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2,300</w:t>
            </w:r>
          </w:p>
        </w:tc>
      </w:tr>
      <w:tr>
        <w:trPr>
          <w:trHeight w:val="182"/>
        </w:trPr>
        <w:tc>
          <w:tcPr>
            <w:tcW w:w="5820" w:type="dxa"/>
            <w:vAlign w:val="bottom"/>
          </w:tcPr>
          <w:p>
            <w:pPr>
              <w:spacing w:after="0"/>
              <w:rPr>
                <w:sz w:val="20"/>
                <w:szCs w:val="20"/>
                <w:color w:val="auto"/>
              </w:rPr>
            </w:pPr>
            <w:r>
              <w:rPr>
                <w:rFonts w:ascii="Courier New" w:cs="Courier New" w:eastAsia="Courier New" w:hAnsi="Courier New"/>
                <w:sz w:val="16"/>
                <w:szCs w:val="16"/>
                <w:color w:val="auto"/>
              </w:rPr>
              <w:t>Accounts payable, trade</w:t>
            </w: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21,733</w:t>
            </w:r>
          </w:p>
        </w:tc>
        <w:tc>
          <w:tcPr>
            <w:tcW w:w="380" w:type="dxa"/>
            <w:vAlign w:val="bottom"/>
          </w:tcPr>
          <w:p>
            <w:pPr>
              <w:spacing w:after="0"/>
              <w:rPr>
                <w:sz w:val="15"/>
                <w:szCs w:val="15"/>
                <w:color w:val="auto"/>
              </w:rPr>
            </w:pP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24,985</w:t>
            </w:r>
          </w:p>
        </w:tc>
      </w:tr>
      <w:tr>
        <w:trPr>
          <w:trHeight w:val="182"/>
        </w:trPr>
        <w:tc>
          <w:tcPr>
            <w:tcW w:w="5820" w:type="dxa"/>
            <w:vAlign w:val="bottom"/>
          </w:tcPr>
          <w:p>
            <w:pPr>
              <w:spacing w:after="0"/>
              <w:rPr>
                <w:sz w:val="20"/>
                <w:szCs w:val="20"/>
                <w:color w:val="auto"/>
              </w:rPr>
            </w:pPr>
            <w:r>
              <w:rPr>
                <w:rFonts w:ascii="Courier New" w:cs="Courier New" w:eastAsia="Courier New" w:hAnsi="Courier New"/>
                <w:sz w:val="16"/>
                <w:szCs w:val="16"/>
                <w:color w:val="auto"/>
              </w:rPr>
              <w:t>Accrued expenses:</w:t>
            </w: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2"/>
        </w:trPr>
        <w:tc>
          <w:tcPr>
            <w:tcW w:w="5820" w:type="dxa"/>
            <w:vAlign w:val="bottom"/>
          </w:tcPr>
          <w:p>
            <w:pPr>
              <w:ind w:left="460"/>
              <w:spacing w:after="0"/>
              <w:rPr>
                <w:sz w:val="20"/>
                <w:szCs w:val="20"/>
                <w:color w:val="auto"/>
              </w:rPr>
            </w:pPr>
            <w:r>
              <w:rPr>
                <w:rFonts w:ascii="Courier New" w:cs="Courier New" w:eastAsia="Courier New" w:hAnsi="Courier New"/>
                <w:sz w:val="16"/>
                <w:szCs w:val="16"/>
                <w:color w:val="auto"/>
              </w:rPr>
              <w:t>Insurance</w:t>
            </w: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4,472</w:t>
            </w:r>
          </w:p>
        </w:tc>
        <w:tc>
          <w:tcPr>
            <w:tcW w:w="380" w:type="dxa"/>
            <w:vAlign w:val="bottom"/>
          </w:tcPr>
          <w:p>
            <w:pPr>
              <w:spacing w:after="0"/>
              <w:rPr>
                <w:sz w:val="15"/>
                <w:szCs w:val="15"/>
                <w:color w:val="auto"/>
              </w:rPr>
            </w:pP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4,175</w:t>
            </w:r>
          </w:p>
        </w:tc>
      </w:tr>
      <w:tr>
        <w:trPr>
          <w:trHeight w:val="182"/>
        </w:trPr>
        <w:tc>
          <w:tcPr>
            <w:tcW w:w="5820" w:type="dxa"/>
            <w:vAlign w:val="bottom"/>
          </w:tcPr>
          <w:p>
            <w:pPr>
              <w:ind w:left="460"/>
              <w:spacing w:after="0"/>
              <w:rPr>
                <w:sz w:val="20"/>
                <w:szCs w:val="20"/>
                <w:color w:val="auto"/>
              </w:rPr>
            </w:pPr>
            <w:r>
              <w:rPr>
                <w:rFonts w:ascii="Courier New" w:cs="Courier New" w:eastAsia="Courier New" w:hAnsi="Courier New"/>
                <w:sz w:val="16"/>
                <w:szCs w:val="16"/>
                <w:color w:val="auto"/>
              </w:rPr>
              <w:t>Product warranties</w:t>
            </w: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3,844</w:t>
            </w:r>
          </w:p>
        </w:tc>
        <w:tc>
          <w:tcPr>
            <w:tcW w:w="380" w:type="dxa"/>
            <w:vAlign w:val="bottom"/>
          </w:tcPr>
          <w:p>
            <w:pPr>
              <w:spacing w:after="0"/>
              <w:rPr>
                <w:sz w:val="15"/>
                <w:szCs w:val="15"/>
                <w:color w:val="auto"/>
              </w:rPr>
            </w:pP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3,557</w:t>
            </w:r>
          </w:p>
        </w:tc>
      </w:tr>
      <w:tr>
        <w:trPr>
          <w:trHeight w:val="182"/>
        </w:trPr>
        <w:tc>
          <w:tcPr>
            <w:tcW w:w="5820" w:type="dxa"/>
            <w:vAlign w:val="bottom"/>
          </w:tcPr>
          <w:p>
            <w:pPr>
              <w:ind w:left="460"/>
              <w:spacing w:after="0"/>
              <w:rPr>
                <w:sz w:val="20"/>
                <w:szCs w:val="20"/>
                <w:color w:val="auto"/>
              </w:rPr>
            </w:pPr>
            <w:r>
              <w:rPr>
                <w:rFonts w:ascii="Courier New" w:cs="Courier New" w:eastAsia="Courier New" w:hAnsi="Courier New"/>
                <w:sz w:val="16"/>
                <w:szCs w:val="16"/>
                <w:color w:val="auto"/>
              </w:rPr>
              <w:t>Vacation liability</w:t>
            </w: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3,600</w:t>
            </w:r>
          </w:p>
        </w:tc>
        <w:tc>
          <w:tcPr>
            <w:tcW w:w="380" w:type="dxa"/>
            <w:vAlign w:val="bottom"/>
          </w:tcPr>
          <w:p>
            <w:pPr>
              <w:spacing w:after="0"/>
              <w:rPr>
                <w:sz w:val="15"/>
                <w:szCs w:val="15"/>
                <w:color w:val="auto"/>
              </w:rPr>
            </w:pP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3,241</w:t>
            </w:r>
          </w:p>
        </w:tc>
      </w:tr>
      <w:tr>
        <w:trPr>
          <w:trHeight w:val="182"/>
        </w:trPr>
        <w:tc>
          <w:tcPr>
            <w:tcW w:w="5820" w:type="dxa"/>
            <w:vAlign w:val="bottom"/>
          </w:tcPr>
          <w:p>
            <w:pPr>
              <w:ind w:left="460"/>
              <w:spacing w:after="0"/>
              <w:rPr>
                <w:sz w:val="20"/>
                <w:szCs w:val="20"/>
                <w:color w:val="auto"/>
              </w:rPr>
            </w:pPr>
            <w:r>
              <w:rPr>
                <w:rFonts w:ascii="Courier New" w:cs="Courier New" w:eastAsia="Courier New" w:hAnsi="Courier New"/>
                <w:sz w:val="16"/>
                <w:szCs w:val="16"/>
                <w:color w:val="auto"/>
              </w:rPr>
              <w:t>Promotional</w:t>
            </w: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6,284</w:t>
            </w:r>
          </w:p>
        </w:tc>
        <w:tc>
          <w:tcPr>
            <w:tcW w:w="380" w:type="dxa"/>
            <w:vAlign w:val="bottom"/>
          </w:tcPr>
          <w:p>
            <w:pPr>
              <w:spacing w:after="0"/>
              <w:rPr>
                <w:sz w:val="15"/>
                <w:szCs w:val="15"/>
                <w:color w:val="auto"/>
              </w:rPr>
            </w:pP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2,111</w:t>
            </w:r>
          </w:p>
        </w:tc>
      </w:tr>
      <w:tr>
        <w:trPr>
          <w:trHeight w:val="182"/>
        </w:trPr>
        <w:tc>
          <w:tcPr>
            <w:tcW w:w="5820" w:type="dxa"/>
            <w:vAlign w:val="bottom"/>
          </w:tcPr>
          <w:p>
            <w:pPr>
              <w:ind w:left="460"/>
              <w:spacing w:after="0"/>
              <w:rPr>
                <w:sz w:val="20"/>
                <w:szCs w:val="20"/>
                <w:color w:val="auto"/>
              </w:rPr>
            </w:pPr>
            <w:r>
              <w:rPr>
                <w:rFonts w:ascii="Courier New" w:cs="Courier New" w:eastAsia="Courier New" w:hAnsi="Courier New"/>
                <w:sz w:val="16"/>
                <w:szCs w:val="16"/>
                <w:color w:val="auto"/>
              </w:rPr>
              <w:t>Other</w:t>
            </w: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8,149</w:t>
            </w:r>
          </w:p>
        </w:tc>
        <w:tc>
          <w:tcPr>
            <w:tcW w:w="380" w:type="dxa"/>
            <w:vAlign w:val="bottom"/>
          </w:tcPr>
          <w:p>
            <w:pPr>
              <w:spacing w:after="0"/>
              <w:rPr>
                <w:sz w:val="15"/>
                <w:szCs w:val="15"/>
                <w:color w:val="auto"/>
              </w:rPr>
            </w:pP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9,491</w:t>
            </w:r>
          </w:p>
        </w:tc>
      </w:tr>
      <w:tr>
        <w:trPr>
          <w:trHeight w:val="364"/>
        </w:trPr>
        <w:tc>
          <w:tcPr>
            <w:tcW w:w="5820" w:type="dxa"/>
            <w:vAlign w:val="bottom"/>
          </w:tcPr>
          <w:p>
            <w:pPr>
              <w:ind w:left="760"/>
              <w:spacing w:after="0"/>
              <w:rPr>
                <w:sz w:val="20"/>
                <w:szCs w:val="20"/>
                <w:color w:val="auto"/>
              </w:rPr>
            </w:pPr>
            <w:r>
              <w:rPr>
                <w:rFonts w:ascii="Courier New" w:cs="Courier New" w:eastAsia="Courier New" w:hAnsi="Courier New"/>
                <w:sz w:val="16"/>
                <w:szCs w:val="16"/>
                <w:color w:val="auto"/>
              </w:rPr>
              <w:t>Total current liabilities</w:t>
            </w: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54,958</w:t>
            </w:r>
          </w:p>
        </w:tc>
        <w:tc>
          <w:tcPr>
            <w:tcW w:w="380" w:type="dxa"/>
            <w:vAlign w:val="bottom"/>
          </w:tcPr>
          <w:p>
            <w:pPr>
              <w:spacing w:after="0"/>
              <w:rPr>
                <w:sz w:val="24"/>
                <w:szCs w:val="24"/>
                <w:color w:val="auto"/>
              </w:rPr>
            </w:pP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52,364</w:t>
            </w:r>
          </w:p>
        </w:tc>
      </w:tr>
      <w:tr>
        <w:trPr>
          <w:trHeight w:val="364"/>
        </w:trPr>
        <w:tc>
          <w:tcPr>
            <w:tcW w:w="5820" w:type="dxa"/>
            <w:vAlign w:val="bottom"/>
          </w:tcPr>
          <w:p>
            <w:pPr>
              <w:spacing w:after="0"/>
              <w:rPr>
                <w:sz w:val="20"/>
                <w:szCs w:val="20"/>
                <w:color w:val="auto"/>
              </w:rPr>
            </w:pPr>
            <w:r>
              <w:rPr>
                <w:rFonts w:ascii="Courier New" w:cs="Courier New" w:eastAsia="Courier New" w:hAnsi="Courier New"/>
                <w:sz w:val="16"/>
                <w:szCs w:val="16"/>
                <w:color w:val="auto"/>
              </w:rPr>
              <w:t>LONG-TERM DEBT AND CAPITAL LEASE OBLIGATIONS</w:t>
            </w: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13,248</w:t>
            </w:r>
          </w:p>
        </w:tc>
        <w:tc>
          <w:tcPr>
            <w:tcW w:w="380" w:type="dxa"/>
            <w:vAlign w:val="bottom"/>
          </w:tcPr>
          <w:p>
            <w:pPr>
              <w:spacing w:after="0"/>
              <w:rPr>
                <w:sz w:val="24"/>
                <w:szCs w:val="24"/>
                <w:color w:val="auto"/>
              </w:rPr>
            </w:pP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4,140</w:t>
            </w:r>
          </w:p>
        </w:tc>
      </w:tr>
      <w:tr>
        <w:trPr>
          <w:trHeight w:val="364"/>
        </w:trPr>
        <w:tc>
          <w:tcPr>
            <w:tcW w:w="5820" w:type="dxa"/>
            <w:vAlign w:val="bottom"/>
          </w:tcPr>
          <w:p>
            <w:pPr>
              <w:spacing w:after="0"/>
              <w:rPr>
                <w:sz w:val="20"/>
                <w:szCs w:val="20"/>
                <w:color w:val="auto"/>
              </w:rPr>
            </w:pPr>
            <w:r>
              <w:rPr>
                <w:rFonts w:ascii="Courier New" w:cs="Courier New" w:eastAsia="Courier New" w:hAnsi="Courier New"/>
                <w:sz w:val="16"/>
                <w:szCs w:val="16"/>
                <w:color w:val="auto"/>
              </w:rPr>
              <w:t>POSTRETIREMENT BENEFITS OTHER THAN PENSIONS</w:t>
            </w: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44,812</w:t>
            </w:r>
          </w:p>
        </w:tc>
        <w:tc>
          <w:tcPr>
            <w:tcW w:w="380" w:type="dxa"/>
            <w:vAlign w:val="bottom"/>
          </w:tcPr>
          <w:p>
            <w:pPr>
              <w:spacing w:after="0"/>
              <w:rPr>
                <w:sz w:val="24"/>
                <w:szCs w:val="24"/>
                <w:color w:val="auto"/>
              </w:rPr>
            </w:pP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43,391</w:t>
            </w:r>
          </w:p>
        </w:tc>
      </w:tr>
      <w:tr>
        <w:trPr>
          <w:trHeight w:val="364"/>
        </w:trPr>
        <w:tc>
          <w:tcPr>
            <w:tcW w:w="5820" w:type="dxa"/>
            <w:vAlign w:val="bottom"/>
          </w:tcPr>
          <w:p>
            <w:pPr>
              <w:spacing w:after="0"/>
              <w:rPr>
                <w:sz w:val="20"/>
                <w:szCs w:val="20"/>
                <w:color w:val="auto"/>
              </w:rPr>
            </w:pPr>
            <w:r>
              <w:rPr>
                <w:rFonts w:ascii="Courier New" w:cs="Courier New" w:eastAsia="Courier New" w:hAnsi="Courier New"/>
                <w:sz w:val="16"/>
                <w:szCs w:val="16"/>
                <w:color w:val="auto"/>
              </w:rPr>
              <w:t>MINORITY INTEREST IN CONSOLIDATED SUBSIDIARY</w:t>
            </w: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2,181</w:t>
            </w:r>
          </w:p>
        </w:tc>
        <w:tc>
          <w:tcPr>
            <w:tcW w:w="380" w:type="dxa"/>
            <w:vAlign w:val="bottom"/>
          </w:tcPr>
          <w:p>
            <w:pPr>
              <w:spacing w:after="0"/>
              <w:rPr>
                <w:sz w:val="24"/>
                <w:szCs w:val="24"/>
                <w:color w:val="auto"/>
              </w:rPr>
            </w:pP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2,143</w:t>
            </w:r>
          </w:p>
        </w:tc>
      </w:tr>
      <w:tr>
        <w:trPr>
          <w:trHeight w:val="364"/>
        </w:trPr>
        <w:tc>
          <w:tcPr>
            <w:tcW w:w="5820" w:type="dxa"/>
            <w:vAlign w:val="bottom"/>
          </w:tcPr>
          <w:p>
            <w:pPr>
              <w:spacing w:after="0"/>
              <w:rPr>
                <w:sz w:val="20"/>
                <w:szCs w:val="20"/>
                <w:color w:val="auto"/>
              </w:rPr>
            </w:pPr>
            <w:r>
              <w:rPr>
                <w:rFonts w:ascii="Courier New" w:cs="Courier New" w:eastAsia="Courier New" w:hAnsi="Courier New"/>
                <w:sz w:val="16"/>
                <w:szCs w:val="16"/>
                <w:color w:val="auto"/>
              </w:rPr>
              <w:t>STOCKHOLDERS' EQUITY</w:t>
            </w: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82"/>
        </w:trPr>
        <w:tc>
          <w:tcPr>
            <w:tcW w:w="5820" w:type="dxa"/>
            <w:vAlign w:val="bottom"/>
          </w:tcPr>
          <w:p>
            <w:pPr>
              <w:spacing w:after="0"/>
              <w:rPr>
                <w:sz w:val="20"/>
                <w:szCs w:val="20"/>
                <w:color w:val="auto"/>
              </w:rPr>
            </w:pPr>
            <w:r>
              <w:rPr>
                <w:rFonts w:ascii="Courier New" w:cs="Courier New" w:eastAsia="Courier New" w:hAnsi="Courier New"/>
                <w:sz w:val="16"/>
                <w:szCs w:val="16"/>
                <w:color w:val="auto"/>
              </w:rPr>
              <w:t>Capital stock, common, par value $.50; authorized</w:t>
            </w: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2"/>
        </w:trPr>
        <w:tc>
          <w:tcPr>
            <w:tcW w:w="5820" w:type="dxa"/>
            <w:vAlign w:val="bottom"/>
          </w:tcPr>
          <w:p>
            <w:pPr>
              <w:ind w:left="280"/>
              <w:spacing w:after="0"/>
              <w:rPr>
                <w:sz w:val="20"/>
                <w:szCs w:val="20"/>
                <w:color w:val="auto"/>
              </w:rPr>
            </w:pPr>
            <w:r>
              <w:rPr>
                <w:rFonts w:ascii="Courier New" w:cs="Courier New" w:eastAsia="Courier New" w:hAnsi="Courier New"/>
                <w:sz w:val="16"/>
                <w:szCs w:val="16"/>
                <w:color w:val="auto"/>
              </w:rPr>
              <w:t>60,000,000 shares</w:t>
            </w: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12,915</w:t>
            </w:r>
          </w:p>
        </w:tc>
        <w:tc>
          <w:tcPr>
            <w:tcW w:w="380" w:type="dxa"/>
            <w:vAlign w:val="bottom"/>
          </w:tcPr>
          <w:p>
            <w:pPr>
              <w:spacing w:after="0"/>
              <w:rPr>
                <w:sz w:val="15"/>
                <w:szCs w:val="15"/>
                <w:color w:val="auto"/>
              </w:rPr>
            </w:pP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12,911</w:t>
            </w:r>
          </w:p>
        </w:tc>
      </w:tr>
      <w:tr>
        <w:trPr>
          <w:trHeight w:val="182"/>
        </w:trPr>
        <w:tc>
          <w:tcPr>
            <w:tcW w:w="5820" w:type="dxa"/>
            <w:vAlign w:val="bottom"/>
          </w:tcPr>
          <w:p>
            <w:pPr>
              <w:spacing w:after="0"/>
              <w:rPr>
                <w:sz w:val="20"/>
                <w:szCs w:val="20"/>
                <w:color w:val="auto"/>
              </w:rPr>
            </w:pPr>
            <w:r>
              <w:rPr>
                <w:rFonts w:ascii="Courier New" w:cs="Courier New" w:eastAsia="Courier New" w:hAnsi="Courier New"/>
                <w:sz w:val="16"/>
                <w:szCs w:val="16"/>
                <w:color w:val="auto"/>
              </w:rPr>
              <w:t>Additional paid-in capital</w:t>
            </w: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23,675</w:t>
            </w:r>
          </w:p>
        </w:tc>
        <w:tc>
          <w:tcPr>
            <w:tcW w:w="380" w:type="dxa"/>
            <w:vAlign w:val="bottom"/>
          </w:tcPr>
          <w:p>
            <w:pPr>
              <w:spacing w:after="0"/>
              <w:rPr>
                <w:sz w:val="15"/>
                <w:szCs w:val="15"/>
                <w:color w:val="auto"/>
              </w:rPr>
            </w:pP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24,175</w:t>
            </w:r>
          </w:p>
        </w:tc>
      </w:tr>
      <w:tr>
        <w:trPr>
          <w:trHeight w:val="182"/>
        </w:trPr>
        <w:tc>
          <w:tcPr>
            <w:tcW w:w="5820" w:type="dxa"/>
            <w:vAlign w:val="bottom"/>
          </w:tcPr>
          <w:p>
            <w:pPr>
              <w:spacing w:after="0"/>
              <w:rPr>
                <w:sz w:val="20"/>
                <w:szCs w:val="20"/>
                <w:color w:val="auto"/>
              </w:rPr>
            </w:pPr>
            <w:r>
              <w:rPr>
                <w:rFonts w:ascii="Courier New" w:cs="Courier New" w:eastAsia="Courier New" w:hAnsi="Courier New"/>
                <w:sz w:val="16"/>
                <w:szCs w:val="16"/>
                <w:color w:val="auto"/>
              </w:rPr>
              <w:t>Reinvested earnings</w:t>
            </w: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70,490</w:t>
            </w:r>
          </w:p>
        </w:tc>
        <w:tc>
          <w:tcPr>
            <w:tcW w:w="380" w:type="dxa"/>
            <w:vAlign w:val="bottom"/>
          </w:tcPr>
          <w:p>
            <w:pPr>
              <w:spacing w:after="0"/>
              <w:rPr>
                <w:sz w:val="15"/>
                <w:szCs w:val="15"/>
                <w:color w:val="auto"/>
              </w:rPr>
            </w:pP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49,270</w:t>
            </w:r>
          </w:p>
        </w:tc>
      </w:tr>
      <w:tr>
        <w:trPr>
          <w:trHeight w:val="182"/>
        </w:trPr>
        <w:tc>
          <w:tcPr>
            <w:tcW w:w="58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107,080</w:t>
            </w:r>
          </w:p>
        </w:tc>
        <w:tc>
          <w:tcPr>
            <w:tcW w:w="380" w:type="dxa"/>
            <w:vAlign w:val="bottom"/>
          </w:tcPr>
          <w:p>
            <w:pPr>
              <w:spacing w:after="0"/>
              <w:rPr>
                <w:sz w:val="15"/>
                <w:szCs w:val="15"/>
                <w:color w:val="auto"/>
              </w:rPr>
            </w:pP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86,356</w:t>
            </w:r>
          </w:p>
        </w:tc>
      </w:tr>
      <w:tr>
        <w:trPr>
          <w:trHeight w:val="182"/>
        </w:trPr>
        <w:tc>
          <w:tcPr>
            <w:tcW w:w="5820" w:type="dxa"/>
            <w:vAlign w:val="bottom"/>
          </w:tcPr>
          <w:p>
            <w:pPr>
              <w:spacing w:after="0"/>
              <w:rPr>
                <w:sz w:val="20"/>
                <w:szCs w:val="20"/>
                <w:color w:val="auto"/>
              </w:rPr>
            </w:pPr>
            <w:r>
              <w:rPr>
                <w:rFonts w:ascii="Courier New" w:cs="Courier New" w:eastAsia="Courier New" w:hAnsi="Courier New"/>
                <w:sz w:val="16"/>
                <w:szCs w:val="16"/>
                <w:color w:val="auto"/>
              </w:rPr>
              <w:t>Less treasury stock, at cost</w:t>
            </w: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5,599</w:t>
            </w:r>
          </w:p>
        </w:tc>
        <w:tc>
          <w:tcPr>
            <w:tcW w:w="380" w:type="dxa"/>
            <w:vAlign w:val="bottom"/>
          </w:tcPr>
          <w:p>
            <w:pPr>
              <w:spacing w:after="0"/>
              <w:rPr>
                <w:sz w:val="15"/>
                <w:szCs w:val="15"/>
                <w:color w:val="auto"/>
              </w:rPr>
            </w:pP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6,646</w:t>
            </w:r>
          </w:p>
        </w:tc>
      </w:tr>
      <w:tr>
        <w:trPr>
          <w:trHeight w:val="364"/>
        </w:trPr>
        <w:tc>
          <w:tcPr>
            <w:tcW w:w="5820" w:type="dxa"/>
            <w:vAlign w:val="bottom"/>
          </w:tcPr>
          <w:p>
            <w:pPr>
              <w:spacing w:after="0"/>
              <w:rPr>
                <w:sz w:val="20"/>
                <w:szCs w:val="20"/>
                <w:color w:val="auto"/>
              </w:rPr>
            </w:pPr>
            <w:r>
              <w:rPr>
                <w:rFonts w:ascii="Courier New" w:cs="Courier New" w:eastAsia="Courier New" w:hAnsi="Courier New"/>
                <w:sz w:val="16"/>
                <w:szCs w:val="16"/>
                <w:color w:val="auto"/>
              </w:rPr>
              <w:t>Total stockholders' equity</w:t>
            </w: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101,481</w:t>
            </w:r>
          </w:p>
        </w:tc>
        <w:tc>
          <w:tcPr>
            <w:tcW w:w="380" w:type="dxa"/>
            <w:vAlign w:val="bottom"/>
          </w:tcPr>
          <w:p>
            <w:pPr>
              <w:spacing w:after="0"/>
              <w:rPr>
                <w:sz w:val="24"/>
                <w:szCs w:val="24"/>
                <w:color w:val="auto"/>
              </w:rPr>
            </w:pP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79,710</w:t>
            </w:r>
          </w:p>
        </w:tc>
      </w:tr>
      <w:tr>
        <w:trPr>
          <w:trHeight w:val="364"/>
        </w:trPr>
        <w:tc>
          <w:tcPr>
            <w:tcW w:w="5820" w:type="dxa"/>
            <w:vAlign w:val="bottom"/>
          </w:tcPr>
          <w:p>
            <w:pPr>
              <w:spacing w:after="0"/>
              <w:rPr>
                <w:sz w:val="20"/>
                <w:szCs w:val="20"/>
                <w:color w:val="auto"/>
              </w:rPr>
            </w:pPr>
            <w:r>
              <w:rPr>
                <w:rFonts w:ascii="Courier New" w:cs="Courier New" w:eastAsia="Courier New" w:hAnsi="Courier New"/>
                <w:sz w:val="16"/>
                <w:szCs w:val="16"/>
                <w:color w:val="auto"/>
              </w:rPr>
              <w:t>TOTAL LIABILITIES AND STOCKHOLDERS' EQUITY</w:t>
            </w:r>
          </w:p>
        </w:tc>
        <w:tc>
          <w:tcPr>
            <w:tcW w:w="420" w:type="dxa"/>
            <w:vAlign w:val="bottom"/>
          </w:tcPr>
          <w:p>
            <w:pPr>
              <w:spacing w:after="0"/>
              <w:rPr>
                <w:sz w:val="24"/>
                <w:szCs w:val="24"/>
                <w:color w:val="auto"/>
              </w:rPr>
            </w:pPr>
          </w:p>
        </w:tc>
        <w:tc>
          <w:tcPr>
            <w:tcW w:w="700" w:type="dxa"/>
            <w:vAlign w:val="bottom"/>
          </w:tcPr>
          <w:p>
            <w:pPr>
              <w:ind w:left="380"/>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216,680</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181,748</w:t>
            </w:r>
          </w:p>
        </w:tc>
      </w:tr>
    </w:tbl>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Unaudited Condensed Notes to Consolidated Financial Statements</w:t>
      </w:r>
    </w:p>
    <w:p>
      <w:pPr>
        <w:sectPr>
          <w:pgSz w:w="11900" w:h="16838" w:orient="portrait"/>
          <w:cols w:equalWidth="0" w:num="1">
            <w:col w:w="10219"/>
          </w:cols>
          <w:pgMar w:left="240" w:top="501" w:right="1440" w:bottom="0" w:gutter="0" w:footer="0" w:header="0"/>
        </w:sectPr>
      </w:pPr>
    </w:p>
    <w:bookmarkStart w:id="2" w:name="page3"/>
    <w:bookmarkEnd w:id="2"/>
    <w:p>
      <w:pPr>
        <w:spacing w:after="0" w:line="50"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WINNEBAGO INDUSTRIES, INC. AND SUBSIDIARIES</w:t>
      </w:r>
    </w:p>
    <w:p>
      <w:pPr>
        <w:spacing w:after="0" w:line="1"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UNAUDITED CONSOLIDATED STATEMENTS OF OPERATIONS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640" w:type="dxa"/>
            <w:vAlign w:val="bottom"/>
          </w:tcPr>
          <w:p>
            <w:pPr>
              <w:spacing w:after="0"/>
              <w:rPr>
                <w:sz w:val="15"/>
                <w:szCs w:val="15"/>
                <w:color w:val="auto"/>
              </w:rPr>
            </w:pPr>
          </w:p>
        </w:tc>
        <w:tc>
          <w:tcPr>
            <w:tcW w:w="2460" w:type="dxa"/>
            <w:vAlign w:val="bottom"/>
            <w:gridSpan w:val="4"/>
          </w:tcPr>
          <w:p>
            <w:pPr>
              <w:ind w:left="320"/>
              <w:spacing w:after="0"/>
              <w:rPr>
                <w:sz w:val="20"/>
                <w:szCs w:val="20"/>
                <w:color w:val="auto"/>
              </w:rPr>
            </w:pPr>
            <w:r>
              <w:rPr>
                <w:rFonts w:ascii="Courier New" w:cs="Courier New" w:eastAsia="Courier New" w:hAnsi="Courier New"/>
                <w:sz w:val="16"/>
                <w:szCs w:val="16"/>
                <w:color w:val="auto"/>
              </w:rPr>
              <w:t>Thirteen Weeks Ended</w:t>
            </w:r>
          </w:p>
        </w:tc>
        <w:tc>
          <w:tcPr>
            <w:tcW w:w="2220" w:type="dxa"/>
            <w:vAlign w:val="bottom"/>
            <w:gridSpan w:val="4"/>
          </w:tcPr>
          <w:p>
            <w:pPr>
              <w:jc w:val="right"/>
              <w:spacing w:after="0"/>
              <w:rPr>
                <w:sz w:val="20"/>
                <w:szCs w:val="20"/>
                <w:color w:val="auto"/>
              </w:rPr>
            </w:pPr>
            <w:r>
              <w:rPr>
                <w:rFonts w:ascii="Courier New" w:cs="Courier New" w:eastAsia="Courier New" w:hAnsi="Courier New"/>
                <w:sz w:val="16"/>
                <w:szCs w:val="16"/>
                <w:color w:val="auto"/>
                <w:w w:val="99"/>
              </w:rPr>
              <w:t>Thirty-Nine Weeks Ended</w:t>
            </w:r>
          </w:p>
        </w:tc>
      </w:tr>
      <w:tr>
        <w:trPr>
          <w:trHeight w:val="182"/>
        </w:trPr>
        <w:tc>
          <w:tcPr>
            <w:tcW w:w="3640" w:type="dxa"/>
            <w:vAlign w:val="bottom"/>
          </w:tcPr>
          <w:p>
            <w:pPr>
              <w:spacing w:after="0"/>
              <w:rPr>
                <w:sz w:val="15"/>
                <w:szCs w:val="15"/>
                <w:color w:val="auto"/>
              </w:rPr>
            </w:pPr>
          </w:p>
        </w:tc>
        <w:tc>
          <w:tcPr>
            <w:tcW w:w="1420" w:type="dxa"/>
            <w:vAlign w:val="bottom"/>
            <w:gridSpan w:val="2"/>
          </w:tcPr>
          <w:p>
            <w:pPr>
              <w:ind w:left="320"/>
              <w:spacing w:after="0"/>
              <w:rPr>
                <w:sz w:val="20"/>
                <w:szCs w:val="20"/>
                <w:color w:val="auto"/>
              </w:rPr>
            </w:pPr>
            <w:r>
              <w:rPr>
                <w:rFonts w:ascii="Courier New" w:cs="Courier New" w:eastAsia="Courier New" w:hAnsi="Courier New"/>
                <w:sz w:val="16"/>
                <w:szCs w:val="16"/>
                <w:color w:val="auto"/>
              </w:rPr>
              <w:t>May 27,</w:t>
            </w:r>
          </w:p>
        </w:tc>
        <w:tc>
          <w:tcPr>
            <w:tcW w:w="14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5"/>
              </w:rPr>
              <w:t>May 28,</w:t>
            </w:r>
          </w:p>
        </w:tc>
        <w:tc>
          <w:tcPr>
            <w:tcW w:w="380" w:type="dxa"/>
            <w:vAlign w:val="bottom"/>
          </w:tcPr>
          <w:p>
            <w:pPr>
              <w:spacing w:after="0"/>
              <w:rPr>
                <w:sz w:val="15"/>
                <w:szCs w:val="15"/>
                <w:color w:val="auto"/>
              </w:rPr>
            </w:pPr>
          </w:p>
        </w:tc>
        <w:tc>
          <w:tcPr>
            <w:tcW w:w="8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May 27,</w:t>
            </w:r>
          </w:p>
        </w:tc>
        <w:tc>
          <w:tcPr>
            <w:tcW w:w="200" w:type="dxa"/>
            <w:vAlign w:val="bottom"/>
          </w:tcPr>
          <w:p>
            <w:pPr>
              <w:spacing w:after="0"/>
              <w:rPr>
                <w:sz w:val="15"/>
                <w:szCs w:val="15"/>
                <w:color w:val="auto"/>
              </w:rPr>
            </w:pPr>
          </w:p>
        </w:tc>
        <w:tc>
          <w:tcPr>
            <w:tcW w:w="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May 28,</w:t>
            </w:r>
          </w:p>
        </w:tc>
      </w:tr>
      <w:tr>
        <w:trPr>
          <w:trHeight w:val="182"/>
        </w:trPr>
        <w:tc>
          <w:tcPr>
            <w:tcW w:w="3640" w:type="dxa"/>
            <w:vAlign w:val="bottom"/>
          </w:tcPr>
          <w:p>
            <w:pPr>
              <w:spacing w:after="0"/>
              <w:rPr>
                <w:sz w:val="15"/>
                <w:szCs w:val="15"/>
                <w:color w:val="auto"/>
              </w:rPr>
            </w:pPr>
          </w:p>
        </w:tc>
        <w:tc>
          <w:tcPr>
            <w:tcW w:w="1420" w:type="dxa"/>
            <w:vAlign w:val="bottom"/>
            <w:gridSpan w:val="2"/>
          </w:tcPr>
          <w:p>
            <w:pPr>
              <w:ind w:left="420"/>
              <w:spacing w:after="0"/>
              <w:rPr>
                <w:sz w:val="20"/>
                <w:szCs w:val="20"/>
                <w:color w:val="auto"/>
              </w:rPr>
            </w:pPr>
            <w:r>
              <w:rPr>
                <w:rFonts w:ascii="Courier New" w:cs="Courier New" w:eastAsia="Courier New" w:hAnsi="Courier New"/>
                <w:sz w:val="16"/>
                <w:szCs w:val="16"/>
                <w:color w:val="auto"/>
              </w:rPr>
              <w:t>1995</w:t>
            </w:r>
          </w:p>
        </w:tc>
        <w:tc>
          <w:tcPr>
            <w:tcW w:w="140" w:type="dxa"/>
            <w:vAlign w:val="bottom"/>
          </w:tcPr>
          <w:p>
            <w:pPr>
              <w:spacing w:after="0"/>
              <w:rPr>
                <w:sz w:val="15"/>
                <w:szCs w:val="15"/>
                <w:color w:val="auto"/>
              </w:rPr>
            </w:pPr>
          </w:p>
        </w:tc>
        <w:tc>
          <w:tcPr>
            <w:tcW w:w="9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1994</w:t>
            </w:r>
          </w:p>
        </w:tc>
        <w:tc>
          <w:tcPr>
            <w:tcW w:w="380" w:type="dxa"/>
            <w:vAlign w:val="bottom"/>
          </w:tcPr>
          <w:p>
            <w:pPr>
              <w:spacing w:after="0"/>
              <w:rPr>
                <w:sz w:val="15"/>
                <w:szCs w:val="15"/>
                <w:color w:val="auto"/>
              </w:rPr>
            </w:pPr>
          </w:p>
        </w:tc>
        <w:tc>
          <w:tcPr>
            <w:tcW w:w="84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1995</w:t>
            </w:r>
          </w:p>
        </w:tc>
        <w:tc>
          <w:tcPr>
            <w:tcW w:w="200" w:type="dxa"/>
            <w:vAlign w:val="bottom"/>
          </w:tcPr>
          <w:p>
            <w:pPr>
              <w:spacing w:after="0"/>
              <w:rPr>
                <w:sz w:val="15"/>
                <w:szCs w:val="15"/>
                <w:color w:val="auto"/>
              </w:rPr>
            </w:pPr>
          </w:p>
        </w:tc>
        <w:tc>
          <w:tcPr>
            <w:tcW w:w="8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1994</w:t>
            </w:r>
          </w:p>
        </w:tc>
      </w:tr>
      <w:tr>
        <w:trPr>
          <w:trHeight w:val="364"/>
        </w:trPr>
        <w:tc>
          <w:tcPr>
            <w:tcW w:w="3640" w:type="dxa"/>
            <w:vAlign w:val="bottom"/>
          </w:tcPr>
          <w:p>
            <w:pPr>
              <w:spacing w:after="0"/>
              <w:rPr>
                <w:sz w:val="20"/>
                <w:szCs w:val="20"/>
                <w:color w:val="auto"/>
              </w:rPr>
            </w:pPr>
            <w:r>
              <w:rPr>
                <w:rFonts w:ascii="Courier New" w:cs="Courier New" w:eastAsia="Courier New" w:hAnsi="Courier New"/>
                <w:sz w:val="16"/>
                <w:szCs w:val="16"/>
                <w:color w:val="auto"/>
              </w:rPr>
              <w:t>Revenues:</w:t>
            </w: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82"/>
        </w:trPr>
        <w:tc>
          <w:tcPr>
            <w:tcW w:w="3640" w:type="dxa"/>
            <w:vAlign w:val="bottom"/>
          </w:tcPr>
          <w:p>
            <w:pPr>
              <w:ind w:left="180"/>
              <w:spacing w:after="0"/>
              <w:rPr>
                <w:sz w:val="20"/>
                <w:szCs w:val="20"/>
                <w:color w:val="auto"/>
              </w:rPr>
            </w:pPr>
            <w:r>
              <w:rPr>
                <w:rFonts w:ascii="Courier New" w:cs="Courier New" w:eastAsia="Courier New" w:hAnsi="Courier New"/>
                <w:sz w:val="16"/>
                <w:szCs w:val="16"/>
                <w:color w:val="auto"/>
              </w:rPr>
              <w:t>Manufactured products</w:t>
            </w:r>
          </w:p>
        </w:tc>
        <w:tc>
          <w:tcPr>
            <w:tcW w:w="560" w:type="dxa"/>
            <w:vAlign w:val="bottom"/>
          </w:tcPr>
          <w:p>
            <w:pPr>
              <w:ind w:left="420"/>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118,338</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125,208</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354,066</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319,049</w:t>
            </w:r>
          </w:p>
        </w:tc>
      </w:tr>
      <w:tr>
        <w:trPr>
          <w:trHeight w:val="182"/>
        </w:trPr>
        <w:tc>
          <w:tcPr>
            <w:tcW w:w="3640" w:type="dxa"/>
            <w:vAlign w:val="bottom"/>
          </w:tcPr>
          <w:p>
            <w:pPr>
              <w:ind w:left="180"/>
              <w:spacing w:after="0"/>
              <w:rPr>
                <w:sz w:val="20"/>
                <w:szCs w:val="20"/>
                <w:color w:val="auto"/>
              </w:rPr>
            </w:pPr>
            <w:r>
              <w:rPr>
                <w:rFonts w:ascii="Courier New" w:cs="Courier New" w:eastAsia="Courier New" w:hAnsi="Courier New"/>
                <w:sz w:val="16"/>
                <w:szCs w:val="16"/>
                <w:color w:val="auto"/>
              </w:rPr>
              <w:t>Services</w:t>
            </w:r>
          </w:p>
        </w:tc>
        <w:tc>
          <w:tcPr>
            <w:tcW w:w="560" w:type="dxa"/>
            <w:vAlign w:val="bottom"/>
          </w:tcPr>
          <w:p>
            <w:pPr>
              <w:spacing w:after="0"/>
              <w:rPr>
                <w:sz w:val="15"/>
                <w:szCs w:val="15"/>
                <w:color w:val="auto"/>
              </w:rPr>
            </w:pPr>
          </w:p>
        </w:tc>
        <w:tc>
          <w:tcPr>
            <w:tcW w:w="8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6,755</w:t>
            </w:r>
          </w:p>
        </w:tc>
        <w:tc>
          <w:tcPr>
            <w:tcW w:w="14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4,458</w:t>
            </w:r>
          </w:p>
        </w:tc>
        <w:tc>
          <w:tcPr>
            <w:tcW w:w="380" w:type="dxa"/>
            <w:vAlign w:val="bottom"/>
          </w:tcPr>
          <w:p>
            <w:pPr>
              <w:spacing w:after="0"/>
              <w:rPr>
                <w:sz w:val="15"/>
                <w:szCs w:val="15"/>
                <w:color w:val="auto"/>
              </w:rPr>
            </w:pPr>
          </w:p>
        </w:tc>
        <w:tc>
          <w:tcPr>
            <w:tcW w:w="8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17,234</w:t>
            </w:r>
          </w:p>
        </w:tc>
        <w:tc>
          <w:tcPr>
            <w:tcW w:w="200" w:type="dxa"/>
            <w:vAlign w:val="bottom"/>
          </w:tcPr>
          <w:p>
            <w:pPr>
              <w:spacing w:after="0"/>
              <w:rPr>
                <w:sz w:val="15"/>
                <w:szCs w:val="15"/>
                <w:color w:val="auto"/>
              </w:rPr>
            </w:pPr>
          </w:p>
        </w:tc>
        <w:tc>
          <w:tcPr>
            <w:tcW w:w="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14,174</w:t>
            </w:r>
          </w:p>
        </w:tc>
      </w:tr>
      <w:tr>
        <w:trPr>
          <w:trHeight w:val="182"/>
        </w:trPr>
        <w:tc>
          <w:tcPr>
            <w:tcW w:w="3640" w:type="dxa"/>
            <w:vAlign w:val="bottom"/>
          </w:tcPr>
          <w:p>
            <w:pPr>
              <w:ind w:left="460"/>
              <w:spacing w:after="0"/>
              <w:rPr>
                <w:sz w:val="20"/>
                <w:szCs w:val="20"/>
                <w:color w:val="auto"/>
              </w:rPr>
            </w:pPr>
            <w:r>
              <w:rPr>
                <w:rFonts w:ascii="Courier New" w:cs="Courier New" w:eastAsia="Courier New" w:hAnsi="Courier New"/>
                <w:sz w:val="16"/>
                <w:szCs w:val="16"/>
                <w:color w:val="auto"/>
              </w:rPr>
              <w:t>Total net revenues</w:t>
            </w:r>
          </w:p>
        </w:tc>
        <w:tc>
          <w:tcPr>
            <w:tcW w:w="560" w:type="dxa"/>
            <w:vAlign w:val="bottom"/>
          </w:tcPr>
          <w:p>
            <w:pPr>
              <w:spacing w:after="0"/>
              <w:rPr>
                <w:sz w:val="15"/>
                <w:szCs w:val="15"/>
                <w:color w:val="auto"/>
              </w:rPr>
            </w:pPr>
          </w:p>
        </w:tc>
        <w:tc>
          <w:tcPr>
            <w:tcW w:w="8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125,093</w:t>
            </w:r>
          </w:p>
        </w:tc>
        <w:tc>
          <w:tcPr>
            <w:tcW w:w="14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129,666</w:t>
            </w:r>
          </w:p>
        </w:tc>
        <w:tc>
          <w:tcPr>
            <w:tcW w:w="380" w:type="dxa"/>
            <w:vAlign w:val="bottom"/>
          </w:tcPr>
          <w:p>
            <w:pPr>
              <w:spacing w:after="0"/>
              <w:rPr>
                <w:sz w:val="15"/>
                <w:szCs w:val="15"/>
                <w:color w:val="auto"/>
              </w:rPr>
            </w:pPr>
          </w:p>
        </w:tc>
        <w:tc>
          <w:tcPr>
            <w:tcW w:w="8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371,300</w:t>
            </w:r>
          </w:p>
        </w:tc>
        <w:tc>
          <w:tcPr>
            <w:tcW w:w="200" w:type="dxa"/>
            <w:vAlign w:val="bottom"/>
          </w:tcPr>
          <w:p>
            <w:pPr>
              <w:spacing w:after="0"/>
              <w:rPr>
                <w:sz w:val="15"/>
                <w:szCs w:val="15"/>
                <w:color w:val="auto"/>
              </w:rPr>
            </w:pPr>
          </w:p>
        </w:tc>
        <w:tc>
          <w:tcPr>
            <w:tcW w:w="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333,223</w:t>
            </w:r>
          </w:p>
        </w:tc>
      </w:tr>
      <w:tr>
        <w:trPr>
          <w:trHeight w:val="364"/>
        </w:trPr>
        <w:tc>
          <w:tcPr>
            <w:tcW w:w="3640" w:type="dxa"/>
            <w:vAlign w:val="bottom"/>
          </w:tcPr>
          <w:p>
            <w:pPr>
              <w:spacing w:after="0"/>
              <w:rPr>
                <w:sz w:val="20"/>
                <w:szCs w:val="20"/>
                <w:color w:val="auto"/>
              </w:rPr>
            </w:pPr>
            <w:r>
              <w:rPr>
                <w:rFonts w:ascii="Courier New" w:cs="Courier New" w:eastAsia="Courier New" w:hAnsi="Courier New"/>
                <w:sz w:val="16"/>
                <w:szCs w:val="16"/>
                <w:color w:val="auto"/>
              </w:rPr>
              <w:t>Costs and Expenses:</w:t>
            </w: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82"/>
        </w:trPr>
        <w:tc>
          <w:tcPr>
            <w:tcW w:w="3640" w:type="dxa"/>
            <w:vAlign w:val="bottom"/>
          </w:tcPr>
          <w:p>
            <w:pPr>
              <w:ind w:left="180"/>
              <w:spacing w:after="0"/>
              <w:rPr>
                <w:sz w:val="20"/>
                <w:szCs w:val="20"/>
                <w:color w:val="auto"/>
              </w:rPr>
            </w:pPr>
            <w:r>
              <w:rPr>
                <w:rFonts w:ascii="Courier New" w:cs="Courier New" w:eastAsia="Courier New" w:hAnsi="Courier New"/>
                <w:sz w:val="16"/>
                <w:szCs w:val="16"/>
                <w:color w:val="auto"/>
              </w:rPr>
              <w:t>Cost of manufactured products</w:t>
            </w:r>
          </w:p>
        </w:tc>
        <w:tc>
          <w:tcPr>
            <w:tcW w:w="560" w:type="dxa"/>
            <w:vAlign w:val="bottom"/>
          </w:tcPr>
          <w:p>
            <w:pPr>
              <w:spacing w:after="0"/>
              <w:rPr>
                <w:sz w:val="15"/>
                <w:szCs w:val="15"/>
                <w:color w:val="auto"/>
              </w:rPr>
            </w:pPr>
          </w:p>
        </w:tc>
        <w:tc>
          <w:tcPr>
            <w:tcW w:w="8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101,304</w:t>
            </w:r>
          </w:p>
        </w:tc>
        <w:tc>
          <w:tcPr>
            <w:tcW w:w="14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105,983</w:t>
            </w:r>
          </w:p>
        </w:tc>
        <w:tc>
          <w:tcPr>
            <w:tcW w:w="380" w:type="dxa"/>
            <w:vAlign w:val="bottom"/>
          </w:tcPr>
          <w:p>
            <w:pPr>
              <w:spacing w:after="0"/>
              <w:rPr>
                <w:sz w:val="15"/>
                <w:szCs w:val="15"/>
                <w:color w:val="auto"/>
              </w:rPr>
            </w:pPr>
          </w:p>
        </w:tc>
        <w:tc>
          <w:tcPr>
            <w:tcW w:w="8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303,619</w:t>
            </w:r>
          </w:p>
        </w:tc>
        <w:tc>
          <w:tcPr>
            <w:tcW w:w="200" w:type="dxa"/>
            <w:vAlign w:val="bottom"/>
          </w:tcPr>
          <w:p>
            <w:pPr>
              <w:spacing w:after="0"/>
              <w:rPr>
                <w:sz w:val="15"/>
                <w:szCs w:val="15"/>
                <w:color w:val="auto"/>
              </w:rPr>
            </w:pPr>
          </w:p>
        </w:tc>
        <w:tc>
          <w:tcPr>
            <w:tcW w:w="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273,789</w:t>
            </w:r>
          </w:p>
        </w:tc>
      </w:tr>
      <w:tr>
        <w:trPr>
          <w:trHeight w:val="182"/>
        </w:trPr>
        <w:tc>
          <w:tcPr>
            <w:tcW w:w="3640" w:type="dxa"/>
            <w:vAlign w:val="bottom"/>
          </w:tcPr>
          <w:p>
            <w:pPr>
              <w:ind w:left="180"/>
              <w:spacing w:after="0"/>
              <w:rPr>
                <w:sz w:val="20"/>
                <w:szCs w:val="20"/>
                <w:color w:val="auto"/>
              </w:rPr>
            </w:pPr>
            <w:r>
              <w:rPr>
                <w:rFonts w:ascii="Courier New" w:cs="Courier New" w:eastAsia="Courier New" w:hAnsi="Courier New"/>
                <w:sz w:val="16"/>
                <w:szCs w:val="16"/>
                <w:color w:val="auto"/>
              </w:rPr>
              <w:t>Cost of services</w:t>
            </w:r>
          </w:p>
        </w:tc>
        <w:tc>
          <w:tcPr>
            <w:tcW w:w="560" w:type="dxa"/>
            <w:vAlign w:val="bottom"/>
          </w:tcPr>
          <w:p>
            <w:pPr>
              <w:spacing w:after="0"/>
              <w:rPr>
                <w:sz w:val="15"/>
                <w:szCs w:val="15"/>
                <w:color w:val="auto"/>
              </w:rPr>
            </w:pPr>
          </w:p>
        </w:tc>
        <w:tc>
          <w:tcPr>
            <w:tcW w:w="8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3,980</w:t>
            </w:r>
          </w:p>
        </w:tc>
        <w:tc>
          <w:tcPr>
            <w:tcW w:w="14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2,554</w:t>
            </w:r>
          </w:p>
        </w:tc>
        <w:tc>
          <w:tcPr>
            <w:tcW w:w="380" w:type="dxa"/>
            <w:vAlign w:val="bottom"/>
          </w:tcPr>
          <w:p>
            <w:pPr>
              <w:spacing w:after="0"/>
              <w:rPr>
                <w:sz w:val="15"/>
                <w:szCs w:val="15"/>
                <w:color w:val="auto"/>
              </w:rPr>
            </w:pPr>
          </w:p>
        </w:tc>
        <w:tc>
          <w:tcPr>
            <w:tcW w:w="8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10,176</w:t>
            </w:r>
          </w:p>
        </w:tc>
        <w:tc>
          <w:tcPr>
            <w:tcW w:w="200" w:type="dxa"/>
            <w:vAlign w:val="bottom"/>
          </w:tcPr>
          <w:p>
            <w:pPr>
              <w:spacing w:after="0"/>
              <w:rPr>
                <w:sz w:val="15"/>
                <w:szCs w:val="15"/>
                <w:color w:val="auto"/>
              </w:rPr>
            </w:pPr>
          </w:p>
        </w:tc>
        <w:tc>
          <w:tcPr>
            <w:tcW w:w="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8,177</w:t>
            </w:r>
          </w:p>
        </w:tc>
      </w:tr>
      <w:tr>
        <w:trPr>
          <w:trHeight w:val="182"/>
        </w:trPr>
        <w:tc>
          <w:tcPr>
            <w:tcW w:w="3640" w:type="dxa"/>
            <w:vAlign w:val="bottom"/>
          </w:tcPr>
          <w:p>
            <w:pPr>
              <w:ind w:left="180"/>
              <w:spacing w:after="0"/>
              <w:rPr>
                <w:sz w:val="20"/>
                <w:szCs w:val="20"/>
                <w:color w:val="auto"/>
              </w:rPr>
            </w:pPr>
            <w:r>
              <w:rPr>
                <w:rFonts w:ascii="Courier New" w:cs="Courier New" w:eastAsia="Courier New" w:hAnsi="Courier New"/>
                <w:sz w:val="16"/>
                <w:szCs w:val="16"/>
                <w:color w:val="auto"/>
              </w:rPr>
              <w:t>Selling and delivery</w:t>
            </w:r>
          </w:p>
        </w:tc>
        <w:tc>
          <w:tcPr>
            <w:tcW w:w="560" w:type="dxa"/>
            <w:vAlign w:val="bottom"/>
          </w:tcPr>
          <w:p>
            <w:pPr>
              <w:spacing w:after="0"/>
              <w:rPr>
                <w:sz w:val="15"/>
                <w:szCs w:val="15"/>
                <w:color w:val="auto"/>
              </w:rPr>
            </w:pPr>
          </w:p>
        </w:tc>
        <w:tc>
          <w:tcPr>
            <w:tcW w:w="8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7,265</w:t>
            </w:r>
          </w:p>
        </w:tc>
        <w:tc>
          <w:tcPr>
            <w:tcW w:w="14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6,898</w:t>
            </w:r>
          </w:p>
        </w:tc>
        <w:tc>
          <w:tcPr>
            <w:tcW w:w="380" w:type="dxa"/>
            <w:vAlign w:val="bottom"/>
          </w:tcPr>
          <w:p>
            <w:pPr>
              <w:spacing w:after="0"/>
              <w:rPr>
                <w:sz w:val="15"/>
                <w:szCs w:val="15"/>
                <w:color w:val="auto"/>
              </w:rPr>
            </w:pPr>
          </w:p>
        </w:tc>
        <w:tc>
          <w:tcPr>
            <w:tcW w:w="8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19,937</w:t>
            </w:r>
          </w:p>
        </w:tc>
        <w:tc>
          <w:tcPr>
            <w:tcW w:w="200" w:type="dxa"/>
            <w:vAlign w:val="bottom"/>
          </w:tcPr>
          <w:p>
            <w:pPr>
              <w:spacing w:after="0"/>
              <w:rPr>
                <w:sz w:val="15"/>
                <w:szCs w:val="15"/>
                <w:color w:val="auto"/>
              </w:rPr>
            </w:pPr>
          </w:p>
        </w:tc>
        <w:tc>
          <w:tcPr>
            <w:tcW w:w="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19,144</w:t>
            </w:r>
          </w:p>
        </w:tc>
      </w:tr>
      <w:tr>
        <w:trPr>
          <w:trHeight w:val="182"/>
        </w:trPr>
        <w:tc>
          <w:tcPr>
            <w:tcW w:w="3640" w:type="dxa"/>
            <w:vAlign w:val="bottom"/>
          </w:tcPr>
          <w:p>
            <w:pPr>
              <w:ind w:left="180"/>
              <w:spacing w:after="0"/>
              <w:rPr>
                <w:sz w:val="20"/>
                <w:szCs w:val="20"/>
                <w:color w:val="auto"/>
              </w:rPr>
            </w:pPr>
            <w:r>
              <w:rPr>
                <w:rFonts w:ascii="Courier New" w:cs="Courier New" w:eastAsia="Courier New" w:hAnsi="Courier New"/>
                <w:sz w:val="16"/>
                <w:szCs w:val="16"/>
                <w:color w:val="auto"/>
              </w:rPr>
              <w:t>General and administrative</w:t>
            </w:r>
          </w:p>
        </w:tc>
        <w:tc>
          <w:tcPr>
            <w:tcW w:w="560" w:type="dxa"/>
            <w:vAlign w:val="bottom"/>
          </w:tcPr>
          <w:p>
            <w:pPr>
              <w:spacing w:after="0"/>
              <w:rPr>
                <w:sz w:val="15"/>
                <w:szCs w:val="15"/>
                <w:color w:val="auto"/>
              </w:rPr>
            </w:pPr>
          </w:p>
        </w:tc>
        <w:tc>
          <w:tcPr>
            <w:tcW w:w="8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6,470</w:t>
            </w:r>
          </w:p>
        </w:tc>
        <w:tc>
          <w:tcPr>
            <w:tcW w:w="14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5,929</w:t>
            </w:r>
          </w:p>
        </w:tc>
        <w:tc>
          <w:tcPr>
            <w:tcW w:w="380" w:type="dxa"/>
            <w:vAlign w:val="bottom"/>
          </w:tcPr>
          <w:p>
            <w:pPr>
              <w:spacing w:after="0"/>
              <w:rPr>
                <w:sz w:val="15"/>
                <w:szCs w:val="15"/>
                <w:color w:val="auto"/>
              </w:rPr>
            </w:pPr>
          </w:p>
        </w:tc>
        <w:tc>
          <w:tcPr>
            <w:tcW w:w="8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18,494</w:t>
            </w:r>
          </w:p>
        </w:tc>
        <w:tc>
          <w:tcPr>
            <w:tcW w:w="200" w:type="dxa"/>
            <w:vAlign w:val="bottom"/>
          </w:tcPr>
          <w:p>
            <w:pPr>
              <w:spacing w:after="0"/>
              <w:rPr>
                <w:sz w:val="15"/>
                <w:szCs w:val="15"/>
                <w:color w:val="auto"/>
              </w:rPr>
            </w:pPr>
          </w:p>
        </w:tc>
        <w:tc>
          <w:tcPr>
            <w:tcW w:w="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18,708</w:t>
            </w:r>
          </w:p>
        </w:tc>
      </w:tr>
      <w:tr>
        <w:trPr>
          <w:trHeight w:val="182"/>
        </w:trPr>
        <w:tc>
          <w:tcPr>
            <w:tcW w:w="3640" w:type="dxa"/>
            <w:vAlign w:val="bottom"/>
          </w:tcPr>
          <w:p>
            <w:pPr>
              <w:ind w:left="180"/>
              <w:spacing w:after="0"/>
              <w:rPr>
                <w:sz w:val="20"/>
                <w:szCs w:val="20"/>
                <w:color w:val="auto"/>
              </w:rPr>
            </w:pPr>
            <w:r>
              <w:rPr>
                <w:rFonts w:ascii="Courier New" w:cs="Courier New" w:eastAsia="Courier New" w:hAnsi="Courier New"/>
                <w:sz w:val="16"/>
                <w:szCs w:val="16"/>
                <w:color w:val="auto"/>
              </w:rPr>
              <w:t>Other (income) expense</w:t>
            </w:r>
          </w:p>
        </w:tc>
        <w:tc>
          <w:tcPr>
            <w:tcW w:w="5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(62)</w:t>
            </w:r>
          </w:p>
        </w:tc>
        <w:tc>
          <w:tcPr>
            <w:tcW w:w="14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189</w:t>
            </w:r>
          </w:p>
        </w:tc>
        <w:tc>
          <w:tcPr>
            <w:tcW w:w="380" w:type="dxa"/>
            <w:vAlign w:val="bottom"/>
          </w:tcPr>
          <w:p>
            <w:pPr>
              <w:spacing w:after="0"/>
              <w:rPr>
                <w:sz w:val="15"/>
                <w:szCs w:val="15"/>
                <w:color w:val="auto"/>
              </w:rPr>
            </w:pPr>
          </w:p>
        </w:tc>
        <w:tc>
          <w:tcPr>
            <w:tcW w:w="8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45</w:t>
            </w:r>
          </w:p>
        </w:tc>
        <w:tc>
          <w:tcPr>
            <w:tcW w:w="200" w:type="dxa"/>
            <w:vAlign w:val="bottom"/>
          </w:tcPr>
          <w:p>
            <w:pPr>
              <w:spacing w:after="0"/>
              <w:rPr>
                <w:sz w:val="15"/>
                <w:szCs w:val="15"/>
                <w:color w:val="auto"/>
              </w:rPr>
            </w:pPr>
          </w:p>
        </w:tc>
        <w:tc>
          <w:tcPr>
            <w:tcW w:w="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359</w:t>
            </w:r>
          </w:p>
        </w:tc>
      </w:tr>
      <w:tr>
        <w:trPr>
          <w:trHeight w:val="182"/>
        </w:trPr>
        <w:tc>
          <w:tcPr>
            <w:tcW w:w="3640" w:type="dxa"/>
            <w:vAlign w:val="bottom"/>
          </w:tcPr>
          <w:p>
            <w:pPr>
              <w:ind w:left="180"/>
              <w:spacing w:after="0"/>
              <w:rPr>
                <w:sz w:val="20"/>
                <w:szCs w:val="20"/>
                <w:color w:val="auto"/>
              </w:rPr>
            </w:pPr>
            <w:r>
              <w:rPr>
                <w:rFonts w:ascii="Courier New" w:cs="Courier New" w:eastAsia="Courier New" w:hAnsi="Courier New"/>
                <w:sz w:val="16"/>
                <w:szCs w:val="16"/>
                <w:color w:val="auto"/>
              </w:rPr>
              <w:t>Minority interest in net income</w:t>
            </w:r>
          </w:p>
        </w:tc>
        <w:tc>
          <w:tcPr>
            <w:tcW w:w="5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2"/>
        </w:trPr>
        <w:tc>
          <w:tcPr>
            <w:tcW w:w="3640" w:type="dxa"/>
            <w:vAlign w:val="bottom"/>
          </w:tcPr>
          <w:p>
            <w:pPr>
              <w:ind w:left="280"/>
              <w:spacing w:after="0"/>
              <w:rPr>
                <w:sz w:val="20"/>
                <w:szCs w:val="20"/>
                <w:color w:val="auto"/>
              </w:rPr>
            </w:pPr>
            <w:r>
              <w:rPr>
                <w:rFonts w:ascii="Courier New" w:cs="Courier New" w:eastAsia="Courier New" w:hAnsi="Courier New"/>
                <w:sz w:val="16"/>
                <w:szCs w:val="16"/>
                <w:color w:val="auto"/>
              </w:rPr>
              <w:t>of consol. subsidiary</w:t>
            </w:r>
          </w:p>
        </w:tc>
        <w:tc>
          <w:tcPr>
            <w:tcW w:w="560" w:type="dxa"/>
            <w:vAlign w:val="bottom"/>
          </w:tcPr>
          <w:p>
            <w:pPr>
              <w:spacing w:after="0"/>
              <w:rPr>
                <w:sz w:val="15"/>
                <w:szCs w:val="15"/>
                <w:color w:val="auto"/>
              </w:rPr>
            </w:pPr>
          </w:p>
        </w:tc>
        <w:tc>
          <w:tcPr>
            <w:tcW w:w="8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15</w:t>
            </w:r>
          </w:p>
        </w:tc>
        <w:tc>
          <w:tcPr>
            <w:tcW w:w="14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20</w:t>
            </w:r>
          </w:p>
        </w:tc>
        <w:tc>
          <w:tcPr>
            <w:tcW w:w="380" w:type="dxa"/>
            <w:vAlign w:val="bottom"/>
          </w:tcPr>
          <w:p>
            <w:pPr>
              <w:spacing w:after="0"/>
              <w:rPr>
                <w:sz w:val="15"/>
                <w:szCs w:val="15"/>
                <w:color w:val="auto"/>
              </w:rPr>
            </w:pPr>
          </w:p>
        </w:tc>
        <w:tc>
          <w:tcPr>
            <w:tcW w:w="8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38</w:t>
            </w:r>
          </w:p>
        </w:tc>
        <w:tc>
          <w:tcPr>
            <w:tcW w:w="200" w:type="dxa"/>
            <w:vAlign w:val="bottom"/>
          </w:tcPr>
          <w:p>
            <w:pPr>
              <w:spacing w:after="0"/>
              <w:rPr>
                <w:sz w:val="15"/>
                <w:szCs w:val="15"/>
                <w:color w:val="auto"/>
              </w:rPr>
            </w:pPr>
          </w:p>
        </w:tc>
        <w:tc>
          <w:tcPr>
            <w:tcW w:w="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105</w:t>
            </w:r>
          </w:p>
        </w:tc>
      </w:tr>
      <w:tr>
        <w:trPr>
          <w:trHeight w:val="182"/>
        </w:trPr>
        <w:tc>
          <w:tcPr>
            <w:tcW w:w="3640" w:type="dxa"/>
            <w:vAlign w:val="bottom"/>
          </w:tcPr>
          <w:p>
            <w:pPr>
              <w:ind w:left="460"/>
              <w:spacing w:after="0"/>
              <w:rPr>
                <w:sz w:val="20"/>
                <w:szCs w:val="20"/>
                <w:color w:val="auto"/>
              </w:rPr>
            </w:pPr>
            <w:r>
              <w:rPr>
                <w:rFonts w:ascii="Courier New" w:cs="Courier New" w:eastAsia="Courier New" w:hAnsi="Courier New"/>
                <w:sz w:val="16"/>
                <w:szCs w:val="16"/>
                <w:color w:val="auto"/>
              </w:rPr>
              <w:t>Total costs and expenses</w:t>
            </w:r>
          </w:p>
        </w:tc>
        <w:tc>
          <w:tcPr>
            <w:tcW w:w="560" w:type="dxa"/>
            <w:vAlign w:val="bottom"/>
          </w:tcPr>
          <w:p>
            <w:pPr>
              <w:spacing w:after="0"/>
              <w:rPr>
                <w:sz w:val="15"/>
                <w:szCs w:val="15"/>
                <w:color w:val="auto"/>
              </w:rPr>
            </w:pPr>
          </w:p>
        </w:tc>
        <w:tc>
          <w:tcPr>
            <w:tcW w:w="8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118,972</w:t>
            </w:r>
          </w:p>
        </w:tc>
        <w:tc>
          <w:tcPr>
            <w:tcW w:w="14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121,573</w:t>
            </w:r>
          </w:p>
        </w:tc>
        <w:tc>
          <w:tcPr>
            <w:tcW w:w="380" w:type="dxa"/>
            <w:vAlign w:val="bottom"/>
          </w:tcPr>
          <w:p>
            <w:pPr>
              <w:spacing w:after="0"/>
              <w:rPr>
                <w:sz w:val="15"/>
                <w:szCs w:val="15"/>
                <w:color w:val="auto"/>
              </w:rPr>
            </w:pPr>
          </w:p>
        </w:tc>
        <w:tc>
          <w:tcPr>
            <w:tcW w:w="8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352,309</w:t>
            </w:r>
          </w:p>
        </w:tc>
        <w:tc>
          <w:tcPr>
            <w:tcW w:w="200" w:type="dxa"/>
            <w:vAlign w:val="bottom"/>
          </w:tcPr>
          <w:p>
            <w:pPr>
              <w:spacing w:after="0"/>
              <w:rPr>
                <w:sz w:val="15"/>
                <w:szCs w:val="15"/>
                <w:color w:val="auto"/>
              </w:rPr>
            </w:pPr>
          </w:p>
        </w:tc>
        <w:tc>
          <w:tcPr>
            <w:tcW w:w="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320,282</w:t>
            </w:r>
          </w:p>
        </w:tc>
      </w:tr>
      <w:tr>
        <w:trPr>
          <w:trHeight w:val="364"/>
        </w:trPr>
        <w:tc>
          <w:tcPr>
            <w:tcW w:w="3640" w:type="dxa"/>
            <w:vAlign w:val="bottom"/>
          </w:tcPr>
          <w:p>
            <w:pPr>
              <w:spacing w:after="0"/>
              <w:rPr>
                <w:sz w:val="20"/>
                <w:szCs w:val="20"/>
                <w:color w:val="auto"/>
              </w:rPr>
            </w:pPr>
            <w:r>
              <w:rPr>
                <w:rFonts w:ascii="Courier New" w:cs="Courier New" w:eastAsia="Courier New" w:hAnsi="Courier New"/>
                <w:sz w:val="16"/>
                <w:szCs w:val="16"/>
                <w:color w:val="auto"/>
              </w:rPr>
              <w:t>Operating income</w:t>
            </w:r>
          </w:p>
        </w:tc>
        <w:tc>
          <w:tcPr>
            <w:tcW w:w="560" w:type="dxa"/>
            <w:vAlign w:val="bottom"/>
          </w:tcPr>
          <w:p>
            <w:pPr>
              <w:spacing w:after="0"/>
              <w:rPr>
                <w:sz w:val="24"/>
                <w:szCs w:val="24"/>
                <w:color w:val="auto"/>
              </w:rPr>
            </w:pPr>
          </w:p>
        </w:tc>
        <w:tc>
          <w:tcPr>
            <w:tcW w:w="8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6,121</w:t>
            </w:r>
          </w:p>
        </w:tc>
        <w:tc>
          <w:tcPr>
            <w:tcW w:w="140" w:type="dxa"/>
            <w:vAlign w:val="bottom"/>
          </w:tcPr>
          <w:p>
            <w:pPr>
              <w:spacing w:after="0"/>
              <w:rPr>
                <w:sz w:val="24"/>
                <w:szCs w:val="24"/>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8,093</w:t>
            </w:r>
          </w:p>
        </w:tc>
        <w:tc>
          <w:tcPr>
            <w:tcW w:w="380" w:type="dxa"/>
            <w:vAlign w:val="bottom"/>
          </w:tcPr>
          <w:p>
            <w:pPr>
              <w:spacing w:after="0"/>
              <w:rPr>
                <w:sz w:val="24"/>
                <w:szCs w:val="24"/>
                <w:color w:val="auto"/>
              </w:rPr>
            </w:pPr>
          </w:p>
        </w:tc>
        <w:tc>
          <w:tcPr>
            <w:tcW w:w="8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18,991</w:t>
            </w:r>
          </w:p>
        </w:tc>
        <w:tc>
          <w:tcPr>
            <w:tcW w:w="200" w:type="dxa"/>
            <w:vAlign w:val="bottom"/>
          </w:tcPr>
          <w:p>
            <w:pPr>
              <w:spacing w:after="0"/>
              <w:rPr>
                <w:sz w:val="24"/>
                <w:szCs w:val="24"/>
                <w:color w:val="auto"/>
              </w:rPr>
            </w:pPr>
          </w:p>
        </w:tc>
        <w:tc>
          <w:tcPr>
            <w:tcW w:w="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12,941</w:t>
            </w:r>
          </w:p>
        </w:tc>
      </w:tr>
      <w:tr>
        <w:trPr>
          <w:trHeight w:val="364"/>
        </w:trPr>
        <w:tc>
          <w:tcPr>
            <w:tcW w:w="3640" w:type="dxa"/>
            <w:vAlign w:val="bottom"/>
          </w:tcPr>
          <w:p>
            <w:pPr>
              <w:spacing w:after="0"/>
              <w:rPr>
                <w:sz w:val="20"/>
                <w:szCs w:val="20"/>
                <w:color w:val="auto"/>
              </w:rPr>
            </w:pPr>
            <w:r>
              <w:rPr>
                <w:rFonts w:ascii="Courier New" w:cs="Courier New" w:eastAsia="Courier New" w:hAnsi="Courier New"/>
                <w:sz w:val="16"/>
                <w:szCs w:val="16"/>
                <w:color w:val="auto"/>
              </w:rPr>
              <w:t>Financial income (expense)</w:t>
            </w:r>
          </w:p>
        </w:tc>
        <w:tc>
          <w:tcPr>
            <w:tcW w:w="560" w:type="dxa"/>
            <w:vAlign w:val="bottom"/>
          </w:tcPr>
          <w:p>
            <w:pPr>
              <w:spacing w:after="0"/>
              <w:rPr>
                <w:sz w:val="24"/>
                <w:szCs w:val="24"/>
                <w:color w:val="auto"/>
              </w:rPr>
            </w:pPr>
          </w:p>
        </w:tc>
        <w:tc>
          <w:tcPr>
            <w:tcW w:w="8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457</w:t>
            </w:r>
          </w:p>
        </w:tc>
        <w:tc>
          <w:tcPr>
            <w:tcW w:w="1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(758)</w:t>
            </w:r>
          </w:p>
        </w:tc>
        <w:tc>
          <w:tcPr>
            <w:tcW w:w="380" w:type="dxa"/>
            <w:vAlign w:val="bottom"/>
          </w:tcPr>
          <w:p>
            <w:pPr>
              <w:spacing w:after="0"/>
              <w:rPr>
                <w:sz w:val="24"/>
                <w:szCs w:val="24"/>
                <w:color w:val="auto"/>
              </w:rPr>
            </w:pPr>
          </w:p>
        </w:tc>
        <w:tc>
          <w:tcPr>
            <w:tcW w:w="8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1,281</w:t>
            </w: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(583)</w:t>
            </w:r>
          </w:p>
        </w:tc>
      </w:tr>
      <w:tr>
        <w:trPr>
          <w:trHeight w:val="364"/>
        </w:trPr>
        <w:tc>
          <w:tcPr>
            <w:tcW w:w="3640" w:type="dxa"/>
            <w:vAlign w:val="bottom"/>
          </w:tcPr>
          <w:p>
            <w:pPr>
              <w:spacing w:after="0"/>
              <w:rPr>
                <w:sz w:val="20"/>
                <w:szCs w:val="20"/>
                <w:color w:val="auto"/>
              </w:rPr>
            </w:pPr>
            <w:r>
              <w:rPr>
                <w:rFonts w:ascii="Courier New" w:cs="Courier New" w:eastAsia="Courier New" w:hAnsi="Courier New"/>
                <w:sz w:val="16"/>
                <w:szCs w:val="16"/>
                <w:color w:val="auto"/>
              </w:rPr>
              <w:t>Income from operations</w:t>
            </w: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82"/>
        </w:trPr>
        <w:tc>
          <w:tcPr>
            <w:tcW w:w="3640" w:type="dxa"/>
            <w:vAlign w:val="bottom"/>
          </w:tcPr>
          <w:p>
            <w:pPr>
              <w:ind w:left="100"/>
              <w:spacing w:after="0"/>
              <w:rPr>
                <w:sz w:val="20"/>
                <w:szCs w:val="20"/>
                <w:color w:val="auto"/>
              </w:rPr>
            </w:pPr>
            <w:r>
              <w:rPr>
                <w:rFonts w:ascii="Courier New" w:cs="Courier New" w:eastAsia="Courier New" w:hAnsi="Courier New"/>
                <w:sz w:val="16"/>
                <w:szCs w:val="16"/>
                <w:color w:val="auto"/>
              </w:rPr>
              <w:t>before income taxes*</w:t>
            </w:r>
          </w:p>
        </w:tc>
        <w:tc>
          <w:tcPr>
            <w:tcW w:w="560" w:type="dxa"/>
            <w:vAlign w:val="bottom"/>
          </w:tcPr>
          <w:p>
            <w:pPr>
              <w:spacing w:after="0"/>
              <w:rPr>
                <w:sz w:val="15"/>
                <w:szCs w:val="15"/>
                <w:color w:val="auto"/>
              </w:rPr>
            </w:pPr>
          </w:p>
        </w:tc>
        <w:tc>
          <w:tcPr>
            <w:tcW w:w="8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6,578</w:t>
            </w:r>
          </w:p>
        </w:tc>
        <w:tc>
          <w:tcPr>
            <w:tcW w:w="14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7,335</w:t>
            </w:r>
          </w:p>
        </w:tc>
        <w:tc>
          <w:tcPr>
            <w:tcW w:w="380" w:type="dxa"/>
            <w:vAlign w:val="bottom"/>
          </w:tcPr>
          <w:p>
            <w:pPr>
              <w:spacing w:after="0"/>
              <w:rPr>
                <w:sz w:val="15"/>
                <w:szCs w:val="15"/>
                <w:color w:val="auto"/>
              </w:rPr>
            </w:pPr>
          </w:p>
        </w:tc>
        <w:tc>
          <w:tcPr>
            <w:tcW w:w="8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20,272</w:t>
            </w:r>
          </w:p>
        </w:tc>
        <w:tc>
          <w:tcPr>
            <w:tcW w:w="200" w:type="dxa"/>
            <w:vAlign w:val="bottom"/>
          </w:tcPr>
          <w:p>
            <w:pPr>
              <w:spacing w:after="0"/>
              <w:rPr>
                <w:sz w:val="15"/>
                <w:szCs w:val="15"/>
                <w:color w:val="auto"/>
              </w:rPr>
            </w:pPr>
          </w:p>
        </w:tc>
        <w:tc>
          <w:tcPr>
            <w:tcW w:w="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12,358</w:t>
            </w:r>
          </w:p>
        </w:tc>
      </w:tr>
      <w:tr>
        <w:trPr>
          <w:trHeight w:val="364"/>
        </w:trPr>
        <w:tc>
          <w:tcPr>
            <w:tcW w:w="3640" w:type="dxa"/>
            <w:vAlign w:val="bottom"/>
          </w:tcPr>
          <w:p>
            <w:pPr>
              <w:spacing w:after="0"/>
              <w:rPr>
                <w:sz w:val="20"/>
                <w:szCs w:val="20"/>
                <w:color w:val="auto"/>
              </w:rPr>
            </w:pPr>
            <w:r>
              <w:rPr>
                <w:rFonts w:ascii="Courier New" w:cs="Courier New" w:eastAsia="Courier New" w:hAnsi="Courier New"/>
                <w:sz w:val="16"/>
                <w:szCs w:val="16"/>
                <w:color w:val="auto"/>
              </w:rPr>
              <w:t>Provision (credit) for income taxes</w:t>
            </w:r>
          </w:p>
        </w:tc>
        <w:tc>
          <w:tcPr>
            <w:tcW w:w="560" w:type="dxa"/>
            <w:vAlign w:val="bottom"/>
          </w:tcPr>
          <w:p>
            <w:pPr>
              <w:spacing w:after="0"/>
              <w:rPr>
                <w:sz w:val="24"/>
                <w:szCs w:val="24"/>
                <w:color w:val="auto"/>
              </w:rPr>
            </w:pPr>
          </w:p>
        </w:tc>
        <w:tc>
          <w:tcPr>
            <w:tcW w:w="8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 - -</w:t>
            </w:r>
          </w:p>
        </w:tc>
        <w:tc>
          <w:tcPr>
            <w:tcW w:w="140" w:type="dxa"/>
            <w:vAlign w:val="bottom"/>
          </w:tcPr>
          <w:p>
            <w:pPr>
              <w:spacing w:after="0"/>
              <w:rPr>
                <w:sz w:val="24"/>
                <w:szCs w:val="24"/>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 - -</w:t>
            </w:r>
          </w:p>
        </w:tc>
        <w:tc>
          <w:tcPr>
            <w:tcW w:w="3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(6,000)</w:t>
            </w:r>
          </w:p>
        </w:tc>
        <w:tc>
          <w:tcPr>
            <w:tcW w:w="200" w:type="dxa"/>
            <w:vAlign w:val="bottom"/>
          </w:tcPr>
          <w:p>
            <w:pPr>
              <w:spacing w:after="0"/>
              <w:rPr>
                <w:sz w:val="24"/>
                <w:szCs w:val="24"/>
                <w:color w:val="auto"/>
              </w:rPr>
            </w:pPr>
          </w:p>
        </w:tc>
        <w:tc>
          <w:tcPr>
            <w:tcW w:w="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 - -</w:t>
            </w:r>
          </w:p>
        </w:tc>
      </w:tr>
      <w:tr>
        <w:trPr>
          <w:trHeight w:val="364"/>
        </w:trPr>
        <w:tc>
          <w:tcPr>
            <w:tcW w:w="3640" w:type="dxa"/>
            <w:vAlign w:val="bottom"/>
          </w:tcPr>
          <w:p>
            <w:pPr>
              <w:spacing w:after="0"/>
              <w:rPr>
                <w:sz w:val="20"/>
                <w:szCs w:val="20"/>
                <w:color w:val="auto"/>
              </w:rPr>
            </w:pPr>
            <w:r>
              <w:rPr>
                <w:rFonts w:ascii="Courier New" w:cs="Courier New" w:eastAsia="Courier New" w:hAnsi="Courier New"/>
                <w:sz w:val="16"/>
                <w:szCs w:val="16"/>
                <w:color w:val="auto"/>
              </w:rPr>
              <w:t>Income from operations*</w:t>
            </w:r>
          </w:p>
        </w:tc>
        <w:tc>
          <w:tcPr>
            <w:tcW w:w="560" w:type="dxa"/>
            <w:vAlign w:val="bottom"/>
          </w:tcPr>
          <w:p>
            <w:pPr>
              <w:spacing w:after="0"/>
              <w:rPr>
                <w:sz w:val="24"/>
                <w:szCs w:val="24"/>
                <w:color w:val="auto"/>
              </w:rPr>
            </w:pPr>
          </w:p>
        </w:tc>
        <w:tc>
          <w:tcPr>
            <w:tcW w:w="8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6,578</w:t>
            </w:r>
          </w:p>
        </w:tc>
        <w:tc>
          <w:tcPr>
            <w:tcW w:w="140" w:type="dxa"/>
            <w:vAlign w:val="bottom"/>
          </w:tcPr>
          <w:p>
            <w:pPr>
              <w:spacing w:after="0"/>
              <w:rPr>
                <w:sz w:val="24"/>
                <w:szCs w:val="24"/>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7,335</w:t>
            </w:r>
          </w:p>
        </w:tc>
        <w:tc>
          <w:tcPr>
            <w:tcW w:w="380" w:type="dxa"/>
            <w:vAlign w:val="bottom"/>
          </w:tcPr>
          <w:p>
            <w:pPr>
              <w:spacing w:after="0"/>
              <w:rPr>
                <w:sz w:val="24"/>
                <w:szCs w:val="24"/>
                <w:color w:val="auto"/>
              </w:rPr>
            </w:pPr>
          </w:p>
        </w:tc>
        <w:tc>
          <w:tcPr>
            <w:tcW w:w="8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26,272</w:t>
            </w:r>
          </w:p>
        </w:tc>
        <w:tc>
          <w:tcPr>
            <w:tcW w:w="200" w:type="dxa"/>
            <w:vAlign w:val="bottom"/>
          </w:tcPr>
          <w:p>
            <w:pPr>
              <w:spacing w:after="0"/>
              <w:rPr>
                <w:sz w:val="24"/>
                <w:szCs w:val="24"/>
                <w:color w:val="auto"/>
              </w:rPr>
            </w:pPr>
          </w:p>
        </w:tc>
        <w:tc>
          <w:tcPr>
            <w:tcW w:w="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12,358</w:t>
            </w:r>
          </w:p>
        </w:tc>
      </w:tr>
      <w:tr>
        <w:trPr>
          <w:trHeight w:val="182"/>
        </w:trPr>
        <w:tc>
          <w:tcPr>
            <w:tcW w:w="3640" w:type="dxa"/>
            <w:vAlign w:val="bottom"/>
          </w:tcPr>
          <w:p>
            <w:pPr>
              <w:spacing w:after="0"/>
              <w:rPr>
                <w:sz w:val="20"/>
                <w:szCs w:val="20"/>
                <w:color w:val="auto"/>
              </w:rPr>
            </w:pPr>
            <w:r>
              <w:rPr>
                <w:rFonts w:ascii="Courier New" w:cs="Courier New" w:eastAsia="Courier New" w:hAnsi="Courier New"/>
                <w:sz w:val="16"/>
                <w:szCs w:val="16"/>
                <w:color w:val="auto"/>
              </w:rPr>
              <w:t>Cumulative effect of change</w:t>
            </w:r>
          </w:p>
        </w:tc>
        <w:tc>
          <w:tcPr>
            <w:tcW w:w="5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2"/>
        </w:trPr>
        <w:tc>
          <w:tcPr>
            <w:tcW w:w="3640" w:type="dxa"/>
            <w:vAlign w:val="bottom"/>
          </w:tcPr>
          <w:p>
            <w:pPr>
              <w:ind w:left="180"/>
              <w:spacing w:after="0"/>
              <w:rPr>
                <w:sz w:val="20"/>
                <w:szCs w:val="20"/>
                <w:color w:val="auto"/>
              </w:rPr>
            </w:pPr>
            <w:r>
              <w:rPr>
                <w:rFonts w:ascii="Courier New" w:cs="Courier New" w:eastAsia="Courier New" w:hAnsi="Courier New"/>
                <w:sz w:val="16"/>
                <w:szCs w:val="16"/>
                <w:color w:val="auto"/>
              </w:rPr>
              <w:t>in accounting principle</w:t>
            </w:r>
          </w:p>
        </w:tc>
        <w:tc>
          <w:tcPr>
            <w:tcW w:w="560" w:type="dxa"/>
            <w:vAlign w:val="bottom"/>
          </w:tcPr>
          <w:p>
            <w:pPr>
              <w:spacing w:after="0"/>
              <w:rPr>
                <w:sz w:val="15"/>
                <w:szCs w:val="15"/>
                <w:color w:val="auto"/>
              </w:rPr>
            </w:pPr>
          </w:p>
        </w:tc>
        <w:tc>
          <w:tcPr>
            <w:tcW w:w="8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 - -</w:t>
            </w:r>
          </w:p>
        </w:tc>
        <w:tc>
          <w:tcPr>
            <w:tcW w:w="14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 - -</w:t>
            </w:r>
          </w:p>
        </w:tc>
        <w:tc>
          <w:tcPr>
            <w:tcW w:w="380" w:type="dxa"/>
            <w:vAlign w:val="bottom"/>
          </w:tcPr>
          <w:p>
            <w:pPr>
              <w:spacing w:after="0"/>
              <w:rPr>
                <w:sz w:val="15"/>
                <w:szCs w:val="15"/>
                <w:color w:val="auto"/>
              </w:rPr>
            </w:pPr>
          </w:p>
        </w:tc>
        <w:tc>
          <w:tcPr>
            <w:tcW w:w="8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 - -</w:t>
            </w: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(20,420)</w:t>
            </w:r>
          </w:p>
        </w:tc>
      </w:tr>
      <w:tr>
        <w:trPr>
          <w:trHeight w:val="364"/>
        </w:trPr>
        <w:tc>
          <w:tcPr>
            <w:tcW w:w="3640" w:type="dxa"/>
            <w:vAlign w:val="bottom"/>
          </w:tcPr>
          <w:p>
            <w:pPr>
              <w:spacing w:after="0"/>
              <w:rPr>
                <w:sz w:val="20"/>
                <w:szCs w:val="20"/>
                <w:color w:val="auto"/>
              </w:rPr>
            </w:pPr>
            <w:r>
              <w:rPr>
                <w:rFonts w:ascii="Courier New" w:cs="Courier New" w:eastAsia="Courier New" w:hAnsi="Courier New"/>
                <w:sz w:val="16"/>
                <w:szCs w:val="16"/>
                <w:color w:val="auto"/>
              </w:rPr>
              <w:t>Net income (loss)</w:t>
            </w:r>
          </w:p>
        </w:tc>
        <w:tc>
          <w:tcPr>
            <w:tcW w:w="560" w:type="dxa"/>
            <w:vAlign w:val="bottom"/>
          </w:tcPr>
          <w:p>
            <w:pPr>
              <w:ind w:left="420"/>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6,578</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7,335</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26,272</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(8,062)</w:t>
            </w:r>
          </w:p>
        </w:tc>
      </w:tr>
      <w:tr>
        <w:trPr>
          <w:trHeight w:val="364"/>
        </w:trPr>
        <w:tc>
          <w:tcPr>
            <w:tcW w:w="3640" w:type="dxa"/>
            <w:vAlign w:val="bottom"/>
          </w:tcPr>
          <w:p>
            <w:pPr>
              <w:spacing w:after="0"/>
              <w:rPr>
                <w:sz w:val="20"/>
                <w:szCs w:val="20"/>
                <w:color w:val="auto"/>
              </w:rPr>
            </w:pPr>
            <w:r>
              <w:rPr>
                <w:rFonts w:ascii="Courier New" w:cs="Courier New" w:eastAsia="Courier New" w:hAnsi="Courier New"/>
                <w:sz w:val="16"/>
                <w:szCs w:val="16"/>
                <w:color w:val="auto"/>
              </w:rPr>
              <w:t>Income (loss) per common share:</w:t>
            </w: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82"/>
        </w:trPr>
        <w:tc>
          <w:tcPr>
            <w:tcW w:w="3640" w:type="dxa"/>
            <w:vAlign w:val="bottom"/>
          </w:tcPr>
          <w:p>
            <w:pPr>
              <w:ind w:left="180"/>
              <w:spacing w:after="0"/>
              <w:rPr>
                <w:sz w:val="20"/>
                <w:szCs w:val="20"/>
                <w:color w:val="auto"/>
              </w:rPr>
            </w:pPr>
            <w:r>
              <w:rPr>
                <w:rFonts w:ascii="Courier New" w:cs="Courier New" w:eastAsia="Courier New" w:hAnsi="Courier New"/>
                <w:sz w:val="16"/>
                <w:szCs w:val="16"/>
                <w:color w:val="auto"/>
              </w:rPr>
              <w:t>Income from operations*</w:t>
            </w:r>
          </w:p>
        </w:tc>
        <w:tc>
          <w:tcPr>
            <w:tcW w:w="560" w:type="dxa"/>
            <w:vAlign w:val="bottom"/>
          </w:tcPr>
          <w:p>
            <w:pPr>
              <w:ind w:left="420"/>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.26</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.29</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1.04</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.49</w:t>
            </w:r>
          </w:p>
        </w:tc>
      </w:tr>
      <w:tr>
        <w:trPr>
          <w:trHeight w:val="182"/>
        </w:trPr>
        <w:tc>
          <w:tcPr>
            <w:tcW w:w="3640" w:type="dxa"/>
            <w:vAlign w:val="bottom"/>
          </w:tcPr>
          <w:p>
            <w:pPr>
              <w:ind w:left="180"/>
              <w:spacing w:after="0"/>
              <w:rPr>
                <w:sz w:val="20"/>
                <w:szCs w:val="20"/>
                <w:color w:val="auto"/>
              </w:rPr>
            </w:pPr>
            <w:r>
              <w:rPr>
                <w:rFonts w:ascii="Courier New" w:cs="Courier New" w:eastAsia="Courier New" w:hAnsi="Courier New"/>
                <w:sz w:val="16"/>
                <w:szCs w:val="16"/>
                <w:color w:val="auto"/>
              </w:rPr>
              <w:t>Cumulative effect of change</w:t>
            </w:r>
          </w:p>
        </w:tc>
        <w:tc>
          <w:tcPr>
            <w:tcW w:w="5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2"/>
        </w:trPr>
        <w:tc>
          <w:tcPr>
            <w:tcW w:w="3640" w:type="dxa"/>
            <w:vAlign w:val="bottom"/>
          </w:tcPr>
          <w:p>
            <w:pPr>
              <w:ind w:left="280"/>
              <w:spacing w:after="0"/>
              <w:rPr>
                <w:sz w:val="20"/>
                <w:szCs w:val="20"/>
                <w:color w:val="auto"/>
              </w:rPr>
            </w:pPr>
            <w:r>
              <w:rPr>
                <w:rFonts w:ascii="Courier New" w:cs="Courier New" w:eastAsia="Courier New" w:hAnsi="Courier New"/>
                <w:sz w:val="16"/>
                <w:szCs w:val="16"/>
                <w:color w:val="auto"/>
              </w:rPr>
              <w:t>in accounting principle</w:t>
            </w:r>
          </w:p>
        </w:tc>
        <w:tc>
          <w:tcPr>
            <w:tcW w:w="560" w:type="dxa"/>
            <w:vAlign w:val="bottom"/>
          </w:tcPr>
          <w:p>
            <w:pPr>
              <w:spacing w:after="0"/>
              <w:rPr>
                <w:sz w:val="15"/>
                <w:szCs w:val="15"/>
                <w:color w:val="auto"/>
              </w:rPr>
            </w:pPr>
          </w:p>
        </w:tc>
        <w:tc>
          <w:tcPr>
            <w:tcW w:w="8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 - -</w:t>
            </w:r>
          </w:p>
        </w:tc>
        <w:tc>
          <w:tcPr>
            <w:tcW w:w="14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 - -</w:t>
            </w:r>
          </w:p>
        </w:tc>
        <w:tc>
          <w:tcPr>
            <w:tcW w:w="380" w:type="dxa"/>
            <w:vAlign w:val="bottom"/>
          </w:tcPr>
          <w:p>
            <w:pPr>
              <w:spacing w:after="0"/>
              <w:rPr>
                <w:sz w:val="15"/>
                <w:szCs w:val="15"/>
                <w:color w:val="auto"/>
              </w:rPr>
            </w:pPr>
          </w:p>
        </w:tc>
        <w:tc>
          <w:tcPr>
            <w:tcW w:w="8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 - -</w:t>
            </w: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(.81)</w:t>
            </w:r>
          </w:p>
        </w:tc>
      </w:tr>
      <w:tr>
        <w:trPr>
          <w:trHeight w:val="182"/>
        </w:trPr>
        <w:tc>
          <w:tcPr>
            <w:tcW w:w="3640" w:type="dxa"/>
            <w:vAlign w:val="bottom"/>
          </w:tcPr>
          <w:p>
            <w:pPr>
              <w:ind w:left="280"/>
              <w:spacing w:after="0"/>
              <w:rPr>
                <w:sz w:val="20"/>
                <w:szCs w:val="20"/>
                <w:color w:val="auto"/>
              </w:rPr>
            </w:pPr>
            <w:r>
              <w:rPr>
                <w:rFonts w:ascii="Courier New" w:cs="Courier New" w:eastAsia="Courier New" w:hAnsi="Courier New"/>
                <w:sz w:val="16"/>
                <w:szCs w:val="16"/>
                <w:color w:val="auto"/>
              </w:rPr>
              <w:t>Net income (loss)</w:t>
            </w:r>
          </w:p>
        </w:tc>
        <w:tc>
          <w:tcPr>
            <w:tcW w:w="560" w:type="dxa"/>
            <w:vAlign w:val="bottom"/>
          </w:tcPr>
          <w:p>
            <w:pPr>
              <w:ind w:left="320"/>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.26</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.29</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1.04</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(.32)</w:t>
            </w:r>
          </w:p>
        </w:tc>
      </w:tr>
      <w:tr>
        <w:trPr>
          <w:trHeight w:val="364"/>
        </w:trPr>
        <w:tc>
          <w:tcPr>
            <w:tcW w:w="3640" w:type="dxa"/>
            <w:vAlign w:val="bottom"/>
          </w:tcPr>
          <w:p>
            <w:pPr>
              <w:spacing w:after="0"/>
              <w:rPr>
                <w:sz w:val="20"/>
                <w:szCs w:val="20"/>
                <w:color w:val="auto"/>
              </w:rPr>
            </w:pPr>
            <w:r>
              <w:rPr>
                <w:rFonts w:ascii="Courier New" w:cs="Courier New" w:eastAsia="Courier New" w:hAnsi="Courier New"/>
                <w:sz w:val="16"/>
                <w:szCs w:val="16"/>
                <w:color w:val="auto"/>
              </w:rPr>
              <w:t>Weighted average number of</w:t>
            </w: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82"/>
        </w:trPr>
        <w:tc>
          <w:tcPr>
            <w:tcW w:w="3640" w:type="dxa"/>
            <w:vAlign w:val="bottom"/>
          </w:tcPr>
          <w:p>
            <w:pPr>
              <w:ind w:left="180"/>
              <w:spacing w:after="0"/>
              <w:rPr>
                <w:sz w:val="20"/>
                <w:szCs w:val="20"/>
                <w:color w:val="auto"/>
              </w:rPr>
            </w:pPr>
            <w:r>
              <w:rPr>
                <w:rFonts w:ascii="Courier New" w:cs="Courier New" w:eastAsia="Courier New" w:hAnsi="Courier New"/>
                <w:sz w:val="16"/>
                <w:szCs w:val="16"/>
                <w:color w:val="auto"/>
              </w:rPr>
              <w:t>shares of common stock</w:t>
            </w:r>
          </w:p>
        </w:tc>
        <w:tc>
          <w:tcPr>
            <w:tcW w:w="5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2"/>
        </w:trPr>
        <w:tc>
          <w:tcPr>
            <w:tcW w:w="3640" w:type="dxa"/>
            <w:vAlign w:val="bottom"/>
          </w:tcPr>
          <w:p>
            <w:pPr>
              <w:ind w:left="180"/>
              <w:spacing w:after="0"/>
              <w:rPr>
                <w:sz w:val="20"/>
                <w:szCs w:val="20"/>
                <w:color w:val="auto"/>
              </w:rPr>
            </w:pPr>
            <w:r>
              <w:rPr>
                <w:rFonts w:ascii="Courier New" w:cs="Courier New" w:eastAsia="Courier New" w:hAnsi="Courier New"/>
                <w:sz w:val="16"/>
                <w:szCs w:val="16"/>
                <w:color w:val="auto"/>
              </w:rPr>
              <w:t>outstanding</w:t>
            </w:r>
          </w:p>
        </w:tc>
        <w:tc>
          <w:tcPr>
            <w:tcW w:w="560" w:type="dxa"/>
            <w:vAlign w:val="bottom"/>
          </w:tcPr>
          <w:p>
            <w:pPr>
              <w:spacing w:after="0"/>
              <w:rPr>
                <w:sz w:val="15"/>
                <w:szCs w:val="15"/>
                <w:color w:val="auto"/>
              </w:rPr>
            </w:pPr>
          </w:p>
        </w:tc>
        <w:tc>
          <w:tcPr>
            <w:tcW w:w="8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25,317</w:t>
            </w:r>
          </w:p>
        </w:tc>
        <w:tc>
          <w:tcPr>
            <w:tcW w:w="14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25,209</w:t>
            </w:r>
          </w:p>
        </w:tc>
        <w:tc>
          <w:tcPr>
            <w:tcW w:w="380" w:type="dxa"/>
            <w:vAlign w:val="bottom"/>
          </w:tcPr>
          <w:p>
            <w:pPr>
              <w:spacing w:after="0"/>
              <w:rPr>
                <w:sz w:val="15"/>
                <w:szCs w:val="15"/>
                <w:color w:val="auto"/>
              </w:rPr>
            </w:pPr>
          </w:p>
        </w:tc>
        <w:tc>
          <w:tcPr>
            <w:tcW w:w="8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25,268</w:t>
            </w:r>
          </w:p>
        </w:tc>
        <w:tc>
          <w:tcPr>
            <w:tcW w:w="200" w:type="dxa"/>
            <w:vAlign w:val="bottom"/>
          </w:tcPr>
          <w:p>
            <w:pPr>
              <w:spacing w:after="0"/>
              <w:rPr>
                <w:sz w:val="15"/>
                <w:szCs w:val="15"/>
                <w:color w:val="auto"/>
              </w:rPr>
            </w:pPr>
          </w:p>
        </w:tc>
        <w:tc>
          <w:tcPr>
            <w:tcW w:w="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25,170</w:t>
            </w:r>
          </w:p>
        </w:tc>
      </w:tr>
    </w:tbl>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Before Cumulative Effect of Change in Accounting Principle.</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Unaudited Condensed Notes to Consolidated Financial Statements.</w:t>
      </w:r>
    </w:p>
    <w:p>
      <w:pPr>
        <w:spacing w:after="0" w:line="200" w:lineRule="exact"/>
        <w:rPr>
          <w:sz w:val="20"/>
          <w:szCs w:val="20"/>
          <w:color w:val="auto"/>
        </w:rPr>
      </w:pPr>
    </w:p>
    <w:p>
      <w:pPr>
        <w:spacing w:after="0" w:line="346"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WINNEBAGO INDUSTRIES, INC. AND SUBSIDIARIES</w:t>
      </w:r>
    </w:p>
    <w:p>
      <w:pPr>
        <w:spacing w:after="0" w:line="1"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UNAUDITED CONSOLIDATED CONDENSED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000" w:type="dxa"/>
            <w:vAlign w:val="bottom"/>
          </w:tcPr>
          <w:p>
            <w:pPr>
              <w:spacing w:after="0"/>
              <w:rPr>
                <w:sz w:val="20"/>
                <w:szCs w:val="20"/>
                <w:color w:val="auto"/>
              </w:rPr>
            </w:pPr>
            <w:r>
              <w:rPr>
                <w:rFonts w:ascii="Courier New" w:cs="Courier New" w:eastAsia="Courier New" w:hAnsi="Courier New"/>
                <w:sz w:val="16"/>
                <w:szCs w:val="16"/>
                <w:color w:val="auto"/>
              </w:rPr>
              <w:t>Dollars in</w:t>
            </w:r>
          </w:p>
        </w:tc>
        <w:tc>
          <w:tcPr>
            <w:tcW w:w="5000" w:type="dxa"/>
            <w:vAlign w:val="bottom"/>
          </w:tcPr>
          <w:p>
            <w:pPr>
              <w:ind w:left="40"/>
              <w:spacing w:after="0"/>
              <w:rPr>
                <w:sz w:val="20"/>
                <w:szCs w:val="20"/>
                <w:color w:val="auto"/>
              </w:rPr>
            </w:pPr>
            <w:r>
              <w:rPr>
                <w:rFonts w:ascii="Courier New" w:cs="Courier New" w:eastAsia="Courier New" w:hAnsi="Courier New"/>
                <w:sz w:val="16"/>
                <w:szCs w:val="16"/>
                <w:color w:val="auto"/>
              </w:rPr>
              <w:t>thousands</w:t>
            </w:r>
          </w:p>
        </w:tc>
        <w:tc>
          <w:tcPr>
            <w:tcW w:w="4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2"/>
        </w:trPr>
        <w:tc>
          <w:tcPr>
            <w:tcW w:w="6000" w:type="dxa"/>
            <w:vAlign w:val="bottom"/>
            <w:gridSpan w:val="2"/>
          </w:tcPr>
          <w:p>
            <w:pPr>
              <w:spacing w:after="0"/>
              <w:rPr>
                <w:sz w:val="20"/>
                <w:szCs w:val="20"/>
                <w:color w:val="auto"/>
              </w:rPr>
            </w:pPr>
            <w:r>
              <w:rPr>
                <w:rFonts w:ascii="Courier New" w:cs="Courier New" w:eastAsia="Courier New" w:hAnsi="Courier New"/>
                <w:sz w:val="16"/>
                <w:szCs w:val="16"/>
                <w:color w:val="auto"/>
              </w:rPr>
              <w:t>Increase (decrease) in cash and cash equivalents</w:t>
            </w:r>
          </w:p>
        </w:tc>
        <w:tc>
          <w:tcPr>
            <w:tcW w:w="420" w:type="dxa"/>
            <w:vAlign w:val="bottom"/>
          </w:tcPr>
          <w:p>
            <w:pPr>
              <w:spacing w:after="0"/>
              <w:rPr>
                <w:sz w:val="15"/>
                <w:szCs w:val="15"/>
                <w:color w:val="auto"/>
              </w:rPr>
            </w:pPr>
          </w:p>
        </w:tc>
        <w:tc>
          <w:tcPr>
            <w:tcW w:w="2760" w:type="dxa"/>
            <w:vAlign w:val="bottom"/>
            <w:gridSpan w:val="3"/>
          </w:tcPr>
          <w:p>
            <w:pPr>
              <w:jc w:val="right"/>
              <w:ind w:right="221"/>
              <w:spacing w:after="0"/>
              <w:rPr>
                <w:sz w:val="20"/>
                <w:szCs w:val="20"/>
                <w:color w:val="auto"/>
              </w:rPr>
            </w:pPr>
            <w:r>
              <w:rPr>
                <w:rFonts w:ascii="Courier New" w:cs="Courier New" w:eastAsia="Courier New" w:hAnsi="Courier New"/>
                <w:sz w:val="16"/>
                <w:szCs w:val="16"/>
                <w:color w:val="auto"/>
              </w:rPr>
              <w:t>Thirty-Nine Weeks Ended</w:t>
            </w:r>
          </w:p>
        </w:tc>
      </w:tr>
      <w:tr>
        <w:trPr>
          <w:trHeight w:val="182"/>
        </w:trPr>
        <w:tc>
          <w:tcPr>
            <w:tcW w:w="1000" w:type="dxa"/>
            <w:vAlign w:val="bottom"/>
          </w:tcPr>
          <w:p>
            <w:pPr>
              <w:spacing w:after="0"/>
              <w:rPr>
                <w:sz w:val="15"/>
                <w:szCs w:val="15"/>
                <w:color w:val="auto"/>
              </w:rPr>
            </w:pPr>
          </w:p>
        </w:tc>
        <w:tc>
          <w:tcPr>
            <w:tcW w:w="50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6"/>
              </w:rPr>
              <w:t>May 27,1995</w:t>
            </w:r>
          </w:p>
        </w:tc>
        <w:tc>
          <w:tcPr>
            <w:tcW w:w="340" w:type="dxa"/>
            <w:vAlign w:val="bottom"/>
          </w:tcPr>
          <w:p>
            <w:pPr>
              <w:spacing w:after="0"/>
              <w:rPr>
                <w:sz w:val="15"/>
                <w:szCs w:val="15"/>
                <w:color w:val="auto"/>
              </w:rPr>
            </w:pP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6"/>
              </w:rPr>
              <w:t>May 28,1994</w:t>
            </w:r>
          </w:p>
        </w:tc>
      </w:tr>
      <w:tr>
        <w:trPr>
          <w:trHeight w:val="546"/>
        </w:trPr>
        <w:tc>
          <w:tcPr>
            <w:tcW w:w="1000" w:type="dxa"/>
            <w:vAlign w:val="bottom"/>
          </w:tcPr>
          <w:p>
            <w:pPr>
              <w:spacing w:after="0"/>
              <w:rPr>
                <w:sz w:val="20"/>
                <w:szCs w:val="20"/>
                <w:color w:val="auto"/>
              </w:rPr>
            </w:pPr>
            <w:r>
              <w:rPr>
                <w:rFonts w:ascii="Courier New" w:cs="Courier New" w:eastAsia="Courier New" w:hAnsi="Courier New"/>
                <w:sz w:val="16"/>
                <w:szCs w:val="16"/>
                <w:color w:val="auto"/>
              </w:rPr>
              <w:t>Cash flows</w:t>
            </w:r>
          </w:p>
        </w:tc>
        <w:tc>
          <w:tcPr>
            <w:tcW w:w="5000" w:type="dxa"/>
            <w:vAlign w:val="bottom"/>
          </w:tcPr>
          <w:p>
            <w:pPr>
              <w:ind w:left="40"/>
              <w:spacing w:after="0"/>
              <w:rPr>
                <w:sz w:val="20"/>
                <w:szCs w:val="20"/>
                <w:color w:val="auto"/>
              </w:rPr>
            </w:pPr>
            <w:r>
              <w:rPr>
                <w:rFonts w:ascii="Courier New" w:cs="Courier New" w:eastAsia="Courier New" w:hAnsi="Courier New"/>
                <w:sz w:val="16"/>
                <w:szCs w:val="16"/>
                <w:color w:val="auto"/>
              </w:rPr>
              <w:t>from operating activities:</w:t>
            </w: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82"/>
        </w:trPr>
        <w:tc>
          <w:tcPr>
            <w:tcW w:w="600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Net income (loss)</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26,272</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(8,062)</w:t>
            </w:r>
          </w:p>
        </w:tc>
      </w:tr>
      <w:tr>
        <w:trPr>
          <w:trHeight w:val="182"/>
        </w:trPr>
        <w:tc>
          <w:tcPr>
            <w:tcW w:w="6000" w:type="dxa"/>
            <w:vAlign w:val="bottom"/>
            <w:gridSpan w:val="2"/>
          </w:tcPr>
          <w:p>
            <w:pPr>
              <w:spacing w:after="0"/>
              <w:rPr>
                <w:sz w:val="20"/>
                <w:szCs w:val="20"/>
                <w:color w:val="auto"/>
              </w:rPr>
            </w:pPr>
            <w:r>
              <w:rPr>
                <w:rFonts w:ascii="Courier New" w:cs="Courier New" w:eastAsia="Courier New" w:hAnsi="Courier New"/>
                <w:sz w:val="16"/>
                <w:szCs w:val="16"/>
                <w:color w:val="auto"/>
              </w:rPr>
              <w:t>Adjustments to reconcile net income (loss)</w:t>
            </w:r>
          </w:p>
        </w:tc>
        <w:tc>
          <w:tcPr>
            <w:tcW w:w="4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2"/>
        </w:trPr>
        <w:tc>
          <w:tcPr>
            <w:tcW w:w="6000" w:type="dxa"/>
            <w:vAlign w:val="bottom"/>
            <w:gridSpan w:val="2"/>
          </w:tcPr>
          <w:p>
            <w:pPr>
              <w:spacing w:after="0"/>
              <w:rPr>
                <w:sz w:val="20"/>
                <w:szCs w:val="20"/>
                <w:color w:val="auto"/>
              </w:rPr>
            </w:pPr>
            <w:r>
              <w:rPr>
                <w:rFonts w:ascii="Courier New" w:cs="Courier New" w:eastAsia="Courier New" w:hAnsi="Courier New"/>
                <w:sz w:val="16"/>
                <w:szCs w:val="16"/>
                <w:color w:val="auto"/>
              </w:rPr>
              <w:t>to net cash from operating activities:</w:t>
            </w:r>
          </w:p>
        </w:tc>
        <w:tc>
          <w:tcPr>
            <w:tcW w:w="4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2"/>
        </w:trPr>
        <w:tc>
          <w:tcPr>
            <w:tcW w:w="600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Cumulative effect of change in accounting principle</w:t>
            </w:r>
          </w:p>
        </w:tc>
        <w:tc>
          <w:tcPr>
            <w:tcW w:w="420" w:type="dxa"/>
            <w:vAlign w:val="bottom"/>
          </w:tcPr>
          <w:p>
            <w:pPr>
              <w:spacing w:after="0"/>
              <w:rPr>
                <w:sz w:val="15"/>
                <w:szCs w:val="15"/>
                <w:color w:val="auto"/>
              </w:rPr>
            </w:pPr>
          </w:p>
        </w:tc>
        <w:tc>
          <w:tcPr>
            <w:tcW w:w="12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 - -</w:t>
            </w:r>
          </w:p>
        </w:tc>
        <w:tc>
          <w:tcPr>
            <w:tcW w:w="340" w:type="dxa"/>
            <w:vAlign w:val="bottom"/>
          </w:tcPr>
          <w:p>
            <w:pPr>
              <w:spacing w:after="0"/>
              <w:rPr>
                <w:sz w:val="15"/>
                <w:szCs w:val="15"/>
                <w:color w:val="auto"/>
              </w:rPr>
            </w:pP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20,420</w:t>
            </w:r>
          </w:p>
        </w:tc>
      </w:tr>
      <w:tr>
        <w:trPr>
          <w:trHeight w:val="182"/>
        </w:trPr>
        <w:tc>
          <w:tcPr>
            <w:tcW w:w="1000" w:type="dxa"/>
            <w:vAlign w:val="bottom"/>
          </w:tcPr>
          <w:p>
            <w:pPr>
              <w:ind w:left="180"/>
              <w:spacing w:after="0"/>
              <w:rPr>
                <w:sz w:val="20"/>
                <w:szCs w:val="20"/>
                <w:color w:val="auto"/>
              </w:rPr>
            </w:pPr>
            <w:r>
              <w:rPr>
                <w:rFonts w:ascii="Courier New" w:cs="Courier New" w:eastAsia="Courier New" w:hAnsi="Courier New"/>
                <w:sz w:val="16"/>
                <w:szCs w:val="16"/>
                <w:color w:val="auto"/>
              </w:rPr>
              <w:t>Employee</w:t>
            </w:r>
          </w:p>
        </w:tc>
        <w:tc>
          <w:tcPr>
            <w:tcW w:w="5000" w:type="dxa"/>
            <w:vAlign w:val="bottom"/>
          </w:tcPr>
          <w:p>
            <w:pPr>
              <w:ind w:left="40"/>
              <w:spacing w:after="0"/>
              <w:rPr>
                <w:sz w:val="20"/>
                <w:szCs w:val="20"/>
                <w:color w:val="auto"/>
              </w:rPr>
            </w:pPr>
            <w:r>
              <w:rPr>
                <w:rFonts w:ascii="Courier New" w:cs="Courier New" w:eastAsia="Courier New" w:hAnsi="Courier New"/>
                <w:sz w:val="16"/>
                <w:szCs w:val="16"/>
                <w:color w:val="auto"/>
              </w:rPr>
              <w:t>stock bonus plan</w:t>
            </w:r>
          </w:p>
        </w:tc>
        <w:tc>
          <w:tcPr>
            <w:tcW w:w="420" w:type="dxa"/>
            <w:vAlign w:val="bottom"/>
          </w:tcPr>
          <w:p>
            <w:pPr>
              <w:spacing w:after="0"/>
              <w:rPr>
                <w:sz w:val="15"/>
                <w:szCs w:val="15"/>
                <w:color w:val="auto"/>
              </w:rPr>
            </w:pPr>
          </w:p>
        </w:tc>
        <w:tc>
          <w:tcPr>
            <w:tcW w:w="12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 - -</w:t>
            </w:r>
          </w:p>
        </w:tc>
        <w:tc>
          <w:tcPr>
            <w:tcW w:w="340" w:type="dxa"/>
            <w:vAlign w:val="bottom"/>
          </w:tcPr>
          <w:p>
            <w:pPr>
              <w:spacing w:after="0"/>
              <w:rPr>
                <w:sz w:val="15"/>
                <w:szCs w:val="15"/>
                <w:color w:val="auto"/>
              </w:rPr>
            </w:pP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437</w:t>
            </w:r>
          </w:p>
        </w:tc>
      </w:tr>
      <w:tr>
        <w:trPr>
          <w:trHeight w:val="182"/>
        </w:trPr>
        <w:tc>
          <w:tcPr>
            <w:tcW w:w="600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Depreciation and amortization</w:t>
            </w:r>
          </w:p>
        </w:tc>
        <w:tc>
          <w:tcPr>
            <w:tcW w:w="420" w:type="dxa"/>
            <w:vAlign w:val="bottom"/>
          </w:tcPr>
          <w:p>
            <w:pPr>
              <w:spacing w:after="0"/>
              <w:rPr>
                <w:sz w:val="15"/>
                <w:szCs w:val="15"/>
                <w:color w:val="auto"/>
              </w:rPr>
            </w:pPr>
          </w:p>
        </w:tc>
        <w:tc>
          <w:tcPr>
            <w:tcW w:w="12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6,166</w:t>
            </w:r>
          </w:p>
        </w:tc>
        <w:tc>
          <w:tcPr>
            <w:tcW w:w="340" w:type="dxa"/>
            <w:vAlign w:val="bottom"/>
          </w:tcPr>
          <w:p>
            <w:pPr>
              <w:spacing w:after="0"/>
              <w:rPr>
                <w:sz w:val="15"/>
                <w:szCs w:val="15"/>
                <w:color w:val="auto"/>
              </w:rPr>
            </w:pP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5,804</w:t>
            </w:r>
          </w:p>
        </w:tc>
      </w:tr>
      <w:tr>
        <w:trPr>
          <w:trHeight w:val="182"/>
        </w:trPr>
        <w:tc>
          <w:tcPr>
            <w:tcW w:w="1000" w:type="dxa"/>
            <w:vAlign w:val="bottom"/>
          </w:tcPr>
          <w:p>
            <w:pPr>
              <w:ind w:left="180"/>
              <w:spacing w:after="0"/>
              <w:rPr>
                <w:sz w:val="20"/>
                <w:szCs w:val="20"/>
                <w:color w:val="auto"/>
              </w:rPr>
            </w:pPr>
            <w:r>
              <w:rPr>
                <w:rFonts w:ascii="Courier New" w:cs="Courier New" w:eastAsia="Courier New" w:hAnsi="Courier New"/>
                <w:sz w:val="16"/>
                <w:szCs w:val="16"/>
                <w:color w:val="auto"/>
              </w:rPr>
              <w:t>Deferred</w:t>
            </w:r>
          </w:p>
        </w:tc>
        <w:tc>
          <w:tcPr>
            <w:tcW w:w="5000" w:type="dxa"/>
            <w:vAlign w:val="bottom"/>
          </w:tcPr>
          <w:p>
            <w:pPr>
              <w:ind w:left="40"/>
              <w:spacing w:after="0"/>
              <w:rPr>
                <w:sz w:val="20"/>
                <w:szCs w:val="20"/>
                <w:color w:val="auto"/>
              </w:rPr>
            </w:pPr>
            <w:r>
              <w:rPr>
                <w:rFonts w:ascii="Courier New" w:cs="Courier New" w:eastAsia="Courier New" w:hAnsi="Courier New"/>
                <w:sz w:val="16"/>
                <w:szCs w:val="16"/>
                <w:color w:val="auto"/>
              </w:rPr>
              <w:t>income taxes</w:t>
            </w:r>
          </w:p>
        </w:tc>
        <w:tc>
          <w:tcPr>
            <w:tcW w:w="420" w:type="dxa"/>
            <w:vAlign w:val="bottom"/>
          </w:tcPr>
          <w:p>
            <w:pPr>
              <w:spacing w:after="0"/>
              <w:rPr>
                <w:sz w:val="15"/>
                <w:szCs w:val="15"/>
                <w:color w:val="auto"/>
              </w:rPr>
            </w:pP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(6,000)</w:t>
            </w:r>
          </w:p>
        </w:tc>
        <w:tc>
          <w:tcPr>
            <w:tcW w:w="340" w:type="dxa"/>
            <w:vAlign w:val="bottom"/>
          </w:tcPr>
          <w:p>
            <w:pPr>
              <w:spacing w:after="0"/>
              <w:rPr>
                <w:sz w:val="15"/>
                <w:szCs w:val="15"/>
                <w:color w:val="auto"/>
              </w:rPr>
            </w:pP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 - -</w:t>
            </w:r>
          </w:p>
        </w:tc>
      </w:tr>
      <w:tr>
        <w:trPr>
          <w:trHeight w:val="182"/>
        </w:trPr>
        <w:tc>
          <w:tcPr>
            <w:tcW w:w="1000" w:type="dxa"/>
            <w:vAlign w:val="bottom"/>
          </w:tcPr>
          <w:p>
            <w:pPr>
              <w:ind w:left="180"/>
              <w:spacing w:after="0"/>
              <w:rPr>
                <w:sz w:val="20"/>
                <w:szCs w:val="20"/>
                <w:color w:val="auto"/>
              </w:rPr>
            </w:pPr>
            <w:r>
              <w:rPr>
                <w:rFonts w:ascii="Courier New" w:cs="Courier New" w:eastAsia="Courier New" w:hAnsi="Courier New"/>
                <w:sz w:val="16"/>
                <w:szCs w:val="16"/>
                <w:color w:val="auto"/>
              </w:rPr>
              <w:t>Realized</w:t>
            </w:r>
          </w:p>
        </w:tc>
        <w:tc>
          <w:tcPr>
            <w:tcW w:w="5000" w:type="dxa"/>
            <w:vAlign w:val="bottom"/>
          </w:tcPr>
          <w:p>
            <w:pPr>
              <w:ind w:left="40"/>
              <w:spacing w:after="0"/>
              <w:rPr>
                <w:sz w:val="20"/>
                <w:szCs w:val="20"/>
                <w:color w:val="auto"/>
              </w:rPr>
            </w:pPr>
            <w:r>
              <w:rPr>
                <w:rFonts w:ascii="Courier New" w:cs="Courier New" w:eastAsia="Courier New" w:hAnsi="Courier New"/>
                <w:sz w:val="16"/>
                <w:szCs w:val="16"/>
                <w:color w:val="auto"/>
              </w:rPr>
              <w:t>and unrealized (losses) gains on investments, net</w:t>
            </w:r>
          </w:p>
        </w:tc>
        <w:tc>
          <w:tcPr>
            <w:tcW w:w="420" w:type="dxa"/>
            <w:vAlign w:val="bottom"/>
          </w:tcPr>
          <w:p>
            <w:pPr>
              <w:spacing w:after="0"/>
              <w:rPr>
                <w:sz w:val="15"/>
                <w:szCs w:val="15"/>
                <w:color w:val="auto"/>
              </w:rPr>
            </w:pP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(355)</w:t>
            </w:r>
          </w:p>
        </w:tc>
        <w:tc>
          <w:tcPr>
            <w:tcW w:w="340" w:type="dxa"/>
            <w:vAlign w:val="bottom"/>
          </w:tcPr>
          <w:p>
            <w:pPr>
              <w:spacing w:after="0"/>
              <w:rPr>
                <w:sz w:val="15"/>
                <w:szCs w:val="15"/>
                <w:color w:val="auto"/>
              </w:rPr>
            </w:pP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276</w:t>
            </w:r>
          </w:p>
        </w:tc>
      </w:tr>
      <w:tr>
        <w:trPr>
          <w:trHeight w:val="182"/>
        </w:trPr>
        <w:tc>
          <w:tcPr>
            <w:tcW w:w="600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Postretirement benefits other than pensions</w:t>
            </w:r>
          </w:p>
        </w:tc>
        <w:tc>
          <w:tcPr>
            <w:tcW w:w="420" w:type="dxa"/>
            <w:vAlign w:val="bottom"/>
          </w:tcPr>
          <w:p>
            <w:pPr>
              <w:spacing w:after="0"/>
              <w:rPr>
                <w:sz w:val="15"/>
                <w:szCs w:val="15"/>
                <w:color w:val="auto"/>
              </w:rPr>
            </w:pPr>
          </w:p>
        </w:tc>
        <w:tc>
          <w:tcPr>
            <w:tcW w:w="12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1,421</w:t>
            </w:r>
          </w:p>
        </w:tc>
        <w:tc>
          <w:tcPr>
            <w:tcW w:w="340" w:type="dxa"/>
            <w:vAlign w:val="bottom"/>
          </w:tcPr>
          <w:p>
            <w:pPr>
              <w:spacing w:after="0"/>
              <w:rPr>
                <w:sz w:val="15"/>
                <w:szCs w:val="15"/>
                <w:color w:val="auto"/>
              </w:rPr>
            </w:pP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3,149</w:t>
            </w:r>
          </w:p>
        </w:tc>
      </w:tr>
      <w:tr>
        <w:trPr>
          <w:trHeight w:val="182"/>
        </w:trPr>
        <w:tc>
          <w:tcPr>
            <w:tcW w:w="1000" w:type="dxa"/>
            <w:vAlign w:val="bottom"/>
          </w:tcPr>
          <w:p>
            <w:pPr>
              <w:ind w:left="180"/>
              <w:spacing w:after="0"/>
              <w:rPr>
                <w:sz w:val="20"/>
                <w:szCs w:val="20"/>
                <w:color w:val="auto"/>
              </w:rPr>
            </w:pPr>
            <w:r>
              <w:rPr>
                <w:rFonts w:ascii="Courier New" w:cs="Courier New" w:eastAsia="Courier New" w:hAnsi="Courier New"/>
                <w:sz w:val="16"/>
                <w:szCs w:val="16"/>
                <w:color w:val="auto"/>
              </w:rPr>
              <w:t>Minority</w:t>
            </w:r>
          </w:p>
        </w:tc>
        <w:tc>
          <w:tcPr>
            <w:tcW w:w="5000" w:type="dxa"/>
            <w:vAlign w:val="bottom"/>
          </w:tcPr>
          <w:p>
            <w:pPr>
              <w:ind w:left="40"/>
              <w:spacing w:after="0"/>
              <w:rPr>
                <w:sz w:val="20"/>
                <w:szCs w:val="20"/>
                <w:color w:val="auto"/>
              </w:rPr>
            </w:pPr>
            <w:r>
              <w:rPr>
                <w:rFonts w:ascii="Courier New" w:cs="Courier New" w:eastAsia="Courier New" w:hAnsi="Courier New"/>
                <w:sz w:val="16"/>
                <w:szCs w:val="16"/>
                <w:color w:val="auto"/>
              </w:rPr>
              <w:t>shareholders' portion of consolidated</w:t>
            </w:r>
          </w:p>
        </w:tc>
        <w:tc>
          <w:tcPr>
            <w:tcW w:w="4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2"/>
        </w:trPr>
        <w:tc>
          <w:tcPr>
            <w:tcW w:w="600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subsidiary</w:t>
            </w:r>
          </w:p>
        </w:tc>
        <w:tc>
          <w:tcPr>
            <w:tcW w:w="420" w:type="dxa"/>
            <w:vAlign w:val="bottom"/>
          </w:tcPr>
          <w:p>
            <w:pPr>
              <w:spacing w:after="0"/>
              <w:rPr>
                <w:sz w:val="15"/>
                <w:szCs w:val="15"/>
                <w:color w:val="auto"/>
              </w:rPr>
            </w:pPr>
          </w:p>
        </w:tc>
        <w:tc>
          <w:tcPr>
            <w:tcW w:w="12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38</w:t>
            </w:r>
          </w:p>
        </w:tc>
        <w:tc>
          <w:tcPr>
            <w:tcW w:w="340" w:type="dxa"/>
            <w:vAlign w:val="bottom"/>
          </w:tcPr>
          <w:p>
            <w:pPr>
              <w:spacing w:after="0"/>
              <w:rPr>
                <w:sz w:val="15"/>
                <w:szCs w:val="15"/>
                <w:color w:val="auto"/>
              </w:rPr>
            </w:pP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105</w:t>
            </w:r>
          </w:p>
        </w:tc>
      </w:tr>
      <w:tr>
        <w:trPr>
          <w:trHeight w:val="182"/>
        </w:trPr>
        <w:tc>
          <w:tcPr>
            <w:tcW w:w="1000" w:type="dxa"/>
            <w:vAlign w:val="bottom"/>
          </w:tcPr>
          <w:p>
            <w:pPr>
              <w:ind w:left="180"/>
              <w:spacing w:after="0"/>
              <w:rPr>
                <w:sz w:val="20"/>
                <w:szCs w:val="20"/>
                <w:color w:val="auto"/>
              </w:rPr>
            </w:pPr>
            <w:r>
              <w:rPr>
                <w:rFonts w:ascii="Courier New" w:cs="Courier New" w:eastAsia="Courier New" w:hAnsi="Courier New"/>
                <w:sz w:val="16"/>
                <w:szCs w:val="16"/>
                <w:color w:val="auto"/>
              </w:rPr>
              <w:t>Other</w:t>
            </w:r>
          </w:p>
        </w:tc>
        <w:tc>
          <w:tcPr>
            <w:tcW w:w="50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819</w:t>
            </w:r>
          </w:p>
        </w:tc>
        <w:tc>
          <w:tcPr>
            <w:tcW w:w="340" w:type="dxa"/>
            <w:vAlign w:val="bottom"/>
          </w:tcPr>
          <w:p>
            <w:pPr>
              <w:spacing w:after="0"/>
              <w:rPr>
                <w:sz w:val="15"/>
                <w:szCs w:val="15"/>
                <w:color w:val="auto"/>
              </w:rPr>
            </w:pP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99</w:t>
            </w:r>
          </w:p>
        </w:tc>
      </w:tr>
      <w:tr>
        <w:trPr>
          <w:trHeight w:val="182"/>
        </w:trPr>
        <w:tc>
          <w:tcPr>
            <w:tcW w:w="6000" w:type="dxa"/>
            <w:vAlign w:val="bottom"/>
            <w:gridSpan w:val="2"/>
          </w:tcPr>
          <w:p>
            <w:pPr>
              <w:spacing w:after="0"/>
              <w:rPr>
                <w:sz w:val="20"/>
                <w:szCs w:val="20"/>
                <w:color w:val="auto"/>
              </w:rPr>
            </w:pPr>
            <w:r>
              <w:rPr>
                <w:rFonts w:ascii="Courier New" w:cs="Courier New" w:eastAsia="Courier New" w:hAnsi="Courier New"/>
                <w:sz w:val="16"/>
                <w:szCs w:val="16"/>
                <w:color w:val="auto"/>
              </w:rPr>
              <w:t>Change in assets and liabilities:</w:t>
            </w:r>
          </w:p>
        </w:tc>
        <w:tc>
          <w:tcPr>
            <w:tcW w:w="4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2"/>
        </w:trPr>
        <w:tc>
          <w:tcPr>
            <w:tcW w:w="1000" w:type="dxa"/>
            <w:vAlign w:val="bottom"/>
          </w:tcPr>
          <w:p>
            <w:pPr>
              <w:ind w:left="180"/>
              <w:spacing w:after="0"/>
              <w:rPr>
                <w:sz w:val="20"/>
                <w:szCs w:val="20"/>
                <w:color w:val="auto"/>
              </w:rPr>
            </w:pPr>
            <w:r>
              <w:rPr>
                <w:rFonts w:ascii="Courier New" w:cs="Courier New" w:eastAsia="Courier New" w:hAnsi="Courier New"/>
                <w:sz w:val="16"/>
                <w:szCs w:val="16"/>
                <w:color w:val="auto"/>
              </w:rPr>
              <w:t>Decrease</w:t>
            </w:r>
          </w:p>
        </w:tc>
        <w:tc>
          <w:tcPr>
            <w:tcW w:w="5000" w:type="dxa"/>
            <w:vAlign w:val="bottom"/>
          </w:tcPr>
          <w:p>
            <w:pPr>
              <w:ind w:left="40"/>
              <w:spacing w:after="0"/>
              <w:rPr>
                <w:sz w:val="20"/>
                <w:szCs w:val="20"/>
                <w:color w:val="auto"/>
              </w:rPr>
            </w:pPr>
            <w:r>
              <w:rPr>
                <w:rFonts w:ascii="Courier New" w:cs="Courier New" w:eastAsia="Courier New" w:hAnsi="Courier New"/>
                <w:sz w:val="16"/>
                <w:szCs w:val="16"/>
                <w:color w:val="auto"/>
              </w:rPr>
              <w:t>in accounts receivable</w:t>
            </w:r>
          </w:p>
        </w:tc>
        <w:tc>
          <w:tcPr>
            <w:tcW w:w="420" w:type="dxa"/>
            <w:vAlign w:val="bottom"/>
          </w:tcPr>
          <w:p>
            <w:pPr>
              <w:spacing w:after="0"/>
              <w:rPr>
                <w:sz w:val="15"/>
                <w:szCs w:val="15"/>
                <w:color w:val="auto"/>
              </w:rPr>
            </w:pPr>
          </w:p>
        </w:tc>
        <w:tc>
          <w:tcPr>
            <w:tcW w:w="12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1,267</w:t>
            </w:r>
          </w:p>
        </w:tc>
        <w:tc>
          <w:tcPr>
            <w:tcW w:w="340" w:type="dxa"/>
            <w:vAlign w:val="bottom"/>
          </w:tcPr>
          <w:p>
            <w:pPr>
              <w:spacing w:after="0"/>
              <w:rPr>
                <w:sz w:val="15"/>
                <w:szCs w:val="15"/>
                <w:color w:val="auto"/>
              </w:rPr>
            </w:pP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271</w:t>
            </w:r>
          </w:p>
        </w:tc>
      </w:tr>
      <w:tr>
        <w:trPr>
          <w:trHeight w:val="182"/>
        </w:trPr>
        <w:tc>
          <w:tcPr>
            <w:tcW w:w="1000" w:type="dxa"/>
            <w:vAlign w:val="bottom"/>
          </w:tcPr>
          <w:p>
            <w:pPr>
              <w:ind w:left="180"/>
              <w:spacing w:after="0"/>
              <w:rPr>
                <w:sz w:val="20"/>
                <w:szCs w:val="20"/>
                <w:color w:val="auto"/>
              </w:rPr>
            </w:pPr>
            <w:r>
              <w:rPr>
                <w:rFonts w:ascii="Courier New" w:cs="Courier New" w:eastAsia="Courier New" w:hAnsi="Courier New"/>
                <w:sz w:val="16"/>
                <w:szCs w:val="16"/>
                <w:color w:val="auto"/>
              </w:rPr>
              <w:t>Increase</w:t>
            </w:r>
          </w:p>
        </w:tc>
        <w:tc>
          <w:tcPr>
            <w:tcW w:w="5000" w:type="dxa"/>
            <w:vAlign w:val="bottom"/>
          </w:tcPr>
          <w:p>
            <w:pPr>
              <w:ind w:left="40"/>
              <w:spacing w:after="0"/>
              <w:rPr>
                <w:sz w:val="20"/>
                <w:szCs w:val="20"/>
                <w:color w:val="auto"/>
              </w:rPr>
            </w:pPr>
            <w:r>
              <w:rPr>
                <w:rFonts w:ascii="Courier New" w:cs="Courier New" w:eastAsia="Courier New" w:hAnsi="Courier New"/>
                <w:sz w:val="16"/>
                <w:szCs w:val="16"/>
                <w:color w:val="auto"/>
              </w:rPr>
              <w:t>in inventories</w:t>
            </w:r>
          </w:p>
        </w:tc>
        <w:tc>
          <w:tcPr>
            <w:tcW w:w="420" w:type="dxa"/>
            <w:vAlign w:val="bottom"/>
          </w:tcPr>
          <w:p>
            <w:pPr>
              <w:spacing w:after="0"/>
              <w:rPr>
                <w:sz w:val="15"/>
                <w:szCs w:val="15"/>
                <w:color w:val="auto"/>
              </w:rPr>
            </w:pP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(12,939)</w:t>
            </w: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(5,966)</w:t>
            </w:r>
          </w:p>
        </w:tc>
      </w:tr>
    </w:tbl>
    <w:p>
      <w:pPr>
        <w:sectPr>
          <w:pgSz w:w="11900" w:h="16888" w:orient="portrait"/>
          <w:cols w:equalWidth="0" w:num="1">
            <w:col w:w="10219"/>
          </w:cols>
          <w:pgMar w:left="240" w:top="683" w:right="1440" w:bottom="0" w:gutter="0" w:footer="0" w:header="0"/>
        </w:sectPr>
      </w:pPr>
    </w:p>
    <w:bookmarkStart w:id="3" w:name="page4"/>
    <w:bookmarkEnd w:id="3"/>
    <w:p>
      <w:pPr>
        <w:spacing w:after="0" w:line="56"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1000" w:type="dxa"/>
            <w:vAlign w:val="bottom"/>
          </w:tcPr>
          <w:p>
            <w:pPr>
              <w:ind w:left="180"/>
              <w:spacing w:after="0"/>
              <w:rPr>
                <w:sz w:val="20"/>
                <w:szCs w:val="20"/>
                <w:color w:val="auto"/>
              </w:rPr>
            </w:pPr>
            <w:r>
              <w:rPr>
                <w:rFonts w:ascii="Courier New" w:cs="Courier New" w:eastAsia="Courier New" w:hAnsi="Courier New"/>
                <w:sz w:val="16"/>
                <w:szCs w:val="16"/>
                <w:color w:val="auto"/>
              </w:rPr>
              <w:t>Increase</w:t>
            </w:r>
          </w:p>
        </w:tc>
        <w:tc>
          <w:tcPr>
            <w:tcW w:w="510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(decrease) in accounts payable and accrued expenses</w:t>
            </w:r>
          </w:p>
        </w:tc>
        <w:tc>
          <w:tcPr>
            <w:tcW w:w="480" w:type="dxa"/>
            <w:vAlign w:val="bottom"/>
          </w:tcPr>
          <w:p>
            <w:pPr>
              <w:spacing w:after="0"/>
              <w:rPr>
                <w:sz w:val="15"/>
                <w:szCs w:val="15"/>
                <w:color w:val="auto"/>
              </w:rPr>
            </w:pPr>
          </w:p>
        </w:tc>
        <w:tc>
          <w:tcPr>
            <w:tcW w:w="11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1,222</w:t>
            </w:r>
          </w:p>
        </w:tc>
        <w:tc>
          <w:tcPr>
            <w:tcW w:w="5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(4,262)</w:t>
            </w:r>
          </w:p>
        </w:tc>
      </w:tr>
      <w:tr>
        <w:trPr>
          <w:trHeight w:val="182"/>
        </w:trPr>
        <w:tc>
          <w:tcPr>
            <w:tcW w:w="1000" w:type="dxa"/>
            <w:vAlign w:val="bottom"/>
          </w:tcPr>
          <w:p>
            <w:pPr>
              <w:ind w:left="180"/>
              <w:spacing w:after="0"/>
              <w:rPr>
                <w:sz w:val="20"/>
                <w:szCs w:val="20"/>
                <w:color w:val="auto"/>
              </w:rPr>
            </w:pPr>
            <w:r>
              <w:rPr>
                <w:rFonts w:ascii="Courier New" w:cs="Courier New" w:eastAsia="Courier New" w:hAnsi="Courier New"/>
                <w:sz w:val="16"/>
                <w:szCs w:val="16"/>
                <w:color w:val="auto"/>
              </w:rPr>
              <w:t>Decrease</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in</w:t>
            </w:r>
          </w:p>
        </w:tc>
        <w:tc>
          <w:tcPr>
            <w:tcW w:w="4820" w:type="dxa"/>
            <w:vAlign w:val="bottom"/>
          </w:tcPr>
          <w:p>
            <w:pPr>
              <w:ind w:left="40"/>
              <w:spacing w:after="0"/>
              <w:rPr>
                <w:sz w:val="20"/>
                <w:szCs w:val="20"/>
                <w:color w:val="auto"/>
              </w:rPr>
            </w:pPr>
            <w:r>
              <w:rPr>
                <w:rFonts w:ascii="Courier New" w:cs="Courier New" w:eastAsia="Courier New" w:hAnsi="Courier New"/>
                <w:sz w:val="16"/>
                <w:szCs w:val="16"/>
                <w:color w:val="auto"/>
              </w:rPr>
              <w:t>other categories, net</w:t>
            </w:r>
          </w:p>
        </w:tc>
        <w:tc>
          <w:tcPr>
            <w:tcW w:w="480" w:type="dxa"/>
            <w:vAlign w:val="bottom"/>
          </w:tcPr>
          <w:p>
            <w:pPr>
              <w:spacing w:after="0"/>
              <w:rPr>
                <w:sz w:val="15"/>
                <w:szCs w:val="15"/>
                <w:color w:val="auto"/>
              </w:rPr>
            </w:pPr>
          </w:p>
        </w:tc>
        <w:tc>
          <w:tcPr>
            <w:tcW w:w="11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(6,443)</w:t>
            </w:r>
          </w:p>
        </w:tc>
        <w:tc>
          <w:tcPr>
            <w:tcW w:w="5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(2,646)</w:t>
            </w:r>
          </w:p>
        </w:tc>
      </w:tr>
      <w:tr>
        <w:trPr>
          <w:trHeight w:val="182"/>
        </w:trPr>
        <w:tc>
          <w:tcPr>
            <w:tcW w:w="6100" w:type="dxa"/>
            <w:vAlign w:val="bottom"/>
            <w:gridSpan w:val="3"/>
          </w:tcPr>
          <w:p>
            <w:pPr>
              <w:spacing w:after="0"/>
              <w:rPr>
                <w:sz w:val="20"/>
                <w:szCs w:val="20"/>
                <w:color w:val="auto"/>
              </w:rPr>
            </w:pPr>
            <w:r>
              <w:rPr>
                <w:rFonts w:ascii="Courier New" w:cs="Courier New" w:eastAsia="Courier New" w:hAnsi="Courier New"/>
                <w:sz w:val="16"/>
                <w:szCs w:val="16"/>
                <w:color w:val="auto"/>
              </w:rPr>
              <w:t>Net cash provided by operating activities</w:t>
            </w:r>
          </w:p>
        </w:tc>
        <w:tc>
          <w:tcPr>
            <w:tcW w:w="480" w:type="dxa"/>
            <w:vAlign w:val="bottom"/>
          </w:tcPr>
          <w:p>
            <w:pPr>
              <w:spacing w:after="0"/>
              <w:rPr>
                <w:sz w:val="15"/>
                <w:szCs w:val="15"/>
                <w:color w:val="auto"/>
              </w:rPr>
            </w:pPr>
          </w:p>
        </w:tc>
        <w:tc>
          <w:tcPr>
            <w:tcW w:w="11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11,468</w:t>
            </w:r>
          </w:p>
        </w:tc>
        <w:tc>
          <w:tcPr>
            <w:tcW w:w="52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9,625</w:t>
            </w:r>
          </w:p>
        </w:tc>
      </w:tr>
      <w:tr>
        <w:trPr>
          <w:trHeight w:val="364"/>
        </w:trPr>
        <w:tc>
          <w:tcPr>
            <w:tcW w:w="1000" w:type="dxa"/>
            <w:vAlign w:val="bottom"/>
          </w:tcPr>
          <w:p>
            <w:pPr>
              <w:spacing w:after="0"/>
              <w:rPr>
                <w:sz w:val="20"/>
                <w:szCs w:val="20"/>
                <w:color w:val="auto"/>
              </w:rPr>
            </w:pPr>
            <w:r>
              <w:rPr>
                <w:rFonts w:ascii="Courier New" w:cs="Courier New" w:eastAsia="Courier New" w:hAnsi="Courier New"/>
                <w:sz w:val="16"/>
                <w:szCs w:val="16"/>
                <w:color w:val="auto"/>
              </w:rPr>
              <w:t>Cash flows</w:t>
            </w:r>
          </w:p>
        </w:tc>
        <w:tc>
          <w:tcPr>
            <w:tcW w:w="510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from investing activities:</w:t>
            </w:r>
          </w:p>
        </w:tc>
        <w:tc>
          <w:tcPr>
            <w:tcW w:w="4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82"/>
        </w:trPr>
        <w:tc>
          <w:tcPr>
            <w:tcW w:w="128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Investments</w:t>
            </w:r>
          </w:p>
        </w:tc>
        <w:tc>
          <w:tcPr>
            <w:tcW w:w="4820" w:type="dxa"/>
            <w:vAlign w:val="bottom"/>
          </w:tcPr>
          <w:p>
            <w:pPr>
              <w:ind w:left="40"/>
              <w:spacing w:after="0"/>
              <w:rPr>
                <w:sz w:val="20"/>
                <w:szCs w:val="20"/>
                <w:color w:val="auto"/>
              </w:rPr>
            </w:pPr>
            <w:r>
              <w:rPr>
                <w:rFonts w:ascii="Courier New" w:cs="Courier New" w:eastAsia="Courier New" w:hAnsi="Courier New"/>
                <w:sz w:val="16"/>
                <w:szCs w:val="16"/>
                <w:color w:val="auto"/>
              </w:rPr>
              <w:t>in marketable securities</w:t>
            </w:r>
          </w:p>
        </w:tc>
        <w:tc>
          <w:tcPr>
            <w:tcW w:w="480" w:type="dxa"/>
            <w:vAlign w:val="bottom"/>
          </w:tcPr>
          <w:p>
            <w:pPr>
              <w:spacing w:after="0"/>
              <w:rPr>
                <w:sz w:val="15"/>
                <w:szCs w:val="15"/>
                <w:color w:val="auto"/>
              </w:rPr>
            </w:pPr>
          </w:p>
        </w:tc>
        <w:tc>
          <w:tcPr>
            <w:tcW w:w="11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(3,135)</w:t>
            </w:r>
          </w:p>
        </w:tc>
        <w:tc>
          <w:tcPr>
            <w:tcW w:w="5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(8,945)</w:t>
            </w:r>
          </w:p>
        </w:tc>
      </w:tr>
      <w:tr>
        <w:trPr>
          <w:trHeight w:val="182"/>
        </w:trPr>
        <w:tc>
          <w:tcPr>
            <w:tcW w:w="1000" w:type="dxa"/>
            <w:vAlign w:val="bottom"/>
          </w:tcPr>
          <w:p>
            <w:pPr>
              <w:ind w:left="180"/>
              <w:spacing w:after="0"/>
              <w:rPr>
                <w:sz w:val="20"/>
                <w:szCs w:val="20"/>
                <w:color w:val="auto"/>
              </w:rPr>
            </w:pPr>
            <w:r>
              <w:rPr>
                <w:rFonts w:ascii="Courier New" w:cs="Courier New" w:eastAsia="Courier New" w:hAnsi="Courier New"/>
                <w:sz w:val="16"/>
                <w:szCs w:val="16"/>
                <w:color w:val="auto"/>
              </w:rPr>
              <w:t>Proceeds</w:t>
            </w:r>
          </w:p>
        </w:tc>
        <w:tc>
          <w:tcPr>
            <w:tcW w:w="510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from the sale of marketable securities</w:t>
            </w:r>
          </w:p>
        </w:tc>
        <w:tc>
          <w:tcPr>
            <w:tcW w:w="480" w:type="dxa"/>
            <w:vAlign w:val="bottom"/>
          </w:tcPr>
          <w:p>
            <w:pPr>
              <w:spacing w:after="0"/>
              <w:rPr>
                <w:sz w:val="15"/>
                <w:szCs w:val="15"/>
                <w:color w:val="auto"/>
              </w:rPr>
            </w:pPr>
          </w:p>
        </w:tc>
        <w:tc>
          <w:tcPr>
            <w:tcW w:w="11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4,168</w:t>
            </w:r>
          </w:p>
        </w:tc>
        <w:tc>
          <w:tcPr>
            <w:tcW w:w="52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7,231</w:t>
            </w:r>
          </w:p>
        </w:tc>
      </w:tr>
      <w:tr>
        <w:trPr>
          <w:trHeight w:val="182"/>
        </w:trPr>
        <w:tc>
          <w:tcPr>
            <w:tcW w:w="6100" w:type="dxa"/>
            <w:vAlign w:val="bottom"/>
            <w:gridSpan w:val="3"/>
          </w:tcPr>
          <w:p>
            <w:pPr>
              <w:ind w:left="180"/>
              <w:spacing w:after="0"/>
              <w:rPr>
                <w:sz w:val="20"/>
                <w:szCs w:val="20"/>
                <w:color w:val="auto"/>
              </w:rPr>
            </w:pPr>
            <w:r>
              <w:rPr>
                <w:rFonts w:ascii="Courier New" w:cs="Courier New" w:eastAsia="Courier New" w:hAnsi="Courier New"/>
                <w:sz w:val="16"/>
                <w:szCs w:val="16"/>
                <w:color w:val="auto"/>
              </w:rPr>
              <w:t>Purchases of property and equipment</w:t>
            </w:r>
          </w:p>
        </w:tc>
        <w:tc>
          <w:tcPr>
            <w:tcW w:w="480" w:type="dxa"/>
            <w:vAlign w:val="bottom"/>
          </w:tcPr>
          <w:p>
            <w:pPr>
              <w:spacing w:after="0"/>
              <w:rPr>
                <w:sz w:val="15"/>
                <w:szCs w:val="15"/>
                <w:color w:val="auto"/>
              </w:rPr>
            </w:pPr>
          </w:p>
        </w:tc>
        <w:tc>
          <w:tcPr>
            <w:tcW w:w="11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(8,216)</w:t>
            </w:r>
          </w:p>
        </w:tc>
        <w:tc>
          <w:tcPr>
            <w:tcW w:w="5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(6,565)</w:t>
            </w:r>
          </w:p>
        </w:tc>
      </w:tr>
      <w:tr>
        <w:trPr>
          <w:trHeight w:val="182"/>
        </w:trPr>
        <w:tc>
          <w:tcPr>
            <w:tcW w:w="128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Investments</w:t>
            </w:r>
          </w:p>
        </w:tc>
        <w:tc>
          <w:tcPr>
            <w:tcW w:w="4820" w:type="dxa"/>
            <w:vAlign w:val="bottom"/>
          </w:tcPr>
          <w:p>
            <w:pPr>
              <w:ind w:left="40"/>
              <w:spacing w:after="0"/>
              <w:rPr>
                <w:sz w:val="20"/>
                <w:szCs w:val="20"/>
                <w:color w:val="auto"/>
              </w:rPr>
            </w:pPr>
            <w:r>
              <w:rPr>
                <w:rFonts w:ascii="Courier New" w:cs="Courier New" w:eastAsia="Courier New" w:hAnsi="Courier New"/>
                <w:sz w:val="16"/>
                <w:szCs w:val="16"/>
                <w:color w:val="auto"/>
              </w:rPr>
              <w:t>in dealer receivables</w:t>
            </w:r>
          </w:p>
        </w:tc>
        <w:tc>
          <w:tcPr>
            <w:tcW w:w="480" w:type="dxa"/>
            <w:vAlign w:val="bottom"/>
          </w:tcPr>
          <w:p>
            <w:pPr>
              <w:spacing w:after="0"/>
              <w:rPr>
                <w:sz w:val="15"/>
                <w:szCs w:val="15"/>
                <w:color w:val="auto"/>
              </w:rPr>
            </w:pPr>
          </w:p>
        </w:tc>
        <w:tc>
          <w:tcPr>
            <w:tcW w:w="11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(25,607)</w:t>
            </w:r>
          </w:p>
        </w:tc>
        <w:tc>
          <w:tcPr>
            <w:tcW w:w="5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(26,338)</w:t>
            </w:r>
          </w:p>
        </w:tc>
      </w:tr>
      <w:tr>
        <w:trPr>
          <w:trHeight w:val="182"/>
        </w:trPr>
        <w:tc>
          <w:tcPr>
            <w:tcW w:w="1000" w:type="dxa"/>
            <w:vAlign w:val="bottom"/>
          </w:tcPr>
          <w:p>
            <w:pPr>
              <w:ind w:left="180"/>
              <w:spacing w:after="0"/>
              <w:rPr>
                <w:sz w:val="20"/>
                <w:szCs w:val="20"/>
                <w:color w:val="auto"/>
              </w:rPr>
            </w:pPr>
            <w:r>
              <w:rPr>
                <w:rFonts w:ascii="Courier New" w:cs="Courier New" w:eastAsia="Courier New" w:hAnsi="Courier New"/>
                <w:sz w:val="16"/>
                <w:szCs w:val="16"/>
                <w:color w:val="auto"/>
              </w:rPr>
              <w:t>Proceeds</w:t>
            </w:r>
          </w:p>
        </w:tc>
        <w:tc>
          <w:tcPr>
            <w:tcW w:w="510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from dealer receivables</w:t>
            </w:r>
          </w:p>
        </w:tc>
        <w:tc>
          <w:tcPr>
            <w:tcW w:w="480" w:type="dxa"/>
            <w:vAlign w:val="bottom"/>
          </w:tcPr>
          <w:p>
            <w:pPr>
              <w:spacing w:after="0"/>
              <w:rPr>
                <w:sz w:val="15"/>
                <w:szCs w:val="15"/>
                <w:color w:val="auto"/>
              </w:rPr>
            </w:pPr>
          </w:p>
        </w:tc>
        <w:tc>
          <w:tcPr>
            <w:tcW w:w="11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25,474</w:t>
            </w:r>
          </w:p>
        </w:tc>
        <w:tc>
          <w:tcPr>
            <w:tcW w:w="52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25,283</w:t>
            </w:r>
          </w:p>
        </w:tc>
      </w:tr>
      <w:tr>
        <w:trPr>
          <w:trHeight w:val="182"/>
        </w:trPr>
        <w:tc>
          <w:tcPr>
            <w:tcW w:w="6100" w:type="dxa"/>
            <w:vAlign w:val="bottom"/>
            <w:gridSpan w:val="3"/>
          </w:tcPr>
          <w:p>
            <w:pPr>
              <w:ind w:left="180"/>
              <w:spacing w:after="0"/>
              <w:rPr>
                <w:sz w:val="20"/>
                <w:szCs w:val="20"/>
                <w:color w:val="auto"/>
              </w:rPr>
            </w:pPr>
            <w:r>
              <w:rPr>
                <w:rFonts w:ascii="Courier New" w:cs="Courier New" w:eastAsia="Courier New" w:hAnsi="Courier New"/>
                <w:sz w:val="16"/>
                <w:szCs w:val="16"/>
                <w:color w:val="auto"/>
              </w:rPr>
              <w:t>Investment in other assets and notes receivable</w:t>
            </w:r>
          </w:p>
        </w:tc>
        <w:tc>
          <w:tcPr>
            <w:tcW w:w="480" w:type="dxa"/>
            <w:vAlign w:val="bottom"/>
          </w:tcPr>
          <w:p>
            <w:pPr>
              <w:spacing w:after="0"/>
              <w:rPr>
                <w:sz w:val="15"/>
                <w:szCs w:val="15"/>
                <w:color w:val="auto"/>
              </w:rPr>
            </w:pPr>
          </w:p>
        </w:tc>
        <w:tc>
          <w:tcPr>
            <w:tcW w:w="11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(12,074)</w:t>
            </w:r>
          </w:p>
        </w:tc>
        <w:tc>
          <w:tcPr>
            <w:tcW w:w="5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(4,205)</w:t>
            </w:r>
          </w:p>
        </w:tc>
      </w:tr>
      <w:tr>
        <w:trPr>
          <w:trHeight w:val="182"/>
        </w:trPr>
        <w:tc>
          <w:tcPr>
            <w:tcW w:w="1000" w:type="dxa"/>
            <w:vAlign w:val="bottom"/>
          </w:tcPr>
          <w:p>
            <w:pPr>
              <w:ind w:left="180"/>
              <w:spacing w:after="0"/>
              <w:rPr>
                <w:sz w:val="20"/>
                <w:szCs w:val="20"/>
                <w:color w:val="auto"/>
              </w:rPr>
            </w:pPr>
            <w:r>
              <w:rPr>
                <w:rFonts w:ascii="Courier New" w:cs="Courier New" w:eastAsia="Courier New" w:hAnsi="Courier New"/>
                <w:sz w:val="16"/>
                <w:szCs w:val="16"/>
                <w:color w:val="auto"/>
              </w:rPr>
              <w:t>Other</w:t>
            </w:r>
          </w:p>
        </w:tc>
        <w:tc>
          <w:tcPr>
            <w:tcW w:w="280" w:type="dxa"/>
            <w:vAlign w:val="bottom"/>
          </w:tcPr>
          <w:p>
            <w:pPr>
              <w:spacing w:after="0"/>
              <w:rPr>
                <w:sz w:val="15"/>
                <w:szCs w:val="15"/>
                <w:color w:val="auto"/>
              </w:rPr>
            </w:pPr>
          </w:p>
        </w:tc>
        <w:tc>
          <w:tcPr>
            <w:tcW w:w="48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3,214</w:t>
            </w:r>
          </w:p>
        </w:tc>
        <w:tc>
          <w:tcPr>
            <w:tcW w:w="52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842</w:t>
            </w:r>
          </w:p>
        </w:tc>
      </w:tr>
      <w:tr>
        <w:trPr>
          <w:trHeight w:val="182"/>
        </w:trPr>
        <w:tc>
          <w:tcPr>
            <w:tcW w:w="1280" w:type="dxa"/>
            <w:vAlign w:val="bottom"/>
            <w:gridSpan w:val="2"/>
          </w:tcPr>
          <w:p>
            <w:pPr>
              <w:spacing w:after="0"/>
              <w:rPr>
                <w:sz w:val="20"/>
                <w:szCs w:val="20"/>
                <w:color w:val="auto"/>
              </w:rPr>
            </w:pPr>
            <w:r>
              <w:rPr>
                <w:rFonts w:ascii="Courier New" w:cs="Courier New" w:eastAsia="Courier New" w:hAnsi="Courier New"/>
                <w:sz w:val="16"/>
                <w:szCs w:val="16"/>
                <w:color w:val="auto"/>
              </w:rPr>
              <w:t>Net cash used</w:t>
            </w:r>
          </w:p>
        </w:tc>
        <w:tc>
          <w:tcPr>
            <w:tcW w:w="4820" w:type="dxa"/>
            <w:vAlign w:val="bottom"/>
          </w:tcPr>
          <w:p>
            <w:pPr>
              <w:ind w:left="40"/>
              <w:spacing w:after="0"/>
              <w:rPr>
                <w:sz w:val="20"/>
                <w:szCs w:val="20"/>
                <w:color w:val="auto"/>
              </w:rPr>
            </w:pPr>
            <w:r>
              <w:rPr>
                <w:rFonts w:ascii="Courier New" w:cs="Courier New" w:eastAsia="Courier New" w:hAnsi="Courier New"/>
                <w:sz w:val="16"/>
                <w:szCs w:val="16"/>
                <w:color w:val="auto"/>
              </w:rPr>
              <w:t>by investing activities</w:t>
            </w:r>
          </w:p>
        </w:tc>
        <w:tc>
          <w:tcPr>
            <w:tcW w:w="480" w:type="dxa"/>
            <w:vAlign w:val="bottom"/>
          </w:tcPr>
          <w:p>
            <w:pPr>
              <w:spacing w:after="0"/>
              <w:rPr>
                <w:sz w:val="15"/>
                <w:szCs w:val="15"/>
                <w:color w:val="auto"/>
              </w:rPr>
            </w:pPr>
          </w:p>
        </w:tc>
        <w:tc>
          <w:tcPr>
            <w:tcW w:w="11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(16,176)</w:t>
            </w:r>
          </w:p>
        </w:tc>
        <w:tc>
          <w:tcPr>
            <w:tcW w:w="5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(12,697)</w:t>
            </w:r>
          </w:p>
        </w:tc>
      </w:tr>
      <w:tr>
        <w:trPr>
          <w:trHeight w:val="364"/>
        </w:trPr>
        <w:tc>
          <w:tcPr>
            <w:tcW w:w="1000" w:type="dxa"/>
            <w:vAlign w:val="bottom"/>
          </w:tcPr>
          <w:p>
            <w:pPr>
              <w:spacing w:after="0"/>
              <w:rPr>
                <w:sz w:val="20"/>
                <w:szCs w:val="20"/>
                <w:color w:val="auto"/>
              </w:rPr>
            </w:pPr>
            <w:r>
              <w:rPr>
                <w:rFonts w:ascii="Courier New" w:cs="Courier New" w:eastAsia="Courier New" w:hAnsi="Courier New"/>
                <w:sz w:val="16"/>
                <w:szCs w:val="16"/>
                <w:color w:val="auto"/>
              </w:rPr>
              <w:t>Cash flows</w:t>
            </w:r>
          </w:p>
        </w:tc>
        <w:tc>
          <w:tcPr>
            <w:tcW w:w="510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from financing activities and capital transactions:</w:t>
            </w:r>
          </w:p>
        </w:tc>
        <w:tc>
          <w:tcPr>
            <w:tcW w:w="4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82"/>
        </w:trPr>
        <w:tc>
          <w:tcPr>
            <w:tcW w:w="6100" w:type="dxa"/>
            <w:vAlign w:val="bottom"/>
            <w:gridSpan w:val="3"/>
          </w:tcPr>
          <w:p>
            <w:pPr>
              <w:ind w:left="180"/>
              <w:spacing w:after="0"/>
              <w:rPr>
                <w:sz w:val="20"/>
                <w:szCs w:val="20"/>
                <w:color w:val="auto"/>
              </w:rPr>
            </w:pPr>
            <w:r>
              <w:rPr>
                <w:rFonts w:ascii="Courier New" w:cs="Courier New" w:eastAsia="Courier New" w:hAnsi="Courier New"/>
                <w:sz w:val="16"/>
                <w:szCs w:val="16"/>
                <w:color w:val="auto"/>
              </w:rPr>
              <w:t>Net increase in notes payable</w:t>
            </w:r>
          </w:p>
        </w:tc>
        <w:tc>
          <w:tcPr>
            <w:tcW w:w="480" w:type="dxa"/>
            <w:vAlign w:val="bottom"/>
          </w:tcPr>
          <w:p>
            <w:pPr>
              <w:spacing w:after="0"/>
              <w:rPr>
                <w:sz w:val="15"/>
                <w:szCs w:val="15"/>
                <w:color w:val="auto"/>
              </w:rPr>
            </w:pPr>
          </w:p>
        </w:tc>
        <w:tc>
          <w:tcPr>
            <w:tcW w:w="11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 - -</w:t>
            </w:r>
          </w:p>
        </w:tc>
        <w:tc>
          <w:tcPr>
            <w:tcW w:w="52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2,130</w:t>
            </w:r>
          </w:p>
        </w:tc>
      </w:tr>
      <w:tr>
        <w:trPr>
          <w:trHeight w:val="182"/>
        </w:trPr>
        <w:tc>
          <w:tcPr>
            <w:tcW w:w="1000" w:type="dxa"/>
            <w:vAlign w:val="bottom"/>
          </w:tcPr>
          <w:p>
            <w:pPr>
              <w:ind w:left="180"/>
              <w:spacing w:after="0"/>
              <w:rPr>
                <w:sz w:val="20"/>
                <w:szCs w:val="20"/>
                <w:color w:val="auto"/>
              </w:rPr>
            </w:pPr>
            <w:r>
              <w:rPr>
                <w:rFonts w:ascii="Courier New" w:cs="Courier New" w:eastAsia="Courier New" w:hAnsi="Courier New"/>
                <w:sz w:val="16"/>
                <w:szCs w:val="16"/>
                <w:color w:val="auto"/>
              </w:rPr>
              <w:t>Payments</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of</w:t>
            </w:r>
          </w:p>
        </w:tc>
        <w:tc>
          <w:tcPr>
            <w:tcW w:w="4820" w:type="dxa"/>
            <w:vAlign w:val="bottom"/>
          </w:tcPr>
          <w:p>
            <w:pPr>
              <w:ind w:left="40"/>
              <w:spacing w:after="0"/>
              <w:rPr>
                <w:sz w:val="20"/>
                <w:szCs w:val="20"/>
                <w:color w:val="auto"/>
              </w:rPr>
            </w:pPr>
            <w:r>
              <w:rPr>
                <w:rFonts w:ascii="Courier New" w:cs="Courier New" w:eastAsia="Courier New" w:hAnsi="Courier New"/>
                <w:sz w:val="16"/>
                <w:szCs w:val="16"/>
                <w:color w:val="auto"/>
              </w:rPr>
              <w:t>long-term debt</w:t>
            </w:r>
          </w:p>
        </w:tc>
        <w:tc>
          <w:tcPr>
            <w:tcW w:w="480" w:type="dxa"/>
            <w:vAlign w:val="bottom"/>
          </w:tcPr>
          <w:p>
            <w:pPr>
              <w:spacing w:after="0"/>
              <w:rPr>
                <w:sz w:val="15"/>
                <w:szCs w:val="15"/>
                <w:color w:val="auto"/>
              </w:rPr>
            </w:pPr>
          </w:p>
        </w:tc>
        <w:tc>
          <w:tcPr>
            <w:tcW w:w="11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(1,399)</w:t>
            </w:r>
          </w:p>
        </w:tc>
        <w:tc>
          <w:tcPr>
            <w:tcW w:w="5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(1,389)</w:t>
            </w:r>
          </w:p>
        </w:tc>
      </w:tr>
      <w:tr>
        <w:trPr>
          <w:trHeight w:val="182"/>
        </w:trPr>
        <w:tc>
          <w:tcPr>
            <w:tcW w:w="1000" w:type="dxa"/>
            <w:vAlign w:val="bottom"/>
          </w:tcPr>
          <w:p>
            <w:pPr>
              <w:ind w:left="180"/>
              <w:spacing w:after="0"/>
              <w:rPr>
                <w:sz w:val="20"/>
                <w:szCs w:val="20"/>
                <w:color w:val="auto"/>
              </w:rPr>
            </w:pPr>
            <w:r>
              <w:rPr>
                <w:rFonts w:ascii="Courier New" w:cs="Courier New" w:eastAsia="Courier New" w:hAnsi="Courier New"/>
                <w:sz w:val="16"/>
                <w:szCs w:val="16"/>
                <w:color w:val="auto"/>
              </w:rPr>
              <w:t>Proceeds</w:t>
            </w:r>
          </w:p>
        </w:tc>
        <w:tc>
          <w:tcPr>
            <w:tcW w:w="510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from issuance of long-term debt</w:t>
            </w:r>
          </w:p>
        </w:tc>
        <w:tc>
          <w:tcPr>
            <w:tcW w:w="480" w:type="dxa"/>
            <w:vAlign w:val="bottom"/>
          </w:tcPr>
          <w:p>
            <w:pPr>
              <w:spacing w:after="0"/>
              <w:rPr>
                <w:sz w:val="15"/>
                <w:szCs w:val="15"/>
                <w:color w:val="auto"/>
              </w:rPr>
            </w:pPr>
          </w:p>
        </w:tc>
        <w:tc>
          <w:tcPr>
            <w:tcW w:w="11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11,879</w:t>
            </w:r>
          </w:p>
        </w:tc>
        <w:tc>
          <w:tcPr>
            <w:tcW w:w="52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858</w:t>
            </w:r>
          </w:p>
        </w:tc>
      </w:tr>
      <w:tr>
        <w:trPr>
          <w:trHeight w:val="182"/>
        </w:trPr>
        <w:tc>
          <w:tcPr>
            <w:tcW w:w="1000" w:type="dxa"/>
            <w:vAlign w:val="bottom"/>
          </w:tcPr>
          <w:p>
            <w:pPr>
              <w:ind w:left="180"/>
              <w:spacing w:after="0"/>
              <w:rPr>
                <w:sz w:val="20"/>
                <w:szCs w:val="20"/>
                <w:color w:val="auto"/>
              </w:rPr>
            </w:pPr>
            <w:r>
              <w:rPr>
                <w:rFonts w:ascii="Courier New" w:cs="Courier New" w:eastAsia="Courier New" w:hAnsi="Courier New"/>
                <w:sz w:val="16"/>
                <w:szCs w:val="16"/>
                <w:color w:val="auto"/>
              </w:rPr>
              <w:t>Payments</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of</w:t>
            </w:r>
          </w:p>
        </w:tc>
        <w:tc>
          <w:tcPr>
            <w:tcW w:w="4820" w:type="dxa"/>
            <w:vAlign w:val="bottom"/>
          </w:tcPr>
          <w:p>
            <w:pPr>
              <w:ind w:left="40"/>
              <w:spacing w:after="0"/>
              <w:rPr>
                <w:sz w:val="20"/>
                <w:szCs w:val="20"/>
                <w:color w:val="auto"/>
              </w:rPr>
            </w:pPr>
            <w:r>
              <w:rPr>
                <w:rFonts w:ascii="Courier New" w:cs="Courier New" w:eastAsia="Courier New" w:hAnsi="Courier New"/>
                <w:sz w:val="16"/>
                <w:szCs w:val="16"/>
                <w:color w:val="auto"/>
              </w:rPr>
              <w:t>cash dividends</w:t>
            </w:r>
          </w:p>
        </w:tc>
        <w:tc>
          <w:tcPr>
            <w:tcW w:w="480" w:type="dxa"/>
            <w:vAlign w:val="bottom"/>
          </w:tcPr>
          <w:p>
            <w:pPr>
              <w:spacing w:after="0"/>
              <w:rPr>
                <w:sz w:val="15"/>
                <w:szCs w:val="15"/>
                <w:color w:val="auto"/>
              </w:rPr>
            </w:pPr>
          </w:p>
        </w:tc>
        <w:tc>
          <w:tcPr>
            <w:tcW w:w="11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(5,052)</w:t>
            </w:r>
          </w:p>
        </w:tc>
        <w:tc>
          <w:tcPr>
            <w:tcW w:w="52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 - -</w:t>
            </w:r>
          </w:p>
        </w:tc>
      </w:tr>
      <w:tr>
        <w:trPr>
          <w:trHeight w:val="182"/>
        </w:trPr>
        <w:tc>
          <w:tcPr>
            <w:tcW w:w="1000" w:type="dxa"/>
            <w:vAlign w:val="bottom"/>
          </w:tcPr>
          <w:p>
            <w:pPr>
              <w:ind w:left="180"/>
              <w:spacing w:after="0"/>
              <w:rPr>
                <w:sz w:val="20"/>
                <w:szCs w:val="20"/>
                <w:color w:val="auto"/>
              </w:rPr>
            </w:pPr>
            <w:r>
              <w:rPr>
                <w:rFonts w:ascii="Courier New" w:cs="Courier New" w:eastAsia="Courier New" w:hAnsi="Courier New"/>
                <w:sz w:val="16"/>
                <w:szCs w:val="16"/>
                <w:color w:val="auto"/>
              </w:rPr>
              <w:t>Other</w:t>
            </w:r>
          </w:p>
        </w:tc>
        <w:tc>
          <w:tcPr>
            <w:tcW w:w="280" w:type="dxa"/>
            <w:vAlign w:val="bottom"/>
          </w:tcPr>
          <w:p>
            <w:pPr>
              <w:spacing w:after="0"/>
              <w:rPr>
                <w:sz w:val="15"/>
                <w:szCs w:val="15"/>
                <w:color w:val="auto"/>
              </w:rPr>
            </w:pPr>
          </w:p>
        </w:tc>
        <w:tc>
          <w:tcPr>
            <w:tcW w:w="48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551</w:t>
            </w:r>
          </w:p>
        </w:tc>
        <w:tc>
          <w:tcPr>
            <w:tcW w:w="52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365</w:t>
            </w:r>
          </w:p>
        </w:tc>
      </w:tr>
      <w:tr>
        <w:trPr>
          <w:trHeight w:val="182"/>
        </w:trPr>
        <w:tc>
          <w:tcPr>
            <w:tcW w:w="6100" w:type="dxa"/>
            <w:vAlign w:val="bottom"/>
            <w:gridSpan w:val="3"/>
          </w:tcPr>
          <w:p>
            <w:pPr>
              <w:spacing w:after="0"/>
              <w:rPr>
                <w:sz w:val="20"/>
                <w:szCs w:val="20"/>
                <w:color w:val="auto"/>
              </w:rPr>
            </w:pPr>
            <w:r>
              <w:rPr>
                <w:rFonts w:ascii="Courier New" w:cs="Courier New" w:eastAsia="Courier New" w:hAnsi="Courier New"/>
                <w:sz w:val="16"/>
                <w:szCs w:val="16"/>
                <w:color w:val="auto"/>
              </w:rPr>
              <w:t>Net cash provided by financing activities and</w:t>
            </w:r>
          </w:p>
        </w:tc>
        <w:tc>
          <w:tcPr>
            <w:tcW w:w="4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2"/>
        </w:trPr>
        <w:tc>
          <w:tcPr>
            <w:tcW w:w="1000" w:type="dxa"/>
            <w:vAlign w:val="bottom"/>
          </w:tcPr>
          <w:p>
            <w:pPr>
              <w:ind w:left="280"/>
              <w:spacing w:after="0"/>
              <w:rPr>
                <w:sz w:val="20"/>
                <w:szCs w:val="20"/>
                <w:color w:val="auto"/>
              </w:rPr>
            </w:pPr>
            <w:r>
              <w:rPr>
                <w:rFonts w:ascii="Courier New" w:cs="Courier New" w:eastAsia="Courier New" w:hAnsi="Courier New"/>
                <w:sz w:val="16"/>
                <w:szCs w:val="16"/>
                <w:color w:val="auto"/>
              </w:rPr>
              <w:t>capital</w:t>
            </w:r>
          </w:p>
        </w:tc>
        <w:tc>
          <w:tcPr>
            <w:tcW w:w="510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transactions</w:t>
            </w:r>
          </w:p>
        </w:tc>
        <w:tc>
          <w:tcPr>
            <w:tcW w:w="480" w:type="dxa"/>
            <w:vAlign w:val="bottom"/>
          </w:tcPr>
          <w:p>
            <w:pPr>
              <w:spacing w:after="0"/>
              <w:rPr>
                <w:sz w:val="15"/>
                <w:szCs w:val="15"/>
                <w:color w:val="auto"/>
              </w:rPr>
            </w:pPr>
          </w:p>
        </w:tc>
        <w:tc>
          <w:tcPr>
            <w:tcW w:w="11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5,979</w:t>
            </w:r>
          </w:p>
        </w:tc>
        <w:tc>
          <w:tcPr>
            <w:tcW w:w="52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1,964</w:t>
            </w:r>
          </w:p>
        </w:tc>
      </w:tr>
      <w:tr>
        <w:trPr>
          <w:trHeight w:val="182"/>
        </w:trPr>
        <w:tc>
          <w:tcPr>
            <w:tcW w:w="6100" w:type="dxa"/>
            <w:vAlign w:val="bottom"/>
            <w:gridSpan w:val="3"/>
          </w:tcPr>
          <w:p>
            <w:pPr>
              <w:spacing w:after="0"/>
              <w:rPr>
                <w:sz w:val="20"/>
                <w:szCs w:val="20"/>
                <w:color w:val="auto"/>
              </w:rPr>
            </w:pPr>
            <w:r>
              <w:rPr>
                <w:rFonts w:ascii="Courier New" w:cs="Courier New" w:eastAsia="Courier New" w:hAnsi="Courier New"/>
                <w:sz w:val="16"/>
                <w:szCs w:val="16"/>
                <w:color w:val="auto"/>
              </w:rPr>
              <w:t>Net increase (decrease) in cash and cash equivalents</w:t>
            </w:r>
          </w:p>
        </w:tc>
        <w:tc>
          <w:tcPr>
            <w:tcW w:w="480" w:type="dxa"/>
            <w:vAlign w:val="bottom"/>
          </w:tcPr>
          <w:p>
            <w:pPr>
              <w:spacing w:after="0"/>
              <w:rPr>
                <w:sz w:val="15"/>
                <w:szCs w:val="15"/>
                <w:color w:val="auto"/>
              </w:rPr>
            </w:pPr>
          </w:p>
        </w:tc>
        <w:tc>
          <w:tcPr>
            <w:tcW w:w="11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1,271</w:t>
            </w:r>
          </w:p>
        </w:tc>
        <w:tc>
          <w:tcPr>
            <w:tcW w:w="5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(1,108)</w:t>
            </w:r>
          </w:p>
        </w:tc>
      </w:tr>
      <w:tr>
        <w:trPr>
          <w:trHeight w:val="364"/>
        </w:trPr>
        <w:tc>
          <w:tcPr>
            <w:tcW w:w="1280" w:type="dxa"/>
            <w:vAlign w:val="bottom"/>
            <w:gridSpan w:val="2"/>
          </w:tcPr>
          <w:p>
            <w:pPr>
              <w:spacing w:after="0"/>
              <w:rPr>
                <w:sz w:val="20"/>
                <w:szCs w:val="20"/>
                <w:color w:val="auto"/>
              </w:rPr>
            </w:pPr>
            <w:r>
              <w:rPr>
                <w:rFonts w:ascii="Courier New" w:cs="Courier New" w:eastAsia="Courier New" w:hAnsi="Courier New"/>
                <w:sz w:val="16"/>
                <w:szCs w:val="16"/>
                <w:color w:val="auto"/>
              </w:rPr>
              <w:t>Cash and cash</w:t>
            </w:r>
          </w:p>
        </w:tc>
        <w:tc>
          <w:tcPr>
            <w:tcW w:w="4820" w:type="dxa"/>
            <w:vAlign w:val="bottom"/>
          </w:tcPr>
          <w:p>
            <w:pPr>
              <w:ind w:left="40"/>
              <w:spacing w:after="0"/>
              <w:rPr>
                <w:sz w:val="20"/>
                <w:szCs w:val="20"/>
                <w:color w:val="auto"/>
              </w:rPr>
            </w:pPr>
            <w:r>
              <w:rPr>
                <w:rFonts w:ascii="Courier New" w:cs="Courier New" w:eastAsia="Courier New" w:hAnsi="Courier New"/>
                <w:sz w:val="16"/>
                <w:szCs w:val="16"/>
                <w:color w:val="auto"/>
              </w:rPr>
              <w:t>equivalents - beginning of period</w:t>
            </w:r>
          </w:p>
        </w:tc>
        <w:tc>
          <w:tcPr>
            <w:tcW w:w="480" w:type="dxa"/>
            <w:vAlign w:val="bottom"/>
          </w:tcPr>
          <w:p>
            <w:pPr>
              <w:spacing w:after="0"/>
              <w:rPr>
                <w:sz w:val="24"/>
                <w:szCs w:val="24"/>
                <w:color w:val="auto"/>
              </w:rPr>
            </w:pPr>
          </w:p>
        </w:tc>
        <w:tc>
          <w:tcPr>
            <w:tcW w:w="11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847</w:t>
            </w:r>
          </w:p>
        </w:tc>
        <w:tc>
          <w:tcPr>
            <w:tcW w:w="520" w:type="dxa"/>
            <w:vAlign w:val="bottom"/>
          </w:tcPr>
          <w:p>
            <w:pPr>
              <w:spacing w:after="0"/>
              <w:rPr>
                <w:sz w:val="24"/>
                <w:szCs w:val="24"/>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11,238</w:t>
            </w:r>
          </w:p>
        </w:tc>
      </w:tr>
      <w:tr>
        <w:trPr>
          <w:trHeight w:val="364"/>
        </w:trPr>
        <w:tc>
          <w:tcPr>
            <w:tcW w:w="1280" w:type="dxa"/>
            <w:vAlign w:val="bottom"/>
            <w:gridSpan w:val="2"/>
          </w:tcPr>
          <w:p>
            <w:pPr>
              <w:spacing w:after="0"/>
              <w:rPr>
                <w:sz w:val="20"/>
                <w:szCs w:val="20"/>
                <w:color w:val="auto"/>
              </w:rPr>
            </w:pPr>
            <w:r>
              <w:rPr>
                <w:rFonts w:ascii="Courier New" w:cs="Courier New" w:eastAsia="Courier New" w:hAnsi="Courier New"/>
                <w:sz w:val="16"/>
                <w:szCs w:val="16"/>
                <w:color w:val="auto"/>
              </w:rPr>
              <w:t>Cash and cash</w:t>
            </w:r>
          </w:p>
        </w:tc>
        <w:tc>
          <w:tcPr>
            <w:tcW w:w="4820" w:type="dxa"/>
            <w:vAlign w:val="bottom"/>
          </w:tcPr>
          <w:p>
            <w:pPr>
              <w:ind w:left="40"/>
              <w:spacing w:after="0"/>
              <w:rPr>
                <w:sz w:val="20"/>
                <w:szCs w:val="20"/>
                <w:color w:val="auto"/>
              </w:rPr>
            </w:pPr>
            <w:r>
              <w:rPr>
                <w:rFonts w:ascii="Courier New" w:cs="Courier New" w:eastAsia="Courier New" w:hAnsi="Courier New"/>
                <w:sz w:val="16"/>
                <w:szCs w:val="16"/>
                <w:color w:val="auto"/>
              </w:rPr>
              <w:t>equivalents - end of period</w:t>
            </w:r>
          </w:p>
        </w:tc>
        <w:tc>
          <w:tcPr>
            <w:tcW w:w="480" w:type="dxa"/>
            <w:vAlign w:val="bottom"/>
          </w:tcPr>
          <w:p>
            <w:pPr>
              <w:jc w:val="right"/>
              <w:ind w:right="81"/>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2,118</w:t>
            </w:r>
          </w:p>
        </w:tc>
        <w:tc>
          <w:tcPr>
            <w:tcW w:w="5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10,130</w:t>
            </w:r>
          </w:p>
        </w:tc>
      </w:tr>
    </w:tbl>
    <w:p>
      <w:pPr>
        <w:spacing w:after="0" w:line="200" w:lineRule="exact"/>
        <w:rPr>
          <w:sz w:val="20"/>
          <w:szCs w:val="20"/>
          <w:color w:val="auto"/>
        </w:rPr>
      </w:pPr>
    </w:p>
    <w:p>
      <w:pPr>
        <w:spacing w:after="0" w:line="346"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See Unaudited Condensed Notes to Consolidated Financial Statements.</w:t>
      </w:r>
    </w:p>
    <w:p>
      <w:pPr>
        <w:spacing w:after="0" w:line="364" w:lineRule="exact"/>
        <w:rPr>
          <w:sz w:val="20"/>
          <w:szCs w:val="20"/>
          <w:color w:val="auto"/>
        </w:rPr>
      </w:pPr>
    </w:p>
    <w:p>
      <w:pPr>
        <w:jc w:val="center"/>
        <w:ind w:right="2756"/>
        <w:spacing w:after="0"/>
        <w:rPr>
          <w:sz w:val="20"/>
          <w:szCs w:val="20"/>
          <w:color w:val="auto"/>
        </w:rPr>
      </w:pPr>
      <w:r>
        <w:rPr>
          <w:rFonts w:ascii="Courier New" w:cs="Courier New" w:eastAsia="Courier New" w:hAnsi="Courier New"/>
          <w:sz w:val="16"/>
          <w:szCs w:val="16"/>
          <w:color w:val="auto"/>
        </w:rPr>
        <w:t>WINNEBAGO INDUSTRIES, INC. AND SUBSIDIARIES</w:t>
      </w:r>
    </w:p>
    <w:p>
      <w:pPr>
        <w:spacing w:after="0" w:line="1" w:lineRule="exact"/>
        <w:rPr>
          <w:sz w:val="20"/>
          <w:szCs w:val="20"/>
          <w:color w:val="auto"/>
        </w:rPr>
      </w:pPr>
    </w:p>
    <w:p>
      <w:pPr>
        <w:jc w:val="center"/>
        <w:ind w:right="2656"/>
        <w:spacing w:after="0"/>
        <w:rPr>
          <w:sz w:val="20"/>
          <w:szCs w:val="20"/>
          <w:color w:val="auto"/>
        </w:rPr>
      </w:pPr>
      <w:r>
        <w:rPr>
          <w:rFonts w:ascii="Courier New" w:cs="Courier New" w:eastAsia="Courier New" w:hAnsi="Courier New"/>
          <w:sz w:val="16"/>
          <w:szCs w:val="16"/>
          <w:color w:val="auto"/>
        </w:rPr>
        <w:t>UNAUDITED CONDENSED NOTES TO CONSOLIDATED FINANCIAL STATEMENTS</w:t>
      </w:r>
    </w:p>
    <w:p>
      <w:pPr>
        <w:spacing w:after="0" w:line="186" w:lineRule="exact"/>
        <w:rPr>
          <w:sz w:val="20"/>
          <w:szCs w:val="20"/>
          <w:color w:val="auto"/>
        </w:rPr>
      </w:pPr>
    </w:p>
    <w:p>
      <w:pPr>
        <w:ind w:left="463" w:right="2659" w:hanging="463"/>
        <w:spacing w:after="0" w:line="239" w:lineRule="auto"/>
        <w:tabs>
          <w:tab w:leader="none" w:pos="463"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opinion of management, the accompanying unaudited consolidated condensed financial statements contain all adjustments, consisting of normal recurring accruals, necessary to present fairly the consolidated financial position as of May 27, 1995, the consolidated results of operations for the 13 and 39 weeks ended May 27, 1995 and May 28, 1994, and the consolidated cash flows for the 39 weeks ended May 27, 1995 and May 28, 1994.</w:t>
      </w:r>
    </w:p>
    <w:p>
      <w:pPr>
        <w:spacing w:after="0" w:line="191" w:lineRule="exact"/>
        <w:rPr>
          <w:rFonts w:ascii="Courier New" w:cs="Courier New" w:eastAsia="Courier New" w:hAnsi="Courier New"/>
          <w:sz w:val="16"/>
          <w:szCs w:val="16"/>
          <w:color w:val="auto"/>
        </w:rPr>
      </w:pPr>
    </w:p>
    <w:p>
      <w:pPr>
        <w:ind w:left="463" w:right="2759" w:hanging="463"/>
        <w:spacing w:after="0" w:line="239" w:lineRule="auto"/>
        <w:tabs>
          <w:tab w:leader="none" w:pos="463"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results of operations for the 39 weeks ended May 27, 1995, are not necessarily indicative of the results to be expected for the full year. Service revenues, in the Consolidated Statements of Operations, consist of revenues generated by Cycle-Sat, Inc. (Cycle-Sat) and Winnebago Acceptance Corporation (WAC), subsidiaries of the Company.</w:t>
      </w:r>
    </w:p>
    <w:p>
      <w:pPr>
        <w:spacing w:after="0" w:line="188" w:lineRule="exact"/>
        <w:rPr>
          <w:rFonts w:ascii="Courier New" w:cs="Courier New" w:eastAsia="Courier New" w:hAnsi="Courier New"/>
          <w:sz w:val="16"/>
          <w:szCs w:val="16"/>
          <w:color w:val="auto"/>
        </w:rPr>
      </w:pPr>
    </w:p>
    <w:p>
      <w:pPr>
        <w:ind w:left="463" w:right="2659" w:hanging="463"/>
        <w:spacing w:after="0" w:line="238" w:lineRule="auto"/>
        <w:tabs>
          <w:tab w:leader="none" w:pos="463"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Inventories are valued at the lower of cost or market, with cost being determined under the last-in, first-out (LIFO) method and market defined as net realizable value.</w:t>
      </w:r>
    </w:p>
    <w:p>
      <w:pPr>
        <w:spacing w:after="0" w:line="184" w:lineRule="exact"/>
        <w:rPr>
          <w:rFonts w:ascii="Courier New" w:cs="Courier New" w:eastAsia="Courier New" w:hAnsi="Courier New"/>
          <w:sz w:val="16"/>
          <w:szCs w:val="16"/>
          <w:color w:val="auto"/>
        </w:rPr>
      </w:pPr>
    </w:p>
    <w:p>
      <w:pPr>
        <w:ind w:left="46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Inventories are composed of the following (dollars in thousands):</w:t>
      </w:r>
    </w:p>
    <w:p>
      <w:pPr>
        <w:spacing w:after="0" w:line="200" w:lineRule="exact"/>
        <w:rPr>
          <w:sz w:val="20"/>
          <w:szCs w:val="20"/>
          <w:color w:val="auto"/>
        </w:rPr>
      </w:pPr>
    </w:p>
    <w:p>
      <w:pPr>
        <w:spacing w:after="0" w:line="346" w:lineRule="exact"/>
        <w:rPr>
          <w:sz w:val="20"/>
          <w:szCs w:val="20"/>
          <w:color w:val="auto"/>
        </w:rPr>
      </w:pPr>
    </w:p>
    <w:tbl>
      <w:tblPr>
        <w:tblLayout w:type="fixed"/>
        <w:tblInd w:w="2183" w:type="dxa"/>
        <w:tblCellMar>
          <w:top w:w="0" w:type="dxa"/>
          <w:left w:w="0" w:type="dxa"/>
          <w:bottom w:w="0" w:type="dxa"/>
          <w:right w:w="0" w:type="dxa"/>
        </w:tblCellMar>
      </w:tblPr>
      <w:tr>
        <w:trPr>
          <w:trHeight w:val="181"/>
        </w:trPr>
        <w:tc>
          <w:tcPr>
            <w:tcW w:w="3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May 27,</w:t>
            </w:r>
          </w:p>
        </w:tc>
        <w:tc>
          <w:tcPr>
            <w:tcW w:w="152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August 27,</w:t>
            </w:r>
          </w:p>
        </w:tc>
      </w:tr>
      <w:tr>
        <w:trPr>
          <w:trHeight w:val="182"/>
        </w:trPr>
        <w:tc>
          <w:tcPr>
            <w:tcW w:w="3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0" w:type="dxa"/>
            <w:vAlign w:val="bottom"/>
          </w:tcPr>
          <w:p>
            <w:pPr>
              <w:jc w:val="right"/>
              <w:ind w:right="961"/>
              <w:spacing w:after="0"/>
              <w:rPr>
                <w:sz w:val="20"/>
                <w:szCs w:val="20"/>
                <w:color w:val="auto"/>
              </w:rPr>
            </w:pPr>
            <w:r>
              <w:rPr>
                <w:rFonts w:ascii="Courier New" w:cs="Courier New" w:eastAsia="Courier New" w:hAnsi="Courier New"/>
                <w:sz w:val="16"/>
                <w:szCs w:val="16"/>
                <w:color w:val="auto"/>
              </w:rPr>
              <w:t>1995</w:t>
            </w:r>
          </w:p>
        </w:tc>
        <w:tc>
          <w:tcPr>
            <w:tcW w:w="580" w:type="dxa"/>
            <w:vAlign w:val="bottom"/>
          </w:tcPr>
          <w:p>
            <w:pPr>
              <w:spacing w:after="0"/>
              <w:rPr>
                <w:sz w:val="15"/>
                <w:szCs w:val="15"/>
                <w:color w:val="auto"/>
              </w:rPr>
            </w:pPr>
          </w:p>
        </w:tc>
        <w:tc>
          <w:tcPr>
            <w:tcW w:w="9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1994</w:t>
            </w:r>
          </w:p>
        </w:tc>
      </w:tr>
      <w:tr>
        <w:trPr>
          <w:trHeight w:val="546"/>
        </w:trPr>
        <w:tc>
          <w:tcPr>
            <w:tcW w:w="3340" w:type="dxa"/>
            <w:vAlign w:val="bottom"/>
          </w:tcPr>
          <w:p>
            <w:pPr>
              <w:spacing w:after="0"/>
              <w:rPr>
                <w:sz w:val="20"/>
                <w:szCs w:val="20"/>
                <w:color w:val="auto"/>
              </w:rPr>
            </w:pPr>
            <w:r>
              <w:rPr>
                <w:rFonts w:ascii="Courier New" w:cs="Courier New" w:eastAsia="Courier New" w:hAnsi="Courier New"/>
                <w:sz w:val="16"/>
                <w:szCs w:val="16"/>
                <w:color w:val="auto"/>
              </w:rPr>
              <w:t>Finished Goods....................</w:t>
            </w:r>
          </w:p>
        </w:tc>
        <w:tc>
          <w:tcPr>
            <w:tcW w:w="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29,914</w:t>
            </w:r>
          </w:p>
        </w:tc>
        <w:tc>
          <w:tcPr>
            <w:tcW w:w="580" w:type="dxa"/>
            <w:vAlign w:val="bottom"/>
          </w:tcPr>
          <w:p>
            <w:pPr>
              <w:ind w:left="380"/>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21,675</w:t>
            </w:r>
          </w:p>
        </w:tc>
      </w:tr>
      <w:tr>
        <w:trPr>
          <w:trHeight w:val="364"/>
        </w:trPr>
        <w:tc>
          <w:tcPr>
            <w:tcW w:w="3340" w:type="dxa"/>
            <w:vAlign w:val="bottom"/>
          </w:tcPr>
          <w:p>
            <w:pPr>
              <w:spacing w:after="0"/>
              <w:rPr>
                <w:sz w:val="20"/>
                <w:szCs w:val="20"/>
                <w:color w:val="auto"/>
              </w:rPr>
            </w:pPr>
            <w:r>
              <w:rPr>
                <w:rFonts w:ascii="Courier New" w:cs="Courier New" w:eastAsia="Courier New" w:hAnsi="Courier New"/>
                <w:sz w:val="16"/>
                <w:szCs w:val="16"/>
                <w:color w:val="auto"/>
              </w:rPr>
              <w:t>Work In Process...................</w:t>
            </w:r>
          </w:p>
        </w:tc>
        <w:tc>
          <w:tcPr>
            <w:tcW w:w="340" w:type="dxa"/>
            <w:vAlign w:val="bottom"/>
          </w:tcPr>
          <w:p>
            <w:pPr>
              <w:spacing w:after="0"/>
              <w:rPr>
                <w:sz w:val="24"/>
                <w:szCs w:val="24"/>
                <w:color w:val="auto"/>
              </w:rPr>
            </w:pPr>
          </w:p>
        </w:tc>
        <w:tc>
          <w:tcPr>
            <w:tcW w:w="160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13,621</w:t>
            </w:r>
          </w:p>
        </w:tc>
        <w:tc>
          <w:tcPr>
            <w:tcW w:w="5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13,807</w:t>
            </w:r>
          </w:p>
        </w:tc>
      </w:tr>
      <w:tr>
        <w:trPr>
          <w:trHeight w:val="364"/>
        </w:trPr>
        <w:tc>
          <w:tcPr>
            <w:tcW w:w="3340" w:type="dxa"/>
            <w:vAlign w:val="bottom"/>
          </w:tcPr>
          <w:p>
            <w:pPr>
              <w:spacing w:after="0"/>
              <w:rPr>
                <w:sz w:val="20"/>
                <w:szCs w:val="20"/>
                <w:color w:val="auto"/>
              </w:rPr>
            </w:pPr>
            <w:r>
              <w:rPr>
                <w:rFonts w:ascii="Courier New" w:cs="Courier New" w:eastAsia="Courier New" w:hAnsi="Courier New"/>
                <w:sz w:val="16"/>
                <w:szCs w:val="16"/>
                <w:color w:val="auto"/>
              </w:rPr>
              <w:t>Raw Materials.....................</w:t>
            </w:r>
          </w:p>
        </w:tc>
        <w:tc>
          <w:tcPr>
            <w:tcW w:w="340" w:type="dxa"/>
            <w:vAlign w:val="bottom"/>
          </w:tcPr>
          <w:p>
            <w:pPr>
              <w:spacing w:after="0"/>
              <w:rPr>
                <w:sz w:val="24"/>
                <w:szCs w:val="24"/>
                <w:color w:val="auto"/>
              </w:rPr>
            </w:pPr>
          </w:p>
        </w:tc>
        <w:tc>
          <w:tcPr>
            <w:tcW w:w="160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39,525</w:t>
            </w:r>
          </w:p>
        </w:tc>
        <w:tc>
          <w:tcPr>
            <w:tcW w:w="5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33,800</w:t>
            </w:r>
          </w:p>
        </w:tc>
      </w:tr>
      <w:tr>
        <w:trPr>
          <w:trHeight w:val="364"/>
        </w:trPr>
        <w:tc>
          <w:tcPr>
            <w:tcW w:w="3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83,060</w:t>
            </w:r>
          </w:p>
        </w:tc>
        <w:tc>
          <w:tcPr>
            <w:tcW w:w="5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69,282</w:t>
            </w:r>
          </w:p>
        </w:tc>
      </w:tr>
      <w:tr>
        <w:trPr>
          <w:trHeight w:val="182"/>
        </w:trPr>
        <w:tc>
          <w:tcPr>
            <w:tcW w:w="3340" w:type="dxa"/>
            <w:vAlign w:val="bottom"/>
          </w:tcPr>
          <w:p>
            <w:pPr>
              <w:spacing w:after="0"/>
              <w:rPr>
                <w:sz w:val="20"/>
                <w:szCs w:val="20"/>
                <w:color w:val="auto"/>
              </w:rPr>
            </w:pPr>
            <w:r>
              <w:rPr>
                <w:rFonts w:ascii="Courier New" w:cs="Courier New" w:eastAsia="Courier New" w:hAnsi="Courier New"/>
                <w:sz w:val="16"/>
                <w:szCs w:val="16"/>
                <w:color w:val="auto"/>
              </w:rPr>
              <w:t>LIFO Reserve......................</w:t>
            </w:r>
          </w:p>
        </w:tc>
        <w:tc>
          <w:tcPr>
            <w:tcW w:w="340" w:type="dxa"/>
            <w:vAlign w:val="bottom"/>
          </w:tcPr>
          <w:p>
            <w:pPr>
              <w:spacing w:after="0"/>
              <w:rPr>
                <w:sz w:val="15"/>
                <w:szCs w:val="15"/>
                <w:color w:val="auto"/>
              </w:rPr>
            </w:pPr>
          </w:p>
        </w:tc>
        <w:tc>
          <w:tcPr>
            <w:tcW w:w="160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14,671</w:t>
            </w:r>
          </w:p>
        </w:tc>
        <w:tc>
          <w:tcPr>
            <w:tcW w:w="5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13,832</w:t>
            </w:r>
          </w:p>
        </w:tc>
      </w:tr>
      <w:tr>
        <w:trPr>
          <w:trHeight w:val="364"/>
        </w:trPr>
        <w:tc>
          <w:tcPr>
            <w:tcW w:w="3340" w:type="dxa"/>
            <w:vAlign w:val="bottom"/>
          </w:tcPr>
          <w:p>
            <w:pPr>
              <w:spacing w:after="0"/>
              <w:rPr>
                <w:sz w:val="24"/>
                <w:szCs w:val="24"/>
                <w:color w:val="auto"/>
              </w:rPr>
            </w:pPr>
          </w:p>
        </w:tc>
        <w:tc>
          <w:tcPr>
            <w:tcW w:w="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68,389</w:t>
            </w:r>
          </w:p>
        </w:tc>
        <w:tc>
          <w:tcPr>
            <w:tcW w:w="580" w:type="dxa"/>
            <w:vAlign w:val="bottom"/>
          </w:tcPr>
          <w:p>
            <w:pPr>
              <w:ind w:left="380"/>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55,450</w:t>
            </w:r>
          </w:p>
        </w:tc>
      </w:tr>
    </w:tbl>
    <w:p>
      <w:pPr>
        <w:spacing w:after="0" w:line="368" w:lineRule="exact"/>
        <w:rPr>
          <w:sz w:val="20"/>
          <w:szCs w:val="20"/>
          <w:color w:val="auto"/>
        </w:rPr>
      </w:pPr>
    </w:p>
    <w:p>
      <w:pPr>
        <w:ind w:left="463" w:right="2659" w:hanging="463"/>
        <w:spacing w:after="0" w:line="257" w:lineRule="auto"/>
        <w:tabs>
          <w:tab w:leader="none" w:pos="463"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Since March, 1992, the Company has had a $12,000,000 financing and security agreement with NationsCredit Corporation (NationsCredit) formerly Chrysler First Commercial Corporation. Terms of the agreement limit borrowings to the lesser of $12,000,000 or 75% of eligible inventory (fully manufactured recreation vehicles ready for delivery to a dealer). Borrowings are secured by the Company's receivables and inventory. The agreement requires a graduated interest rate based upon the bank's reference rate as defined in the agreement. The line of credit is available for a term of one year and continues during successive one-year periods unless either party provides at least 90-days' notice prior to the end of the one-year period to the other party that they wish to terminate the line of credit. The agreement prohibits any advances, loans, or additional guarantees of any obligation to any subsidiary or affiliate in excess of $5,000,000 or $7,500,000 in the aggregate for all subsidiaries and affiliates from the date of the agreement. The agreement also includes certain restrictive covenants including maintenance of minimum net worth, working capital and debt to equity ratio. As of May 27, 1995, the Company was in compliance with these</w:t>
      </w:r>
    </w:p>
    <w:p>
      <w:pPr>
        <w:sectPr>
          <w:pgSz w:w="11900" w:h="16894" w:orient="portrait"/>
          <w:cols w:equalWidth="0" w:num="1">
            <w:col w:w="10222"/>
          </w:cols>
          <w:pgMar w:left="237" w:top="138" w:right="1440" w:bottom="0" w:gutter="0" w:footer="0" w:header="0"/>
        </w:sectPr>
      </w:pPr>
    </w:p>
    <w:bookmarkStart w:id="4" w:name="page5"/>
    <w:bookmarkEnd w:id="4"/>
    <w:p>
      <w:pPr>
        <w:spacing w:after="0" w:line="50" w:lineRule="exact"/>
        <w:rPr>
          <w:sz w:val="20"/>
          <w:szCs w:val="20"/>
          <w:color w:val="auto"/>
        </w:rPr>
      </w:pPr>
    </w:p>
    <w:p>
      <w:pPr>
        <w:ind w:left="463" w:right="2659"/>
        <w:spacing w:after="0" w:line="237" w:lineRule="auto"/>
        <w:rPr>
          <w:sz w:val="20"/>
          <w:szCs w:val="20"/>
          <w:color w:val="auto"/>
        </w:rPr>
      </w:pPr>
      <w:r>
        <w:rPr>
          <w:rFonts w:ascii="Courier New" w:cs="Courier New" w:eastAsia="Courier New" w:hAnsi="Courier New"/>
          <w:sz w:val="16"/>
          <w:szCs w:val="16"/>
          <w:color w:val="auto"/>
        </w:rPr>
        <w:t>covenants. There were no outstanding borrowings under the line of credit at May 27, 1995 or August 27, 1994.</w:t>
      </w:r>
    </w:p>
    <w:p>
      <w:pPr>
        <w:spacing w:after="0" w:line="188" w:lineRule="exact"/>
        <w:rPr>
          <w:sz w:val="20"/>
          <w:szCs w:val="20"/>
          <w:color w:val="auto"/>
        </w:rPr>
      </w:pPr>
    </w:p>
    <w:p>
      <w:pPr>
        <w:ind w:left="463" w:right="2659"/>
        <w:spacing w:after="0"/>
        <w:rPr>
          <w:sz w:val="20"/>
          <w:szCs w:val="20"/>
          <w:color w:val="auto"/>
        </w:rPr>
      </w:pPr>
      <w:r>
        <w:rPr>
          <w:rFonts w:ascii="Courier New" w:cs="Courier New" w:eastAsia="Courier New" w:hAnsi="Courier New"/>
          <w:sz w:val="16"/>
          <w:szCs w:val="16"/>
          <w:color w:val="auto"/>
        </w:rPr>
        <w:t>On January 31, 1995, the Company and Cycle-Sat amended the line of credit with Firstar Bank Cedar Rapids (Firstar) originally dated February 24, 1994. Terms of the amended agreement limit the amount advanced to the lesser of $4,500,000 or the sum of the base of 80 percent of Cycle-Sat's eligible accounts receivable and 50 percent of its inventory. The agreement contains restrictive covenants related to the maintenance of a minimum tangible net worth and other operating and debt ratios as defined in the agreement. As of May 27, 1995, Cycle-Sat was in compliance with these covenants. Borrowings under the line of credit are secured by Cycle-Sat's accounts receivable and inventories and have been guaranteed by the Company. The line of credit expires February 1, 1996. The outstanding balance under the line of credit at May 27, 1995 was $3,000,000 with an interest rate of 7.8125 percent per annum (90-day LIBOR plus 1.5 percent) and at August 27, 1994, $2,300,000 with an interest rate of 9.0 percent per annum. As of May 27, 1995, Cycle-Sat had $1,036,000 of unused borrowings available.</w:t>
      </w:r>
    </w:p>
    <w:p>
      <w:pPr>
        <w:spacing w:after="0" w:line="192" w:lineRule="exact"/>
        <w:rPr>
          <w:sz w:val="20"/>
          <w:szCs w:val="20"/>
          <w:color w:val="auto"/>
        </w:rPr>
      </w:pPr>
    </w:p>
    <w:p>
      <w:pPr>
        <w:ind w:left="463" w:right="2759" w:hanging="463"/>
        <w:spacing w:after="0"/>
        <w:tabs>
          <w:tab w:leader="none" w:pos="463"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It is customary practice for companies in the recreation vehicle industry to enter into repurchase agreements with lending institutions which have provided wholesale floor plan financing to dealers. The Company's agreements provide for the repurchase of its products from the financing institution in the event of repossession upon a dealer's default. The Company was contingently liable for approximately $147,248,000 and $118,954,000 under repurchase agreements with lending institutions as of May 27, 1995, and August 27, 1994, respectively. Included in these contingent liabilities are approximately $49,497,000 and $36,231,000, respectively, of certain dealer receivables subject to recourse agreements with ITT Commercial Finance Corporation, NationsCredit and John Deere Credit, Inc.</w:t>
      </w:r>
    </w:p>
    <w:p>
      <w:pPr>
        <w:spacing w:after="0" w:line="189" w:lineRule="exact"/>
        <w:rPr>
          <w:rFonts w:ascii="Courier New" w:cs="Courier New" w:eastAsia="Courier New" w:hAnsi="Courier New"/>
          <w:sz w:val="16"/>
          <w:szCs w:val="16"/>
          <w:color w:val="auto"/>
        </w:rPr>
      </w:pPr>
    </w:p>
    <w:p>
      <w:pPr>
        <w:ind w:left="463" w:right="3039" w:hanging="463"/>
        <w:spacing w:after="0" w:line="237" w:lineRule="auto"/>
        <w:tabs>
          <w:tab w:leader="none" w:pos="463"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Fiscal year-to-date the Company paid cash for the following (dollars in thousands):</w:t>
      </w:r>
    </w:p>
    <w:p>
      <w:pPr>
        <w:spacing w:after="0" w:line="184" w:lineRule="exact"/>
        <w:rPr>
          <w:sz w:val="20"/>
          <w:szCs w:val="20"/>
          <w:color w:val="auto"/>
        </w:rPr>
      </w:pPr>
    </w:p>
    <w:p>
      <w:pPr>
        <w:ind w:left="1703"/>
        <w:spacing w:after="0"/>
        <w:rPr>
          <w:sz w:val="20"/>
          <w:szCs w:val="20"/>
          <w:color w:val="auto"/>
        </w:rPr>
      </w:pPr>
      <w:r>
        <w:rPr>
          <w:rFonts w:ascii="Courier New" w:cs="Courier New" w:eastAsia="Courier New" w:hAnsi="Courier New"/>
          <w:sz w:val="16"/>
          <w:szCs w:val="16"/>
          <w:color w:val="auto"/>
        </w:rPr>
        <w:t>Thirty-Nine Weeks Ended</w:t>
      </w:r>
    </w:p>
    <w:p>
      <w:pPr>
        <w:spacing w:after="0" w:line="1" w:lineRule="exact"/>
        <w:rPr>
          <w:sz w:val="20"/>
          <w:szCs w:val="20"/>
          <w:color w:val="auto"/>
        </w:rPr>
      </w:pPr>
    </w:p>
    <w:p>
      <w:pPr>
        <w:ind w:left="2083"/>
        <w:spacing w:after="0"/>
        <w:tabs>
          <w:tab w:leader="none" w:pos="2903" w:val="left"/>
        </w:tabs>
        <w:rPr>
          <w:sz w:val="20"/>
          <w:szCs w:val="20"/>
          <w:color w:val="auto"/>
        </w:rPr>
      </w:pPr>
      <w:r>
        <w:rPr>
          <w:rFonts w:ascii="Courier New" w:cs="Courier New" w:eastAsia="Courier New" w:hAnsi="Courier New"/>
          <w:sz w:val="16"/>
          <w:szCs w:val="16"/>
          <w:color w:val="auto"/>
        </w:rPr>
        <w:t>May 27,</w:t>
        <w:tab/>
        <w:t>May 28,</w:t>
      </w:r>
    </w:p>
    <w:p>
      <w:pPr>
        <w:spacing w:after="0" w:line="1" w:lineRule="exact"/>
        <w:rPr>
          <w:sz w:val="20"/>
          <w:szCs w:val="20"/>
          <w:color w:val="auto"/>
        </w:rPr>
      </w:pPr>
    </w:p>
    <w:p>
      <w:pPr>
        <w:ind w:left="2183"/>
        <w:spacing w:after="0"/>
        <w:tabs>
          <w:tab w:leader="none" w:pos="3003" w:val="left"/>
        </w:tabs>
        <w:rPr>
          <w:sz w:val="20"/>
          <w:szCs w:val="20"/>
          <w:color w:val="auto"/>
        </w:rPr>
      </w:pPr>
      <w:r>
        <w:rPr>
          <w:rFonts w:ascii="Courier New" w:cs="Courier New" w:eastAsia="Courier New" w:hAnsi="Courier New"/>
          <w:sz w:val="16"/>
          <w:szCs w:val="16"/>
          <w:color w:val="auto"/>
        </w:rPr>
        <w:t>1995</w:t>
      </w:r>
      <w:r>
        <w:rPr>
          <w:sz w:val="20"/>
          <w:szCs w:val="20"/>
          <w:color w:val="auto"/>
        </w:rPr>
        <w:tab/>
      </w:r>
      <w:r>
        <w:rPr>
          <w:rFonts w:ascii="Courier New" w:cs="Courier New" w:eastAsia="Courier New" w:hAnsi="Courier New"/>
          <w:sz w:val="16"/>
          <w:szCs w:val="16"/>
          <w:color w:val="auto"/>
        </w:rPr>
        <w:t>1994</w:t>
      </w:r>
    </w:p>
    <w:p>
      <w:pPr>
        <w:spacing w:after="0" w:line="1" w:lineRule="exact"/>
        <w:rPr>
          <w:sz w:val="20"/>
          <w:szCs w:val="20"/>
          <w:color w:val="auto"/>
        </w:rPr>
      </w:pPr>
    </w:p>
    <w:p>
      <w:pPr>
        <w:ind w:left="663"/>
        <w:spacing w:after="0"/>
        <w:tabs>
          <w:tab w:leader="none" w:pos="2063" w:val="left"/>
          <w:tab w:leader="none" w:pos="2903" w:val="left"/>
          <w:tab w:leader="none" w:pos="3203" w:val="left"/>
        </w:tabs>
        <w:rPr>
          <w:sz w:val="20"/>
          <w:szCs w:val="20"/>
          <w:color w:val="auto"/>
        </w:rPr>
      </w:pPr>
      <w:r>
        <w:rPr>
          <w:rFonts w:ascii="Courier New" w:cs="Courier New" w:eastAsia="Courier New" w:hAnsi="Courier New"/>
          <w:sz w:val="16"/>
          <w:szCs w:val="16"/>
          <w:color w:val="auto"/>
        </w:rPr>
        <w:t>Interest</w:t>
      </w:r>
      <w:r>
        <w:rPr>
          <w:sz w:val="20"/>
          <w:szCs w:val="20"/>
          <w:color w:val="auto"/>
        </w:rPr>
        <w:tab/>
      </w:r>
      <w:r>
        <w:rPr>
          <w:rFonts w:ascii="Courier New" w:cs="Courier New" w:eastAsia="Courier New" w:hAnsi="Courier New"/>
          <w:sz w:val="16"/>
          <w:szCs w:val="16"/>
          <w:color w:val="auto"/>
        </w:rPr>
        <w:t>$1,023</w:t>
        <w:tab/>
        <w:t>$</w:t>
      </w:r>
      <w:r>
        <w:rPr>
          <w:sz w:val="20"/>
          <w:szCs w:val="20"/>
          <w:color w:val="auto"/>
        </w:rPr>
        <w:tab/>
      </w:r>
      <w:r>
        <w:rPr>
          <w:rFonts w:ascii="Courier New" w:cs="Courier New" w:eastAsia="Courier New" w:hAnsi="Courier New"/>
          <w:sz w:val="15"/>
          <w:szCs w:val="15"/>
          <w:color w:val="auto"/>
        </w:rPr>
        <w:t>870</w:t>
      </w:r>
    </w:p>
    <w:p>
      <w:pPr>
        <w:spacing w:after="0" w:line="1" w:lineRule="exact"/>
        <w:rPr>
          <w:sz w:val="20"/>
          <w:szCs w:val="20"/>
          <w:color w:val="auto"/>
        </w:rPr>
      </w:pPr>
    </w:p>
    <w:p>
      <w:pPr>
        <w:ind w:left="663"/>
        <w:spacing w:after="0"/>
        <w:tabs>
          <w:tab w:leader="none" w:pos="2163" w:val="left"/>
          <w:tab w:leader="none" w:pos="3003" w:val="left"/>
        </w:tabs>
        <w:rPr>
          <w:sz w:val="20"/>
          <w:szCs w:val="20"/>
          <w:color w:val="auto"/>
        </w:rPr>
      </w:pPr>
      <w:r>
        <w:rPr>
          <w:rFonts w:ascii="Courier New" w:cs="Courier New" w:eastAsia="Courier New" w:hAnsi="Courier New"/>
          <w:sz w:val="16"/>
          <w:szCs w:val="16"/>
          <w:color w:val="auto"/>
        </w:rPr>
        <w:t>Income Taxes</w:t>
      </w:r>
      <w:r>
        <w:rPr>
          <w:sz w:val="20"/>
          <w:szCs w:val="20"/>
          <w:color w:val="auto"/>
        </w:rPr>
        <w:tab/>
      </w:r>
      <w:r>
        <w:rPr>
          <w:rFonts w:ascii="Courier New" w:cs="Courier New" w:eastAsia="Courier New" w:hAnsi="Courier New"/>
          <w:sz w:val="16"/>
          <w:szCs w:val="16"/>
          <w:color w:val="auto"/>
        </w:rPr>
        <w:t>6,989</w:t>
      </w:r>
      <w:r>
        <w:rPr>
          <w:sz w:val="20"/>
          <w:szCs w:val="20"/>
          <w:color w:val="auto"/>
        </w:rPr>
        <w:tab/>
      </w:r>
      <w:r>
        <w:rPr>
          <w:rFonts w:ascii="Courier New" w:cs="Courier New" w:eastAsia="Courier New" w:hAnsi="Courier New"/>
          <w:sz w:val="16"/>
          <w:szCs w:val="16"/>
          <w:color w:val="auto"/>
        </w:rPr>
        <w:t>2,809</w:t>
      </w:r>
    </w:p>
    <w:p>
      <w:pPr>
        <w:spacing w:after="0" w:line="186" w:lineRule="exact"/>
        <w:rPr>
          <w:sz w:val="20"/>
          <w:szCs w:val="20"/>
          <w:color w:val="auto"/>
        </w:rPr>
      </w:pPr>
    </w:p>
    <w:p>
      <w:pPr>
        <w:ind w:left="463" w:right="2759" w:hanging="463"/>
        <w:spacing w:after="0" w:line="238" w:lineRule="auto"/>
        <w:tabs>
          <w:tab w:leader="none" w:pos="463"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May 27, 1995, Postretirement Health Care and Deferred Compensation Benefits included postretirement benefits related to health care and other benefits of $24,148,000 and deferred compensation of $20,664,000.</w:t>
      </w:r>
    </w:p>
    <w:p>
      <w:pPr>
        <w:spacing w:after="0" w:line="188" w:lineRule="exact"/>
        <w:rPr>
          <w:rFonts w:ascii="Courier New" w:cs="Courier New" w:eastAsia="Courier New" w:hAnsi="Courier New"/>
          <w:sz w:val="16"/>
          <w:szCs w:val="16"/>
          <w:color w:val="auto"/>
        </w:rPr>
      </w:pPr>
    </w:p>
    <w:p>
      <w:pPr>
        <w:ind w:left="463" w:right="2759"/>
        <w:spacing w:after="0" w:line="23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Net postretirement benefit cost for the 13 and 39 weeks ended May 27, 1995 consisted of the following components:</w:t>
      </w:r>
    </w:p>
    <w:p>
      <w:pPr>
        <w:spacing w:after="0" w:line="184" w:lineRule="exact"/>
        <w:rPr>
          <w:sz w:val="20"/>
          <w:szCs w:val="20"/>
          <w:color w:val="auto"/>
        </w:rPr>
      </w:pPr>
    </w:p>
    <w:tbl>
      <w:tblPr>
        <w:tblLayout w:type="fixed"/>
        <w:tblInd w:w="663" w:type="dxa"/>
        <w:tblCellMar>
          <w:top w:w="0" w:type="dxa"/>
          <w:left w:w="0" w:type="dxa"/>
          <w:bottom w:w="0" w:type="dxa"/>
          <w:right w:w="0" w:type="dxa"/>
        </w:tblCellMar>
      </w:tblPr>
      <w:tr>
        <w:trPr>
          <w:trHeight w:val="181"/>
        </w:trPr>
        <w:tc>
          <w:tcPr>
            <w:tcW w:w="3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tcPr>
          <w:p>
            <w:pPr>
              <w:ind w:left="100"/>
              <w:spacing w:after="0"/>
              <w:rPr>
                <w:sz w:val="20"/>
                <w:szCs w:val="20"/>
                <w:color w:val="auto"/>
              </w:rPr>
            </w:pPr>
            <w:r>
              <w:rPr>
                <w:rFonts w:ascii="Courier New" w:cs="Courier New" w:eastAsia="Courier New" w:hAnsi="Courier New"/>
                <w:sz w:val="16"/>
                <w:szCs w:val="16"/>
                <w:color w:val="auto"/>
              </w:rPr>
              <w:t>Thirteen</w:t>
            </w:r>
          </w:p>
        </w:tc>
        <w:tc>
          <w:tcPr>
            <w:tcW w:w="2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w w:val="96"/>
              </w:rPr>
              <w:t>Thirty-Nine</w:t>
            </w:r>
          </w:p>
        </w:tc>
      </w:tr>
      <w:tr>
        <w:trPr>
          <w:trHeight w:val="182"/>
        </w:trPr>
        <w:tc>
          <w:tcPr>
            <w:tcW w:w="3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tcPr>
          <w:p>
            <w:pPr>
              <w:ind w:left="200"/>
              <w:spacing w:after="0"/>
              <w:rPr>
                <w:sz w:val="20"/>
                <w:szCs w:val="20"/>
                <w:color w:val="auto"/>
              </w:rPr>
            </w:pPr>
            <w:r>
              <w:rPr>
                <w:rFonts w:ascii="Courier New" w:cs="Courier New" w:eastAsia="Courier New" w:hAnsi="Courier New"/>
                <w:sz w:val="16"/>
                <w:szCs w:val="16"/>
                <w:color w:val="auto"/>
              </w:rPr>
              <w:t>Weeks</w:t>
            </w:r>
          </w:p>
        </w:tc>
        <w:tc>
          <w:tcPr>
            <w:tcW w:w="24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Weeks</w:t>
            </w:r>
          </w:p>
        </w:tc>
      </w:tr>
      <w:tr>
        <w:trPr>
          <w:trHeight w:val="182"/>
        </w:trPr>
        <w:tc>
          <w:tcPr>
            <w:tcW w:w="3400" w:type="dxa"/>
            <w:vAlign w:val="bottom"/>
          </w:tcPr>
          <w:p>
            <w:pPr>
              <w:spacing w:after="0"/>
              <w:rPr>
                <w:sz w:val="20"/>
                <w:szCs w:val="20"/>
                <w:color w:val="auto"/>
              </w:rPr>
            </w:pPr>
            <w:r>
              <w:rPr>
                <w:rFonts w:ascii="Courier New" w:cs="Courier New" w:eastAsia="Courier New" w:hAnsi="Courier New"/>
                <w:sz w:val="16"/>
                <w:szCs w:val="16"/>
                <w:color w:val="auto"/>
              </w:rPr>
              <w:t>Service cost - benefits</w:t>
            </w:r>
          </w:p>
        </w:tc>
        <w:tc>
          <w:tcPr>
            <w:tcW w:w="3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2"/>
        </w:trPr>
        <w:tc>
          <w:tcPr>
            <w:tcW w:w="3400" w:type="dxa"/>
            <w:vAlign w:val="bottom"/>
          </w:tcPr>
          <w:p>
            <w:pPr>
              <w:ind w:left="100"/>
              <w:spacing w:after="0"/>
              <w:rPr>
                <w:sz w:val="20"/>
                <w:szCs w:val="20"/>
                <w:color w:val="auto"/>
              </w:rPr>
            </w:pPr>
            <w:r>
              <w:rPr>
                <w:rFonts w:ascii="Courier New" w:cs="Courier New" w:eastAsia="Courier New" w:hAnsi="Courier New"/>
                <w:sz w:val="16"/>
                <w:szCs w:val="16"/>
                <w:color w:val="auto"/>
              </w:rPr>
              <w:t>earned during the period</w:t>
            </w:r>
          </w:p>
        </w:tc>
        <w:tc>
          <w:tcPr>
            <w:tcW w:w="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ind w:left="200"/>
              <w:spacing w:after="0"/>
              <w:rPr>
                <w:sz w:val="20"/>
                <w:szCs w:val="20"/>
                <w:color w:val="auto"/>
              </w:rPr>
            </w:pPr>
            <w:r>
              <w:rPr>
                <w:rFonts w:ascii="Courier New" w:cs="Courier New" w:eastAsia="Courier New" w:hAnsi="Courier New"/>
                <w:sz w:val="16"/>
                <w:szCs w:val="16"/>
                <w:color w:val="auto"/>
              </w:rPr>
              <w:t>262,000</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785,000</w:t>
            </w:r>
          </w:p>
        </w:tc>
      </w:tr>
      <w:tr>
        <w:trPr>
          <w:trHeight w:val="182"/>
        </w:trPr>
        <w:tc>
          <w:tcPr>
            <w:tcW w:w="3400" w:type="dxa"/>
            <w:vAlign w:val="bottom"/>
          </w:tcPr>
          <w:p>
            <w:pPr>
              <w:spacing w:after="0"/>
              <w:rPr>
                <w:sz w:val="20"/>
                <w:szCs w:val="20"/>
                <w:color w:val="auto"/>
              </w:rPr>
            </w:pPr>
            <w:r>
              <w:rPr>
                <w:rFonts w:ascii="Courier New" w:cs="Courier New" w:eastAsia="Courier New" w:hAnsi="Courier New"/>
                <w:sz w:val="16"/>
                <w:szCs w:val="16"/>
                <w:color w:val="auto"/>
              </w:rPr>
              <w:t>Interest cost on accumulated</w:t>
            </w:r>
          </w:p>
        </w:tc>
        <w:tc>
          <w:tcPr>
            <w:tcW w:w="3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2"/>
        </w:trPr>
        <w:tc>
          <w:tcPr>
            <w:tcW w:w="3400" w:type="dxa"/>
            <w:vAlign w:val="bottom"/>
          </w:tcPr>
          <w:p>
            <w:pPr>
              <w:ind w:left="100"/>
              <w:spacing w:after="0"/>
              <w:rPr>
                <w:sz w:val="20"/>
                <w:szCs w:val="20"/>
                <w:color w:val="auto"/>
              </w:rPr>
            </w:pPr>
            <w:r>
              <w:rPr>
                <w:rFonts w:ascii="Courier New" w:cs="Courier New" w:eastAsia="Courier New" w:hAnsi="Courier New"/>
                <w:sz w:val="16"/>
                <w:szCs w:val="16"/>
                <w:color w:val="auto"/>
              </w:rPr>
              <w:t>postretirement benefit obligation</w:t>
            </w:r>
          </w:p>
        </w:tc>
        <w:tc>
          <w:tcPr>
            <w:tcW w:w="380" w:type="dxa"/>
            <w:vAlign w:val="bottom"/>
          </w:tcPr>
          <w:p>
            <w:pPr>
              <w:spacing w:after="0"/>
              <w:rPr>
                <w:sz w:val="15"/>
                <w:szCs w:val="15"/>
                <w:color w:val="auto"/>
              </w:rPr>
            </w:pPr>
          </w:p>
        </w:tc>
        <w:tc>
          <w:tcPr>
            <w:tcW w:w="1080" w:type="dxa"/>
            <w:vAlign w:val="bottom"/>
          </w:tcPr>
          <w:p>
            <w:pPr>
              <w:ind w:left="200"/>
              <w:spacing w:after="0"/>
              <w:rPr>
                <w:sz w:val="20"/>
                <w:szCs w:val="20"/>
                <w:color w:val="auto"/>
              </w:rPr>
            </w:pPr>
            <w:r>
              <w:rPr>
                <w:rFonts w:ascii="Courier New" w:cs="Courier New" w:eastAsia="Courier New" w:hAnsi="Courier New"/>
                <w:sz w:val="16"/>
                <w:szCs w:val="16"/>
                <w:color w:val="auto"/>
              </w:rPr>
              <w:t>292,000</w:t>
            </w:r>
          </w:p>
        </w:tc>
        <w:tc>
          <w:tcPr>
            <w:tcW w:w="240" w:type="dxa"/>
            <w:vAlign w:val="bottom"/>
          </w:tcPr>
          <w:p>
            <w:pPr>
              <w:spacing w:after="0"/>
              <w:rPr>
                <w:sz w:val="15"/>
                <w:szCs w:val="15"/>
                <w:color w:val="auto"/>
              </w:rPr>
            </w:pPr>
          </w:p>
        </w:tc>
        <w:tc>
          <w:tcPr>
            <w:tcW w:w="1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878,000</w:t>
            </w:r>
          </w:p>
        </w:tc>
      </w:tr>
      <w:tr>
        <w:trPr>
          <w:trHeight w:val="182"/>
        </w:trPr>
        <w:tc>
          <w:tcPr>
            <w:tcW w:w="3400" w:type="dxa"/>
            <w:vAlign w:val="bottom"/>
          </w:tcPr>
          <w:p>
            <w:pPr>
              <w:spacing w:after="0"/>
              <w:rPr>
                <w:sz w:val="20"/>
                <w:szCs w:val="20"/>
                <w:color w:val="auto"/>
              </w:rPr>
            </w:pPr>
            <w:r>
              <w:rPr>
                <w:rFonts w:ascii="Courier New" w:cs="Courier New" w:eastAsia="Courier New" w:hAnsi="Courier New"/>
                <w:sz w:val="16"/>
                <w:szCs w:val="16"/>
                <w:color w:val="auto"/>
              </w:rPr>
              <w:t>Amortization of (gain)/loss</w:t>
            </w:r>
          </w:p>
        </w:tc>
        <w:tc>
          <w:tcPr>
            <w:tcW w:w="380" w:type="dxa"/>
            <w:vAlign w:val="bottom"/>
          </w:tcPr>
          <w:p>
            <w:pPr>
              <w:spacing w:after="0"/>
              <w:rPr>
                <w:sz w:val="15"/>
                <w:szCs w:val="15"/>
                <w:color w:val="auto"/>
              </w:rPr>
            </w:pPr>
          </w:p>
        </w:tc>
        <w:tc>
          <w:tcPr>
            <w:tcW w:w="1080" w:type="dxa"/>
            <w:vAlign w:val="bottom"/>
          </w:tcPr>
          <w:p>
            <w:pPr>
              <w:ind w:left="200"/>
              <w:spacing w:after="0"/>
              <w:rPr>
                <w:sz w:val="20"/>
                <w:szCs w:val="20"/>
                <w:color w:val="auto"/>
              </w:rPr>
            </w:pPr>
            <w:r>
              <w:rPr>
                <w:rFonts w:ascii="Courier New" w:cs="Courier New" w:eastAsia="Courier New" w:hAnsi="Courier New"/>
                <w:sz w:val="16"/>
                <w:szCs w:val="16"/>
                <w:color w:val="auto"/>
              </w:rPr>
              <w:t>(95,000)</w:t>
            </w:r>
          </w:p>
        </w:tc>
        <w:tc>
          <w:tcPr>
            <w:tcW w:w="2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(285,000)</w:t>
            </w:r>
          </w:p>
        </w:tc>
      </w:tr>
      <w:tr>
        <w:trPr>
          <w:trHeight w:val="182"/>
        </w:trPr>
        <w:tc>
          <w:tcPr>
            <w:tcW w:w="3400" w:type="dxa"/>
            <w:vAlign w:val="bottom"/>
          </w:tcPr>
          <w:p>
            <w:pPr>
              <w:spacing w:after="0"/>
              <w:rPr>
                <w:sz w:val="15"/>
                <w:szCs w:val="15"/>
                <w:color w:val="auto"/>
              </w:rPr>
            </w:pPr>
          </w:p>
        </w:tc>
        <w:tc>
          <w:tcPr>
            <w:tcW w:w="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ind w:left="200"/>
              <w:spacing w:after="0"/>
              <w:rPr>
                <w:sz w:val="20"/>
                <w:szCs w:val="20"/>
                <w:color w:val="auto"/>
              </w:rPr>
            </w:pPr>
            <w:r>
              <w:rPr>
                <w:rFonts w:ascii="Courier New" w:cs="Courier New" w:eastAsia="Courier New" w:hAnsi="Courier New"/>
                <w:sz w:val="16"/>
                <w:szCs w:val="16"/>
                <w:color w:val="auto"/>
              </w:rPr>
              <w:t>459,000</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1,378,000</w:t>
            </w:r>
          </w:p>
        </w:tc>
      </w:tr>
    </w:tbl>
    <w:p>
      <w:pPr>
        <w:spacing w:after="0" w:line="368" w:lineRule="exact"/>
        <w:rPr>
          <w:sz w:val="20"/>
          <w:szCs w:val="20"/>
          <w:color w:val="auto"/>
        </w:rPr>
      </w:pPr>
    </w:p>
    <w:p>
      <w:pPr>
        <w:ind w:left="463" w:right="2759" w:hanging="463"/>
        <w:spacing w:after="0" w:line="258" w:lineRule="auto"/>
        <w:tabs>
          <w:tab w:leader="none" w:pos="463"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August 27, 1994, the Company had a valuation allowance of $15,400,000 related to its deferred tax assets due to uncertainty as to future utilization of those assets. During 1995, the valuation allowance has been reduced as income is earned. In addition, in the second quarter of fiscal 1995, the Company recognized a tax benefit of $6,000,000 due to continued trend of earnings which increased the likelihood that the Company will realize its gross deferred tax assets in the future thus eliminating the need for a portion of the valuation allowance. Future changes in the valuation allowance will depend upon future operating results.</w:t>
      </w:r>
    </w:p>
    <w:p>
      <w:pPr>
        <w:spacing w:after="0" w:line="174" w:lineRule="exact"/>
        <w:rPr>
          <w:rFonts w:ascii="Courier New" w:cs="Courier New" w:eastAsia="Courier New" w:hAnsi="Courier New"/>
          <w:sz w:val="15"/>
          <w:szCs w:val="15"/>
          <w:color w:val="auto"/>
        </w:rPr>
      </w:pPr>
    </w:p>
    <w:p>
      <w:pPr>
        <w:ind w:left="463" w:right="2759"/>
        <w:spacing w:after="0" w:line="238"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A reconciliation of the expected income tax provision at Federal statutory rates with the amount provided for the 13 and 39 weeks ended May 27, 1995 is as follows (dollars in thousands):</w:t>
      </w:r>
    </w:p>
    <w:p>
      <w:pPr>
        <w:spacing w:after="0" w:line="184" w:lineRule="exact"/>
        <w:rPr>
          <w:sz w:val="20"/>
          <w:szCs w:val="20"/>
          <w:color w:val="auto"/>
        </w:rPr>
      </w:pPr>
    </w:p>
    <w:tbl>
      <w:tblPr>
        <w:tblLayout w:type="fixed"/>
        <w:tblInd w:w="663" w:type="dxa"/>
        <w:tblCellMar>
          <w:top w:w="0" w:type="dxa"/>
          <w:left w:w="0" w:type="dxa"/>
          <w:bottom w:w="0" w:type="dxa"/>
          <w:right w:w="0" w:type="dxa"/>
        </w:tblCellMar>
      </w:tblPr>
      <w:tr>
        <w:trPr>
          <w:trHeight w:val="181"/>
        </w:trPr>
        <w:tc>
          <w:tcPr>
            <w:tcW w:w="11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840" w:type="dxa"/>
            <w:vAlign w:val="bottom"/>
            <w:gridSpan w:val="2"/>
          </w:tcPr>
          <w:p>
            <w:pPr>
              <w:ind w:left="760"/>
              <w:spacing w:after="0"/>
              <w:rPr>
                <w:sz w:val="20"/>
                <w:szCs w:val="20"/>
                <w:color w:val="auto"/>
              </w:rPr>
            </w:pPr>
            <w:r>
              <w:rPr>
                <w:rFonts w:ascii="Courier New" w:cs="Courier New" w:eastAsia="Courier New" w:hAnsi="Courier New"/>
                <w:sz w:val="16"/>
                <w:szCs w:val="16"/>
                <w:color w:val="auto"/>
              </w:rPr>
              <w:t>Thirteen</w:t>
            </w:r>
          </w:p>
        </w:tc>
        <w:tc>
          <w:tcPr>
            <w:tcW w:w="1180" w:type="dxa"/>
            <w:vAlign w:val="bottom"/>
            <w:gridSpan w:val="2"/>
          </w:tcPr>
          <w:p>
            <w:pPr>
              <w:ind w:left="140"/>
              <w:spacing w:after="0"/>
              <w:rPr>
                <w:sz w:val="20"/>
                <w:szCs w:val="20"/>
                <w:color w:val="auto"/>
              </w:rPr>
            </w:pPr>
            <w:r>
              <w:rPr>
                <w:rFonts w:ascii="Courier New" w:cs="Courier New" w:eastAsia="Courier New" w:hAnsi="Courier New"/>
                <w:sz w:val="16"/>
                <w:szCs w:val="16"/>
                <w:color w:val="auto"/>
                <w:w w:val="96"/>
              </w:rPr>
              <w:t>Thirty-Nine</w:t>
            </w:r>
          </w:p>
        </w:tc>
      </w:tr>
      <w:tr>
        <w:trPr>
          <w:trHeight w:val="182"/>
        </w:trPr>
        <w:tc>
          <w:tcPr>
            <w:tcW w:w="11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4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Weeks</w:t>
            </w:r>
          </w:p>
        </w:tc>
        <w:tc>
          <w:tcPr>
            <w:tcW w:w="300" w:type="dxa"/>
            <w:vAlign w:val="bottom"/>
          </w:tcPr>
          <w:p>
            <w:pPr>
              <w:spacing w:after="0"/>
              <w:rPr>
                <w:sz w:val="15"/>
                <w:szCs w:val="15"/>
                <w:color w:val="auto"/>
              </w:rPr>
            </w:pPr>
          </w:p>
        </w:tc>
        <w:tc>
          <w:tcPr>
            <w:tcW w:w="8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Weeks</w:t>
            </w:r>
          </w:p>
        </w:tc>
      </w:tr>
      <w:tr>
        <w:trPr>
          <w:trHeight w:val="182"/>
        </w:trPr>
        <w:tc>
          <w:tcPr>
            <w:tcW w:w="1180" w:type="dxa"/>
            <w:vAlign w:val="bottom"/>
          </w:tcPr>
          <w:p>
            <w:pPr>
              <w:spacing w:after="0"/>
              <w:rPr>
                <w:sz w:val="20"/>
                <w:szCs w:val="20"/>
                <w:color w:val="auto"/>
              </w:rPr>
            </w:pPr>
            <w:r>
              <w:rPr>
                <w:rFonts w:ascii="Courier New" w:cs="Courier New" w:eastAsia="Courier New" w:hAnsi="Courier New"/>
                <w:sz w:val="16"/>
                <w:szCs w:val="16"/>
                <w:color w:val="auto"/>
              </w:rPr>
              <w:t>U.S. Federal</w:t>
            </w:r>
          </w:p>
        </w:tc>
        <w:tc>
          <w:tcPr>
            <w:tcW w:w="2600" w:type="dxa"/>
            <w:vAlign w:val="bottom"/>
          </w:tcPr>
          <w:p>
            <w:pPr>
              <w:ind w:left="40"/>
              <w:spacing w:after="0"/>
              <w:rPr>
                <w:sz w:val="20"/>
                <w:szCs w:val="20"/>
                <w:color w:val="auto"/>
              </w:rPr>
            </w:pPr>
            <w:r>
              <w:rPr>
                <w:rFonts w:ascii="Courier New" w:cs="Courier New" w:eastAsia="Courier New" w:hAnsi="Courier New"/>
                <w:sz w:val="16"/>
                <w:szCs w:val="16"/>
                <w:color w:val="auto"/>
              </w:rPr>
              <w:t>Statutory Rate</w:t>
            </w:r>
          </w:p>
        </w:tc>
        <w:tc>
          <w:tcPr>
            <w:tcW w:w="900" w:type="dxa"/>
            <w:vAlign w:val="bottom"/>
          </w:tcPr>
          <w:p>
            <w:pPr>
              <w:ind w:left="760"/>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2,302</w:t>
            </w:r>
          </w:p>
        </w:tc>
        <w:tc>
          <w:tcPr>
            <w:tcW w:w="30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7,095</w:t>
            </w:r>
          </w:p>
        </w:tc>
      </w:tr>
      <w:tr>
        <w:trPr>
          <w:trHeight w:val="182"/>
        </w:trPr>
        <w:tc>
          <w:tcPr>
            <w:tcW w:w="1180" w:type="dxa"/>
            <w:vAlign w:val="bottom"/>
          </w:tcPr>
          <w:p>
            <w:pPr>
              <w:spacing w:after="0"/>
              <w:rPr>
                <w:sz w:val="20"/>
                <w:szCs w:val="20"/>
                <w:color w:val="auto"/>
              </w:rPr>
            </w:pPr>
            <w:r>
              <w:rPr>
                <w:rFonts w:ascii="Courier New" w:cs="Courier New" w:eastAsia="Courier New" w:hAnsi="Courier New"/>
                <w:sz w:val="16"/>
                <w:szCs w:val="16"/>
                <w:color w:val="auto"/>
              </w:rPr>
              <w:t>Other</w:t>
            </w:r>
          </w:p>
        </w:tc>
        <w:tc>
          <w:tcPr>
            <w:tcW w:w="26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(65)</w:t>
            </w:r>
          </w:p>
        </w:tc>
        <w:tc>
          <w:tcPr>
            <w:tcW w:w="300" w:type="dxa"/>
            <w:vAlign w:val="bottom"/>
          </w:tcPr>
          <w:p>
            <w:pPr>
              <w:spacing w:after="0"/>
              <w:rPr>
                <w:sz w:val="15"/>
                <w:szCs w:val="15"/>
                <w:color w:val="auto"/>
              </w:rPr>
            </w:pPr>
          </w:p>
        </w:tc>
        <w:tc>
          <w:tcPr>
            <w:tcW w:w="880" w:type="dxa"/>
            <w:vAlign w:val="bottom"/>
          </w:tcPr>
          <w:p>
            <w:pPr>
              <w:jc w:val="right"/>
              <w:ind w:right="1"/>
              <w:spacing w:after="0"/>
              <w:rPr>
                <w:sz w:val="20"/>
                <w:szCs w:val="20"/>
                <w:color w:val="auto"/>
              </w:rPr>
            </w:pPr>
            <w:r>
              <w:rPr>
                <w:rFonts w:ascii="Courier New" w:cs="Courier New" w:eastAsia="Courier New" w:hAnsi="Courier New"/>
                <w:sz w:val="16"/>
                <w:szCs w:val="16"/>
                <w:color w:val="auto"/>
              </w:rPr>
              <w:t>(224)</w:t>
            </w:r>
          </w:p>
        </w:tc>
      </w:tr>
      <w:tr>
        <w:trPr>
          <w:trHeight w:val="182"/>
        </w:trPr>
        <w:tc>
          <w:tcPr>
            <w:tcW w:w="1180" w:type="dxa"/>
            <w:vAlign w:val="bottom"/>
          </w:tcPr>
          <w:p>
            <w:pPr>
              <w:spacing w:after="0"/>
              <w:rPr>
                <w:sz w:val="20"/>
                <w:szCs w:val="20"/>
                <w:color w:val="auto"/>
              </w:rPr>
            </w:pPr>
            <w:r>
              <w:rPr>
                <w:rFonts w:ascii="Courier New" w:cs="Courier New" w:eastAsia="Courier New" w:hAnsi="Courier New"/>
                <w:sz w:val="16"/>
                <w:szCs w:val="16"/>
                <w:color w:val="auto"/>
              </w:rPr>
              <w:t>Reduction of</w:t>
            </w:r>
          </w:p>
        </w:tc>
        <w:tc>
          <w:tcPr>
            <w:tcW w:w="2600" w:type="dxa"/>
            <w:vAlign w:val="bottom"/>
          </w:tcPr>
          <w:p>
            <w:pPr>
              <w:ind w:left="40"/>
              <w:spacing w:after="0"/>
              <w:rPr>
                <w:sz w:val="20"/>
                <w:szCs w:val="20"/>
                <w:color w:val="auto"/>
              </w:rPr>
            </w:pPr>
            <w:r>
              <w:rPr>
                <w:rFonts w:ascii="Courier New" w:cs="Courier New" w:eastAsia="Courier New" w:hAnsi="Courier New"/>
                <w:sz w:val="16"/>
                <w:szCs w:val="16"/>
                <w:color w:val="auto"/>
              </w:rPr>
              <w:t>Valuation Allowance</w:t>
            </w:r>
          </w:p>
        </w:tc>
        <w:tc>
          <w:tcPr>
            <w:tcW w:w="900" w:type="dxa"/>
            <w:vAlign w:val="bottom"/>
          </w:tcPr>
          <w:p>
            <w:pPr>
              <w:spacing w:after="0"/>
              <w:rPr>
                <w:sz w:val="15"/>
                <w:szCs w:val="15"/>
                <w:color w:val="auto"/>
              </w:rPr>
            </w:pPr>
          </w:p>
        </w:tc>
        <w:tc>
          <w:tcPr>
            <w:tcW w:w="9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(2,237)</w:t>
            </w:r>
          </w:p>
        </w:tc>
        <w:tc>
          <w:tcPr>
            <w:tcW w:w="300" w:type="dxa"/>
            <w:vAlign w:val="bottom"/>
          </w:tcPr>
          <w:p>
            <w:pPr>
              <w:spacing w:after="0"/>
              <w:rPr>
                <w:sz w:val="15"/>
                <w:szCs w:val="15"/>
                <w:color w:val="auto"/>
              </w:rPr>
            </w:pPr>
          </w:p>
        </w:tc>
        <w:tc>
          <w:tcPr>
            <w:tcW w:w="880" w:type="dxa"/>
            <w:vAlign w:val="bottom"/>
          </w:tcPr>
          <w:p>
            <w:pPr>
              <w:jc w:val="right"/>
              <w:ind w:right="1"/>
              <w:spacing w:after="0"/>
              <w:rPr>
                <w:sz w:val="20"/>
                <w:szCs w:val="20"/>
                <w:color w:val="auto"/>
              </w:rPr>
            </w:pPr>
            <w:r>
              <w:rPr>
                <w:rFonts w:ascii="Courier New" w:cs="Courier New" w:eastAsia="Courier New" w:hAnsi="Courier New"/>
                <w:sz w:val="16"/>
                <w:szCs w:val="16"/>
                <w:color w:val="auto"/>
              </w:rPr>
              <w:t>(12,871)</w:t>
            </w:r>
          </w:p>
        </w:tc>
      </w:tr>
      <w:tr>
        <w:trPr>
          <w:trHeight w:val="182"/>
        </w:trPr>
        <w:tc>
          <w:tcPr>
            <w:tcW w:w="1180" w:type="dxa"/>
            <w:vAlign w:val="bottom"/>
          </w:tcPr>
          <w:p>
            <w:pPr>
              <w:ind w:left="660"/>
              <w:spacing w:after="0"/>
              <w:rPr>
                <w:sz w:val="20"/>
                <w:szCs w:val="20"/>
                <w:color w:val="auto"/>
              </w:rPr>
            </w:pPr>
            <w:r>
              <w:rPr>
                <w:rFonts w:ascii="Courier New" w:cs="Courier New" w:eastAsia="Courier New" w:hAnsi="Courier New"/>
                <w:sz w:val="16"/>
                <w:szCs w:val="16"/>
                <w:color w:val="auto"/>
              </w:rPr>
              <w:t>TOTAL</w:t>
            </w:r>
          </w:p>
        </w:tc>
        <w:tc>
          <w:tcPr>
            <w:tcW w:w="2600" w:type="dxa"/>
            <w:vAlign w:val="bottom"/>
          </w:tcPr>
          <w:p>
            <w:pPr>
              <w:spacing w:after="0"/>
              <w:rPr>
                <w:sz w:val="15"/>
                <w:szCs w:val="15"/>
                <w:color w:val="auto"/>
              </w:rPr>
            </w:pPr>
          </w:p>
        </w:tc>
        <w:tc>
          <w:tcPr>
            <w:tcW w:w="900" w:type="dxa"/>
            <w:vAlign w:val="bottom"/>
          </w:tcPr>
          <w:p>
            <w:pPr>
              <w:ind w:left="760"/>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30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
              <w:spacing w:after="0"/>
              <w:rPr>
                <w:sz w:val="20"/>
                <w:szCs w:val="20"/>
                <w:color w:val="auto"/>
              </w:rPr>
            </w:pPr>
            <w:r>
              <w:rPr>
                <w:rFonts w:ascii="Courier New" w:cs="Courier New" w:eastAsia="Courier New" w:hAnsi="Courier New"/>
                <w:sz w:val="16"/>
                <w:szCs w:val="16"/>
                <w:color w:val="auto"/>
              </w:rPr>
              <w:t>(6,000)</w:t>
            </w:r>
          </w:p>
        </w:tc>
      </w:tr>
    </w:tbl>
    <w:p>
      <w:pPr>
        <w:spacing w:after="0" w:line="186" w:lineRule="exact"/>
        <w:rPr>
          <w:sz w:val="20"/>
          <w:szCs w:val="20"/>
          <w:color w:val="auto"/>
        </w:rPr>
      </w:pPr>
    </w:p>
    <w:p>
      <w:pPr>
        <w:ind w:left="463" w:right="2659"/>
        <w:spacing w:after="0" w:line="267" w:lineRule="auto"/>
        <w:rPr>
          <w:sz w:val="20"/>
          <w:szCs w:val="20"/>
          <w:color w:val="auto"/>
        </w:rPr>
      </w:pPr>
      <w:r>
        <w:rPr>
          <w:rFonts w:ascii="Courier New" w:cs="Courier New" w:eastAsia="Courier New" w:hAnsi="Courier New"/>
          <w:sz w:val="15"/>
          <w:szCs w:val="15"/>
          <w:color w:val="auto"/>
        </w:rPr>
        <w:t>For the 13 and 39 weeks ended May 28, 1994, the tax expense associated with the current income was equal to the reduction of the valuation allowance.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2756"/>
        <w:spacing w:after="0"/>
        <w:rPr>
          <w:sz w:val="20"/>
          <w:szCs w:val="20"/>
          <w:color w:val="auto"/>
        </w:rPr>
      </w:pPr>
      <w:r>
        <w:rPr>
          <w:rFonts w:ascii="Courier New" w:cs="Courier New" w:eastAsia="Courier New" w:hAnsi="Courier New"/>
          <w:sz w:val="16"/>
          <w:szCs w:val="16"/>
          <w:color w:val="auto"/>
        </w:rPr>
        <w:t>MANAGEMENT'S DISCUSSION AND ANALYSIS OF FINANCIAL CONDITION</w:t>
      </w:r>
    </w:p>
    <w:p>
      <w:pPr>
        <w:spacing w:after="0" w:line="1" w:lineRule="exact"/>
        <w:rPr>
          <w:sz w:val="20"/>
          <w:szCs w:val="20"/>
          <w:color w:val="auto"/>
        </w:rPr>
      </w:pPr>
    </w:p>
    <w:p>
      <w:pPr>
        <w:jc w:val="center"/>
        <w:ind w:right="2756"/>
        <w:spacing w:after="0"/>
        <w:rPr>
          <w:sz w:val="20"/>
          <w:szCs w:val="20"/>
          <w:color w:val="auto"/>
        </w:rPr>
      </w:pPr>
      <w:r>
        <w:rPr>
          <w:rFonts w:ascii="Courier New" w:cs="Courier New" w:eastAsia="Courier New" w:hAnsi="Courier New"/>
          <w:sz w:val="16"/>
          <w:szCs w:val="16"/>
          <w:color w:val="auto"/>
        </w:rPr>
        <w:t>AND RESULTS OF OPERATIONS</w:t>
      </w:r>
    </w:p>
    <w:p>
      <w:pPr>
        <w:spacing w:after="0" w:line="183"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RESULTS OF OPERATIONS</w:t>
      </w:r>
    </w:p>
    <w:p>
      <w:pPr>
        <w:sectPr>
          <w:pgSz w:w="11900" w:h="16888" w:orient="portrait"/>
          <w:cols w:equalWidth="0" w:num="1">
            <w:col w:w="10222"/>
          </w:cols>
          <w:pgMar w:left="237" w:top="142" w:right="1440" w:bottom="0" w:gutter="0" w:footer="0" w:header="0"/>
        </w:sectPr>
      </w:pPr>
    </w:p>
    <w:bookmarkStart w:id="5" w:name="page6"/>
    <w:bookmarkEnd w:id="5"/>
    <w:p>
      <w:pPr>
        <w:spacing w:after="0" w:line="6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Thirteen Weeks Ended May 27, 1995 Compared to Thirteen Weeks Ended May 28, 1994</w:t>
      </w:r>
    </w:p>
    <w:p>
      <w:pPr>
        <w:spacing w:after="0" w:line="194" w:lineRule="exact"/>
        <w:rPr>
          <w:sz w:val="20"/>
          <w:szCs w:val="20"/>
          <w:color w:val="auto"/>
        </w:rPr>
      </w:pPr>
    </w:p>
    <w:p>
      <w:pPr>
        <w:ind w:right="2659"/>
        <w:spacing w:after="0"/>
        <w:rPr>
          <w:sz w:val="20"/>
          <w:szCs w:val="20"/>
          <w:color w:val="auto"/>
        </w:rPr>
      </w:pPr>
      <w:r>
        <w:rPr>
          <w:rFonts w:ascii="Courier New" w:cs="Courier New" w:eastAsia="Courier New" w:hAnsi="Courier New"/>
          <w:sz w:val="16"/>
          <w:szCs w:val="16"/>
          <w:color w:val="auto"/>
        </w:rPr>
        <w:t>Net revenues of manufactured products for the 13 weeks ended May 27, 1995 decreased $6,870,000 or 5.5 percent from the 13 week period ended May 28, 1994. Motor home shipments decreased by 261 units or 10.3 percent during the 13 weeks ended May 27, 1995 when compared to the third quarter of fiscal 1994. The reduction in Company's revenues during the third quarter of fiscal l995 when compared to the third quarter of fiscal 1994 were a result of an industry-wide softness in motor home sales activity due in part to interest rate increases. The reduction in unit shipments reflects a larger reduction, as a percentage, as the Company's shipments have shifted to larger units during fiscal 1995. Demands for the Company's products should improve when interest rates trend downward and become more stable in the future.</w:t>
      </w:r>
    </w:p>
    <w:p>
      <w:pPr>
        <w:spacing w:after="0" w:line="189" w:lineRule="exact"/>
        <w:rPr>
          <w:sz w:val="20"/>
          <w:szCs w:val="20"/>
          <w:color w:val="auto"/>
        </w:rPr>
      </w:pPr>
    </w:p>
    <w:p>
      <w:pPr>
        <w:ind w:right="2839"/>
        <w:spacing w:after="0" w:line="239" w:lineRule="auto"/>
        <w:rPr>
          <w:sz w:val="20"/>
          <w:szCs w:val="20"/>
          <w:color w:val="auto"/>
        </w:rPr>
      </w:pPr>
      <w:r>
        <w:rPr>
          <w:rFonts w:ascii="Courier New" w:cs="Courier New" w:eastAsia="Courier New" w:hAnsi="Courier New"/>
          <w:sz w:val="16"/>
          <w:szCs w:val="16"/>
          <w:color w:val="auto"/>
        </w:rPr>
        <w:t>Service revenues for the 13 weeks ended May 27, 1995 increased $2,297,000 or 51.5 percent from the 13 weeks ended May 28, 1994. This increase is attributed to increased revenues ($2,166,000 or 50.7 percent) by Cycle-Sat due to the recent acquisition of the majority of the assets of the T.F.I. Division of MPO Videotronics (T.F.I.).</w:t>
      </w:r>
    </w:p>
    <w:p>
      <w:pPr>
        <w:spacing w:after="0" w:line="189" w:lineRule="exact"/>
        <w:rPr>
          <w:sz w:val="20"/>
          <w:szCs w:val="20"/>
          <w:color w:val="auto"/>
        </w:rPr>
      </w:pPr>
    </w:p>
    <w:p>
      <w:pPr>
        <w:ind w:right="2659"/>
        <w:spacing w:after="0" w:line="239" w:lineRule="auto"/>
        <w:rPr>
          <w:sz w:val="20"/>
          <w:szCs w:val="20"/>
          <w:color w:val="auto"/>
        </w:rPr>
      </w:pPr>
      <w:r>
        <w:rPr>
          <w:rFonts w:ascii="Courier New" w:cs="Courier New" w:eastAsia="Courier New" w:hAnsi="Courier New"/>
          <w:sz w:val="16"/>
          <w:szCs w:val="16"/>
          <w:color w:val="auto"/>
        </w:rPr>
        <w:t>Cost of manufactured products, as a percent of manufactured product revenue, was 85.6 percent for the 13 weeks ended May 27, 1995 compared to 84.6 percent for the 13 weeks ended May 28, 1994. This increase is attributed to a reduction in the production volume.</w:t>
      </w:r>
    </w:p>
    <w:p>
      <w:pPr>
        <w:spacing w:after="0" w:line="187" w:lineRule="exact"/>
        <w:rPr>
          <w:sz w:val="20"/>
          <w:szCs w:val="20"/>
          <w:color w:val="auto"/>
        </w:rPr>
      </w:pPr>
    </w:p>
    <w:p>
      <w:pPr>
        <w:ind w:right="2659"/>
        <w:spacing w:after="0" w:line="239" w:lineRule="auto"/>
        <w:rPr>
          <w:sz w:val="20"/>
          <w:szCs w:val="20"/>
          <w:color w:val="auto"/>
        </w:rPr>
      </w:pPr>
      <w:r>
        <w:rPr>
          <w:rFonts w:ascii="Courier New" w:cs="Courier New" w:eastAsia="Courier New" w:hAnsi="Courier New"/>
          <w:sz w:val="16"/>
          <w:szCs w:val="16"/>
          <w:color w:val="auto"/>
        </w:rPr>
        <w:t>Cost of services, as a percent of service revenue, increased to 58.9 percent from 57.3 percent when comparing the 13 weeks ended May 27, 1995 to the 13 weeks ended May 28, 1994. This increase in percentage is attributed primarily to an increase in Cycle-Sat's operating costs associated with the distribution of commercials.</w:t>
      </w:r>
    </w:p>
    <w:p>
      <w:pPr>
        <w:spacing w:after="0" w:line="189" w:lineRule="exact"/>
        <w:rPr>
          <w:sz w:val="20"/>
          <w:szCs w:val="20"/>
          <w:color w:val="auto"/>
        </w:rPr>
      </w:pPr>
    </w:p>
    <w:p>
      <w:pPr>
        <w:ind w:right="2659"/>
        <w:spacing w:after="0" w:line="239" w:lineRule="auto"/>
        <w:rPr>
          <w:sz w:val="20"/>
          <w:szCs w:val="20"/>
          <w:color w:val="auto"/>
        </w:rPr>
      </w:pPr>
      <w:r>
        <w:rPr>
          <w:rFonts w:ascii="Courier New" w:cs="Courier New" w:eastAsia="Courier New" w:hAnsi="Courier New"/>
          <w:sz w:val="16"/>
          <w:szCs w:val="16"/>
          <w:color w:val="auto"/>
        </w:rPr>
        <w:t>Selling and delivery expenses increased by $367,000 to 5.8 percent of net revenue from 5.3 percent of net revenue when comparing the 13 weeks ended May 27, 1995 to the 13 weeks ended May 28, 1994. The primary reason for the increase in dollars was an increase in the Company's promotional and advertising expenses.</w:t>
      </w:r>
    </w:p>
    <w:p>
      <w:pPr>
        <w:spacing w:after="0" w:line="189" w:lineRule="exact"/>
        <w:rPr>
          <w:sz w:val="20"/>
          <w:szCs w:val="20"/>
          <w:color w:val="auto"/>
        </w:rPr>
      </w:pPr>
    </w:p>
    <w:p>
      <w:pPr>
        <w:ind w:right="2659"/>
        <w:spacing w:after="0" w:line="239" w:lineRule="auto"/>
        <w:rPr>
          <w:sz w:val="20"/>
          <w:szCs w:val="20"/>
          <w:color w:val="auto"/>
        </w:rPr>
      </w:pPr>
      <w:r>
        <w:rPr>
          <w:rFonts w:ascii="Courier New" w:cs="Courier New" w:eastAsia="Courier New" w:hAnsi="Courier New"/>
          <w:sz w:val="16"/>
          <w:szCs w:val="16"/>
          <w:color w:val="auto"/>
        </w:rPr>
        <w:t>General and administrative expenses increased by $541,000 to 5.2 percent of net revenue from 4.6 percent of net revenue when comparing the 13 weeks ended May 27, 1995 to the 13 weeks ended May 28, 1994. The primary reasons for the increase in general and administrative expenses were increased costs incurred by Cycle-Sat and by the Company's increases in provisions for product liability expense during the thirteen weeks ended May 27, l995 when compared to the 13 weeks ended May 28, 1994.</w:t>
      </w:r>
    </w:p>
    <w:p>
      <w:pPr>
        <w:spacing w:after="0" w:line="192" w:lineRule="exact"/>
        <w:rPr>
          <w:sz w:val="20"/>
          <w:szCs w:val="20"/>
          <w:color w:val="auto"/>
        </w:rPr>
      </w:pPr>
    </w:p>
    <w:p>
      <w:pPr>
        <w:ind w:right="2659"/>
        <w:spacing w:after="0"/>
        <w:rPr>
          <w:sz w:val="20"/>
          <w:szCs w:val="20"/>
          <w:color w:val="auto"/>
        </w:rPr>
      </w:pPr>
      <w:r>
        <w:rPr>
          <w:rFonts w:ascii="Courier New" w:cs="Courier New" w:eastAsia="Courier New" w:hAnsi="Courier New"/>
          <w:sz w:val="16"/>
          <w:szCs w:val="16"/>
          <w:color w:val="auto"/>
        </w:rPr>
        <w:t>The Company had net financial income of $457,000 for the 13 weeks ended May 27, 1995 compared to expense of $758,000 for the comparable period of fiscal 1994. The Company recorded $72,000 of realized and unrealized gains compared to $360,000 of losses in its marketable securities portfolio during the third quarters of fiscal 1995 and 1994, respectively. The Company recorded $233,000 of net interest expense during the 13 weeks ended May 27, 1995 compared to net interest expense of $322,000 during the comparable period of fiscal 1994. Also recorded were foreign exchange translation gains of $438,000 and losses of $62,000 for the 13 week periods ended May 27, 1995 and May 28, 1994, respectively.</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 the 13 weeks ended May 27, 1995, the Company reported net income of</w:t>
      </w:r>
    </w:p>
    <w:p>
      <w:pPr>
        <w:spacing w:after="0" w:line="5" w:lineRule="exact"/>
        <w:rPr>
          <w:sz w:val="20"/>
          <w:szCs w:val="20"/>
          <w:color w:val="auto"/>
        </w:rPr>
      </w:pPr>
    </w:p>
    <w:p>
      <w:pPr>
        <w:jc w:val="both"/>
        <w:ind w:right="2659"/>
        <w:spacing w:after="0" w:line="239" w:lineRule="auto"/>
        <w:rPr>
          <w:sz w:val="20"/>
          <w:szCs w:val="20"/>
          <w:color w:val="auto"/>
        </w:rPr>
      </w:pPr>
      <w:r>
        <w:rPr>
          <w:rFonts w:ascii="Courier New" w:cs="Courier New" w:eastAsia="Courier New" w:hAnsi="Courier New"/>
          <w:sz w:val="16"/>
          <w:szCs w:val="16"/>
          <w:color w:val="auto"/>
        </w:rPr>
        <w:t>$6,578,000 or $.26 per share which included net income of $58,000 from Cycle-Sat operations. For the 13 weeks ended May 28, 1994, the Company reported net income of $7,335,000 or $.29 per share which included income of $80,000 from Cycle-Sat operations.</w:t>
      </w:r>
    </w:p>
    <w:p>
      <w:pPr>
        <w:spacing w:after="0" w:line="187" w:lineRule="exact"/>
        <w:rPr>
          <w:sz w:val="20"/>
          <w:szCs w:val="20"/>
          <w:color w:val="auto"/>
        </w:rPr>
      </w:pPr>
    </w:p>
    <w:p>
      <w:pPr>
        <w:jc w:val="both"/>
        <w:ind w:right="2659"/>
        <w:spacing w:after="0" w:line="237" w:lineRule="auto"/>
        <w:rPr>
          <w:sz w:val="20"/>
          <w:szCs w:val="20"/>
          <w:color w:val="auto"/>
        </w:rPr>
      </w:pPr>
      <w:r>
        <w:rPr>
          <w:rFonts w:ascii="Courier New" w:cs="Courier New" w:eastAsia="Courier New" w:hAnsi="Courier New"/>
          <w:sz w:val="16"/>
          <w:szCs w:val="16"/>
          <w:color w:val="auto"/>
        </w:rPr>
        <w:t>Thirty-Nine Weeks Ended May 27, 1995 Compared to Thirty-Nine Weeks Ended May 28, 1994</w:t>
      </w:r>
    </w:p>
    <w:p>
      <w:pPr>
        <w:spacing w:after="0" w:line="188" w:lineRule="exact"/>
        <w:rPr>
          <w:sz w:val="20"/>
          <w:szCs w:val="20"/>
          <w:color w:val="auto"/>
        </w:rPr>
      </w:pPr>
    </w:p>
    <w:p>
      <w:pPr>
        <w:ind w:right="2659"/>
        <w:spacing w:after="0" w:line="258" w:lineRule="auto"/>
        <w:rPr>
          <w:sz w:val="20"/>
          <w:szCs w:val="20"/>
          <w:color w:val="auto"/>
        </w:rPr>
      </w:pPr>
      <w:r>
        <w:rPr>
          <w:rFonts w:ascii="Courier New" w:cs="Courier New" w:eastAsia="Courier New" w:hAnsi="Courier New"/>
          <w:sz w:val="15"/>
          <w:szCs w:val="15"/>
          <w:color w:val="auto"/>
        </w:rPr>
        <w:t>Net revenues of manufactured products for the 39 weeks ended May 27, 1995 increased $35,017,000 or 11.0 percent from the 39 weeks ended May 28, 1994. Motor home shipments increased by 352 units or 5.4 percent during the 39 weeks ended May 27, 1995 when compared to the 39 weeks ended May 28, 1994. This growth in the Company's revenues is attributed to the strong demand for the Company's 1995 model year products during the first half of the 1995 fiscal year.</w:t>
      </w:r>
    </w:p>
    <w:p>
      <w:pPr>
        <w:spacing w:after="0" w:line="177" w:lineRule="exact"/>
        <w:rPr>
          <w:sz w:val="20"/>
          <w:szCs w:val="20"/>
          <w:color w:val="auto"/>
        </w:rPr>
      </w:pPr>
    </w:p>
    <w:p>
      <w:pPr>
        <w:ind w:right="3039"/>
        <w:spacing w:after="0" w:line="239" w:lineRule="auto"/>
        <w:rPr>
          <w:sz w:val="20"/>
          <w:szCs w:val="20"/>
          <w:color w:val="auto"/>
        </w:rPr>
      </w:pPr>
      <w:r>
        <w:rPr>
          <w:rFonts w:ascii="Courier New" w:cs="Courier New" w:eastAsia="Courier New" w:hAnsi="Courier New"/>
          <w:sz w:val="16"/>
          <w:szCs w:val="16"/>
          <w:color w:val="auto"/>
        </w:rPr>
        <w:t>Service revenues for the 39 weeks ended May 27, 1995 increased $3,060,000 or 21.6 percent from the 39 weeks ended May 28, 1994. This increase can be attributed to an increase in revenues from established customers, revenues generated with new customers and revenues generated through the recent acquisition of T.F.I.</w:t>
      </w:r>
    </w:p>
    <w:p>
      <w:pPr>
        <w:spacing w:after="0" w:line="189" w:lineRule="exact"/>
        <w:rPr>
          <w:sz w:val="20"/>
          <w:szCs w:val="20"/>
          <w:color w:val="auto"/>
        </w:rPr>
      </w:pPr>
    </w:p>
    <w:p>
      <w:pPr>
        <w:ind w:right="2659"/>
        <w:spacing w:after="0" w:line="267" w:lineRule="auto"/>
        <w:rPr>
          <w:sz w:val="20"/>
          <w:szCs w:val="20"/>
          <w:color w:val="auto"/>
        </w:rPr>
      </w:pPr>
      <w:r>
        <w:rPr>
          <w:rFonts w:ascii="Courier New" w:cs="Courier New" w:eastAsia="Courier New" w:hAnsi="Courier New"/>
          <w:sz w:val="15"/>
          <w:szCs w:val="15"/>
          <w:color w:val="auto"/>
        </w:rPr>
        <w:t>Cost of manufactured products, as a percent of manufactured product revenue, was 85.8 percent for both 39 week periods ending May 27, 1995 and May 28, 1994.</w:t>
      </w:r>
    </w:p>
    <w:p>
      <w:pPr>
        <w:spacing w:after="0" w:line="168" w:lineRule="exact"/>
        <w:rPr>
          <w:sz w:val="20"/>
          <w:szCs w:val="20"/>
          <w:color w:val="auto"/>
        </w:rPr>
      </w:pPr>
    </w:p>
    <w:p>
      <w:pPr>
        <w:ind w:right="2659"/>
        <w:spacing w:after="0" w:line="239" w:lineRule="auto"/>
        <w:rPr>
          <w:sz w:val="20"/>
          <w:szCs w:val="20"/>
          <w:color w:val="auto"/>
        </w:rPr>
      </w:pPr>
      <w:r>
        <w:rPr>
          <w:rFonts w:ascii="Courier New" w:cs="Courier New" w:eastAsia="Courier New" w:hAnsi="Courier New"/>
          <w:sz w:val="16"/>
          <w:szCs w:val="16"/>
          <w:color w:val="auto"/>
        </w:rPr>
        <w:t>Cost of services, as a percent of service revenues, increased to 59.0 percent from 57.7 percent when comparing the 39 weeks ended May 27, 1995 to the 39 weeks ended May 28, 1994. This increase in percentage can be attributed primarily to an increase in Cycle-Sat's operating costs associated with the distribution of commercials.</w:t>
      </w:r>
    </w:p>
    <w:p>
      <w:pPr>
        <w:spacing w:after="0" w:line="189" w:lineRule="exact"/>
        <w:rPr>
          <w:sz w:val="20"/>
          <w:szCs w:val="20"/>
          <w:color w:val="auto"/>
        </w:rPr>
      </w:pPr>
    </w:p>
    <w:p>
      <w:pPr>
        <w:ind w:right="2659"/>
        <w:spacing w:after="0" w:line="262" w:lineRule="auto"/>
        <w:rPr>
          <w:sz w:val="20"/>
          <w:szCs w:val="20"/>
          <w:color w:val="auto"/>
        </w:rPr>
      </w:pPr>
      <w:r>
        <w:rPr>
          <w:rFonts w:ascii="Courier New" w:cs="Courier New" w:eastAsia="Courier New" w:hAnsi="Courier New"/>
          <w:sz w:val="15"/>
          <w:szCs w:val="15"/>
          <w:color w:val="auto"/>
        </w:rPr>
        <w:t>Selling and delivery expenses increased by $793,000 but decreased to 5.4 percent of net revenues from 5.7 percent of net revenues when comparing the 39 weeks ended May 27, 1995 to the comparable period of fiscal 1994. This increase in</w:t>
      </w:r>
    </w:p>
    <w:p>
      <w:pPr>
        <w:sectPr>
          <w:pgSz w:w="11900" w:h="16904" w:orient="portrait"/>
          <w:cols w:equalWidth="0" w:num="1">
            <w:col w:w="10219"/>
          </w:cols>
          <w:pgMar w:left="240" w:top="323" w:right="1440" w:bottom="0" w:gutter="0" w:footer="0" w:header="0"/>
        </w:sectPr>
      </w:pPr>
    </w:p>
    <w:bookmarkStart w:id="6" w:name="page7"/>
    <w:bookmarkEnd w:id="6"/>
    <w:p>
      <w:pPr>
        <w:spacing w:after="0" w:line="50" w:lineRule="exact"/>
        <w:rPr>
          <w:sz w:val="20"/>
          <w:szCs w:val="20"/>
          <w:color w:val="auto"/>
        </w:rPr>
      </w:pPr>
    </w:p>
    <w:p>
      <w:pPr>
        <w:ind w:right="2939"/>
        <w:spacing w:after="0" w:line="237" w:lineRule="auto"/>
        <w:rPr>
          <w:sz w:val="20"/>
          <w:szCs w:val="20"/>
          <w:color w:val="auto"/>
        </w:rPr>
      </w:pPr>
      <w:r>
        <w:rPr>
          <w:rFonts w:ascii="Courier New" w:cs="Courier New" w:eastAsia="Courier New" w:hAnsi="Courier New"/>
          <w:sz w:val="16"/>
          <w:szCs w:val="16"/>
          <w:color w:val="auto"/>
        </w:rPr>
        <w:t>dollars can be attributed primarily to increases in the Company's promotional and advertising expenses.</w:t>
      </w:r>
    </w:p>
    <w:p>
      <w:pPr>
        <w:spacing w:after="0" w:line="188" w:lineRule="exact"/>
        <w:rPr>
          <w:sz w:val="20"/>
          <w:szCs w:val="20"/>
          <w:color w:val="auto"/>
        </w:rPr>
      </w:pPr>
    </w:p>
    <w:p>
      <w:pPr>
        <w:ind w:right="3039"/>
        <w:spacing w:after="0" w:line="259" w:lineRule="auto"/>
        <w:rPr>
          <w:sz w:val="20"/>
          <w:szCs w:val="20"/>
          <w:color w:val="auto"/>
        </w:rPr>
      </w:pPr>
      <w:r>
        <w:rPr>
          <w:rFonts w:ascii="Courier New" w:cs="Courier New" w:eastAsia="Courier New" w:hAnsi="Courier New"/>
          <w:sz w:val="15"/>
          <w:szCs w:val="15"/>
          <w:color w:val="auto"/>
        </w:rPr>
        <w:t>General and administrative expenses decreased by $214,000 when comparing year-to-date fiscal 1995 to fiscal 1994. The decrease when comparing the two periods can be attributed primarily to a reduction in the Company's cost for postretirement benefits offset partially by increases in costs incurred by Cycle-Sat and in the Company's provisions for product liability expenses.</w:t>
      </w:r>
    </w:p>
    <w:p>
      <w:pPr>
        <w:spacing w:after="0" w:line="174" w:lineRule="exact"/>
        <w:rPr>
          <w:sz w:val="20"/>
          <w:szCs w:val="20"/>
          <w:color w:val="auto"/>
        </w:rPr>
      </w:pPr>
    </w:p>
    <w:p>
      <w:pPr>
        <w:ind w:right="2759"/>
        <w:spacing w:after="0" w:line="239" w:lineRule="auto"/>
        <w:rPr>
          <w:sz w:val="20"/>
          <w:szCs w:val="20"/>
          <w:color w:val="auto"/>
        </w:rPr>
      </w:pPr>
      <w:r>
        <w:rPr>
          <w:rFonts w:ascii="Courier New" w:cs="Courier New" w:eastAsia="Courier New" w:hAnsi="Courier New"/>
          <w:sz w:val="16"/>
          <w:szCs w:val="16"/>
          <w:color w:val="auto"/>
        </w:rPr>
        <w:t>The Company had other expense of $45,000 during the 39 weeks ended May 27, 1995 compared to expense of $359,000 during the 39 weeks ended May 28, 1994. The primary reason for the decrease when comparing the two periods was an increase in lease income from the Company's public warehousing activities.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Company had net financial income of $1,281,000 for the 39 weeks ended May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27, 1995 compared to expense of $583,000 for the comparable period of fiscal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1994. The Company recorded foreign exchange translation gains of $706,000 during</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39 weeks ended May 27, 1995 compared to losses of $35,000 during the 39</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weeks ended May 28, 1994. Recorded during the 39 weeks ended May 27, 1995 was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$355,000 of realized and unrealized gains in the Company's marketable securities</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portfolio compared to losses of $276,000 during the 39 weeks ended May 28, 1994.</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Company also recorded $3,000 and $257,000 of net interest expense during</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year-to-date fiscal periods ended May 27, 1995 and May 28, 1994, respectively.</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 the 39 weeks ended May 27, 1995, the Company reported net income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$26,272,000 or $1.04 per share which included a $6,000,000 credit for income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taxes and income of $195,000 ($.01 per share) from Cycle-Sat operations. For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39 weeks ended May 28, 1994, the Company reported income from operations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$12,358,000 or $.49 per share which included income of $420,000 ($.02 per share)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from Cycle-Sat operations.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fiscal 1994, the Company was required to adopt the portion of FASB Statement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 106, "Employers' Accounting for Postretirement Benefits Other Than Pensions"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related to health care and other benefits. This change in accounting principle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resulted in a cumulative non-cash charge at the beginning of fiscal 1994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$20,420,000 or $.81 per share. With the adoption of FASB No. 106, the 39 weeks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ended May 28, 1994 net loss was $8,062,000 or $.32 per share.</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LIQUIDITY AND FINANCIAL CONDITION</w:t>
      </w:r>
    </w:p>
    <w:p>
      <w:pPr>
        <w:spacing w:after="0" w:line="186" w:lineRule="exact"/>
        <w:rPr>
          <w:sz w:val="20"/>
          <w:szCs w:val="20"/>
          <w:color w:val="auto"/>
        </w:rPr>
      </w:pPr>
    </w:p>
    <w:p>
      <w:pPr>
        <w:jc w:val="both"/>
        <w:ind w:right="3499"/>
        <w:spacing w:after="0" w:line="262" w:lineRule="auto"/>
        <w:rPr>
          <w:sz w:val="20"/>
          <w:szCs w:val="20"/>
          <w:color w:val="auto"/>
        </w:rPr>
      </w:pPr>
      <w:r>
        <w:rPr>
          <w:rFonts w:ascii="Courier New" w:cs="Courier New" w:eastAsia="Courier New" w:hAnsi="Courier New"/>
          <w:sz w:val="15"/>
          <w:szCs w:val="15"/>
          <w:color w:val="auto"/>
        </w:rPr>
        <w:t>Presently, the Company meets its working capital and capital equipment requirements and cash requirements of subsidiaries with funds generated internally and funds from agreements with financial institutions.</w:t>
      </w:r>
    </w:p>
    <w:p>
      <w:pPr>
        <w:spacing w:after="0" w:line="171" w:lineRule="exact"/>
        <w:rPr>
          <w:sz w:val="20"/>
          <w:szCs w:val="20"/>
          <w:color w:val="auto"/>
        </w:rPr>
      </w:pPr>
    </w:p>
    <w:p>
      <w:pPr>
        <w:ind w:right="2659"/>
        <w:spacing w:after="0" w:line="239" w:lineRule="auto"/>
        <w:rPr>
          <w:sz w:val="20"/>
          <w:szCs w:val="20"/>
          <w:color w:val="auto"/>
        </w:rPr>
      </w:pPr>
      <w:r>
        <w:rPr>
          <w:rFonts w:ascii="Courier New" w:cs="Courier New" w:eastAsia="Courier New" w:hAnsi="Courier New"/>
          <w:sz w:val="16"/>
          <w:szCs w:val="16"/>
          <w:color w:val="auto"/>
        </w:rPr>
        <w:t>At May 27, 1995, working capital was $79,719,000 an increase of $21,196,000 from the amount at August 27, 1994. The Company's principal sources and uses of cash during the 39 weeks ended May 27, 1995 are set forth in the unaudited consolidated condensed statement of cash flows for that period.</w:t>
      </w:r>
    </w:p>
    <w:p>
      <w:pPr>
        <w:spacing w:after="0" w:line="187" w:lineRule="exact"/>
        <w:rPr>
          <w:sz w:val="20"/>
          <w:szCs w:val="20"/>
          <w:color w:val="auto"/>
        </w:rPr>
      </w:pPr>
    </w:p>
    <w:p>
      <w:pPr>
        <w:ind w:right="2939"/>
        <w:spacing w:after="0" w:line="239" w:lineRule="auto"/>
        <w:rPr>
          <w:sz w:val="20"/>
          <w:szCs w:val="20"/>
          <w:color w:val="auto"/>
        </w:rPr>
      </w:pPr>
      <w:r>
        <w:rPr>
          <w:rFonts w:ascii="Courier New" w:cs="Courier New" w:eastAsia="Courier New" w:hAnsi="Courier New"/>
          <w:sz w:val="16"/>
          <w:szCs w:val="16"/>
          <w:color w:val="auto"/>
        </w:rPr>
        <w:t>Principal expected demands at May 27, 1995 on the Company's liquid assets for the remainder of fiscal 1995 include approximately $1,900,000 for capital expenditures consisting primarily of building additions, tooling, equipment replacement and new equipment.</w:t>
      </w:r>
    </w:p>
    <w:p>
      <w:pPr>
        <w:spacing w:after="0" w:line="187" w:lineRule="exact"/>
        <w:rPr>
          <w:sz w:val="20"/>
          <w:szCs w:val="20"/>
          <w:color w:val="auto"/>
        </w:rPr>
      </w:pPr>
    </w:p>
    <w:p>
      <w:pPr>
        <w:ind w:right="2839"/>
        <w:spacing w:after="0" w:line="238" w:lineRule="auto"/>
        <w:rPr>
          <w:sz w:val="20"/>
          <w:szCs w:val="20"/>
          <w:color w:val="auto"/>
        </w:rPr>
      </w:pPr>
      <w:r>
        <w:rPr>
          <w:rFonts w:ascii="Courier New" w:cs="Courier New" w:eastAsia="Courier New" w:hAnsi="Courier New"/>
          <w:sz w:val="16"/>
          <w:szCs w:val="16"/>
          <w:color w:val="auto"/>
        </w:rPr>
        <w:t>Based upon available cash, marketable securities and financing resources, described in Note 4, management believes that the Company has adequate sources of funds to meet its remaining fiscal 1995 cash requirements.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6"/>
          <w:szCs w:val="16"/>
          <w:color w:val="auto"/>
        </w:rPr>
        <w:t>Part II</w:t>
      </w:r>
      <w:r>
        <w:rPr>
          <w:sz w:val="20"/>
          <w:szCs w:val="20"/>
          <w:color w:val="auto"/>
        </w:rPr>
        <w:tab/>
      </w:r>
      <w:r>
        <w:rPr>
          <w:rFonts w:ascii="Courier New" w:cs="Courier New" w:eastAsia="Courier New" w:hAnsi="Courier New"/>
          <w:sz w:val="15"/>
          <w:szCs w:val="15"/>
          <w:color w:val="auto"/>
        </w:rPr>
        <w:t>Other Information</w:t>
      </w:r>
    </w:p>
    <w:p>
      <w:pPr>
        <w:spacing w:after="0" w:line="183"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6"/>
          <w:szCs w:val="16"/>
          <w:color w:val="auto"/>
        </w:rPr>
        <w:t>Item 6</w:t>
      </w:r>
      <w:r>
        <w:rPr>
          <w:sz w:val="20"/>
          <w:szCs w:val="20"/>
          <w:color w:val="auto"/>
        </w:rPr>
        <w:tab/>
      </w:r>
      <w:r>
        <w:rPr>
          <w:rFonts w:ascii="Courier New" w:cs="Courier New" w:eastAsia="Courier New" w:hAnsi="Courier New"/>
          <w:sz w:val="15"/>
          <w:szCs w:val="15"/>
          <w:color w:val="auto"/>
        </w:rPr>
        <w:t>Exhibits and Reports on Form 8-K</w:t>
      </w:r>
    </w:p>
    <w:p>
      <w:pPr>
        <w:spacing w:after="0" w:line="183" w:lineRule="exact"/>
        <w:rPr>
          <w:sz w:val="20"/>
          <w:szCs w:val="20"/>
          <w:color w:val="auto"/>
        </w:rPr>
      </w:pPr>
    </w:p>
    <w:p>
      <w:pPr>
        <w:ind w:left="1700" w:hanging="663"/>
        <w:spacing w:after="0"/>
        <w:tabs>
          <w:tab w:leader="none" w:pos="170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exhibits are being filed as a part of this report.</w:t>
      </w:r>
    </w:p>
    <w:p>
      <w:pPr>
        <w:spacing w:after="0" w:line="186" w:lineRule="exact"/>
        <w:rPr>
          <w:rFonts w:ascii="Courier New" w:cs="Courier New" w:eastAsia="Courier New" w:hAnsi="Courier New"/>
          <w:sz w:val="16"/>
          <w:szCs w:val="16"/>
          <w:color w:val="auto"/>
        </w:rPr>
      </w:pPr>
    </w:p>
    <w:p>
      <w:pPr>
        <w:ind w:left="1700" w:right="2939" w:hanging="663"/>
        <w:spacing w:after="0" w:line="237" w:lineRule="auto"/>
        <w:tabs>
          <w:tab w:leader="none" w:pos="170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did not file any reports on Form 8-K during the period covered by this report.</w:t>
      </w:r>
    </w:p>
    <w:p>
      <w:pPr>
        <w:spacing w:after="0" w:line="366"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SIGNATURES</w:t>
      </w:r>
    </w:p>
    <w:p>
      <w:pPr>
        <w:spacing w:after="0" w:line="368" w:lineRule="exact"/>
        <w:rPr>
          <w:sz w:val="20"/>
          <w:szCs w:val="20"/>
          <w:color w:val="auto"/>
        </w:rPr>
      </w:pPr>
    </w:p>
    <w:p>
      <w:pPr>
        <w:jc w:val="both"/>
        <w:ind w:right="3419"/>
        <w:spacing w:after="0" w:line="238" w:lineRule="auto"/>
        <w:rPr>
          <w:sz w:val="20"/>
          <w:szCs w:val="20"/>
          <w:color w:val="auto"/>
        </w:rPr>
      </w:pPr>
      <w:r>
        <w:rPr>
          <w:rFonts w:ascii="Courier New" w:cs="Courier New" w:eastAsia="Courier New" w:hAnsi="Courier New"/>
          <w:sz w:val="16"/>
          <w:szCs w:val="16"/>
          <w:color w:val="auto"/>
        </w:rPr>
        <w:t>Pursuant to the requirements of the Securities Exchange Act of 1934, the registrant has duly caused this report to be signed on its behalf by the undersigned thereunto duly authorized.</w:t>
      </w:r>
    </w:p>
    <w:p>
      <w:pPr>
        <w:spacing w:after="0" w:line="366" w:lineRule="exact"/>
        <w:rPr>
          <w:sz w:val="20"/>
          <w:szCs w:val="20"/>
          <w:color w:val="auto"/>
        </w:rPr>
      </w:pPr>
    </w:p>
    <w:p>
      <w:pPr>
        <w:ind w:left="4260"/>
        <w:spacing w:after="0"/>
        <w:rPr>
          <w:sz w:val="20"/>
          <w:szCs w:val="20"/>
          <w:color w:val="auto"/>
        </w:rPr>
      </w:pPr>
      <w:r>
        <w:rPr>
          <w:rFonts w:ascii="Courier New" w:cs="Courier New" w:eastAsia="Courier New" w:hAnsi="Courier New"/>
          <w:sz w:val="16"/>
          <w:szCs w:val="16"/>
          <w:color w:val="auto"/>
        </w:rPr>
        <w:t>WINNEBAGO INDUSTRIES, INC.</w:t>
      </w:r>
    </w:p>
    <w:p>
      <w:pPr>
        <w:spacing w:after="0" w:line="1" w:lineRule="exact"/>
        <w:rPr>
          <w:sz w:val="20"/>
          <w:szCs w:val="20"/>
          <w:color w:val="auto"/>
        </w:rPr>
      </w:pPr>
    </w:p>
    <w:p>
      <w:pPr>
        <w:ind w:left="5000"/>
        <w:spacing w:after="0"/>
        <w:rPr>
          <w:sz w:val="20"/>
          <w:szCs w:val="20"/>
          <w:color w:val="auto"/>
        </w:rPr>
      </w:pPr>
      <w:r>
        <w:rPr>
          <w:rFonts w:ascii="Courier New" w:cs="Courier New" w:eastAsia="Courier New" w:hAnsi="Courier New"/>
          <w:sz w:val="16"/>
          <w:szCs w:val="16"/>
          <w:color w:val="auto"/>
        </w:rPr>
        <w:t>(Registrant)</w:t>
      </w:r>
    </w:p>
    <w:p>
      <w:pPr>
        <w:spacing w:after="0" w:line="200" w:lineRule="exact"/>
        <w:rPr>
          <w:sz w:val="20"/>
          <w:szCs w:val="20"/>
          <w:color w:val="auto"/>
        </w:rPr>
      </w:pPr>
    </w:p>
    <w:p>
      <w:pPr>
        <w:spacing w:after="0" w:line="346" w:lineRule="exact"/>
        <w:rPr>
          <w:sz w:val="20"/>
          <w:szCs w:val="20"/>
          <w:color w:val="auto"/>
        </w:rPr>
      </w:pPr>
    </w:p>
    <w:p>
      <w:pPr>
        <w:spacing w:after="0"/>
        <w:tabs>
          <w:tab w:leader="none" w:pos="540" w:val="left"/>
          <w:tab w:leader="none" w:pos="3940" w:val="left"/>
        </w:tabs>
        <w:rPr>
          <w:sz w:val="20"/>
          <w:szCs w:val="20"/>
          <w:color w:val="auto"/>
        </w:rPr>
      </w:pPr>
      <w:r>
        <w:rPr>
          <w:rFonts w:ascii="Courier New" w:cs="Courier New" w:eastAsia="Courier New" w:hAnsi="Courier New"/>
          <w:sz w:val="16"/>
          <w:szCs w:val="16"/>
          <w:color w:val="auto"/>
        </w:rPr>
        <w:t>Date</w:t>
        <w:tab/>
        <w:t>July 6, 1995</w:t>
      </w:r>
      <w:r>
        <w:rPr>
          <w:sz w:val="20"/>
          <w:szCs w:val="20"/>
          <w:color w:val="auto"/>
        </w:rPr>
        <w:tab/>
      </w:r>
      <w:r>
        <w:rPr>
          <w:rFonts w:ascii="Courier New" w:cs="Courier New" w:eastAsia="Courier New" w:hAnsi="Courier New"/>
          <w:sz w:val="15"/>
          <w:szCs w:val="15"/>
          <w:color w:val="auto"/>
        </w:rPr>
        <w:t>/s/ Fred G. Dohrmann</w:t>
      </w:r>
    </w:p>
    <w:p>
      <w:pPr>
        <w:spacing w:after="0" w:line="1" w:lineRule="exact"/>
        <w:rPr>
          <w:sz w:val="20"/>
          <w:szCs w:val="20"/>
          <w:color w:val="auto"/>
        </w:rPr>
      </w:pPr>
    </w:p>
    <w:p>
      <w:pPr>
        <w:ind w:left="3960"/>
        <w:spacing w:after="0"/>
        <w:rPr>
          <w:sz w:val="20"/>
          <w:szCs w:val="20"/>
          <w:color w:val="auto"/>
        </w:rPr>
      </w:pPr>
      <w:r>
        <w:rPr>
          <w:rFonts w:ascii="Courier New" w:cs="Courier New" w:eastAsia="Courier New" w:hAnsi="Courier New"/>
          <w:sz w:val="16"/>
          <w:szCs w:val="16"/>
          <w:color w:val="auto"/>
        </w:rPr>
        <w:t>Fred G. Dohrmann</w:t>
      </w:r>
    </w:p>
    <w:p>
      <w:pPr>
        <w:spacing w:after="0" w:line="1" w:lineRule="exact"/>
        <w:rPr>
          <w:sz w:val="20"/>
          <w:szCs w:val="20"/>
          <w:color w:val="auto"/>
        </w:rPr>
      </w:pPr>
    </w:p>
    <w:p>
      <w:pPr>
        <w:ind w:left="3960"/>
        <w:spacing w:after="0"/>
        <w:rPr>
          <w:sz w:val="20"/>
          <w:szCs w:val="20"/>
          <w:color w:val="auto"/>
        </w:rPr>
      </w:pPr>
      <w:r>
        <w:rPr>
          <w:rFonts w:ascii="Courier New" w:cs="Courier New" w:eastAsia="Courier New" w:hAnsi="Courier New"/>
          <w:sz w:val="16"/>
          <w:szCs w:val="16"/>
          <w:color w:val="auto"/>
        </w:rPr>
        <w:t>President and Chief Executive Officer</w:t>
      </w:r>
    </w:p>
    <w:p>
      <w:pPr>
        <w:sectPr>
          <w:pgSz w:w="11900" w:h="1688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346" w:lineRule="exact"/>
        <w:rPr>
          <w:sz w:val="20"/>
          <w:szCs w:val="20"/>
          <w:color w:val="auto"/>
        </w:rPr>
      </w:pPr>
    </w:p>
    <w:p>
      <w:pPr>
        <w:spacing w:after="0"/>
        <w:tabs>
          <w:tab w:leader="none" w:pos="540" w:val="left"/>
          <w:tab w:leader="none" w:pos="3940" w:val="left"/>
        </w:tabs>
        <w:rPr>
          <w:sz w:val="20"/>
          <w:szCs w:val="20"/>
          <w:color w:val="auto"/>
        </w:rPr>
      </w:pPr>
      <w:r>
        <w:rPr>
          <w:rFonts w:ascii="Courier New" w:cs="Courier New" w:eastAsia="Courier New" w:hAnsi="Courier New"/>
          <w:sz w:val="16"/>
          <w:szCs w:val="16"/>
          <w:color w:val="auto"/>
        </w:rPr>
        <w:t>Date</w:t>
        <w:tab/>
        <w:t>July 6, 1995</w:t>
      </w:r>
      <w:r>
        <w:rPr>
          <w:sz w:val="20"/>
          <w:szCs w:val="20"/>
          <w:color w:val="auto"/>
        </w:rPr>
        <w:tab/>
      </w:r>
      <w:r>
        <w:rPr>
          <w:rFonts w:ascii="Courier New" w:cs="Courier New" w:eastAsia="Courier New" w:hAnsi="Courier New"/>
          <w:sz w:val="15"/>
          <w:szCs w:val="15"/>
          <w:color w:val="auto"/>
        </w:rPr>
        <w:t>/s/ Ed F. Barker</w:t>
      </w:r>
    </w:p>
    <w:p>
      <w:pPr>
        <w:sectPr>
          <w:pgSz w:w="11900" w:h="16888" w:orient="portrait"/>
          <w:cols w:equalWidth="0" w:num="1">
            <w:col w:w="10219"/>
          </w:cols>
          <w:pgMar w:left="240" w:top="142" w:right="1440" w:bottom="0" w:gutter="0" w:footer="0" w:header="0"/>
          <w:type w:val="continuous"/>
        </w:sectPr>
      </w:pPr>
    </w:p>
    <w:bookmarkStart w:id="7" w:name="page8"/>
    <w:bookmarkEnd w:id="7"/>
    <w:p>
      <w:pPr>
        <w:ind w:left="2760"/>
        <w:spacing w:after="0"/>
        <w:rPr>
          <w:sz w:val="20"/>
          <w:szCs w:val="20"/>
          <w:color w:val="auto"/>
        </w:rPr>
      </w:pPr>
      <w:r>
        <w:rPr>
          <w:rFonts w:ascii="Courier New" w:cs="Courier New" w:eastAsia="Courier New" w:hAnsi="Courier New"/>
          <w:sz w:val="16"/>
          <w:szCs w:val="16"/>
          <w:color w:val="auto"/>
        </w:rPr>
        <w:t>Ed F. Barker</w:t>
      </w:r>
    </w:p>
    <w:p>
      <w:pPr>
        <w:spacing w:after="0" w:line="5"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Vice President, Controller and Chief</w:t>
      </w:r>
    </w:p>
    <w:p>
      <w:pPr>
        <w:spacing w:after="0" w:line="8"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Financial Officer</w:t>
      </w:r>
    </w:p>
    <w:p>
      <w:pPr>
        <w:sectPr>
          <w:pgSz w:w="11900" w:h="16838" w:orient="portrait"/>
          <w:cols w:equalWidth="0" w:num="1">
            <w:col w:w="9019"/>
          </w:cols>
          <w:pgMar w:left="1440" w:top="138"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6"/>
          <w:szCs w:val="16"/>
          <w:color w:val="auto"/>
        </w:rPr>
        <w:t>5</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1,000</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3-MOS</w:t>
      </w:r>
    </w:p>
    <w:p>
      <w:pPr>
        <w:spacing w:after="0" w:line="1" w:lineRule="exact"/>
        <w:rPr>
          <w:sz w:val="20"/>
          <w:szCs w:val="20"/>
          <w:color w:val="auto"/>
        </w:rPr>
      </w:pPr>
    </w:p>
    <w:p>
      <w:pPr>
        <w:ind w:left="2360"/>
        <w:spacing w:after="0"/>
        <w:rPr>
          <w:sz w:val="20"/>
          <w:szCs w:val="20"/>
          <w:color w:val="auto"/>
        </w:rPr>
      </w:pPr>
      <w:r>
        <w:rPr>
          <w:rFonts w:ascii="Courier New" w:cs="Courier New" w:eastAsia="Courier New" w:hAnsi="Courier New"/>
          <w:sz w:val="16"/>
          <w:szCs w:val="16"/>
          <w:color w:val="auto"/>
        </w:rPr>
        <w:t>AUG-26-1995</w:t>
      </w:r>
    </w:p>
    <w:p>
      <w:pPr>
        <w:spacing w:after="0" w:line="1"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MAY-27-1995</w:t>
      </w:r>
    </w:p>
    <w:p>
      <w:pPr>
        <w:spacing w:after="0" w:line="1" w:lineRule="exact"/>
        <w:rPr>
          <w:sz w:val="20"/>
          <w:szCs w:val="20"/>
          <w:color w:val="auto"/>
        </w:rPr>
      </w:pPr>
    </w:p>
    <w:p>
      <w:pPr>
        <w:ind w:left="3960"/>
        <w:spacing w:after="0"/>
        <w:rPr>
          <w:sz w:val="20"/>
          <w:szCs w:val="20"/>
          <w:color w:val="auto"/>
        </w:rPr>
      </w:pPr>
      <w:r>
        <w:rPr>
          <w:rFonts w:ascii="Courier New" w:cs="Courier New" w:eastAsia="Courier New" w:hAnsi="Courier New"/>
          <w:sz w:val="16"/>
          <w:szCs w:val="16"/>
          <w:color w:val="auto"/>
        </w:rPr>
        <w:t>2,118</w:t>
      </w:r>
    </w:p>
    <w:p>
      <w:pPr>
        <w:spacing w:after="0" w:line="1"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2,623</w:t>
      </w:r>
    </w:p>
    <w:p>
      <w:pPr>
        <w:spacing w:after="0" w:line="1" w:lineRule="exact"/>
        <w:rPr>
          <w:sz w:val="20"/>
          <w:szCs w:val="20"/>
          <w:color w:val="auto"/>
        </w:rPr>
      </w:pPr>
    </w:p>
    <w:p>
      <w:pPr>
        <w:ind w:left="3200"/>
        <w:spacing w:after="0"/>
        <w:rPr>
          <w:sz w:val="20"/>
          <w:szCs w:val="20"/>
          <w:color w:val="auto"/>
        </w:rPr>
      </w:pPr>
      <w:r>
        <w:rPr>
          <w:rFonts w:ascii="Courier New" w:cs="Courier New" w:eastAsia="Courier New" w:hAnsi="Courier New"/>
          <w:sz w:val="16"/>
          <w:szCs w:val="16"/>
          <w:color w:val="auto"/>
        </w:rPr>
        <w:t>46,548</w:t>
      </w:r>
    </w:p>
    <w:p>
      <w:pPr>
        <w:spacing w:after="0" w:line="1"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1,895</w:t>
      </w:r>
    </w:p>
    <w:p>
      <w:pPr>
        <w:spacing w:after="0" w:line="1"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68,389</w:t>
      </w:r>
    </w:p>
    <w:p>
      <w:pPr>
        <w:spacing w:after="0" w:line="1"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134,677</w:t>
      </w:r>
    </w:p>
    <w:p>
      <w:pPr>
        <w:spacing w:after="0" w:line="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130,406</w:t>
      </w:r>
    </w:p>
    <w:p>
      <w:pPr>
        <w:spacing w:after="0" w:line="1"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87,456</w:t>
      </w:r>
    </w:p>
    <w:p>
      <w:pPr>
        <w:spacing w:after="0" w:line="1" w:lineRule="exact"/>
        <w:rPr>
          <w:sz w:val="20"/>
          <w:szCs w:val="20"/>
          <w:color w:val="auto"/>
        </w:rPr>
      </w:pPr>
    </w:p>
    <w:p>
      <w:pPr>
        <w:ind w:left="3020"/>
        <w:spacing w:after="0"/>
        <w:rPr>
          <w:sz w:val="20"/>
          <w:szCs w:val="20"/>
          <w:color w:val="auto"/>
        </w:rPr>
      </w:pPr>
      <w:r>
        <w:rPr>
          <w:rFonts w:ascii="Courier New" w:cs="Courier New" w:eastAsia="Courier New" w:hAnsi="Courier New"/>
          <w:sz w:val="16"/>
          <w:szCs w:val="16"/>
          <w:color w:val="auto"/>
        </w:rPr>
        <w:t>216,680</w:t>
      </w:r>
    </w:p>
    <w:p>
      <w:pPr>
        <w:spacing w:after="0" w:line="1" w:lineRule="exact"/>
        <w:rPr>
          <w:sz w:val="20"/>
          <w:szCs w:val="20"/>
          <w:color w:val="auto"/>
        </w:rPr>
      </w:pPr>
    </w:p>
    <w:p>
      <w:pPr>
        <w:ind w:left="2460"/>
        <w:spacing w:after="0"/>
        <w:rPr>
          <w:sz w:val="20"/>
          <w:szCs w:val="20"/>
          <w:color w:val="auto"/>
        </w:rPr>
      </w:pPr>
      <w:r>
        <w:rPr>
          <w:rFonts w:ascii="Courier New" w:cs="Courier New" w:eastAsia="Courier New" w:hAnsi="Courier New"/>
          <w:sz w:val="16"/>
          <w:szCs w:val="16"/>
          <w:color w:val="auto"/>
        </w:rPr>
        <w:t>54,958</w:t>
      </w:r>
    </w:p>
    <w:p>
      <w:pPr>
        <w:spacing w:after="0" w:line="1" w:lineRule="exact"/>
        <w:rPr>
          <w:sz w:val="20"/>
          <w:szCs w:val="20"/>
          <w:color w:val="auto"/>
        </w:rPr>
      </w:pPr>
    </w:p>
    <w:p>
      <w:pPr>
        <w:ind w:left="4240"/>
        <w:spacing w:after="0"/>
        <w:rPr>
          <w:sz w:val="20"/>
          <w:szCs w:val="20"/>
          <w:color w:val="auto"/>
        </w:rPr>
      </w:pPr>
      <w:r>
        <w:rPr>
          <w:rFonts w:ascii="Courier New" w:cs="Courier New" w:eastAsia="Courier New" w:hAnsi="Courier New"/>
          <w:sz w:val="16"/>
          <w:szCs w:val="16"/>
          <w:color w:val="auto"/>
        </w:rPr>
        <w:t>0</w:t>
      </w:r>
    </w:p>
    <w:p>
      <w:pPr>
        <w:spacing w:after="0" w:line="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12,915</w:t>
      </w:r>
    </w:p>
    <w:p>
      <w:pPr>
        <w:spacing w:after="0" w:line="1" w:lineRule="exact"/>
        <w:rPr>
          <w:sz w:val="20"/>
          <w:szCs w:val="20"/>
          <w:color w:val="auto"/>
        </w:rPr>
      </w:pPr>
    </w:p>
    <w:p>
      <w:pPr>
        <w:ind w:left="2920"/>
        <w:spacing w:after="0"/>
        <w:rPr>
          <w:sz w:val="20"/>
          <w:szCs w:val="20"/>
          <w:color w:val="auto"/>
        </w:rPr>
      </w:pPr>
      <w:r>
        <w:rPr>
          <w:rFonts w:ascii="Courier New" w:cs="Courier New" w:eastAsia="Courier New" w:hAnsi="Courier New"/>
          <w:sz w:val="16"/>
          <w:szCs w:val="16"/>
          <w:color w:val="auto"/>
        </w:rPr>
        <w:t>0</w:t>
      </w:r>
    </w:p>
    <w:p>
      <w:pPr>
        <w:spacing w:after="0" w:line="1" w:lineRule="exact"/>
        <w:rPr>
          <w:sz w:val="20"/>
          <w:szCs w:val="20"/>
          <w:color w:val="auto"/>
        </w:rPr>
      </w:pPr>
    </w:p>
    <w:p>
      <w:pPr>
        <w:ind w:left="3860"/>
        <w:spacing w:after="0"/>
        <w:rPr>
          <w:sz w:val="20"/>
          <w:szCs w:val="20"/>
          <w:color w:val="auto"/>
        </w:rPr>
      </w:pPr>
      <w:r>
        <w:rPr>
          <w:rFonts w:ascii="Courier New" w:cs="Courier New" w:eastAsia="Courier New" w:hAnsi="Courier New"/>
          <w:sz w:val="16"/>
          <w:szCs w:val="16"/>
          <w:color w:val="auto"/>
        </w:rPr>
        <w:t>0</w:t>
      </w:r>
    </w:p>
    <w:p>
      <w:pPr>
        <w:spacing w:after="0" w:line="1" w:lineRule="exact"/>
        <w:rPr>
          <w:sz w:val="20"/>
          <w:szCs w:val="20"/>
          <w:color w:val="auto"/>
        </w:rPr>
      </w:pPr>
    </w:p>
    <w:p>
      <w:pPr>
        <w:ind w:left="3500"/>
        <w:spacing w:after="0"/>
        <w:rPr>
          <w:sz w:val="20"/>
          <w:szCs w:val="20"/>
          <w:color w:val="auto"/>
        </w:rPr>
      </w:pPr>
      <w:r>
        <w:rPr>
          <w:rFonts w:ascii="Courier New" w:cs="Courier New" w:eastAsia="Courier New" w:hAnsi="Courier New"/>
          <w:sz w:val="16"/>
          <w:szCs w:val="16"/>
          <w:color w:val="auto"/>
        </w:rPr>
        <w:t>88,566</w:t>
      </w:r>
    </w:p>
    <w:p>
      <w:pPr>
        <w:spacing w:after="0" w:line="1"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216,680</w:t>
      </w:r>
    </w:p>
    <w:p>
      <w:pPr>
        <w:spacing w:after="0" w:line="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125,093</w:t>
      </w:r>
    </w:p>
    <w:p>
      <w:pPr>
        <w:spacing w:after="0" w:line="1"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125,093</w:t>
      </w:r>
    </w:p>
    <w:p>
      <w:pPr>
        <w:spacing w:after="0" w:line="1" w:lineRule="exact"/>
        <w:rPr>
          <w:sz w:val="20"/>
          <w:szCs w:val="20"/>
          <w:color w:val="auto"/>
        </w:rPr>
      </w:pPr>
    </w:p>
    <w:p>
      <w:pPr>
        <w:jc w:val="right"/>
        <w:ind w:right="5579"/>
        <w:spacing w:after="0"/>
        <w:rPr>
          <w:sz w:val="20"/>
          <w:szCs w:val="20"/>
          <w:color w:val="auto"/>
        </w:rPr>
      </w:pPr>
      <w:r>
        <w:rPr>
          <w:rFonts w:ascii="Courier New" w:cs="Courier New" w:eastAsia="Courier New" w:hAnsi="Courier New"/>
          <w:sz w:val="16"/>
          <w:szCs w:val="16"/>
          <w:color w:val="auto"/>
        </w:rPr>
        <w:t>105,284</w:t>
      </w:r>
    </w:p>
    <w:p>
      <w:pPr>
        <w:spacing w:after="0" w:line="1"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105,284</w:t>
      </w:r>
    </w:p>
    <w:p>
      <w:pPr>
        <w:spacing w:after="0" w:line="1" w:lineRule="exact"/>
        <w:rPr>
          <w:sz w:val="20"/>
          <w:szCs w:val="20"/>
          <w:color w:val="auto"/>
        </w:rPr>
      </w:pPr>
    </w:p>
    <w:p>
      <w:pPr>
        <w:ind w:left="2920"/>
        <w:spacing w:after="0"/>
        <w:rPr>
          <w:sz w:val="20"/>
          <w:szCs w:val="20"/>
          <w:color w:val="auto"/>
        </w:rPr>
      </w:pPr>
      <w:r>
        <w:rPr>
          <w:rFonts w:ascii="Courier New" w:cs="Courier New" w:eastAsia="Courier New" w:hAnsi="Courier New"/>
          <w:sz w:val="16"/>
          <w:szCs w:val="16"/>
          <w:color w:val="auto"/>
        </w:rPr>
        <w:t>13,688</w:t>
      </w:r>
    </w:p>
    <w:p>
      <w:pPr>
        <w:spacing w:after="0" w:line="1"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0</w:t>
      </w:r>
    </w:p>
    <w:p>
      <w:pPr>
        <w:spacing w:after="0" w:line="1"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(457)</w:t>
      </w:r>
    </w:p>
    <w:p>
      <w:pPr>
        <w:spacing w:after="0" w:line="1"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6,578</w:t>
      </w:r>
    </w:p>
    <w:p>
      <w:pPr>
        <w:spacing w:after="0" w:line="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0</w:t>
      </w:r>
    </w:p>
    <w:p>
      <w:pPr>
        <w:spacing w:after="0" w:line="1"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6,578</w:t>
      </w:r>
    </w:p>
    <w:p>
      <w:pPr>
        <w:spacing w:after="0" w:line="1"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0</w:t>
      </w:r>
    </w:p>
    <w:p>
      <w:pPr>
        <w:spacing w:after="0" w:line="1" w:lineRule="exact"/>
        <w:rPr>
          <w:sz w:val="20"/>
          <w:szCs w:val="20"/>
          <w:color w:val="auto"/>
        </w:rPr>
      </w:pPr>
    </w:p>
    <w:p>
      <w:pPr>
        <w:ind w:left="3500"/>
        <w:spacing w:after="0"/>
        <w:rPr>
          <w:sz w:val="20"/>
          <w:szCs w:val="20"/>
          <w:color w:val="auto"/>
        </w:rPr>
      </w:pPr>
      <w:r>
        <w:rPr>
          <w:rFonts w:ascii="Courier New" w:cs="Courier New" w:eastAsia="Courier New" w:hAnsi="Courier New"/>
          <w:sz w:val="16"/>
          <w:szCs w:val="16"/>
          <w:color w:val="auto"/>
        </w:rPr>
        <w:t>0</w:t>
      </w:r>
    </w:p>
    <w:p>
      <w:pPr>
        <w:spacing w:after="0" w:line="1" w:lineRule="exact"/>
        <w:rPr>
          <w:sz w:val="20"/>
          <w:szCs w:val="20"/>
          <w:color w:val="auto"/>
        </w:rPr>
      </w:pPr>
    </w:p>
    <w:p>
      <w:pPr>
        <w:ind w:left="4060"/>
        <w:spacing w:after="0"/>
        <w:rPr>
          <w:sz w:val="20"/>
          <w:szCs w:val="20"/>
          <w:color w:val="auto"/>
        </w:rPr>
      </w:pPr>
      <w:r>
        <w:rPr>
          <w:rFonts w:ascii="Courier New" w:cs="Courier New" w:eastAsia="Courier New" w:hAnsi="Courier New"/>
          <w:sz w:val="16"/>
          <w:szCs w:val="16"/>
          <w:color w:val="auto"/>
        </w:rPr>
        <w:t>0</w:t>
      </w:r>
    </w:p>
    <w:p>
      <w:pPr>
        <w:spacing w:after="0" w:line="1"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6"/>
          <w:szCs w:val="16"/>
          <w:color w:val="auto"/>
        </w:rPr>
        <w:t>6,578</w:t>
      </w:r>
    </w:p>
    <w:p>
      <w:pPr>
        <w:spacing w:after="0" w:line="1"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6"/>
          <w:szCs w:val="16"/>
          <w:color w:val="auto"/>
        </w:rPr>
        <w:t>.26</w:t>
      </w:r>
    </w:p>
    <w:p>
      <w:pPr>
        <w:spacing w:after="0" w:line="1"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0</w:t>
      </w:r>
    </w:p>
    <w:sectPr>
      <w:pgSz w:w="11900" w:h="16838" w:orient="portrait"/>
      <w:cols w:equalWidth="0" w:num="1">
        <w:col w:w="10119"/>
      </w:cols>
      <w:pgMar w:left="340" w:top="86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X"/>
      <w:numFmt w:val="bullet"/>
      <w:start w:val="1"/>
    </w:lvl>
  </w:abstractNum>
  <w:abstractNum w:abstractNumId="1">
    <w:nsid w:val="238E1F29"/>
    <w:multiLevelType w:val="hybridMultilevel"/>
    <w:lvl w:ilvl="0">
      <w:lvlJc w:val="left"/>
      <w:lvlText w:val="%1."/>
      <w:numFmt w:val="decimal"/>
      <w:start w:val="1"/>
    </w:lvl>
  </w:abstractNum>
  <w:abstractNum w:abstractNumId="2">
    <w:nsid w:val="46E87CCD"/>
    <w:multiLevelType w:val="hybridMultilevel"/>
    <w:lvl w:ilvl="0">
      <w:lvlJc w:val="left"/>
      <w:lvlText w:val="%1."/>
      <w:numFmt w:val="decimal"/>
      <w:start w:val="4"/>
    </w:lvl>
  </w:abstractNum>
  <w:abstractNum w:abstractNumId="3">
    <w:nsid w:val="3D1B58BA"/>
    <w:multiLevelType w:val="hybridMultilevel"/>
    <w:lvl w:ilvl="0">
      <w:lvlJc w:val="left"/>
      <w:lvlText w:val="%1."/>
      <w:numFmt w:val="decimal"/>
      <w:start w:val="5"/>
    </w:lvl>
  </w:abstractNum>
  <w:abstractNum w:abstractNumId="4">
    <w:nsid w:val="507ED7AB"/>
    <w:multiLevelType w:val="hybridMultilevel"/>
    <w:lvl w:ilvl="0">
      <w:lvlJc w:val="left"/>
      <w:lvlText w:val="%1."/>
      <w:numFmt w:val="decimal"/>
      <w:start w:val="7"/>
    </w:lvl>
  </w:abstractNum>
  <w:abstractNum w:abstractNumId="5">
    <w:nsid w:val="2EB141F2"/>
    <w:multiLevelType w:val="hybridMultilevel"/>
    <w:lvl w:ilvl="0">
      <w:lvlJc w:val="left"/>
      <w:lvlText w:val="%1."/>
      <w:numFmt w:val="decimal"/>
      <w:start w:val="8"/>
    </w:lvl>
  </w:abstractNum>
  <w:abstractNum w:abstractNumId="6">
    <w:nsid w:val="41B71EF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2019-12-13T08:27:10Z</dcterms:created>
  <dcterms:modified xsi:type="dcterms:W3CDTF">2019-12-13T08:27:10Z</dcterms:modified>
</cp:coreProperties>
</file>