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 w:lineRule="exact"/>
        <w:rPr>
          <w:sz w:val="24"/>
          <w:szCs w:val="24"/>
          <w:color w:val="auto"/>
        </w:rPr>
      </w:pPr>
    </w:p>
    <w:p>
      <w:pPr>
        <w:ind w:right="2900" w:firstLine="8"/>
        <w:spacing w:after="0" w:line="262"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August 27, 2022;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or</w:t>
      </w:r>
    </w:p>
    <w:p>
      <w:pPr>
        <w:spacing w:after="0" w:line="16" w:lineRule="exact"/>
        <w:rPr>
          <w:sz w:val="24"/>
          <w:szCs w:val="24"/>
          <w:color w:val="auto"/>
        </w:rPr>
      </w:pPr>
    </w:p>
    <w:p>
      <w:pPr>
        <w:ind w:right="2600" w:firstLine="8"/>
        <w:spacing w:after="0" w:line="286" w:lineRule="auto"/>
        <w:tabs>
          <w:tab w:leader="none" w:pos="21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 to _______________________</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46355</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WINNEBAGO INDUSTRIES, INC.</w:t>
      </w:r>
    </w:p>
    <w:p>
      <w:pPr>
        <w:spacing w:after="0" w:line="56"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0" w:type="dxa"/>
            <w:vAlign w:val="bottom"/>
            <w:gridSpan w:val="3"/>
          </w:tcPr>
          <w:p>
            <w:pPr>
              <w:ind w:left="80"/>
              <w:spacing w:after="0"/>
              <w:rPr>
                <w:sz w:val="20"/>
                <w:szCs w:val="20"/>
                <w:color w:val="auto"/>
              </w:rPr>
            </w:pPr>
            <w:r>
              <w:rPr>
                <w:rFonts w:ascii="Arial" w:cs="Arial" w:eastAsia="Arial" w:hAnsi="Arial"/>
                <w:sz w:val="14"/>
                <w:szCs w:val="14"/>
                <w:color w:val="auto"/>
              </w:rPr>
              <w:t>(Exact name of registrant as specified in its charter)</w:t>
            </w:r>
          </w:p>
        </w:tc>
        <w:tc>
          <w:tcPr>
            <w:tcW w:w="3580" w:type="dxa"/>
            <w:vAlign w:val="bottom"/>
          </w:tcPr>
          <w:p>
            <w:pPr>
              <w:spacing w:after="0"/>
              <w:rPr>
                <w:sz w:val="15"/>
                <w:szCs w:val="15"/>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color w:val="auto"/>
              </w:rPr>
              <w:t>Minnesota</w:t>
            </w:r>
          </w:p>
        </w:tc>
        <w:tc>
          <w:tcPr>
            <w:tcW w:w="124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ind w:right="1759"/>
              <w:spacing w:after="0"/>
              <w:rPr>
                <w:sz w:val="20"/>
                <w:szCs w:val="20"/>
                <w:color w:val="auto"/>
              </w:rPr>
            </w:pPr>
            <w:r>
              <w:rPr>
                <w:rFonts w:ascii="Arial" w:cs="Arial" w:eastAsia="Arial" w:hAnsi="Arial"/>
                <w:sz w:val="16"/>
                <w:szCs w:val="16"/>
                <w:color w:val="auto"/>
              </w:rPr>
              <w:t>42-0802678</w:t>
            </w:r>
          </w:p>
        </w:tc>
      </w:tr>
      <w:tr>
        <w:trPr>
          <w:trHeight w:val="209"/>
        </w:trPr>
        <w:tc>
          <w:tcPr>
            <w:tcW w:w="3520" w:type="dxa"/>
            <w:vAlign w:val="bottom"/>
            <w:gridSpan w:val="2"/>
          </w:tcPr>
          <w:p>
            <w:pPr>
              <w:jc w:val="center"/>
              <w:ind w:left="1139"/>
              <w:spacing w:after="0"/>
              <w:rPr>
                <w:sz w:val="20"/>
                <w:szCs w:val="20"/>
                <w:color w:val="auto"/>
              </w:rPr>
            </w:pPr>
            <w:r>
              <w:rPr>
                <w:rFonts w:ascii="Arial" w:cs="Arial" w:eastAsia="Arial" w:hAnsi="Arial"/>
                <w:sz w:val="16"/>
                <w:szCs w:val="16"/>
                <w:color w:val="auto"/>
              </w:rPr>
              <w:t>(State or other jurisdiction of</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80" w:type="dxa"/>
            <w:vAlign w:val="bottom"/>
          </w:tcPr>
          <w:p>
            <w:pPr>
              <w:jc w:val="center"/>
              <w:ind w:right="899"/>
              <w:spacing w:after="0"/>
              <w:rPr>
                <w:sz w:val="20"/>
                <w:szCs w:val="20"/>
                <w:color w:val="auto"/>
              </w:rPr>
            </w:pPr>
            <w:r>
              <w:rPr>
                <w:rFonts w:ascii="Arial" w:cs="Arial" w:eastAsia="Arial" w:hAnsi="Arial"/>
                <w:sz w:val="16"/>
                <w:szCs w:val="16"/>
                <w:color w:val="auto"/>
              </w:rPr>
              <w:t>(I.R.S. Employer Identification No.)</w:t>
            </w:r>
          </w:p>
        </w:tc>
      </w:tr>
      <w:tr>
        <w:trPr>
          <w:trHeight w:val="215"/>
        </w:trPr>
        <w:tc>
          <w:tcPr>
            <w:tcW w:w="3520" w:type="dxa"/>
            <w:vAlign w:val="bottom"/>
            <w:gridSpan w:val="2"/>
          </w:tcPr>
          <w:p>
            <w:pPr>
              <w:jc w:val="center"/>
              <w:ind w:left="1139"/>
              <w:spacing w:after="0"/>
              <w:rPr>
                <w:sz w:val="20"/>
                <w:szCs w:val="20"/>
                <w:color w:val="auto"/>
              </w:rPr>
            </w:pPr>
            <w:r>
              <w:rPr>
                <w:rFonts w:ascii="Arial" w:cs="Arial" w:eastAsia="Arial" w:hAnsi="Arial"/>
                <w:sz w:val="16"/>
                <w:szCs w:val="16"/>
                <w:color w:val="auto"/>
              </w:rPr>
              <w:t>incorporation or organization)</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365"/>
        </w:trPr>
        <w:tc>
          <w:tcPr>
            <w:tcW w:w="1800" w:type="dxa"/>
            <w:vAlign w:val="bottom"/>
          </w:tcPr>
          <w:p>
            <w:pPr>
              <w:ind w:left="180"/>
              <w:spacing w:after="0"/>
              <w:rPr>
                <w:sz w:val="20"/>
                <w:szCs w:val="20"/>
                <w:color w:val="auto"/>
              </w:rPr>
            </w:pPr>
            <w:r>
              <w:rPr>
                <w:rFonts w:ascii="Arial" w:cs="Arial" w:eastAsia="Arial" w:hAnsi="Arial"/>
                <w:sz w:val="16"/>
                <w:szCs w:val="16"/>
                <w:color w:val="auto"/>
              </w:rPr>
              <w:t>13200 Pioneer Trail</w:t>
            </w:r>
          </w:p>
        </w:tc>
        <w:tc>
          <w:tcPr>
            <w:tcW w:w="1720" w:type="dxa"/>
            <w:vAlign w:val="bottom"/>
          </w:tcPr>
          <w:p>
            <w:pPr>
              <w:ind w:left="260"/>
              <w:spacing w:after="0"/>
              <w:rPr>
                <w:sz w:val="20"/>
                <w:szCs w:val="20"/>
                <w:color w:val="auto"/>
              </w:rPr>
            </w:pPr>
            <w:r>
              <w:rPr>
                <w:rFonts w:ascii="Arial" w:cs="Arial" w:eastAsia="Arial" w:hAnsi="Arial"/>
                <w:sz w:val="16"/>
                <w:szCs w:val="16"/>
                <w:color w:val="auto"/>
              </w:rPr>
              <w:t>Eden Prairie</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Minnesota</w:t>
            </w:r>
          </w:p>
        </w:tc>
        <w:tc>
          <w:tcPr>
            <w:tcW w:w="3580" w:type="dxa"/>
            <w:vAlign w:val="bottom"/>
          </w:tcPr>
          <w:p>
            <w:pPr>
              <w:jc w:val="right"/>
              <w:ind w:right="1979"/>
              <w:spacing w:after="0"/>
              <w:rPr>
                <w:sz w:val="20"/>
                <w:szCs w:val="20"/>
                <w:color w:val="auto"/>
              </w:rPr>
            </w:pPr>
            <w:r>
              <w:rPr>
                <w:rFonts w:ascii="Arial" w:cs="Arial" w:eastAsia="Arial" w:hAnsi="Arial"/>
                <w:sz w:val="16"/>
                <w:szCs w:val="16"/>
                <w:color w:val="auto"/>
              </w:rPr>
              <w:t>55347</w:t>
            </w:r>
          </w:p>
        </w:tc>
      </w:tr>
      <w:tr>
        <w:trPr>
          <w:trHeight w:val="209"/>
        </w:trPr>
        <w:tc>
          <w:tcPr>
            <w:tcW w:w="476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899"/>
              <w:spacing w:after="0"/>
              <w:rPr>
                <w:sz w:val="20"/>
                <w:szCs w:val="20"/>
                <w:color w:val="auto"/>
              </w:rPr>
            </w:pPr>
            <w:r>
              <w:rPr>
                <w:rFonts w:ascii="Arial" w:cs="Arial" w:eastAsia="Arial" w:hAnsi="Arial"/>
                <w:sz w:val="16"/>
                <w:szCs w:val="16"/>
                <w:color w:val="auto"/>
              </w:rPr>
              <w:t>(Zip Code)</w:t>
            </w:r>
          </w:p>
        </w:tc>
      </w:tr>
    </w:tbl>
    <w:p>
      <w:pPr>
        <w:spacing w:after="0" w:line="82"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Registrant's telephone number, including area code: (952) 829-8600</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WGO</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7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5" w:lineRule="exact"/>
        <w:rPr>
          <w:sz w:val="24"/>
          <w:szCs w:val="24"/>
          <w:color w:val="auto"/>
        </w:rPr>
      </w:pPr>
    </w:p>
    <w:p>
      <w:pPr>
        <w:ind w:right="2700"/>
        <w:spacing w:after="0" w:line="30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spacing w:after="0" w:line="227" w:lineRule="exact"/>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right="580"/>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right="14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p>
      <w:pPr>
        <w:spacing w:after="0" w:line="196" w:lineRule="exact"/>
        <w:tabs>
          <w:tab w:leader="none" w:pos="1840" w:val="left"/>
          <w:tab w:leader="none" w:pos="32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7"/>
          <w:szCs w:val="17"/>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7"/>
          <w:szCs w:val="17"/>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7"/>
          <w:szCs w:val="17"/>
          <w:color w:val="auto"/>
        </w:rPr>
        <w:t>☐</w:t>
      </w:r>
    </w:p>
    <w:p>
      <w:pPr>
        <w:spacing w:after="0" w:line="166" w:lineRule="exact"/>
        <w:rPr>
          <w:sz w:val="24"/>
          <w:szCs w:val="24"/>
          <w:color w:val="auto"/>
        </w:rPr>
      </w:pPr>
    </w:p>
    <w:p>
      <w:pPr>
        <w:ind w:right="200"/>
        <w:spacing w:after="0" w:line="21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ind w:right="320"/>
        <w:spacing w:after="0" w:line="21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sectPr>
      </w:pPr>
    </w:p>
    <w:bookmarkStart w:id="1" w:name="page2"/>
    <w:bookmarkEnd w:id="1"/>
    <w:p>
      <w:pPr>
        <w:spacing w:after="0" w:line="30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$2,003,293,000 as of February 26, 2022, based upon the closing price of $63.00 as of February 25, 2022 as reported on the New York Stock Exchange.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As of October 13, 2022, 30,507,424 shares of the registrant's common stock, par value $0.50 per share, were outstanding.</w:t>
      </w: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9"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auto"/>
        </w:rPr>
        <w:t>Portions of the definitive Proxy Statement to be filed with the Securities and Exchange Commission within 120 days after the end of the fiscal year covered by this report for the registrant's 2022 Annual Meeting of Shareholders to be held on December 13, 2022 (the "2022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11060" w:type="dxa"/>
            <w:vAlign w:val="bottom"/>
            <w:gridSpan w:val="30"/>
          </w:tcPr>
          <w:p>
            <w:pPr>
              <w:spacing w:after="0"/>
              <w:rPr>
                <w:sz w:val="20"/>
                <w:szCs w:val="20"/>
                <w:color w:val="auto"/>
              </w:rPr>
            </w:pPr>
            <w:r>
              <w:rPr>
                <w:rFonts w:ascii="Arial" w:cs="Arial" w:eastAsia="Arial" w:hAnsi="Arial"/>
                <w:sz w:val="16"/>
                <w:szCs w:val="16"/>
                <w:b w:val="1"/>
                <w:bCs w:val="1"/>
                <w:color w:val="auto"/>
              </w:rPr>
              <w:t>Winnebago Industries, Inc.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1060" w:type="dxa"/>
            <w:vAlign w:val="bottom"/>
            <w:gridSpan w:val="30"/>
          </w:tcPr>
          <w:p>
            <w:pPr>
              <w:spacing w:after="0"/>
              <w:rPr>
                <w:sz w:val="20"/>
                <w:szCs w:val="20"/>
                <w:color w:val="auto"/>
              </w:rPr>
            </w:pPr>
            <w:r>
              <w:rPr>
                <w:rFonts w:ascii="Arial" w:cs="Arial" w:eastAsia="Arial" w:hAnsi="Arial"/>
                <w:sz w:val="16"/>
                <w:szCs w:val="16"/>
                <w:b w:val="1"/>
                <w:bCs w:val="1"/>
                <w:color w:val="auto"/>
              </w:rPr>
              <w:t>Fiscal 2022 Annual Report on Form 10-K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11060" w:type="dxa"/>
            <w:vAlign w:val="bottom"/>
            <w:gridSpan w:val="30"/>
          </w:tcPr>
          <w:p>
            <w:pPr>
              <w:spacing w:after="0"/>
              <w:rPr>
                <w:sz w:val="20"/>
                <w:szCs w:val="20"/>
                <w:color w:val="auto"/>
              </w:rPr>
            </w:pPr>
            <w:r>
              <w:rPr>
                <w:rFonts w:ascii="Arial" w:cs="Arial" w:eastAsia="Arial" w:hAnsi="Arial"/>
                <w:sz w:val="16"/>
                <w:szCs w:val="16"/>
                <w:b w:val="1"/>
                <w:bCs w:val="1"/>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960" w:type="dxa"/>
            <w:vAlign w:val="bottom"/>
            <w:gridSpan w:val="6"/>
          </w:tcPr>
          <w:p>
            <w:pPr>
              <w:spacing w:after="0"/>
              <w:rPr>
                <w:sz w:val="20"/>
                <w:szCs w:val="20"/>
                <w:color w:val="auto"/>
              </w:rPr>
            </w:pPr>
            <w:r>
              <w:rPr>
                <w:rFonts w:ascii="Arial" w:cs="Arial" w:eastAsia="Arial" w:hAnsi="Arial"/>
                <w:sz w:val="16"/>
                <w:szCs w:val="16"/>
                <w:b w:val="1"/>
                <w:bCs w:val="1"/>
                <w:color w:val="0000FF"/>
              </w:rPr>
              <w:t>PART I</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460" w:type="dxa"/>
            <w:vAlign w:val="bottom"/>
            <w:gridSpan w:val="5"/>
          </w:tcPr>
          <w:p>
            <w:pPr>
              <w:spacing w:after="0"/>
              <w:rPr>
                <w:sz w:val="17"/>
                <w:szCs w:val="17"/>
                <w:color w:val="auto"/>
              </w:rPr>
            </w:pPr>
          </w:p>
        </w:tc>
        <w:tc>
          <w:tcPr>
            <w:tcW w:w="10080" w:type="dxa"/>
            <w:vAlign w:val="bottom"/>
            <w:gridSpan w:val="23"/>
          </w:tcPr>
          <w:p>
            <w:pPr>
              <w:spacing w:after="0"/>
              <w:rPr>
                <w:sz w:val="20"/>
                <w:szCs w:val="20"/>
                <w:color w:val="auto"/>
              </w:rPr>
            </w:pPr>
            <w:r>
              <w:rPr>
                <w:rFonts w:ascii="Arial" w:cs="Arial" w:eastAsia="Arial" w:hAnsi="Arial"/>
                <w:sz w:val="16"/>
                <w:szCs w:val="16"/>
                <w:color w:val="0000FF"/>
              </w:rPr>
              <w:t>Business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Arial" w:cs="Arial" w:eastAsia="Arial" w:hAnsi="Arial"/>
                <w:sz w:val="16"/>
                <w:szCs w:val="16"/>
                <w:color w:val="0000FF"/>
                <w:w w:val="93"/>
              </w:rPr>
              <w:t>Item 1A.</w:t>
            </w:r>
          </w:p>
        </w:tc>
        <w:tc>
          <w:tcPr>
            <w:tcW w:w="360" w:type="dxa"/>
            <w:vAlign w:val="bottom"/>
            <w:gridSpan w:val="2"/>
          </w:tcPr>
          <w:p>
            <w:pPr>
              <w:spacing w:after="0"/>
              <w:rPr>
                <w:sz w:val="17"/>
                <w:szCs w:val="17"/>
                <w:color w:val="auto"/>
              </w:rPr>
            </w:pPr>
          </w:p>
        </w:tc>
        <w:tc>
          <w:tcPr>
            <w:tcW w:w="900" w:type="dxa"/>
            <w:vAlign w:val="bottom"/>
            <w:gridSpan w:val="4"/>
          </w:tcPr>
          <w:p>
            <w:pPr>
              <w:spacing w:after="0"/>
              <w:rPr>
                <w:sz w:val="20"/>
                <w:szCs w:val="20"/>
                <w:color w:val="auto"/>
              </w:rPr>
            </w:pPr>
            <w:r>
              <w:rPr>
                <w:rFonts w:ascii="Arial" w:cs="Arial" w:eastAsia="Arial" w:hAnsi="Arial"/>
                <w:sz w:val="16"/>
                <w:szCs w:val="16"/>
                <w:color w:val="0000FF"/>
                <w:w w:val="98"/>
              </w:rPr>
              <w:t>Risk Factors</w:t>
            </w:r>
          </w:p>
        </w:tc>
        <w:tc>
          <w:tcPr>
            <w:tcW w:w="9180" w:type="dxa"/>
            <w:vAlign w:val="bottom"/>
            <w:gridSpan w:val="19"/>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11</w:t>
            </w: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3"/>
              </w:rPr>
              <w:t>Item 1B.</w:t>
            </w:r>
          </w:p>
        </w:tc>
        <w:tc>
          <w:tcPr>
            <w:tcW w:w="360" w:type="dxa"/>
            <w:vAlign w:val="bottom"/>
            <w:gridSpan w:val="2"/>
          </w:tcPr>
          <w:p>
            <w:pPr>
              <w:spacing w:after="0"/>
              <w:rPr>
                <w:sz w:val="17"/>
                <w:szCs w:val="17"/>
                <w:color w:val="auto"/>
              </w:rPr>
            </w:pPr>
          </w:p>
        </w:tc>
        <w:tc>
          <w:tcPr>
            <w:tcW w:w="20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Unresolved Staff Comments</w:t>
            </w:r>
          </w:p>
        </w:tc>
        <w:tc>
          <w:tcPr>
            <w:tcW w:w="8060" w:type="dxa"/>
            <w:vAlign w:val="bottom"/>
            <w:gridSpan w:val="1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17</w:t>
            </w:r>
          </w:p>
        </w:tc>
      </w:tr>
      <w:tr>
        <w:trPr>
          <w:trHeight w:val="196"/>
        </w:trPr>
        <w:tc>
          <w:tcPr>
            <w:tcW w:w="20" w:type="dxa"/>
            <w:vAlign w:val="bottom"/>
          </w:tcPr>
          <w:p>
            <w:pPr>
              <w:spacing w:after="0"/>
              <w:rPr>
                <w:sz w:val="17"/>
                <w:szCs w:val="17"/>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0000FF"/>
              </w:rPr>
              <w:t>Item 2.</w:t>
            </w:r>
          </w:p>
        </w:tc>
        <w:tc>
          <w:tcPr>
            <w:tcW w:w="10080" w:type="dxa"/>
            <w:vAlign w:val="bottom"/>
            <w:gridSpan w:val="23"/>
          </w:tcPr>
          <w:p>
            <w:pPr>
              <w:spacing w:after="0"/>
              <w:rPr>
                <w:sz w:val="20"/>
                <w:szCs w:val="20"/>
                <w:color w:val="auto"/>
              </w:rPr>
            </w:pPr>
            <w:r>
              <w:rPr>
                <w:rFonts w:ascii="Arial" w:cs="Arial" w:eastAsia="Arial" w:hAnsi="Arial"/>
                <w:sz w:val="16"/>
                <w:szCs w:val="16"/>
                <w:color w:val="0000FF"/>
              </w:rPr>
              <w:t>Properties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17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3.</w:t>
            </w:r>
          </w:p>
        </w:tc>
        <w:tc>
          <w:tcPr>
            <w:tcW w:w="400" w:type="dxa"/>
            <w:vAlign w:val="bottom"/>
            <w:gridSpan w:val="4"/>
          </w:tcPr>
          <w:p>
            <w:pPr>
              <w:spacing w:after="0"/>
              <w:rPr>
                <w:sz w:val="17"/>
                <w:szCs w:val="17"/>
                <w:color w:val="auto"/>
              </w:rPr>
            </w:pPr>
          </w:p>
        </w:tc>
        <w:tc>
          <w:tcPr>
            <w:tcW w:w="13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Legal Proceedings</w:t>
            </w:r>
          </w:p>
        </w:tc>
        <w:tc>
          <w:tcPr>
            <w:tcW w:w="8740" w:type="dxa"/>
            <w:vAlign w:val="bottom"/>
            <w:gridSpan w:val="16"/>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17</w:t>
            </w:r>
          </w:p>
        </w:tc>
      </w:tr>
      <w:tr>
        <w:trPr>
          <w:trHeight w:val="196"/>
        </w:trPr>
        <w:tc>
          <w:tcPr>
            <w:tcW w:w="20" w:type="dxa"/>
            <w:vAlign w:val="bottom"/>
          </w:tcPr>
          <w:p>
            <w:pPr>
              <w:spacing w:after="0"/>
              <w:rPr>
                <w:sz w:val="17"/>
                <w:szCs w:val="17"/>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0000FF"/>
              </w:rPr>
              <w:t>Item 4.</w:t>
            </w:r>
          </w:p>
        </w:tc>
        <w:tc>
          <w:tcPr>
            <w:tcW w:w="10080" w:type="dxa"/>
            <w:vAlign w:val="bottom"/>
            <w:gridSpan w:val="23"/>
          </w:tcPr>
          <w:p>
            <w:pPr>
              <w:spacing w:after="0"/>
              <w:rPr>
                <w:sz w:val="20"/>
                <w:szCs w:val="20"/>
                <w:color w:val="auto"/>
              </w:rPr>
            </w:pPr>
            <w:r>
              <w:rPr>
                <w:rFonts w:ascii="Arial" w:cs="Arial" w:eastAsia="Arial" w:hAnsi="Arial"/>
                <w:sz w:val="16"/>
                <w:szCs w:val="16"/>
                <w:color w:val="0000FF"/>
              </w:rPr>
              <w:t>Mine Safety Disclosures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17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Arial" w:cs="Arial" w:eastAsia="Arial" w:hAnsi="Arial"/>
                <w:sz w:val="16"/>
                <w:szCs w:val="16"/>
                <w:b w:val="1"/>
                <w:bCs w:val="1"/>
                <w:color w:val="0000FF"/>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18</w:t>
            </w:r>
          </w:p>
        </w:tc>
      </w:tr>
      <w:tr>
        <w:trPr>
          <w:trHeight w:val="196"/>
        </w:trPr>
        <w:tc>
          <w:tcPr>
            <w:tcW w:w="20" w:type="dxa"/>
            <w:vAlign w:val="bottom"/>
          </w:tcPr>
          <w:p>
            <w:pPr>
              <w:spacing w:after="0"/>
              <w:rPr>
                <w:sz w:val="17"/>
                <w:szCs w:val="17"/>
                <w:color w:val="auto"/>
              </w:rPr>
            </w:pPr>
          </w:p>
        </w:tc>
        <w:tc>
          <w:tcPr>
            <w:tcW w:w="56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Item 5.</w:t>
            </w:r>
          </w:p>
        </w:tc>
        <w:tc>
          <w:tcPr>
            <w:tcW w:w="400" w:type="dxa"/>
            <w:vAlign w:val="bottom"/>
            <w:gridSpan w:val="4"/>
          </w:tcPr>
          <w:p>
            <w:pPr>
              <w:spacing w:after="0"/>
              <w:rPr>
                <w:sz w:val="17"/>
                <w:szCs w:val="17"/>
                <w:color w:val="auto"/>
              </w:rPr>
            </w:pPr>
          </w:p>
        </w:tc>
        <w:tc>
          <w:tcPr>
            <w:tcW w:w="10080" w:type="dxa"/>
            <w:vAlign w:val="bottom"/>
            <w:gridSpan w:val="23"/>
          </w:tcPr>
          <w:p>
            <w:pPr>
              <w:spacing w:after="0"/>
              <w:rPr>
                <w:sz w:val="20"/>
                <w:szCs w:val="20"/>
                <w:color w:val="auto"/>
              </w:rPr>
            </w:pPr>
            <w:r>
              <w:rPr>
                <w:rFonts w:ascii="Arial" w:cs="Arial" w:eastAsia="Arial" w:hAnsi="Arial"/>
                <w:sz w:val="16"/>
                <w:szCs w:val="16"/>
                <w:color w:val="0000FF"/>
              </w:rPr>
              <w:t>Market for the Registrant's Common Equity, Related Shareholder Matters, and Issuer Purchases of Equity Securities</w:t>
            </w: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Item 6.</w:t>
            </w:r>
          </w:p>
        </w:tc>
        <w:tc>
          <w:tcPr>
            <w:tcW w:w="380" w:type="dxa"/>
            <w:vAlign w:val="bottom"/>
            <w:gridSpan w:val="3"/>
          </w:tcPr>
          <w:p>
            <w:pPr>
              <w:spacing w:after="0"/>
              <w:rPr>
                <w:sz w:val="17"/>
                <w:szCs w:val="17"/>
                <w:color w:val="auto"/>
              </w:rPr>
            </w:pPr>
          </w:p>
        </w:tc>
        <w:tc>
          <w:tcPr>
            <w:tcW w:w="7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[Reserved]</w:t>
            </w:r>
          </w:p>
        </w:tc>
        <w:tc>
          <w:tcPr>
            <w:tcW w:w="9300" w:type="dxa"/>
            <w:vAlign w:val="bottom"/>
            <w:gridSpan w:val="20"/>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20</w:t>
            </w:r>
          </w:p>
        </w:tc>
      </w:tr>
      <w:tr>
        <w:trPr>
          <w:trHeight w:val="196"/>
        </w:trPr>
        <w:tc>
          <w:tcPr>
            <w:tcW w:w="20" w:type="dxa"/>
            <w:vAlign w:val="bottom"/>
          </w:tcPr>
          <w:p>
            <w:pPr>
              <w:spacing w:after="0"/>
              <w:rPr>
                <w:sz w:val="17"/>
                <w:szCs w:val="17"/>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0000FF"/>
              </w:rPr>
              <w:t>Item 7.</w:t>
            </w:r>
          </w:p>
        </w:tc>
        <w:tc>
          <w:tcPr>
            <w:tcW w:w="10080" w:type="dxa"/>
            <w:vAlign w:val="bottom"/>
            <w:gridSpan w:val="2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20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3"/>
              </w:rPr>
              <w:t>Item 7A.</w:t>
            </w:r>
          </w:p>
        </w:tc>
        <w:tc>
          <w:tcPr>
            <w:tcW w:w="360" w:type="dxa"/>
            <w:vAlign w:val="bottom"/>
            <w:gridSpan w:val="2"/>
          </w:tcPr>
          <w:p>
            <w:pPr>
              <w:spacing w:after="0"/>
              <w:rPr>
                <w:sz w:val="17"/>
                <w:szCs w:val="17"/>
                <w:color w:val="auto"/>
              </w:rPr>
            </w:pPr>
          </w:p>
        </w:tc>
        <w:tc>
          <w:tcPr>
            <w:tcW w:w="42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5840" w:type="dxa"/>
            <w:vAlign w:val="bottom"/>
            <w:gridSpan w:val="7"/>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28</w:t>
            </w:r>
          </w:p>
        </w:tc>
      </w:tr>
      <w:tr>
        <w:trPr>
          <w:trHeight w:val="196"/>
        </w:trPr>
        <w:tc>
          <w:tcPr>
            <w:tcW w:w="20" w:type="dxa"/>
            <w:vAlign w:val="bottom"/>
          </w:tcPr>
          <w:p>
            <w:pPr>
              <w:spacing w:after="0"/>
              <w:rPr>
                <w:sz w:val="17"/>
                <w:szCs w:val="17"/>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0000FF"/>
              </w:rPr>
              <w:t>Item 8.</w:t>
            </w:r>
          </w:p>
        </w:tc>
        <w:tc>
          <w:tcPr>
            <w:tcW w:w="10080" w:type="dxa"/>
            <w:vAlign w:val="bottom"/>
            <w:gridSpan w:val="23"/>
          </w:tcPr>
          <w:p>
            <w:pPr>
              <w:spacing w:after="0"/>
              <w:rPr>
                <w:sz w:val="20"/>
                <w:szCs w:val="20"/>
                <w:color w:val="auto"/>
              </w:rPr>
            </w:pPr>
            <w:r>
              <w:rPr>
                <w:rFonts w:ascii="Arial" w:cs="Arial" w:eastAsia="Arial" w:hAnsi="Arial"/>
                <w:sz w:val="16"/>
                <w:szCs w:val="16"/>
                <w:color w:val="0000FF"/>
              </w:rPr>
              <w:t>Financial Statements and Supplementary Data</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29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0000FF"/>
              </w:rPr>
              <w:t>Item 9.</w:t>
            </w:r>
          </w:p>
        </w:tc>
        <w:tc>
          <w:tcPr>
            <w:tcW w:w="10080" w:type="dxa"/>
            <w:vAlign w:val="bottom"/>
            <w:gridSpan w:val="23"/>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61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Arial" w:cs="Arial" w:eastAsia="Arial" w:hAnsi="Arial"/>
                <w:sz w:val="16"/>
                <w:szCs w:val="16"/>
                <w:color w:val="0000FF"/>
                <w:w w:val="93"/>
              </w:rPr>
              <w:t>Item 9A.</w:t>
            </w:r>
          </w:p>
        </w:tc>
        <w:tc>
          <w:tcPr>
            <w:tcW w:w="360" w:type="dxa"/>
            <w:vAlign w:val="bottom"/>
            <w:gridSpan w:val="2"/>
          </w:tcPr>
          <w:p>
            <w:pPr>
              <w:spacing w:after="0"/>
              <w:rPr>
                <w:sz w:val="17"/>
                <w:szCs w:val="17"/>
                <w:color w:val="auto"/>
              </w:rPr>
            </w:pPr>
          </w:p>
        </w:tc>
        <w:tc>
          <w:tcPr>
            <w:tcW w:w="10080" w:type="dxa"/>
            <w:vAlign w:val="bottom"/>
            <w:gridSpan w:val="23"/>
          </w:tcPr>
          <w:p>
            <w:pPr>
              <w:spacing w:after="0"/>
              <w:rPr>
                <w:sz w:val="20"/>
                <w:szCs w:val="20"/>
                <w:color w:val="auto"/>
              </w:rPr>
            </w:pPr>
            <w:r>
              <w:rPr>
                <w:rFonts w:ascii="Arial" w:cs="Arial" w:eastAsia="Arial" w:hAnsi="Arial"/>
                <w:sz w:val="16"/>
                <w:szCs w:val="16"/>
                <w:color w:val="0000FF"/>
              </w:rPr>
              <w:t>Controls and Procedures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61</w:t>
            </w:r>
          </w:p>
        </w:tc>
      </w:tr>
      <w:tr>
        <w:trPr>
          <w:trHeight w:val="196"/>
        </w:trPr>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3"/>
              </w:rPr>
              <w:t>Item 9B.</w:t>
            </w:r>
          </w:p>
        </w:tc>
        <w:tc>
          <w:tcPr>
            <w:tcW w:w="360" w:type="dxa"/>
            <w:vAlign w:val="bottom"/>
            <w:gridSpan w:val="2"/>
          </w:tcPr>
          <w:p>
            <w:pPr>
              <w:spacing w:after="0"/>
              <w:rPr>
                <w:sz w:val="17"/>
                <w:szCs w:val="17"/>
                <w:color w:val="auto"/>
              </w:rPr>
            </w:pPr>
          </w:p>
        </w:tc>
        <w:tc>
          <w:tcPr>
            <w:tcW w:w="12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tcBorders>
              <w:top w:val="single" w:sz="8" w:color="0000FF"/>
            </w:tcBorders>
            <w:gridSpan w:val="4"/>
          </w:tcPr>
          <w:p>
            <w:pPr>
              <w:spacing w:after="0"/>
              <w:rPr>
                <w:sz w:val="17"/>
                <w:szCs w:val="17"/>
                <w:color w:val="auto"/>
              </w:rPr>
            </w:pPr>
          </w:p>
        </w:tc>
        <w:tc>
          <w:tcPr>
            <w:tcW w:w="8300" w:type="dxa"/>
            <w:vAlign w:val="bottom"/>
            <w:gridSpan w:val="13"/>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61</w:t>
            </w:r>
          </w:p>
        </w:tc>
      </w:tr>
      <w:tr>
        <w:trPr>
          <w:trHeight w:val="216"/>
        </w:trPr>
        <w:tc>
          <w:tcPr>
            <w:tcW w:w="20" w:type="dxa"/>
            <w:vAlign w:val="bottom"/>
          </w:tcPr>
          <w:p>
            <w:pPr>
              <w:spacing w:after="0"/>
              <w:rPr>
                <w:sz w:val="18"/>
                <w:szCs w:val="18"/>
                <w:color w:val="auto"/>
              </w:rPr>
            </w:pPr>
          </w:p>
        </w:tc>
        <w:tc>
          <w:tcPr>
            <w:tcW w:w="5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Item 9C</w:t>
            </w:r>
          </w:p>
        </w:tc>
        <w:tc>
          <w:tcPr>
            <w:tcW w:w="380" w:type="dxa"/>
            <w:vAlign w:val="bottom"/>
            <w:gridSpan w:val="3"/>
          </w:tcPr>
          <w:p>
            <w:pPr>
              <w:spacing w:after="0"/>
              <w:rPr>
                <w:sz w:val="18"/>
                <w:szCs w:val="18"/>
                <w:color w:val="auto"/>
              </w:rPr>
            </w:pP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5220" w:type="dxa"/>
            <w:vAlign w:val="bottom"/>
            <w:gridSpan w:val="6"/>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61</w:t>
            </w:r>
          </w:p>
        </w:tc>
      </w:tr>
      <w:tr>
        <w:trPr>
          <w:trHeight w:val="433"/>
        </w:trPr>
        <w:tc>
          <w:tcPr>
            <w:tcW w:w="20" w:type="dxa"/>
            <w:vAlign w:val="bottom"/>
          </w:tcPr>
          <w:p>
            <w:pPr>
              <w:spacing w:after="0"/>
              <w:rPr>
                <w:sz w:val="24"/>
                <w:szCs w:val="24"/>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91"/>
              </w:rPr>
              <w:t>PART III</w:t>
            </w:r>
          </w:p>
        </w:tc>
        <w:tc>
          <w:tcPr>
            <w:tcW w:w="3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62</w:t>
            </w:r>
          </w:p>
        </w:tc>
      </w:tr>
      <w:tr>
        <w:trPr>
          <w:trHeight w:val="196"/>
        </w:trPr>
        <w:tc>
          <w:tcPr>
            <w:tcW w:w="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Arial" w:cs="Arial" w:eastAsia="Arial" w:hAnsi="Arial"/>
                <w:sz w:val="16"/>
                <w:szCs w:val="16"/>
                <w:color w:val="0000FF"/>
                <w:w w:val="96"/>
              </w:rPr>
              <w:t>Item 10.</w:t>
            </w:r>
          </w:p>
        </w:tc>
        <w:tc>
          <w:tcPr>
            <w:tcW w:w="360" w:type="dxa"/>
            <w:vAlign w:val="bottom"/>
            <w:gridSpan w:val="2"/>
          </w:tcPr>
          <w:p>
            <w:pPr>
              <w:spacing w:after="0"/>
              <w:rPr>
                <w:sz w:val="17"/>
                <w:szCs w:val="17"/>
                <w:color w:val="auto"/>
              </w:rPr>
            </w:pPr>
          </w:p>
        </w:tc>
        <w:tc>
          <w:tcPr>
            <w:tcW w:w="10080" w:type="dxa"/>
            <w:vAlign w:val="bottom"/>
            <w:gridSpan w:val="23"/>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62</w:t>
            </w:r>
          </w:p>
        </w:tc>
      </w:tr>
      <w:tr>
        <w:trPr>
          <w:trHeight w:val="196"/>
        </w:trPr>
        <w:tc>
          <w:tcPr>
            <w:tcW w:w="20" w:type="dxa"/>
            <w:vAlign w:val="bottom"/>
          </w:tcPr>
          <w:p>
            <w:pPr>
              <w:spacing w:after="0"/>
              <w:rPr>
                <w:sz w:val="17"/>
                <w:szCs w:val="17"/>
                <w:color w:val="auto"/>
              </w:rPr>
            </w:pPr>
          </w:p>
        </w:tc>
        <w:tc>
          <w:tcPr>
            <w:tcW w:w="60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96"/>
              </w:rPr>
              <w:t>Item 11.</w:t>
            </w:r>
          </w:p>
        </w:tc>
        <w:tc>
          <w:tcPr>
            <w:tcW w:w="360" w:type="dxa"/>
            <w:vAlign w:val="bottom"/>
            <w:gridSpan w:val="2"/>
          </w:tcPr>
          <w:p>
            <w:pPr>
              <w:spacing w:after="0"/>
              <w:rPr>
                <w:sz w:val="17"/>
                <w:szCs w:val="17"/>
                <w:color w:val="auto"/>
              </w:rPr>
            </w:pPr>
          </w:p>
        </w:tc>
        <w:tc>
          <w:tcPr>
            <w:tcW w:w="408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Executive Compensation</w:t>
            </w:r>
          </w:p>
        </w:tc>
        <w:tc>
          <w:tcPr>
            <w:tcW w:w="6000" w:type="dxa"/>
            <w:vAlign w:val="bottom"/>
            <w:gridSpan w:val="8"/>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62</w:t>
            </w: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6"/>
              </w:rPr>
              <w:t>Item 12.</w:t>
            </w:r>
          </w:p>
        </w:tc>
        <w:tc>
          <w:tcPr>
            <w:tcW w:w="360" w:type="dxa"/>
            <w:vAlign w:val="bottom"/>
            <w:gridSpan w:val="2"/>
          </w:tcPr>
          <w:p>
            <w:pPr>
              <w:spacing w:after="0"/>
              <w:rPr>
                <w:sz w:val="17"/>
                <w:szCs w:val="17"/>
                <w:color w:val="auto"/>
              </w:rPr>
            </w:pPr>
          </w:p>
        </w:tc>
        <w:tc>
          <w:tcPr>
            <w:tcW w:w="724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Security Ownership of Certain Beneficial Owners and Management and Related Shareholder Matters</w:t>
            </w:r>
          </w:p>
        </w:tc>
        <w:tc>
          <w:tcPr>
            <w:tcW w:w="284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62</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6"/>
              </w:rPr>
              <w:t>Item 13.</w:t>
            </w:r>
          </w:p>
        </w:tc>
        <w:tc>
          <w:tcPr>
            <w:tcW w:w="360" w:type="dxa"/>
            <w:vAlign w:val="bottom"/>
            <w:gridSpan w:val="2"/>
          </w:tcPr>
          <w:p>
            <w:pPr>
              <w:spacing w:after="0"/>
              <w:rPr>
                <w:sz w:val="17"/>
                <w:szCs w:val="17"/>
                <w:color w:val="auto"/>
              </w:rPr>
            </w:pPr>
          </w:p>
        </w:tc>
        <w:tc>
          <w:tcPr>
            <w:tcW w:w="54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4660" w:type="dxa"/>
            <w:vAlign w:val="bottom"/>
            <w:gridSpan w:val="5"/>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62</w:t>
            </w:r>
          </w:p>
        </w:tc>
      </w:tr>
      <w:tr>
        <w:trPr>
          <w:trHeight w:val="196"/>
        </w:trPr>
        <w:tc>
          <w:tcPr>
            <w:tcW w:w="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Arial" w:cs="Arial" w:eastAsia="Arial" w:hAnsi="Arial"/>
                <w:sz w:val="16"/>
                <w:szCs w:val="16"/>
                <w:color w:val="0000FF"/>
                <w:w w:val="96"/>
              </w:rPr>
              <w:t>Item 14.</w:t>
            </w:r>
          </w:p>
        </w:tc>
        <w:tc>
          <w:tcPr>
            <w:tcW w:w="360" w:type="dxa"/>
            <w:vAlign w:val="bottom"/>
            <w:gridSpan w:val="2"/>
          </w:tcPr>
          <w:p>
            <w:pPr>
              <w:spacing w:after="0"/>
              <w:rPr>
                <w:sz w:val="17"/>
                <w:szCs w:val="17"/>
                <w:color w:val="auto"/>
              </w:rPr>
            </w:pPr>
          </w:p>
        </w:tc>
        <w:tc>
          <w:tcPr>
            <w:tcW w:w="10080" w:type="dxa"/>
            <w:vAlign w:val="bottom"/>
            <w:gridSpan w:val="23"/>
          </w:tcPr>
          <w:p>
            <w:pPr>
              <w:spacing w:after="0"/>
              <w:rPr>
                <w:sz w:val="20"/>
                <w:szCs w:val="20"/>
                <w:color w:val="auto"/>
              </w:rPr>
            </w:pPr>
            <w:r>
              <w:rPr>
                <w:rFonts w:ascii="Arial" w:cs="Arial" w:eastAsia="Arial" w:hAnsi="Arial"/>
                <w:sz w:val="16"/>
                <w:szCs w:val="16"/>
                <w:color w:val="0000FF"/>
              </w:rPr>
              <w:t>Principal Accounting Fees and Services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62</w:t>
            </w: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98"/>
              </w:rPr>
              <w:t>PART IV</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63</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6"/>
              </w:rPr>
              <w:t>Item 15.</w:t>
            </w:r>
          </w:p>
        </w:tc>
        <w:tc>
          <w:tcPr>
            <w:tcW w:w="360" w:type="dxa"/>
            <w:vAlign w:val="bottom"/>
            <w:gridSpan w:val="2"/>
          </w:tcPr>
          <w:p>
            <w:pPr>
              <w:spacing w:after="0"/>
              <w:rPr>
                <w:sz w:val="17"/>
                <w:szCs w:val="17"/>
                <w:color w:val="auto"/>
              </w:rPr>
            </w:pPr>
          </w:p>
        </w:tc>
        <w:tc>
          <w:tcPr>
            <w:tcW w:w="31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Exhibits and Financial Statement Schedules</w:t>
            </w:r>
          </w:p>
        </w:tc>
        <w:tc>
          <w:tcPr>
            <w:tcW w:w="6920" w:type="dxa"/>
            <w:vAlign w:val="bottom"/>
            <w:gridSpan w:val="10"/>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63</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6"/>
              </w:rPr>
              <w:t>Item 16.</w:t>
            </w:r>
          </w:p>
        </w:tc>
        <w:tc>
          <w:tcPr>
            <w:tcW w:w="360" w:type="dxa"/>
            <w:vAlign w:val="bottom"/>
            <w:gridSpan w:val="2"/>
          </w:tcPr>
          <w:p>
            <w:pPr>
              <w:spacing w:after="0"/>
              <w:rPr>
                <w:sz w:val="17"/>
                <w:szCs w:val="17"/>
                <w:color w:val="auto"/>
              </w:rPr>
            </w:pPr>
          </w:p>
        </w:tc>
        <w:tc>
          <w:tcPr>
            <w:tcW w:w="15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9"/>
              </w:rPr>
              <w:t>Form 10-K Summary</w:t>
            </w:r>
          </w:p>
        </w:tc>
        <w:tc>
          <w:tcPr>
            <w:tcW w:w="8580" w:type="dxa"/>
            <w:vAlign w:val="bottom"/>
            <w:gridSpan w:val="15"/>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68</w:t>
            </w:r>
          </w:p>
        </w:tc>
      </w:tr>
      <w:tr>
        <w:trPr>
          <w:trHeight w:val="45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80" w:type="dxa"/>
            <w:vAlign w:val="bottom"/>
            <w:gridSpan w:val="23"/>
          </w:tcPr>
          <w:p>
            <w:pPr>
              <w:spacing w:after="0"/>
              <w:rPr>
                <w:sz w:val="20"/>
                <w:szCs w:val="20"/>
                <w:color w:val="auto"/>
              </w:rPr>
            </w:pPr>
            <w:r>
              <w:rPr>
                <w:rFonts w:ascii="Arial" w:cs="Arial" w:eastAsia="Arial" w:hAnsi="Arial"/>
                <w:sz w:val="16"/>
                <w:szCs w:val="16"/>
                <w:b w:val="1"/>
                <w:bCs w:val="1"/>
                <w:color w:val="0000FF"/>
              </w:rPr>
              <w:t>SIGNATURES</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69</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10-K</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Report for the Fiscal Year Ended August 27, 2022</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26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 for the fiscal year ended August 27, 2022,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w:t>
      </w:r>
    </w:p>
    <w:p>
      <w:pPr>
        <w:spacing w:after="0" w:line="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8" w:lineRule="exact"/>
        <w:rPr>
          <w:rFonts w:ascii="Arial" w:cs="Arial" w:eastAsia="Arial" w:hAnsi="Arial"/>
          <w:sz w:val="16"/>
          <w:szCs w:val="16"/>
          <w:color w:val="auto"/>
        </w:rPr>
      </w:pPr>
    </w:p>
    <w:p>
      <w:pPr>
        <w:ind w:left="660" w:right="28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1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The use of terms "Winnebago Industries," "Winnebago," "we," "our," and "us" in this Annual Report on Form 10-K, unless the context otherwise requires, refer to Winnebago Industries, Inc. and its wholly-owned subsidiaries.</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towable units in Indiana; our motorhome units in Iowa and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9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Fiscal 2022 refers to the fiscal year ended August 27, 2022, Fiscal 2021 refers to the fiscal year ended August 28, 2021, and Fiscal 2020 refers to the fiscal year ended August 29, 2020. The financial statements presented are all 52-week fiscal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internet website, located at www.winnebagoind.com, provides additional information about us. On our website you can obtain, free of charge, this and prior year Annual Reports on Form 10-K, Quarterly Reports on Form 10-Q, Current Reports on Form 8-K, and all other recent filings with the SEC. Our recent press releases and important information regarding our corporate governance practices are also available on our website. Information contained on our website is not incorporated into this Annual Report on Form 10-K. The SEC also maintains an internet site that contains reports, proxy and information statements, and other information regarding issuers that file electronically with the SEC which can be accessed at http://www.sec.gov.</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113"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auto"/>
        </w:rPr>
        <w:t>Our operations are organized into three reportable segments, Towable, Motorhome, and Marine, based on similarities within their markets, products, operations and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 towable is a non-motorized vehicle that is designed to be towed by automobiles, pickup trucks, SUVs, or vans and is used as temporary living quarters for recreational travel. The Recreation Vehicle Industry Association ("RVIA") classifies towables into four types: conventional travel trailers, fifth wheels, folding camper trailers, and truck campers. We manufacture and sell conventional travel trailers and fifth wheels under the Winnebago and Grand Design brand names, which are defined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3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Description</w:t>
            </w:r>
          </w:p>
        </w:tc>
        <w:tc>
          <w:tcPr>
            <w:tcW w:w="3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Winnebago product offerings</w:t>
            </w: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Grand Design product offerings</w:t>
            </w:r>
          </w:p>
        </w:tc>
      </w:tr>
      <w:tr>
        <w:trPr>
          <w:trHeight w:val="155"/>
        </w:trPr>
        <w:tc>
          <w:tcPr>
            <w:tcW w:w="12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Travel trailer</w:t>
            </w:r>
          </w:p>
        </w:tc>
        <w:tc>
          <w:tcPr>
            <w:tcW w:w="3680" w:type="dxa"/>
            <w:vAlign w:val="bottom"/>
            <w:shd w:val="clear" w:color="auto" w:fill="CCEEFF"/>
          </w:tcPr>
          <w:p>
            <w:pPr>
              <w:ind w:left="340"/>
              <w:spacing w:after="0" w:line="155" w:lineRule="exact"/>
              <w:rPr>
                <w:sz w:val="20"/>
                <w:szCs w:val="20"/>
                <w:color w:val="auto"/>
              </w:rPr>
            </w:pPr>
            <w:r>
              <w:rPr>
                <w:rFonts w:ascii="Arial" w:cs="Arial" w:eastAsia="Arial" w:hAnsi="Arial"/>
                <w:sz w:val="16"/>
                <w:szCs w:val="16"/>
                <w:color w:val="auto"/>
              </w:rPr>
              <w:t>Towed by means of a hitch attached to the</w:t>
            </w:r>
          </w:p>
        </w:tc>
        <w:tc>
          <w:tcPr>
            <w:tcW w:w="3100" w:type="dxa"/>
            <w:vAlign w:val="bottom"/>
            <w:shd w:val="clear" w:color="auto" w:fill="CCEEFF"/>
          </w:tcPr>
          <w:p>
            <w:pPr>
              <w:ind w:left="80"/>
              <w:spacing w:after="0" w:line="155" w:lineRule="exact"/>
              <w:rPr>
                <w:sz w:val="20"/>
                <w:szCs w:val="20"/>
                <w:color w:val="auto"/>
              </w:rPr>
            </w:pPr>
            <w:r>
              <w:rPr>
                <w:rFonts w:ascii="Arial" w:cs="Arial" w:eastAsia="Arial" w:hAnsi="Arial"/>
                <w:sz w:val="16"/>
                <w:szCs w:val="16"/>
                <w:color w:val="auto"/>
              </w:rPr>
              <w:t>HIKE, Micro Minnie, Minnie, and Voyage</w:t>
            </w:r>
          </w:p>
        </w:tc>
        <w:tc>
          <w:tcPr>
            <w:tcW w:w="3220" w:type="dxa"/>
            <w:vAlign w:val="bottom"/>
            <w:shd w:val="clear" w:color="auto" w:fill="CCEEFF"/>
          </w:tcPr>
          <w:p>
            <w:pPr>
              <w:ind w:left="140"/>
              <w:spacing w:after="0" w:line="155" w:lineRule="exact"/>
              <w:rPr>
                <w:sz w:val="20"/>
                <w:szCs w:val="20"/>
                <w:color w:val="auto"/>
              </w:rPr>
            </w:pPr>
            <w:r>
              <w:rPr>
                <w:rFonts w:ascii="Arial" w:cs="Arial" w:eastAsia="Arial" w:hAnsi="Arial"/>
                <w:sz w:val="16"/>
                <w:szCs w:val="16"/>
                <w:color w:val="auto"/>
              </w:rPr>
              <w:t>Transcend, Imagine, Momentum, and</w:t>
            </w:r>
          </w:p>
        </w:tc>
      </w:tr>
      <w:tr>
        <w:trPr>
          <w:trHeight w:val="216"/>
        </w:trPr>
        <w:tc>
          <w:tcPr>
            <w:tcW w:w="1240" w:type="dxa"/>
            <w:vAlign w:val="bottom"/>
            <w:shd w:val="clear" w:color="auto" w:fill="CCEEFF"/>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frame of the vehicle</w:t>
            </w:r>
          </w:p>
        </w:tc>
        <w:tc>
          <w:tcPr>
            <w:tcW w:w="3100" w:type="dxa"/>
            <w:vAlign w:val="bottom"/>
            <w:shd w:val="clear" w:color="auto" w:fill="CCEEFF"/>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Reflection</w:t>
            </w: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color w:val="auto"/>
              </w:rPr>
              <w:t>Fifth wheel</w:t>
            </w:r>
          </w:p>
        </w:tc>
        <w:tc>
          <w:tcPr>
            <w:tcW w:w="3680" w:type="dxa"/>
            <w:vAlign w:val="bottom"/>
          </w:tcPr>
          <w:p>
            <w:pPr>
              <w:ind w:left="340"/>
              <w:spacing w:after="0" w:line="162" w:lineRule="exact"/>
              <w:rPr>
                <w:sz w:val="20"/>
                <w:szCs w:val="20"/>
                <w:color w:val="auto"/>
              </w:rPr>
            </w:pPr>
            <w:r>
              <w:rPr>
                <w:rFonts w:ascii="Arial" w:cs="Arial" w:eastAsia="Arial" w:hAnsi="Arial"/>
                <w:sz w:val="16"/>
                <w:szCs w:val="16"/>
                <w:color w:val="auto"/>
              </w:rPr>
              <w:t>Constructed with a raised forward section that</w:t>
            </w:r>
          </w:p>
        </w:tc>
        <w:tc>
          <w:tcPr>
            <w:tcW w:w="3100" w:type="dxa"/>
            <w:vAlign w:val="bottom"/>
          </w:tcPr>
          <w:p>
            <w:pPr>
              <w:ind w:left="80"/>
              <w:spacing w:after="0" w:line="162" w:lineRule="exact"/>
              <w:rPr>
                <w:sz w:val="20"/>
                <w:szCs w:val="20"/>
                <w:color w:val="auto"/>
              </w:rPr>
            </w:pPr>
            <w:r>
              <w:rPr>
                <w:rFonts w:ascii="Arial" w:cs="Arial" w:eastAsia="Arial" w:hAnsi="Arial"/>
                <w:sz w:val="16"/>
                <w:szCs w:val="16"/>
                <w:color w:val="auto"/>
              </w:rPr>
              <w:t>N/A</w:t>
            </w:r>
          </w:p>
        </w:tc>
        <w:tc>
          <w:tcPr>
            <w:tcW w:w="3220" w:type="dxa"/>
            <w:vAlign w:val="bottom"/>
          </w:tcPr>
          <w:p>
            <w:pPr>
              <w:ind w:left="140"/>
              <w:spacing w:after="0" w:line="162" w:lineRule="exact"/>
              <w:rPr>
                <w:sz w:val="20"/>
                <w:szCs w:val="20"/>
                <w:color w:val="auto"/>
              </w:rPr>
            </w:pPr>
            <w:r>
              <w:rPr>
                <w:rFonts w:ascii="Arial" w:cs="Arial" w:eastAsia="Arial" w:hAnsi="Arial"/>
                <w:sz w:val="16"/>
                <w:szCs w:val="16"/>
                <w:color w:val="auto"/>
              </w:rPr>
              <w:t>Reflection, Momentum, and Solitude</w:t>
            </w:r>
          </w:p>
        </w:tc>
      </w:tr>
      <w:tr>
        <w:trPr>
          <w:trHeight w:val="162"/>
        </w:trPr>
        <w:tc>
          <w:tcPr>
            <w:tcW w:w="1240" w:type="dxa"/>
            <w:vAlign w:val="bottom"/>
          </w:tcPr>
          <w:p>
            <w:pPr>
              <w:spacing w:after="0"/>
              <w:rPr>
                <w:sz w:val="14"/>
                <w:szCs w:val="14"/>
                <w:color w:val="auto"/>
              </w:rPr>
            </w:pPr>
          </w:p>
        </w:tc>
        <w:tc>
          <w:tcPr>
            <w:tcW w:w="3680" w:type="dxa"/>
            <w:vAlign w:val="bottom"/>
          </w:tcPr>
          <w:p>
            <w:pPr>
              <w:ind w:left="340"/>
              <w:spacing w:after="0" w:line="162" w:lineRule="exact"/>
              <w:rPr>
                <w:sz w:val="20"/>
                <w:szCs w:val="20"/>
                <w:color w:val="auto"/>
              </w:rPr>
            </w:pPr>
            <w:r>
              <w:rPr>
                <w:rFonts w:ascii="Arial" w:cs="Arial" w:eastAsia="Arial" w:hAnsi="Arial"/>
                <w:sz w:val="16"/>
                <w:szCs w:val="16"/>
                <w:color w:val="auto"/>
              </w:rPr>
              <w:t>is connected to the vehicle with a special fifth</w:t>
            </w:r>
          </w:p>
        </w:tc>
        <w:tc>
          <w:tcPr>
            <w:tcW w:w="310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5"/>
        </w:trPr>
        <w:tc>
          <w:tcPr>
            <w:tcW w:w="124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6"/>
                <w:szCs w:val="16"/>
                <w:color w:val="auto"/>
              </w:rPr>
              <w:t>wheel hitch</w:t>
            </w:r>
          </w:p>
        </w:tc>
        <w:tc>
          <w:tcPr>
            <w:tcW w:w="310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200" w:lineRule="exact"/>
        <w:rPr>
          <w:sz w:val="20"/>
          <w:szCs w:val="20"/>
          <w:color w:val="auto"/>
        </w:rPr>
      </w:pPr>
    </w:p>
    <w:p>
      <w:pPr>
        <w:spacing w:after="0" w:line="287"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auto"/>
        </w:rPr>
        <w:t>Our travel trailer and fifth wheel towables are sold by dealers in the retail market with manufacturer's suggested retail prices ranging from approximately $33,000 to $154,000, depending on size and model, plus optional equipment and delivery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11"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A motorhome is a self-propelled mobile dwelling used primarily as temporary living quarters during vacation and camping trips, or to support active and mobile lifestyles. The RVIA classifies motorhomes into four types, all of which we manufacture and sell under the Winnebago and Newmar brand names, which are defined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38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Description</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Winnebago product offerings</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Newmar product offerings</w:t>
            </w:r>
          </w:p>
        </w:tc>
        <w:tc>
          <w:tcPr>
            <w:tcW w:w="0" w:type="dxa"/>
            <w:vAlign w:val="bottom"/>
          </w:tcPr>
          <w:p>
            <w:pPr>
              <w:spacing w:after="0"/>
              <w:rPr>
                <w:sz w:val="1"/>
                <w:szCs w:val="1"/>
                <w:color w:val="auto"/>
              </w:rPr>
            </w:pPr>
          </w:p>
        </w:tc>
      </w:tr>
      <w:tr>
        <w:trPr>
          <w:trHeight w:val="329"/>
        </w:trPr>
        <w:tc>
          <w:tcPr>
            <w:tcW w:w="1080" w:type="dxa"/>
            <w:vAlign w:val="bottom"/>
            <w:shd w:val="clear" w:color="auto" w:fill="CCEEFF"/>
          </w:tcPr>
          <w:p>
            <w:pPr>
              <w:spacing w:after="0"/>
              <w:rPr>
                <w:sz w:val="24"/>
                <w:szCs w:val="24"/>
                <w:color w:val="auto"/>
              </w:rPr>
            </w:pPr>
          </w:p>
        </w:tc>
        <w:tc>
          <w:tcPr>
            <w:tcW w:w="38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Built on a heavy truck chassis in both diesel</w:t>
            </w:r>
          </w:p>
        </w:tc>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Adventurer, Sunstar, and Vista</w:t>
            </w: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Bay Star and Bay Star Sport</w:t>
            </w:r>
          </w:p>
        </w:tc>
        <w:tc>
          <w:tcPr>
            <w:tcW w:w="0" w:type="dxa"/>
            <w:vAlign w:val="bottom"/>
          </w:tcPr>
          <w:p>
            <w:pPr>
              <w:spacing w:after="0"/>
              <w:rPr>
                <w:sz w:val="1"/>
                <w:szCs w:val="1"/>
                <w:color w:val="auto"/>
              </w:rPr>
            </w:pPr>
          </w:p>
        </w:tc>
      </w:tr>
      <w:tr>
        <w:trPr>
          <w:trHeight w:val="151"/>
        </w:trPr>
        <w:tc>
          <w:tcPr>
            <w:tcW w:w="1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3820" w:type="dxa"/>
            <w:vAlign w:val="bottom"/>
            <w:vMerge w:val="continue"/>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shd w:val="clear" w:color="auto" w:fill="CCEEFF"/>
          </w:tcPr>
          <w:p>
            <w:pPr>
              <w:spacing w:after="0"/>
              <w:rPr>
                <w:sz w:val="14"/>
                <w:szCs w:val="14"/>
                <w:color w:val="auto"/>
              </w:rPr>
            </w:pPr>
          </w:p>
        </w:tc>
        <w:tc>
          <w:tcPr>
            <w:tcW w:w="3820" w:type="dxa"/>
            <w:vAlign w:val="bottom"/>
            <w:shd w:val="clear" w:color="auto" w:fill="CCEEFF"/>
          </w:tcPr>
          <w:p>
            <w:pPr>
              <w:ind w:left="500"/>
              <w:spacing w:after="0" w:line="162" w:lineRule="exact"/>
              <w:rPr>
                <w:sz w:val="20"/>
                <w:szCs w:val="20"/>
                <w:color w:val="auto"/>
              </w:rPr>
            </w:pPr>
            <w:r>
              <w:rPr>
                <w:rFonts w:ascii="Arial" w:cs="Arial" w:eastAsia="Arial" w:hAnsi="Arial"/>
                <w:sz w:val="16"/>
                <w:szCs w:val="16"/>
                <w:color w:val="auto"/>
              </w:rPr>
              <w:t>and gas models with the ability to tow a small</w:t>
            </w:r>
          </w:p>
        </w:tc>
        <w:tc>
          <w:tcPr>
            <w:tcW w:w="316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Diesel: Canyon Star, Dutch Star, Essex,</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38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vehicle</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Diesel: Forza and Journey</w:t>
            </w:r>
          </w:p>
        </w:tc>
        <w:tc>
          <w:tcPr>
            <w:tcW w:w="3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spacing w:after="0"/>
              <w:rPr>
                <w:sz w:val="14"/>
                <w:szCs w:val="14"/>
                <w:color w:val="auto"/>
              </w:rPr>
            </w:pPr>
          </w:p>
        </w:tc>
        <w:tc>
          <w:tcPr>
            <w:tcW w:w="3820" w:type="dxa"/>
            <w:vAlign w:val="bottom"/>
            <w:vMerge w:val="continue"/>
            <w:shd w:val="clear" w:color="auto" w:fill="CCEEFF"/>
          </w:tcPr>
          <w:p>
            <w:pPr>
              <w:spacing w:after="0"/>
              <w:rPr>
                <w:sz w:val="14"/>
                <w:szCs w:val="14"/>
                <w:color w:val="auto"/>
              </w:rPr>
            </w:pPr>
          </w:p>
        </w:tc>
        <w:tc>
          <w:tcPr>
            <w:tcW w:w="3160" w:type="dxa"/>
            <w:vAlign w:val="bottom"/>
            <w:vMerge w:val="continue"/>
            <w:shd w:val="clear" w:color="auto" w:fill="CCEEFF"/>
          </w:tcPr>
          <w:p>
            <w:pPr>
              <w:spacing w:after="0"/>
              <w:rPr>
                <w:sz w:val="14"/>
                <w:szCs w:val="14"/>
                <w:color w:val="auto"/>
              </w:rPr>
            </w:pPr>
          </w:p>
        </w:tc>
        <w:tc>
          <w:tcPr>
            <w:tcW w:w="3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King Aire, Kountry Star, London Aire,</w:t>
            </w:r>
          </w:p>
        </w:tc>
        <w:tc>
          <w:tcPr>
            <w:tcW w:w="0" w:type="dxa"/>
            <w:vAlign w:val="bottom"/>
          </w:tcPr>
          <w:p>
            <w:pPr>
              <w:spacing w:after="0"/>
              <w:rPr>
                <w:sz w:val="1"/>
                <w:szCs w:val="1"/>
                <w:color w:val="auto"/>
              </w:rPr>
            </w:pPr>
          </w:p>
        </w:tc>
      </w:tr>
      <w:tr>
        <w:trPr>
          <w:trHeight w:val="215"/>
        </w:trPr>
        <w:tc>
          <w:tcPr>
            <w:tcW w:w="10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Mountain Aire, New Aire, and Ventana</w:t>
            </w:r>
          </w:p>
        </w:tc>
        <w:tc>
          <w:tcPr>
            <w:tcW w:w="0" w:type="dxa"/>
            <w:vAlign w:val="bottom"/>
          </w:tcPr>
          <w:p>
            <w:pPr>
              <w:spacing w:after="0"/>
              <w:rPr>
                <w:sz w:val="1"/>
                <w:szCs w:val="1"/>
                <w:color w:val="auto"/>
              </w:rPr>
            </w:pPr>
          </w:p>
        </w:tc>
      </w:tr>
      <w:tr>
        <w:trPr>
          <w:trHeight w:val="109"/>
        </w:trPr>
        <w:tc>
          <w:tcPr>
            <w:tcW w:w="1080" w:type="dxa"/>
            <w:vAlign w:val="bottom"/>
            <w:shd w:val="clear" w:color="auto" w:fill="CCEEFF"/>
          </w:tcPr>
          <w:p>
            <w:pPr>
              <w:spacing w:after="0"/>
              <w:rPr>
                <w:sz w:val="9"/>
                <w:szCs w:val="9"/>
                <w:color w:val="auto"/>
              </w:rPr>
            </w:pPr>
          </w:p>
        </w:tc>
        <w:tc>
          <w:tcPr>
            <w:tcW w:w="3820" w:type="dxa"/>
            <w:vAlign w:val="bottom"/>
            <w:shd w:val="clear" w:color="auto" w:fill="CCEEFF"/>
          </w:tcPr>
          <w:p>
            <w:pPr>
              <w:spacing w:after="0"/>
              <w:rPr>
                <w:sz w:val="9"/>
                <w:szCs w:val="9"/>
                <w:color w:val="auto"/>
              </w:rPr>
            </w:pPr>
          </w:p>
        </w:tc>
        <w:tc>
          <w:tcPr>
            <w:tcW w:w="3160" w:type="dxa"/>
            <w:vAlign w:val="bottom"/>
            <w:shd w:val="clear" w:color="auto" w:fill="CCEEFF"/>
          </w:tcPr>
          <w:p>
            <w:pPr>
              <w:spacing w:after="0"/>
              <w:rPr>
                <w:sz w:val="9"/>
                <w:szCs w:val="9"/>
                <w:color w:val="auto"/>
              </w:rPr>
            </w:pPr>
          </w:p>
        </w:tc>
        <w:tc>
          <w:tcPr>
            <w:tcW w:w="3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Class 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40" w:type="dxa"/>
            <w:vAlign w:val="bottom"/>
            <w:vMerge w:val="restart"/>
          </w:tcPr>
          <w:p>
            <w:pPr>
              <w:spacing w:after="0"/>
              <w:rPr>
                <w:sz w:val="20"/>
                <w:szCs w:val="20"/>
                <w:color w:val="auto"/>
              </w:rPr>
            </w:pPr>
            <w:r>
              <w:rPr>
                <w:rFonts w:ascii="Arial" w:cs="Arial" w:eastAsia="Arial" w:hAnsi="Arial"/>
                <w:sz w:val="16"/>
                <w:szCs w:val="16"/>
                <w:color w:val="auto"/>
              </w:rPr>
              <w:t>Built by adding a taller roof and amenities to</w:t>
            </w:r>
          </w:p>
        </w:tc>
        <w:tc>
          <w:tcPr>
            <w:tcW w:w="3540" w:type="dxa"/>
            <w:vAlign w:val="bottom"/>
          </w:tcPr>
          <w:p>
            <w:pPr>
              <w:ind w:left="100"/>
              <w:spacing w:after="0"/>
              <w:rPr>
                <w:sz w:val="20"/>
                <w:szCs w:val="20"/>
                <w:color w:val="auto"/>
              </w:rPr>
            </w:pPr>
            <w:r>
              <w:rPr>
                <w:rFonts w:ascii="Arial" w:cs="Arial" w:eastAsia="Arial" w:hAnsi="Arial"/>
                <w:sz w:val="16"/>
                <w:szCs w:val="16"/>
                <w:color w:val="auto"/>
              </w:rPr>
              <w:t>Gas: Travato and Solis</w:t>
            </w:r>
          </w:p>
        </w:tc>
        <w:tc>
          <w:tcPr>
            <w:tcW w:w="0" w:type="dxa"/>
            <w:vAlign w:val="bottom"/>
          </w:tcPr>
          <w:p>
            <w:pPr>
              <w:spacing w:after="0"/>
              <w:rPr>
                <w:sz w:val="1"/>
                <w:szCs w:val="1"/>
                <w:color w:val="auto"/>
              </w:rPr>
            </w:pPr>
          </w:p>
        </w:tc>
      </w:tr>
      <w:tr>
        <w:trPr>
          <w:trHeight w:val="29"/>
        </w:trPr>
        <w:tc>
          <w:tcPr>
            <w:tcW w:w="3240" w:type="dxa"/>
            <w:vAlign w:val="bottom"/>
            <w:vMerge w:val="continue"/>
          </w:tcPr>
          <w:p>
            <w:pPr>
              <w:spacing w:after="0"/>
              <w:rPr>
                <w:sz w:val="2"/>
                <w:szCs w:val="2"/>
                <w:color w:val="auto"/>
              </w:rPr>
            </w:pPr>
          </w:p>
        </w:tc>
        <w:tc>
          <w:tcPr>
            <w:tcW w:w="3540" w:type="dxa"/>
            <w:vAlign w:val="bottom"/>
            <w:vMerge w:val="restart"/>
          </w:tcPr>
          <w:p>
            <w:pPr>
              <w:ind w:left="326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line="20" w:lineRule="exact"/>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Arial" w:cs="Arial" w:eastAsia="Arial" w:hAnsi="Arial"/>
                <w:sz w:val="16"/>
                <w:szCs w:val="16"/>
                <w:color w:val="auto"/>
              </w:rPr>
              <w:t>an existing van, which allows for easy</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6"/>
                <w:szCs w:val="16"/>
                <w:color w:val="auto"/>
              </w:rPr>
              <w:t>maneuvering</w:t>
            </w:r>
          </w:p>
        </w:tc>
        <w:tc>
          <w:tcPr>
            <w:tcW w:w="3540" w:type="dxa"/>
            <w:vAlign w:val="bottom"/>
            <w:vMerge w:val="restart"/>
          </w:tcPr>
          <w:p>
            <w:pPr>
              <w:ind w:left="100"/>
              <w:spacing w:after="0"/>
              <w:rPr>
                <w:sz w:val="20"/>
                <w:szCs w:val="20"/>
                <w:color w:val="auto"/>
              </w:rPr>
            </w:pPr>
            <w:r>
              <w:rPr>
                <w:rFonts w:ascii="Arial" w:cs="Arial" w:eastAsia="Arial" w:hAnsi="Arial"/>
                <w:sz w:val="16"/>
                <w:szCs w:val="16"/>
                <w:color w:val="auto"/>
              </w:rPr>
              <w:t>Diesel: Era, Boldt, and Revel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86995</wp:posOffset>
            </wp:positionV>
            <wp:extent cx="713232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720"/>
            <w:col w:w="9660"/>
          </w:cols>
          <w:pgMar w:left="320" w:top="125" w:right="339" w:bottom="1440" w:gutter="0" w:footer="0" w:header="0"/>
          <w:type w:val="continuous"/>
        </w:sect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Class C</w:t>
      </w:r>
    </w:p>
    <w:p>
      <w:pPr>
        <w:spacing w:after="0" w:line="200" w:lineRule="exact"/>
        <w:rPr>
          <w:sz w:val="20"/>
          <w:szCs w:val="20"/>
          <w:color w:val="auto"/>
        </w:rPr>
      </w:pPr>
    </w:p>
    <w:p>
      <w:pPr>
        <w:spacing w:after="0" w:line="305"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Accessibility Enhanced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Built on a medium truck chassis in both diesel and gas models with similar features and amenities to Class A models</w:t>
      </w:r>
    </w:p>
    <w:p>
      <w:pPr>
        <w:spacing w:after="0" w:line="23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Vehicle with a wheelchair lift to allow individuals with physical disabilities access to the motorhome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Gas: Ekko, Spirit, and Minnie Winnie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Diesel: View and Navion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Gas: Roam AE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Diesel: Inspire AE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Diesel: Super Star and Supreme Aire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392" w:lineRule="exact"/>
        <w:rPr>
          <w:sz w:val="20"/>
          <w:szCs w:val="20"/>
          <w:color w:val="auto"/>
        </w:rPr>
      </w:pPr>
    </w:p>
    <w:p>
      <w:pPr>
        <w:sectPr>
          <w:pgSz w:w="11900" w:h="16838" w:orient="portrait"/>
          <w:cols w:equalWidth="0" w:num="4">
            <w:col w:w="900" w:space="680"/>
            <w:col w:w="3280" w:space="60"/>
            <w:col w:w="2620" w:space="540"/>
            <w:col w:w="3160"/>
          </w:cols>
          <w:pgMar w:left="320" w:top="125" w:right="339" w:bottom="1440" w:gutter="0" w:footer="0" w:header="0"/>
          <w:type w:val="continuous"/>
        </w:sectPr>
      </w:pPr>
    </w:p>
    <w:p>
      <w:pPr>
        <w:spacing w:after="0" w:line="139"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Our Class A, B, C and accessibility enhanced motorhomes are sold by dealers in the retail market with manufacturer's suggested retail prices ranging from approximately $115,000 to $1,600,000, depending on size and model, plus optional equipment and delivery charges. Our motorhomes range in length from 18 to 45 feet.</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Nappanee, Indiana facilities as well as revenues from the sale of unit parts. Our competitive strategy is to provide proprietary manufactured parts through our dealer network, which we believe increases customer satisfaction and the value of our motorhomes.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manufacture and sell premium quality boats under our Chris-Craft and Barletta brands in the recreational powerboat industry through an established network of independent authorized dealers. We acquired Barletta on August 31, 2021. Refer to Note 2 in the Notes to Consolidated Financial Statements, included in Item 8 of Part II in this Annual Report on Form 10-K for further detail regarding the acquisition.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438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Chris-Craft product offerings</w:t>
            </w:r>
          </w:p>
        </w:tc>
        <w:tc>
          <w:tcPr>
            <w:tcW w:w="584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Barletta product offerings</w:t>
            </w:r>
          </w:p>
        </w:tc>
      </w:tr>
      <w:tr>
        <w:trPr>
          <w:trHeight w:val="209"/>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43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Launch, Launch GT, Calypso, Catalina</w:t>
            </w:r>
          </w:p>
        </w:tc>
        <w:tc>
          <w:tcPr>
            <w:tcW w:w="58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Lusso, Corsa, Cabrio</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boats are sold by dealers in the retail market with manufacturer's suggested retail prices ranging from approximately $63,000 to $782,000, depending on size and model, plus optional equipment and delivery charges.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Winnebago Specialty Vehicles</w:t>
      </w:r>
    </w:p>
    <w:p>
      <w:pPr>
        <w:spacing w:after="0" w:line="11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We also manufacture other specialty commercial vehicles custom designed for the buyer's specific needs and requirements, such as law enforcement command centers, mobile medical clinics, and mobile office space. These specialty commercial vehicles are manufactured in Forest City, Iowa and sold through our dealer network. In addition, we also provide commercial vehicles as bare shells to third-party upfitters for conversion at their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generally produce towable, motorhome, and marine products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spacing w:after="0" w:line="199"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Our towables are produced at two assembly campuses located in Middlebury, Indiana. The majority of components are comprised of frames, appliances, and furniture, and are purchased from multiple suppliers.</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motorhomes are produced in the states of Iowa and Indiana at five different campuses. Our motorhome business utilizes vertically integrated supply streams, with the principal exceptions being chassis, engines, generators, and appliances that we purchase from multiple suppliers. Certain parts, especially motorhome chassis, are available from a small group of suppliers.</w:t>
      </w:r>
    </w:p>
    <w:p>
      <w:pPr>
        <w:spacing w:after="0" w:line="1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Our marine products are produced in the states of Indiana and Florida at two different campuses. We manufacture certain components and purchase other components from suppliers and install them on the boat. Certain parts, especially motors, are available from a small group of suppliers.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strive to balance timely order fulfillment to our dealers with the lead times suppliers require to efficiently source materials and manage costs. Production facility constraints at peak periods also lead to fluctuations in backlog orders which we manage closely. A more detailed description of our Towable, Motorhome, and Marine order backlog is included in Item 7 of Part II in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13"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Foreign sales accounted for less than 10% of net revenues during each of the past three fiscal years.</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As of August 27, 2022, our RV and marine dealer network in the U.S. and Canada included approximately 750 physical dealer locations, many of which carry more than one of our brands. None of our dealer organizations accounted for more than 10% of our net revenues during each of the past three fiscal years.</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have sales and service agreements with most dealers which are subject to annual review. Many of the dealers are also engaged in other areas of business, including the sale of automobiles, trailers, or boats, and most dealers carry one or more competitive lines of products.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195"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We advertise and promote our products through national trade magazines,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spacing w:after="0" w:line="19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the industries we serve,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can vary significantly, depending upon the level of dealer inventory, general economic conditions, demand for our products, dealer location, and access to and the cost of financing. See Note 12 in the Notes to Consolidated Financial Statements, included in Item 8 of Part II in this Annual Report on Form 10-K.</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industries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primary use of RVs and marine products for leisure travel and outdoor recreation has historically led to a peak retail selling season concentrated in the spring and summer months and lower sales during fall and winter months. Our sales are generally influenced by this pattern in retail sales, but sales can also be impacted by the level of dealer inventory. As a result, our sales are historically lowest during our second fiscal quarter, which ends in February.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w:t>
      </w:r>
    </w:p>
    <w:p>
      <w:pPr>
        <w:spacing w:after="0" w:line="19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213"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products are marketed under a variety of valuable trademarks. Some of the more important trademarks used in our business include Winnebago, Grand Design, Newmar, Chris-Craft, and Barletta. We protect these trademarks as appropriate through registrations in the United States and other jurisdictions. Depending on jurisdiction, trademarks are generally valid as long as they are in use or their registrations are properly maintained and they have not been found to have become generic. Registrations of trademarks can also generally be renewed indefinitely for as long as the trademarks are in use.</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continue our focus on developing and marketing innovative, proprietary products, many of which use proprietary expertise, trade secrets, and know-how. We consider the collective rights under our various patents, which expire from time to time, a valuable asset, but we do not believe that our businesses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materially dependent upon any single patent or group of related patents.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employees are our greatest strength and we are committed to providing a safe, inclusive, high-performance culture where our people thrive. We strive to recruit, develop, engage and protect our workforce. The following are key human capital measures and objectives that we currently focus 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Experience – Leadership and Culture Development</w:t>
      </w:r>
    </w:p>
    <w:p>
      <w:pPr>
        <w:spacing w:after="0" w:line="2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believe our future success depends on our people. Attracting, engaging, retaining and developing diverse talent is a key priority. We strive to grow and develop all of our teams and bolster our talent pipeline. Our leadership expectations provide a shared understanding of the skills our teams develop through continuous learning opportunities and training. Our Code of Conduct and our human rights policy include shared values and guide relationships with our people and our stakeholders. To build and attract the next generation of leaders, we have developed external partnerships, introducing high school and first-generation college students to potential career opportunities in the RV and marine industries. To increase the pipeline of diverse talent in the outdoor industry, we provided founding support to the Leaders from The Future of Work Internship Program in partnership with nonprofit partner Camber Outdoors. This innovative, diversity, equity, and inclusive ("DEI") focused internship program engages Black, Latino, Asian American and Pacific Islander, and Native/Indigenous students in meaningful paid summer internships. We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also collaborate with regional education and workforce development partners to connect job seekers with on-the-job training and leadership development.</w:t>
      </w:r>
    </w:p>
    <w:p>
      <w:pPr>
        <w:spacing w:after="0" w:line="248"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Team members respond regularly to an engagement survey, administered at least every two years, that evaluates our employees’ thoughts about their experience working at Winnebago Industries. Responses are reviewed by team leaders and used to help build specific action plans to continually improve our employee engagement, satisfaction, and retention. We engage employees through community volunteerism, team-building, and employee resource groups. We strive to continually improve our employee experience, develop and grow our teams, and create a culture of inclusion and belonging.</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August 27, 2022, we employed approximately 7,445 persons, of which 28% and 72% were non-production and production workers, respectively. In addition, 14% and 86% were salaried and hourly employees, respectively. None of our employees are covered under a collective bargaining agreement. We believe our relations with our employees are good.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 to Inclusion, Diversity, Equity, and Action ("IDEA")</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embrace the ideals of IDEA in our company. We believe in the value of building a company and community where every person feels welcome, is treated fairly, and has an equal opportunity to succeed while bringing their authentic self to work. “All In, Outdoors” is a deliberate approach to how we act and treat each other at Winnebago Industries, and a roadmap for creating a better sense of belonging in our workplace, our communities and the outdoors. We advance our strategy by listening and learning, including by establishing an IDEA Speaker series, where subject matter experts provide inspiration, tools, and resources to create an inclusive culture. We also instituted our Courageous Conversations program, which builds connections with employees through conversations that provide awareness and understanding around community and cultural sensitivities that can be difficult in the workplace. We launched our first employee resource group, the Women’s Inclusion Network ("WIN"), whose mission is to support the professional development of women by encouraging access to learning, mentoring, and networking. WIN’s goal is to increase women’s sense of belonging and the percentage of women in leadership roles within our businesses. We remain involved with CEO Action for Diversity &amp; Inclusion, including supporting its inaugural mentoring program with mentors from our executive leadership team and mentees from WIN.</w:t>
      </w:r>
    </w:p>
    <w:p>
      <w:pPr>
        <w:spacing w:after="0" w:line="193" w:lineRule="exact"/>
        <w:rPr>
          <w:sz w:val="20"/>
          <w:szCs w:val="20"/>
          <w:color w:val="auto"/>
        </w:rPr>
      </w:pPr>
    </w:p>
    <w:p>
      <w:pPr>
        <w:jc w:val="both"/>
        <w:ind w:right="80"/>
        <w:spacing w:after="0" w:line="257" w:lineRule="auto"/>
        <w:rPr>
          <w:sz w:val="20"/>
          <w:szCs w:val="20"/>
          <w:color w:val="auto"/>
        </w:rPr>
      </w:pPr>
      <w:r>
        <w:rPr>
          <w:rFonts w:ascii="Arial" w:cs="Arial" w:eastAsia="Arial" w:hAnsi="Arial"/>
          <w:sz w:val="16"/>
          <w:szCs w:val="16"/>
          <w:color w:val="auto"/>
        </w:rPr>
        <w:t>We are committed to increasing inclusion across our industry and beyond. At the leadership level, 24% of our officers and directors are women, and 9% are racially or ethnically diverse as of August 27, 2022. We continue to expand our partnerships with nonprofit organizations led by and for communities of color and women and organizations helping to diversify the talent pipeline including Camber Outdoors and the Society of Women Engineers.</w:t>
      </w:r>
    </w:p>
    <w:p>
      <w:pPr>
        <w:spacing w:after="0" w:line="205"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We recognize the importance of having diverse perspectives on our Board of Directors and aspire to promote diversity as we build and refresh our Board of Directors. Our IDEA framework, which serves as a roadmap to guide us forward on our inclusion journey, includes the Board of Directors, leadership development, and engagement. During Women’s History month, we hosted a Women in the Workplace panel, which was composed of our two female directors and our female general counsel, for all employees. As of August 27, 2022, 20% of our Board of Directors were women, and 20% were racially or ethnically diverse.</w:t>
      </w:r>
    </w:p>
    <w:p>
      <w:pPr>
        <w:spacing w:after="0" w:line="2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our company and our brands should reflect the diversity of outdoor enthusiasts. We also believe we thrive and are more successful when we empower, value, and respect our employees and our communities. We are committed to continuing to build a stronger, more inclusive culture and workplace.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Well-being and Safety</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committed to designing, operating, and maintaining safe and controlled working conditions, including a "zero-harm" culture for all employees. We have implemented actions to build an increasingly risk-informed perspective within our culture to reduce the occurrences of injuries and illness. All sites have established a baseline risk control score with the goal to achieve at least 95% sustainable level control by the end of 2024. Between Fiscal 2021 and Fiscal 2022, we improved our control levels by 20%, and are on track to meet our goal of 95% or greater across all businesses. We remained stable on our total recordable incidence rate ("TRIR") in Fiscal 2022 as compared to Fiscal 2021. Our experience and continuing focus on workplace safety enabled us to preserve business continuity and maintain our commitment to keeping our employees and visitors safe, during the continuing stages of the COVID-19 pandemic. With the mental, emotional, and physical well-being of our employees as a key focus, we have provided resources for employees to manage remote work and balance parental and other family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8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10400" w:type="dxa"/>
            <w:vAlign w:val="bottom"/>
            <w:gridSpan w:val="3"/>
          </w:tcPr>
          <w:p>
            <w:pPr>
              <w:spacing w:after="0"/>
              <w:rPr>
                <w:sz w:val="20"/>
                <w:szCs w:val="20"/>
                <w:color w:val="auto"/>
              </w:rPr>
            </w:pPr>
            <w:r>
              <w:rPr>
                <w:rFonts w:ascii="Arial" w:cs="Arial" w:eastAsia="Arial" w:hAnsi="Arial"/>
                <w:sz w:val="16"/>
                <w:szCs w:val="16"/>
                <w:b w:val="1"/>
                <w:bCs w:val="1"/>
                <w:color w:val="auto"/>
              </w:rPr>
              <w:t>Information about our Executive Officers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2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Office (Year First Elected an Officer)</w:t>
            </w: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Age</w:t>
            </w:r>
          </w:p>
        </w:tc>
        <w:tc>
          <w:tcPr>
            <w:tcW w:w="0" w:type="dxa"/>
            <w:vAlign w:val="bottom"/>
          </w:tcPr>
          <w:p>
            <w:pPr>
              <w:spacing w:after="0"/>
              <w:rPr>
                <w:sz w:val="1"/>
                <w:szCs w:val="1"/>
                <w:color w:val="auto"/>
              </w:rPr>
            </w:pPr>
          </w:p>
        </w:tc>
      </w:tr>
      <w:tr>
        <w:trPr>
          <w:trHeight w:val="21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J. Happe</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and Chief Executive Officer (2016)</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Ashis N. Bhattacharya</w:t>
            </w:r>
          </w:p>
        </w:tc>
        <w:tc>
          <w:tcPr>
            <w:tcW w:w="8200" w:type="dxa"/>
            <w:vAlign w:val="bottom"/>
          </w:tcPr>
          <w:p>
            <w:pPr>
              <w:ind w:left="580"/>
              <w:spacing w:after="0"/>
              <w:rPr>
                <w:sz w:val="20"/>
                <w:szCs w:val="20"/>
                <w:color w:val="auto"/>
              </w:rPr>
            </w:pPr>
            <w:r>
              <w:rPr>
                <w:rFonts w:ascii="Arial" w:cs="Arial" w:eastAsia="Arial" w:hAnsi="Arial"/>
                <w:sz w:val="16"/>
                <w:szCs w:val="16"/>
                <w:color w:val="auto"/>
              </w:rPr>
              <w:t>Senior Vice President, Business Development, Advanced Technology (2016)</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63"/>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Stacy L. Bogart</w:t>
            </w:r>
          </w:p>
        </w:tc>
        <w:tc>
          <w:tcPr>
            <w:tcW w:w="8200" w:type="dxa"/>
            <w:vAlign w:val="bottom"/>
            <w:shd w:val="clear" w:color="auto" w:fill="CCEEFF"/>
          </w:tcPr>
          <w:p>
            <w:pPr>
              <w:ind w:left="580"/>
              <w:spacing w:after="0" w:line="163" w:lineRule="exact"/>
              <w:rPr>
                <w:sz w:val="20"/>
                <w:szCs w:val="20"/>
                <w:color w:val="auto"/>
              </w:rPr>
            </w:pPr>
            <w:r>
              <w:rPr>
                <w:rFonts w:ascii="Arial" w:cs="Arial" w:eastAsia="Arial" w:hAnsi="Arial"/>
                <w:sz w:val="16"/>
                <w:szCs w:val="16"/>
                <w:color w:val="auto"/>
              </w:rPr>
              <w:t>Senior Vice President, General Counsel, Secretary and Corporate Responsibility; President, Winnebago</w:t>
            </w:r>
          </w:p>
        </w:tc>
        <w:tc>
          <w:tcPr>
            <w:tcW w:w="740" w:type="dxa"/>
            <w:vAlign w:val="bottom"/>
            <w:vMerge w:val="restart"/>
            <w:shd w:val="clear" w:color="auto" w:fill="CCEEFF"/>
          </w:tcPr>
          <w:p>
            <w:pPr>
              <w:jc w:val="center"/>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33"/>
        </w:trPr>
        <w:tc>
          <w:tcPr>
            <w:tcW w:w="2200" w:type="dxa"/>
            <w:vAlign w:val="bottom"/>
            <w:gridSpan w:val="2"/>
            <w:vMerge w:val="continue"/>
            <w:shd w:val="clear" w:color="auto" w:fill="CCEEFF"/>
          </w:tcPr>
          <w:p>
            <w:pPr>
              <w:spacing w:after="0"/>
              <w:rPr>
                <w:sz w:val="11"/>
                <w:szCs w:val="11"/>
                <w:color w:val="auto"/>
              </w:rPr>
            </w:pPr>
          </w:p>
        </w:tc>
        <w:tc>
          <w:tcPr>
            <w:tcW w:w="82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Industries Foundation (2018)</w:t>
            </w: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20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Huw S. Bower</w:t>
            </w:r>
          </w:p>
        </w:tc>
        <w:tc>
          <w:tcPr>
            <w:tcW w:w="8200" w:type="dxa"/>
            <w:vAlign w:val="bottom"/>
          </w:tcPr>
          <w:p>
            <w:pPr>
              <w:ind w:left="580"/>
              <w:spacing w:after="0"/>
              <w:rPr>
                <w:sz w:val="20"/>
                <w:szCs w:val="20"/>
                <w:color w:val="auto"/>
              </w:rPr>
            </w:pPr>
            <w:r>
              <w:rPr>
                <w:rFonts w:ascii="Arial" w:cs="Arial" w:eastAsia="Arial" w:hAnsi="Arial"/>
                <w:sz w:val="16"/>
                <w:szCs w:val="16"/>
                <w:color w:val="auto"/>
              </w:rPr>
              <w:t>President, Winnebago Outdoors (2020)</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Donald J. Clark</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of Grand Design RV (2016)</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Bryan L. Hughes</w:t>
            </w:r>
          </w:p>
        </w:tc>
        <w:tc>
          <w:tcPr>
            <w:tcW w:w="8200" w:type="dxa"/>
            <w:vAlign w:val="bottom"/>
          </w:tcPr>
          <w:p>
            <w:pPr>
              <w:ind w:left="580"/>
              <w:spacing w:after="0"/>
              <w:rPr>
                <w:sz w:val="20"/>
                <w:szCs w:val="20"/>
                <w:color w:val="auto"/>
              </w:rPr>
            </w:pPr>
            <w:r>
              <w:rPr>
                <w:rFonts w:ascii="Arial" w:cs="Arial" w:eastAsia="Arial" w:hAnsi="Arial"/>
                <w:sz w:val="16"/>
                <w:szCs w:val="16"/>
                <w:color w:val="auto"/>
              </w:rPr>
              <w:t>Chief Financial Officer; Senior Vice President, Finance, IT and Strategic Planning (2017)</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Casey J. Tubman</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of Newmar Corporation (2022)</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Christopher D. West</w:t>
            </w:r>
          </w:p>
        </w:tc>
        <w:tc>
          <w:tcPr>
            <w:tcW w:w="8200" w:type="dxa"/>
            <w:vAlign w:val="bottom"/>
          </w:tcPr>
          <w:p>
            <w:pPr>
              <w:ind w:left="580"/>
              <w:spacing w:after="0"/>
              <w:rPr>
                <w:sz w:val="20"/>
                <w:szCs w:val="20"/>
                <w:color w:val="auto"/>
              </w:rPr>
            </w:pPr>
            <w:r>
              <w:rPr>
                <w:rFonts w:ascii="Arial" w:cs="Arial" w:eastAsia="Arial" w:hAnsi="Arial"/>
                <w:sz w:val="16"/>
                <w:szCs w:val="16"/>
                <w:color w:val="auto"/>
              </w:rPr>
              <w:t>Senior Vice President, Enterprise Operations (2016)</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Bret A. Woodson</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Senior Vice President, Human Resources and Corporate Relations (2015)</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19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Mr. Happe joined Winnebago Industries in January 2016 as President and Chief Executive Officer. Prior to joining Winnebago,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21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Mr. Bhattacharya joined Winnebago Industries in June 2016 as Vice President, Strategic Planning and Development. He became Vice President, Business Development, Specialty Vehicles, and Advanced Technology in 2019 and Senior Vice President, Business Development, Advanced Technology, and Enterprise Marketing in September 2020. Prior to joining Winnebago,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21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Ms. Bogart joined Winnebago Industries in January 2018 as Vice President, General Counsel and Secretary and was appointed Senior Vice President, General Counsel, Secretary and Corporate Responsibility and President, Winnebago Industries Foundation in October 2020.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Mr. Bower joined Winnebago Industries in October 2020 as President, Winnebago Outdoors. Prior to joining Winnebago Industries, he was President of the Boat Group at Brunswick Corporation, a developer and manufacturer of marine/boating products, from April 2016 to September 2020. Mr. Bower has over 15 years of general management, brand leadership and executive experience in the marine industry.</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Mr. Clark, President of Grand Design RV, became an officer of Winnebago Industries in November 2016 in accordance with the terms of the Grand Design acquisition. He co-founded Grand Design RV, LLC in 2012 and built the team at Grand Design RV. Mr. Clark has over 30 years of successful RV industry experience.</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Mr. Hughes joined Winnebago Industries as Vice President, Chief Financial Officer of the Company in May 2017 and was appointed Senior Vice President, Finance, IT, and Strategic Planning and Chief Financial Officer in October 2020. Mr. Hughes joined Winnebago Industries from Ecolab, Inc., a water technologies and services company, where he served as Senior Vice President and Corporate Controller from 2014 to 2017, as Vice President of Finance from 2008 to 2014 and in various management positions from 1996 to 2008. Prior to his employment with Ecolab, Inc., he worked for Ernst &amp; Young, a public accounting firm.</w:t>
      </w:r>
    </w:p>
    <w:p>
      <w:pPr>
        <w:spacing w:after="0" w:line="19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Mr. Tubman joined Winnebago Industries in August 2022 as President of Newmar Corporation. Mr. Tubman joined Winnebago Industries from Whirlpool Corporation, a multinational manufacturer of home appliances, where he served in a variety of leadership and executive roles for over 25 years. Most recently, he served as Vice President and Global Platform Leader from February 2022 to July 2022. He also served as Vice President of Product Marketing from January 2020 to February 2022, and Vice President and General Manager from October 2015 to January 2020.</w:t>
      </w:r>
    </w:p>
    <w:p>
      <w:pPr>
        <w:spacing w:after="0" w:line="2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Mr. West joined Winnebago Industries in September 2016 as Vice President, Operations and was appointed Senior Vice President, Enterprise Operations in October 2020. He previously was Vice President of Global Supply Chain for Joy Global, a worldwide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mining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Mr. Woodson joined Winnebago Industries in January 2015 as Vice President, Administration and was appointed Senior Vice President, Human Resources and Corporate Relations in October 2020. Prior to joining Winnebago, Mr. Woodson was Vice President of Human Resources at Corbion N.V., a food and biochemicals company, from 2007 to 2014 and Director, Human Resources at Sara Lee Corporation from 1999 to 2007. Mr. Woodson has over 25 years of business and human resources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Described below are certain risks that we believe apply to our business and the industry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report are not exclusive and other risk factors that we may consider immaterial or do not anticipate may emerge as significant risks and uncertainties.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may be sensitive to economic conditions, including those that impact consumer spending.</w:t>
      </w:r>
    </w:p>
    <w:p>
      <w:pPr>
        <w:spacing w:after="0" w:line="127"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and marine industries include:</w:t>
      </w:r>
    </w:p>
    <w:p>
      <w:pPr>
        <w:spacing w:after="0" w:line="20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Fuel prices;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Inflationary pressures affecting disposable consumer income;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rate fluctuations;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660" w:right="240" w:hanging="328"/>
        <w:spacing w:after="0" w:line="28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on margins due to increases in raw material costs, which we are unable to pass on to customers without negatively affecting sales.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The demand, supply, and operational challenges associated with the ongoing COVID-19 pandemic has had and may continue to have a material impact on our business, financial condition, results of operations and cash flows.</w:t>
      </w:r>
    </w:p>
    <w:p>
      <w:pPr>
        <w:spacing w:after="0" w:line="3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business, operations, and financial results have been, and may continue to be, impacted by the COVID-19 pandemic. Impacts on our business include, but are not limited to:</w:t>
      </w:r>
    </w:p>
    <w:p>
      <w:pPr>
        <w:spacing w:after="0" w:line="169" w:lineRule="exact"/>
        <w:rPr>
          <w:sz w:val="20"/>
          <w:szCs w:val="20"/>
          <w:color w:val="auto"/>
        </w:rPr>
      </w:pPr>
    </w:p>
    <w:p>
      <w:pPr>
        <w:ind w:left="660" w:right="320" w:hanging="328"/>
        <w:spacing w:after="0" w:line="256" w:lineRule="auto"/>
        <w:tabs>
          <w:tab w:leader="none" w:pos="649" w:val="left"/>
        </w:tabs>
        <w:numPr>
          <w:ilvl w:val="0"/>
          <w:numId w:val="5"/>
        </w:numPr>
        <w:rPr>
          <w:rFonts w:ascii="Arial" w:cs="Arial" w:eastAsia="Arial" w:hAnsi="Arial"/>
          <w:sz w:val="16"/>
          <w:szCs w:val="16"/>
          <w:color w:val="212529"/>
        </w:rPr>
      </w:pPr>
      <w:r>
        <w:rPr>
          <w:rFonts w:ascii="Arial" w:cs="Arial" w:eastAsia="Arial" w:hAnsi="Arial"/>
          <w:sz w:val="16"/>
          <w:szCs w:val="16"/>
          <w:color w:val="212529"/>
        </w:rPr>
        <w:t>Inability to meet our dealers’ and consumers’ demands due to disruptions in our manufacturing and supply arrangements caused by delays and disruptions in obtaining certain raw materials and other manufacturing components; and</w:t>
      </w:r>
    </w:p>
    <w:p>
      <w:pPr>
        <w:spacing w:after="0" w:line="1" w:lineRule="exact"/>
        <w:rPr>
          <w:rFonts w:ascii="Arial" w:cs="Arial" w:eastAsia="Arial" w:hAnsi="Arial"/>
          <w:sz w:val="16"/>
          <w:szCs w:val="16"/>
          <w:color w:val="212529"/>
        </w:rPr>
      </w:pPr>
    </w:p>
    <w:p>
      <w:pPr>
        <w:ind w:left="660" w:right="300" w:hanging="328"/>
        <w:spacing w:after="0" w:line="265" w:lineRule="auto"/>
        <w:tabs>
          <w:tab w:leader="none" w:pos="649" w:val="left"/>
        </w:tabs>
        <w:numPr>
          <w:ilvl w:val="0"/>
          <w:numId w:val="5"/>
        </w:numPr>
        <w:rPr>
          <w:rFonts w:ascii="Arial" w:cs="Arial" w:eastAsia="Arial" w:hAnsi="Arial"/>
          <w:sz w:val="16"/>
          <w:szCs w:val="16"/>
          <w:color w:val="212529"/>
        </w:rPr>
      </w:pPr>
      <w:r>
        <w:rPr>
          <w:rFonts w:ascii="Arial" w:cs="Arial" w:eastAsia="Arial" w:hAnsi="Arial"/>
          <w:sz w:val="16"/>
          <w:szCs w:val="16"/>
          <w:color w:val="212529"/>
        </w:rPr>
        <w:t>If the COVID-19 pandemic worsens or re-emerges, our labor force may be negatively impacted by COVID-19 infections, which would negatively impact our ability to produce and sell products.</w:t>
      </w:r>
    </w:p>
    <w:p>
      <w:pPr>
        <w:spacing w:after="0" w:line="19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These impacts may have a negative effect on our business, financial condition, results of operations and cash flows. While we have seen increased demand for our products resulting in part from the effects of the COVID-19 pandemic, there can be no assurance that we can maintain or continue to expand demand for products in a post-pandemic environment. The impact of the COVID-19 pandemic may also exacerbate other risks discussed in this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any of which could have a material adverse effect on us.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market deterioration and volatility may restrict the ability of our dealers and retail customers to finance the purchase of our products.</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business is affected by the availability and terms of the financing to dealers. Generally, RV and marine dealers finance their purchases of inventory with financing provided by lending institutions. One financial flooring institution held 33.7% of our total financed dealer inventory dollars that were outstanding at August 27, 2022. In the event that this lending institution limits or discontinues dealer financing, we could experience a material adverse effect on our results of operations.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one of our products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Risks</w:t>
      </w:r>
    </w:p>
    <w:p>
      <w:pPr>
        <w:spacing w:after="0" w:line="113"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If we are unable to continue to enhance existing products and develop and market new or enhanced products that respond to customer needs and preferences, we may experience a decrease in demand for our products and our business could suffer.</w:t>
      </w:r>
    </w:p>
    <w:p>
      <w:pPr>
        <w:spacing w:after="0" w:line="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If we are unable to properly forecast future demand of our products, our production levels may not meet demands, which could negatively impact our operating results.</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217"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auto"/>
        </w:rPr>
        <w:t>The industries in which we operate are highly competitive. Failure to compete effectively against competitors could negatively impact our business and operating results.</w:t>
      </w:r>
    </w:p>
    <w:p>
      <w:pPr>
        <w:spacing w:after="0" w:line="46"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markets for RVs and marine products are very competitive. Competitive factors in the industries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is both cyclical and seasonal and is subject to fluctuations in sales and net income.</w:t>
      </w:r>
    </w:p>
    <w:p>
      <w:pPr>
        <w:spacing w:after="0" w:line="24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in some markets may impact demand.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depends on the performance of independent dealers.</w:t>
      </w:r>
    </w:p>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We rely on our dealers to develop and implement effective strategies to create retail demand for our products. If our independent dealers are unsuccessful in doing so, it could have an adverse effect on our results of operations.</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success is dependent on our ability to attract new dealers and maintain relationships with existing dealers. Our independent dealers maintain control over which products they carry and choose to sell, and they may promote other products, or terminate existing relationships if our products are not perceived as being desirable and profitable. Our results of operations can be adversely affected if we are unable to maintain and develop successful relationships with independent dealers.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financial condition of independent dealers is affected in large part by conditions and events that are beyond our control. Significant deterioration in the financial condition of independent dealers could materially and adversely affect our results of operations.</w:t>
      </w:r>
    </w:p>
    <w:p>
      <w:pPr>
        <w:spacing w:after="0" w:line="210" w:lineRule="exact"/>
        <w:rPr>
          <w:sz w:val="20"/>
          <w:szCs w:val="20"/>
          <w:color w:val="auto"/>
        </w:rPr>
      </w:pPr>
    </w:p>
    <w:p>
      <w:pPr>
        <w:ind w:right="840"/>
        <w:spacing w:after="0" w:line="296" w:lineRule="auto"/>
        <w:rPr>
          <w:sz w:val="20"/>
          <w:szCs w:val="20"/>
          <w:color w:val="auto"/>
        </w:rPr>
      </w:pPr>
      <w:r>
        <w:rPr>
          <w:rFonts w:ascii="Arial" w:cs="Arial" w:eastAsia="Arial" w:hAnsi="Arial"/>
          <w:sz w:val="16"/>
          <w:szCs w:val="16"/>
          <w:b w:val="1"/>
          <w:bCs w:val="1"/>
          <w:color w:val="auto"/>
        </w:rPr>
        <w:t>If we are obligated to repurchase a substantially larger number of our products in the future than estimated due to dealer default, these purchases could result in adverse effects on our results of operations, financial condition, and cash flows.</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Risks</w:t>
      </w:r>
    </w:p>
    <w:p>
      <w:pPr>
        <w:spacing w:after="0" w:line="113" w:lineRule="exact"/>
        <w:rPr>
          <w:sz w:val="20"/>
          <w:szCs w:val="20"/>
          <w:color w:val="auto"/>
        </w:rPr>
      </w:pPr>
    </w:p>
    <w:p>
      <w:pPr>
        <w:ind w:right="480"/>
        <w:spacing w:after="0" w:line="314" w:lineRule="auto"/>
        <w:rPr>
          <w:sz w:val="20"/>
          <w:szCs w:val="20"/>
          <w:color w:val="auto"/>
        </w:rPr>
      </w:pPr>
      <w:r>
        <w:rPr>
          <w:rFonts w:ascii="Arial" w:cs="Arial" w:eastAsia="Arial" w:hAnsi="Arial"/>
          <w:sz w:val="16"/>
          <w:szCs w:val="16"/>
          <w:b w:val="1"/>
          <w:bCs w:val="1"/>
          <w:color w:val="auto"/>
        </w:rPr>
        <w:t>Our operations are primarily centered in northern Iowa and northern Indiana. Any disruption or delay at our primary manufacturing facilities could adversely affect our business and operating results.</w:t>
      </w:r>
    </w:p>
    <w:p>
      <w:pPr>
        <w:spacing w:after="0" w:line="1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currently manufacture most of our products in northern Iowa and northern Indiana. We also have a relatively small manufacturing operation on the Gulf Coast of Florida.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Unanticipated changes to our distribution channel customers' inventory levels could negatively impact our operating results.</w:t>
      </w:r>
    </w:p>
    <w:p>
      <w:pPr>
        <w:spacing w:after="0" w:line="11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sell many of our products through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retail demand for our products and negatively impact our inventory management and working capital goals as well as our operating results.</w:t>
      </w:r>
    </w:p>
    <w:p>
      <w:pPr>
        <w:spacing w:after="0" w:line="217"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4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Most of our RV and marine components are readily available from numerous sources. However, a few of our components are produced by a small group of suppliers. In the case of motorhome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 In Fiscal 2022, one of our suppliers individually accounted for approximately 11% of our consolidated raw material purchases.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raw material, commodity, and transportation costs and shortages of certain raw materials could negatively impact our business.</w:t>
      </w:r>
    </w:p>
    <w:p>
      <w:pPr>
        <w:spacing w:after="0" w:line="11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lumber, and others that are integrated into our end products. Our profitability is affected by significant fluctuations in the prices of the raw materials and the components and parts we use in our products.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Additionally, there continues to be uncertainty with respect to the implementation of current trade regulations, future trade regulations and existing international trade agreements, which could continue to increase our cost of goods sold, both directly and as a result of price increases implemented by domestic suppliers, which we may not be able to pass on to our customers. The impact from these tariffs could also result in decreased demand for our products. All of these conditions could materially and adversely affect our results of operations and financial condition.</w:t>
      </w:r>
    </w:p>
    <w:p>
      <w:pPr>
        <w:spacing w:after="0" w:line="21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have experienced, and continue to experience, disruption in our supply chain due to the reduced availability of certain raw materials used in the manufacturing of our products, including chassis which depend on semiconductor chips. The constraints limited our ability to increase production to meet demand during Fiscal 2022 and continuing in Fiscal 2023. While we continue to manage through these shortages and delays, if we cannot successfully manage these disruptions and/or these shortages and delays worsen, we may be unable to fulfill orders and deliver our products to our customers in a timely manner. This could materially and adversely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manage strategic acquisitions and alliances, joint ventures, or partnerships could have a negative impact on our business.</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21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8" w:lineRule="exact"/>
        <w:rPr>
          <w:rFonts w:ascii="Arial" w:cs="Arial" w:eastAsia="Arial" w:hAnsi="Arial"/>
          <w:sz w:val="16"/>
          <w:szCs w:val="16"/>
          <w:color w:val="auto"/>
        </w:rPr>
      </w:pPr>
    </w:p>
    <w:p>
      <w:pPr>
        <w:ind w:left="660" w:right="280" w:hanging="328"/>
        <w:spacing w:after="0" w:line="25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8"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22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60" w:hanging="328"/>
        <w:spacing w:after="0" w:line="28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occurrence of non-recurring charges, and write-off of significant amounts of goodwill or other assets that could adversely affect our operating results.</w:t>
      </w:r>
    </w:p>
    <w:p>
      <w:pPr>
        <w:spacing w:after="0" w:line="18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If we fail to identify, attract, and retain appropriately qualified employees, including employees in key positions, our operations and profitability may be harmed. Changes in market compensation rates may adversely affect our profitability.</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Significant product repair and/or replacement costs due to product warranty claims and product recalls could have a material adverse impact on our results of operations, financial condition, and cash flows.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Legal and Regulatory Risks</w:t>
      </w:r>
    </w:p>
    <w:p>
      <w:pPr>
        <w:spacing w:after="0" w:line="113"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b w:val="1"/>
          <w:bCs w:val="1"/>
          <w:color w:val="auto"/>
        </w:rPr>
        <w:t>We may be subject to information technology system failures, network disruptions, and breaches in data security that could adversely affect our business. Failure to prevent or effectively respond to a breach or system failure could expose our customers', clients', or suppliers' confidential information, and expose us to substantial costs and reputational damage as well as litigation and enforcement actions.</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record and report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Misuse, leakage, falsification, or breach of security of information could result in a violation of privacy laws and damage our reputation which could, in turn, have a negative impact on our results.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we fail to maintain or protect our information systems and web applications effectively, we could experience adverse consequences that could have a material effect on our business. Amongst other things, the impact could include interruptions or delays in our ability to access information, data loss, processing inefficiencies, lost revenues or other costs resulting from shutdowns,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w:t>
      </w:r>
    </w:p>
    <w:p>
      <w:pPr>
        <w:spacing w:after="0" w:line="21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Our continued success is dependent on positive perceptions of our brands which, if impaired, could adversely affect our results of operations or financial condition. In addition, if the frequency and size of product liability and other claims against us increase, our reputation and business may be harmed.</w:t>
      </w:r>
    </w:p>
    <w:p>
      <w:pPr>
        <w:spacing w:after="0" w:line="45" w:lineRule="exact"/>
        <w:rPr>
          <w:sz w:val="20"/>
          <w:szCs w:val="20"/>
          <w:color w:val="auto"/>
        </w:rPr>
      </w:pPr>
    </w:p>
    <w:p>
      <w:pPr>
        <w:jc w:val="both"/>
        <w:ind w:right="420"/>
        <w:spacing w:after="0" w:line="265" w:lineRule="auto"/>
        <w:rPr>
          <w:sz w:val="20"/>
          <w:szCs w:val="20"/>
          <w:color w:val="auto"/>
        </w:rPr>
      </w:pPr>
      <w:r>
        <w:rPr>
          <w:rFonts w:ascii="Arial" w:cs="Arial" w:eastAsia="Arial" w:hAnsi="Arial"/>
          <w:sz w:val="16"/>
          <w:szCs w:val="16"/>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are also subject, in the ordinary course of business, to litigation including a variety of warranty, "Lemon Law," and product liability claims typical in the RV and marine industries. Although we have an insurance policy covering product liability,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200" w:lineRule="exact"/>
        <w:rPr>
          <w:sz w:val="20"/>
          <w:szCs w:val="20"/>
          <w:color w:val="auto"/>
        </w:rPr>
      </w:pPr>
    </w:p>
    <w:p>
      <w:pPr>
        <w:spacing w:after="0" w:line="20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We are subject to certain government regulations that could have a material adverse impact on our business, including changing climate-related regulations that may require us to incur additional costs in order to be in compliance.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and local regulations and the following summarizes some, but not all, of the laws and regulations that apply to us.</w:t>
      </w:r>
    </w:p>
    <w:p>
      <w:pPr>
        <w:spacing w:after="0" w:line="26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203"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9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w:t>
      </w:r>
    </w:p>
    <w:p>
      <w:pPr>
        <w:spacing w:after="0" w:line="191"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We are subject to income and other tax laws and regulations in the U.S. and various foreign jurisdictions. In addition, we could be impacted by adjustments proposed by taxing authorities in connection with examinations, depending on their timing, nature and scope. Increases in tax rates, changes in tax laws or unfavorable resolution of tax matters could have a material impact on our financial results.</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greenhouse gases ("GHG"),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 In addition,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in the carrying value of goodwill and trade names could negatively impact our consolidated results of operations.</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Goodwill and indefinite-lived intangible assets, such as our trade names,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Significant and unanticipated changes in circumstances, such as significant and long-term adverse changes in business climate, unanticipated competition, and/or changes in technology or markets, could require a provision for impairment in a future period that could negatively impact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notes and other debt instruments could adversely affect our operating flexibility and pose risks of default.</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incurred substantial indebtedness to finance the acquisitions of Grand Design and Newmar Corporation ("Newmar"). Our asset based revolving credit facility ("ABL Credit Facility") and Senior Secured Notes (as described in Note 9 in the Notes to Consolidated Financial Statements, included in Item 8 of Part</w:t>
      </w:r>
    </w:p>
    <w:p>
      <w:pPr>
        <w:ind w:right="100" w:firstLine="8"/>
        <w:spacing w:after="0" w:line="256" w:lineRule="auto"/>
        <w:tabs>
          <w:tab w:leader="none" w:pos="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this Annual Report on Form 10-K) are secured by substantially all of our assets, including cash, inventory, accounts receivable, and certain machinery and equipment. We also issued unsecured Convertible Notes (as described in Note 9 in the Notes to Consolidated Financial Statements, included in Item 8 of Part II in this Annual Report on Form 10-K) to finance the acquisition of Newmar. If a default of payment occurs, the lenders in our ABL Credit Facility or holders of our Senior Secured and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20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addition, the Senior Secured Notes contain certain occurrence-based covenants that could restrict our ability to undertake certain types of transactions. If we enter into a transaction that falls under the occurrence-based covenants, we will calculate the ratios and covenant buckets we have available to us to ensure we are in compliance. Likewise, the indenture related to the Convertible Notes issued to help finance the acquisition of Newmar includes certain limited covenants that could impact our ability to operate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indebtedness could:</w:t>
      </w:r>
    </w:p>
    <w:p>
      <w:pPr>
        <w:spacing w:after="0" w:line="2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14" w:lineRule="exact"/>
        <w:rPr>
          <w:rFonts w:ascii="Arial" w:cs="Arial" w:eastAsia="Arial" w:hAnsi="Arial"/>
          <w:sz w:val="16"/>
          <w:szCs w:val="16"/>
          <w:color w:val="auto"/>
        </w:rPr>
      </w:pPr>
    </w:p>
    <w:p>
      <w:pPr>
        <w:ind w:left="660" w:right="100" w:hanging="328"/>
        <w:spacing w:after="0" w:line="25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facilities used in our operations are in the following locations: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w:t>
            </w: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Location</w:t>
            </w:r>
          </w:p>
        </w:tc>
        <w:tc>
          <w:tcPr>
            <w:tcW w:w="16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Status</w:t>
            </w:r>
          </w:p>
        </w:tc>
        <w:tc>
          <w:tcPr>
            <w:tcW w:w="52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Primary Use</w:t>
            </w:r>
          </w:p>
        </w:tc>
      </w:tr>
      <w:tr>
        <w:trPr>
          <w:trHeight w:val="20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Bristol, Indiana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Leased</w:t>
            </w:r>
          </w:p>
        </w:tc>
        <w:tc>
          <w:tcPr>
            <w:tcW w:w="5220" w:type="dxa"/>
            <w:vAlign w:val="bottom"/>
            <w:shd w:val="clear" w:color="auto" w:fill="CCEEFF"/>
          </w:tcPr>
          <w:p>
            <w:pPr>
              <w:ind w:left="600"/>
              <w:spacing w:after="0" w:line="210"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tcPr>
          <w:p>
            <w:pPr>
              <w:ind w:left="20"/>
              <w:spacing w:after="0"/>
              <w:rPr>
                <w:sz w:val="20"/>
                <w:szCs w:val="20"/>
                <w:color w:val="auto"/>
              </w:rPr>
            </w:pPr>
            <w:r>
              <w:rPr>
                <w:rFonts w:ascii="Arial" w:cs="Arial" w:eastAsia="Arial" w:hAnsi="Arial"/>
                <w:sz w:val="16"/>
                <w:szCs w:val="16"/>
                <w:color w:val="auto"/>
              </w:rPr>
              <w:t>Towable</w:t>
            </w:r>
          </w:p>
        </w:tc>
        <w:tc>
          <w:tcPr>
            <w:tcW w:w="2560" w:type="dxa"/>
            <w:vAlign w:val="bottom"/>
          </w:tcPr>
          <w:p>
            <w:pPr>
              <w:ind w:left="340"/>
              <w:spacing w:after="0"/>
              <w:rPr>
                <w:sz w:val="20"/>
                <w:szCs w:val="20"/>
                <w:color w:val="auto"/>
              </w:rPr>
            </w:pPr>
            <w:r>
              <w:rPr>
                <w:rFonts w:ascii="Arial" w:cs="Arial" w:eastAsia="Arial" w:hAnsi="Arial"/>
                <w:sz w:val="16"/>
                <w:szCs w:val="16"/>
                <w:color w:val="auto"/>
              </w:rPr>
              <w:t>Elkhart, Indiana</w:t>
            </w:r>
          </w:p>
        </w:tc>
        <w:tc>
          <w:tcPr>
            <w:tcW w:w="1620" w:type="dxa"/>
            <w:vAlign w:val="bottom"/>
          </w:tcPr>
          <w:p>
            <w:pPr>
              <w:ind w:left="500"/>
              <w:spacing w:after="0"/>
              <w:rPr>
                <w:sz w:val="20"/>
                <w:szCs w:val="20"/>
                <w:color w:val="auto"/>
              </w:rPr>
            </w:pPr>
            <w:r>
              <w:rPr>
                <w:rFonts w:ascii="Arial" w:cs="Arial" w:eastAsia="Arial" w:hAnsi="Arial"/>
                <w:sz w:val="16"/>
                <w:szCs w:val="16"/>
                <w:color w:val="auto"/>
              </w:rPr>
              <w:t>Leased</w:t>
            </w:r>
          </w:p>
        </w:tc>
        <w:tc>
          <w:tcPr>
            <w:tcW w:w="5220" w:type="dxa"/>
            <w:vAlign w:val="bottom"/>
          </w:tcPr>
          <w:p>
            <w:pPr>
              <w:ind w:left="600"/>
              <w:spacing w:after="0" w:line="216"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Middlebury, Indiana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shd w:val="clear" w:color="auto" w:fill="CCEEFF"/>
          </w:tcPr>
          <w:p>
            <w:pPr>
              <w:ind w:left="600"/>
              <w:spacing w:after="0" w:line="216" w:lineRule="exact"/>
              <w:rPr>
                <w:sz w:val="20"/>
                <w:szCs w:val="20"/>
                <w:color w:val="auto"/>
              </w:rPr>
            </w:pPr>
            <w:r>
              <w:rPr>
                <w:rFonts w:ascii="Arial" w:cs="Arial" w:eastAsia="Arial" w:hAnsi="Arial"/>
                <w:sz w:val="16"/>
                <w:szCs w:val="16"/>
                <w:color w:val="auto"/>
              </w:rPr>
              <w:t>Manufacturing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office space</w:t>
            </w:r>
          </w:p>
        </w:tc>
      </w:tr>
      <w:tr>
        <w:trPr>
          <w:trHeight w:val="216"/>
        </w:trPr>
        <w:tc>
          <w:tcPr>
            <w:tcW w:w="1840" w:type="dxa"/>
            <w:vAlign w:val="bottom"/>
          </w:tcPr>
          <w:p>
            <w:pPr>
              <w:ind w:left="20"/>
              <w:spacing w:after="0"/>
              <w:rPr>
                <w:sz w:val="20"/>
                <w:szCs w:val="20"/>
                <w:color w:val="auto"/>
              </w:rPr>
            </w:pPr>
            <w:r>
              <w:rPr>
                <w:rFonts w:ascii="Arial" w:cs="Arial" w:eastAsia="Arial" w:hAnsi="Arial"/>
                <w:sz w:val="16"/>
                <w:szCs w:val="16"/>
                <w:color w:val="auto"/>
              </w:rPr>
              <w:t>Towable</w:t>
            </w:r>
          </w:p>
        </w:tc>
        <w:tc>
          <w:tcPr>
            <w:tcW w:w="2560" w:type="dxa"/>
            <w:vAlign w:val="bottom"/>
          </w:tcPr>
          <w:p>
            <w:pPr>
              <w:ind w:left="340"/>
              <w:spacing w:after="0"/>
              <w:rPr>
                <w:sz w:val="20"/>
                <w:szCs w:val="20"/>
                <w:color w:val="auto"/>
              </w:rPr>
            </w:pPr>
            <w:r>
              <w:rPr>
                <w:rFonts w:ascii="Arial" w:cs="Arial" w:eastAsia="Arial" w:hAnsi="Arial"/>
                <w:sz w:val="16"/>
                <w:szCs w:val="16"/>
                <w:color w:val="auto"/>
              </w:rPr>
              <w:t>Middlebury, Indiana</w:t>
            </w:r>
          </w:p>
        </w:tc>
        <w:tc>
          <w:tcPr>
            <w:tcW w:w="1620" w:type="dxa"/>
            <w:vAlign w:val="bottom"/>
          </w:tcPr>
          <w:p>
            <w:pPr>
              <w:ind w:left="500"/>
              <w:spacing w:after="0"/>
              <w:rPr>
                <w:sz w:val="20"/>
                <w:szCs w:val="20"/>
                <w:color w:val="auto"/>
              </w:rPr>
            </w:pPr>
            <w:r>
              <w:rPr>
                <w:rFonts w:ascii="Arial" w:cs="Arial" w:eastAsia="Arial" w:hAnsi="Arial"/>
                <w:sz w:val="16"/>
                <w:szCs w:val="16"/>
                <w:color w:val="auto"/>
              </w:rPr>
              <w:t>Leased</w:t>
            </w:r>
          </w:p>
        </w:tc>
        <w:tc>
          <w:tcPr>
            <w:tcW w:w="5220" w:type="dxa"/>
            <w:vAlign w:val="bottom"/>
          </w:tcPr>
          <w:p>
            <w:pPr>
              <w:ind w:left="600"/>
              <w:spacing w:after="0" w:line="216" w:lineRule="exact"/>
              <w:rPr>
                <w:sz w:val="20"/>
                <w:szCs w:val="20"/>
                <w:color w:val="auto"/>
              </w:rPr>
            </w:pPr>
            <w:r>
              <w:rPr>
                <w:rFonts w:ascii="Arial" w:cs="Arial" w:eastAsia="Arial" w:hAnsi="Arial"/>
                <w:sz w:val="16"/>
                <w:szCs w:val="16"/>
                <w:color w:val="auto"/>
              </w:rPr>
              <w:t>Manufacturing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office space</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White Pigeon, Michigan</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Leased</w:t>
            </w:r>
          </w:p>
        </w:tc>
        <w:tc>
          <w:tcPr>
            <w:tcW w:w="5220" w:type="dxa"/>
            <w:vAlign w:val="bottom"/>
            <w:shd w:val="clear" w:color="auto" w:fill="CCEEFF"/>
          </w:tcPr>
          <w:p>
            <w:pPr>
              <w:ind w:left="600"/>
              <w:spacing w:after="0" w:line="216"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tcPr>
          <w:p>
            <w:pPr>
              <w:ind w:left="20"/>
              <w:spacing w:after="0"/>
              <w:rPr>
                <w:sz w:val="20"/>
                <w:szCs w:val="20"/>
                <w:color w:val="auto"/>
              </w:rPr>
            </w:pPr>
            <w:r>
              <w:rPr>
                <w:rFonts w:ascii="Arial" w:cs="Arial" w:eastAsia="Arial" w:hAnsi="Arial"/>
                <w:sz w:val="16"/>
                <w:szCs w:val="16"/>
                <w:color w:val="auto"/>
              </w:rPr>
              <w:t>Motorhome</w:t>
            </w:r>
          </w:p>
        </w:tc>
        <w:tc>
          <w:tcPr>
            <w:tcW w:w="2560" w:type="dxa"/>
            <w:vAlign w:val="bottom"/>
          </w:tcPr>
          <w:p>
            <w:pPr>
              <w:ind w:left="340"/>
              <w:spacing w:after="0"/>
              <w:rPr>
                <w:sz w:val="20"/>
                <w:szCs w:val="20"/>
                <w:color w:val="auto"/>
              </w:rPr>
            </w:pPr>
            <w:r>
              <w:rPr>
                <w:rFonts w:ascii="Arial" w:cs="Arial" w:eastAsia="Arial" w:hAnsi="Arial"/>
                <w:sz w:val="16"/>
                <w:szCs w:val="16"/>
                <w:color w:val="auto"/>
              </w:rPr>
              <w:t>Charles City, Iowa</w:t>
            </w:r>
          </w:p>
        </w:tc>
        <w:tc>
          <w:tcPr>
            <w:tcW w:w="1620" w:type="dxa"/>
            <w:vAlign w:val="bottom"/>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tcPr>
          <w:p>
            <w:pPr>
              <w:ind w:left="600"/>
              <w:spacing w:after="0" w:line="216"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Forest City, Iowa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shd w:val="clear" w:color="auto" w:fill="CCEEFF"/>
          </w:tcPr>
          <w:p>
            <w:pPr>
              <w:ind w:left="600"/>
              <w:spacing w:after="0" w:line="216" w:lineRule="exact"/>
              <w:rPr>
                <w:sz w:val="20"/>
                <w:szCs w:val="20"/>
                <w:color w:val="auto"/>
              </w:rPr>
            </w:pPr>
            <w:r>
              <w:rPr>
                <w:rFonts w:ascii="Arial" w:cs="Arial" w:eastAsia="Arial" w:hAnsi="Arial"/>
                <w:sz w:val="16"/>
                <w:szCs w:val="16"/>
                <w:color w:val="auto"/>
              </w:rPr>
              <w:t>Manufacturing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non-production</w:t>
            </w:r>
          </w:p>
        </w:tc>
      </w:tr>
      <w:tr>
        <w:trPr>
          <w:trHeight w:val="216"/>
        </w:trPr>
        <w:tc>
          <w:tcPr>
            <w:tcW w:w="1840" w:type="dxa"/>
            <w:vAlign w:val="bottom"/>
          </w:tcPr>
          <w:p>
            <w:pPr>
              <w:ind w:left="20"/>
              <w:spacing w:after="0"/>
              <w:rPr>
                <w:sz w:val="20"/>
                <w:szCs w:val="20"/>
                <w:color w:val="auto"/>
              </w:rPr>
            </w:pPr>
            <w:r>
              <w:rPr>
                <w:rFonts w:ascii="Arial" w:cs="Arial" w:eastAsia="Arial" w:hAnsi="Arial"/>
                <w:sz w:val="16"/>
                <w:szCs w:val="16"/>
                <w:color w:val="auto"/>
              </w:rPr>
              <w:t>Motorhome</w:t>
            </w:r>
          </w:p>
        </w:tc>
        <w:tc>
          <w:tcPr>
            <w:tcW w:w="2560" w:type="dxa"/>
            <w:vAlign w:val="bottom"/>
          </w:tcPr>
          <w:p>
            <w:pPr>
              <w:ind w:left="340"/>
              <w:spacing w:after="0"/>
              <w:rPr>
                <w:sz w:val="20"/>
                <w:szCs w:val="20"/>
                <w:color w:val="auto"/>
              </w:rPr>
            </w:pPr>
            <w:r>
              <w:rPr>
                <w:rFonts w:ascii="Arial" w:cs="Arial" w:eastAsia="Arial" w:hAnsi="Arial"/>
                <w:sz w:val="16"/>
                <w:szCs w:val="16"/>
                <w:color w:val="auto"/>
              </w:rPr>
              <w:t>Lake Mills, Iowa</w:t>
            </w:r>
          </w:p>
        </w:tc>
        <w:tc>
          <w:tcPr>
            <w:tcW w:w="1620" w:type="dxa"/>
            <w:vAlign w:val="bottom"/>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tcPr>
          <w:p>
            <w:pPr>
              <w:ind w:left="600"/>
              <w:spacing w:after="0" w:line="216"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Nappanee, Indiana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shd w:val="clear" w:color="auto" w:fill="CCEEFF"/>
          </w:tcPr>
          <w:p>
            <w:pPr>
              <w:ind w:left="600"/>
              <w:spacing w:after="0" w:line="216"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tcPr>
          <w:p>
            <w:pPr>
              <w:ind w:left="20"/>
              <w:spacing w:after="0"/>
              <w:rPr>
                <w:sz w:val="20"/>
                <w:szCs w:val="20"/>
                <w:color w:val="auto"/>
              </w:rPr>
            </w:pPr>
            <w:r>
              <w:rPr>
                <w:rFonts w:ascii="Arial" w:cs="Arial" w:eastAsia="Arial" w:hAnsi="Arial"/>
                <w:sz w:val="16"/>
                <w:szCs w:val="16"/>
                <w:color w:val="auto"/>
              </w:rPr>
              <w:t>Motorhome</w:t>
            </w:r>
          </w:p>
        </w:tc>
        <w:tc>
          <w:tcPr>
            <w:tcW w:w="2560" w:type="dxa"/>
            <w:vAlign w:val="bottom"/>
          </w:tcPr>
          <w:p>
            <w:pPr>
              <w:ind w:left="340"/>
              <w:spacing w:after="0"/>
              <w:rPr>
                <w:sz w:val="20"/>
                <w:szCs w:val="20"/>
                <w:color w:val="auto"/>
              </w:rPr>
            </w:pPr>
            <w:r>
              <w:rPr>
                <w:rFonts w:ascii="Arial" w:cs="Arial" w:eastAsia="Arial" w:hAnsi="Arial"/>
                <w:sz w:val="16"/>
                <w:szCs w:val="16"/>
                <w:color w:val="auto"/>
              </w:rPr>
              <w:t>Nappanee, Indiana</w:t>
            </w:r>
          </w:p>
        </w:tc>
        <w:tc>
          <w:tcPr>
            <w:tcW w:w="1620" w:type="dxa"/>
            <w:vAlign w:val="bottom"/>
          </w:tcPr>
          <w:p>
            <w:pPr>
              <w:ind w:left="500"/>
              <w:spacing w:after="0"/>
              <w:rPr>
                <w:sz w:val="20"/>
                <w:szCs w:val="20"/>
                <w:color w:val="auto"/>
              </w:rPr>
            </w:pPr>
            <w:r>
              <w:rPr>
                <w:rFonts w:ascii="Arial" w:cs="Arial" w:eastAsia="Arial" w:hAnsi="Arial"/>
                <w:sz w:val="16"/>
                <w:szCs w:val="16"/>
                <w:color w:val="auto"/>
              </w:rPr>
              <w:t>Leased</w:t>
            </w:r>
          </w:p>
        </w:tc>
        <w:tc>
          <w:tcPr>
            <w:tcW w:w="5220" w:type="dxa"/>
            <w:vAlign w:val="bottom"/>
          </w:tcPr>
          <w:p>
            <w:pPr>
              <w:ind w:left="600"/>
              <w:spacing w:after="0" w:line="216" w:lineRule="exact"/>
              <w:rPr>
                <w:sz w:val="20"/>
                <w:szCs w:val="20"/>
                <w:color w:val="auto"/>
              </w:rPr>
            </w:pPr>
            <w:r>
              <w:rPr>
                <w:rFonts w:ascii="Arial" w:cs="Arial" w:eastAsia="Arial" w:hAnsi="Arial"/>
                <w:sz w:val="16"/>
                <w:szCs w:val="16"/>
                <w:color w:val="auto"/>
              </w:rPr>
              <w:t>Manufacturing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office space</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Waverly, Iowa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shd w:val="clear" w:color="auto" w:fill="CCEEFF"/>
          </w:tcPr>
          <w:p>
            <w:pPr>
              <w:ind w:left="600"/>
              <w:spacing w:after="0" w:line="216"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r>
        <w:trPr>
          <w:trHeight w:val="216"/>
        </w:trPr>
        <w:tc>
          <w:tcPr>
            <w:tcW w:w="1840" w:type="dxa"/>
            <w:vAlign w:val="bottom"/>
          </w:tcPr>
          <w:p>
            <w:pPr>
              <w:ind w:left="20"/>
              <w:spacing w:after="0"/>
              <w:rPr>
                <w:sz w:val="20"/>
                <w:szCs w:val="20"/>
                <w:color w:val="auto"/>
              </w:rPr>
            </w:pPr>
            <w:r>
              <w:rPr>
                <w:rFonts w:ascii="Arial" w:cs="Arial" w:eastAsia="Arial" w:hAnsi="Arial"/>
                <w:sz w:val="16"/>
                <w:szCs w:val="16"/>
                <w:color w:val="auto"/>
              </w:rPr>
              <w:t>Marine</w:t>
            </w:r>
          </w:p>
        </w:tc>
        <w:tc>
          <w:tcPr>
            <w:tcW w:w="2560" w:type="dxa"/>
            <w:vAlign w:val="bottom"/>
          </w:tcPr>
          <w:p>
            <w:pPr>
              <w:ind w:left="340"/>
              <w:spacing w:after="0"/>
              <w:rPr>
                <w:sz w:val="20"/>
                <w:szCs w:val="20"/>
                <w:color w:val="auto"/>
              </w:rPr>
            </w:pPr>
            <w:r>
              <w:rPr>
                <w:rFonts w:ascii="Arial" w:cs="Arial" w:eastAsia="Arial" w:hAnsi="Arial"/>
                <w:sz w:val="16"/>
                <w:szCs w:val="16"/>
                <w:color w:val="auto"/>
              </w:rPr>
              <w:t>Bristol, Indiana</w:t>
            </w:r>
          </w:p>
        </w:tc>
        <w:tc>
          <w:tcPr>
            <w:tcW w:w="1620" w:type="dxa"/>
            <w:vAlign w:val="bottom"/>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tcPr>
          <w:p>
            <w:pPr>
              <w:ind w:left="600"/>
              <w:spacing w:after="0" w:line="216" w:lineRule="exact"/>
              <w:rPr>
                <w:sz w:val="20"/>
                <w:szCs w:val="20"/>
                <w:color w:val="auto"/>
              </w:rPr>
            </w:pPr>
            <w:r>
              <w:rPr>
                <w:rFonts w:ascii="Arial" w:cs="Arial" w:eastAsia="Arial" w:hAnsi="Arial"/>
                <w:sz w:val="16"/>
                <w:szCs w:val="16"/>
                <w:color w:val="auto"/>
              </w:rPr>
              <w:t>Manufacturing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office space</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Sarasota, Florida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shd w:val="clear" w:color="auto" w:fill="CCEEFF"/>
          </w:tcPr>
          <w:p>
            <w:pPr>
              <w:ind w:left="600"/>
              <w:spacing w:after="0" w:line="216" w:lineRule="exact"/>
              <w:rPr>
                <w:sz w:val="20"/>
                <w:szCs w:val="20"/>
                <w:color w:val="auto"/>
              </w:rPr>
            </w:pPr>
            <w:r>
              <w:rPr>
                <w:rFonts w:ascii="Arial" w:cs="Arial" w:eastAsia="Arial" w:hAnsi="Arial"/>
                <w:sz w:val="16"/>
                <w:szCs w:val="16"/>
                <w:color w:val="auto"/>
              </w:rPr>
              <w:t>Manufacturing</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office space</w:t>
            </w: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Corporate / All Other</w:t>
            </w:r>
          </w:p>
        </w:tc>
        <w:tc>
          <w:tcPr>
            <w:tcW w:w="2560" w:type="dxa"/>
            <w:vAlign w:val="bottom"/>
          </w:tcPr>
          <w:p>
            <w:pPr>
              <w:ind w:left="340"/>
              <w:spacing w:after="0"/>
              <w:rPr>
                <w:sz w:val="20"/>
                <w:szCs w:val="20"/>
                <w:color w:val="auto"/>
              </w:rPr>
            </w:pPr>
            <w:r>
              <w:rPr>
                <w:rFonts w:ascii="Arial" w:cs="Arial" w:eastAsia="Arial" w:hAnsi="Arial"/>
                <w:sz w:val="16"/>
                <w:szCs w:val="16"/>
                <w:color w:val="auto"/>
              </w:rPr>
              <w:t>Eden Prairie, Minnesota</w:t>
            </w:r>
          </w:p>
        </w:tc>
        <w:tc>
          <w:tcPr>
            <w:tcW w:w="1620" w:type="dxa"/>
            <w:vAlign w:val="bottom"/>
          </w:tcPr>
          <w:p>
            <w:pPr>
              <w:ind w:left="500"/>
              <w:spacing w:after="0"/>
              <w:rPr>
                <w:sz w:val="20"/>
                <w:szCs w:val="20"/>
                <w:color w:val="auto"/>
              </w:rPr>
            </w:pPr>
            <w:r>
              <w:rPr>
                <w:rFonts w:ascii="Arial" w:cs="Arial" w:eastAsia="Arial" w:hAnsi="Arial"/>
                <w:sz w:val="16"/>
                <w:szCs w:val="16"/>
                <w:color w:val="auto"/>
              </w:rPr>
              <w:t>Leased</w:t>
            </w:r>
          </w:p>
        </w:tc>
        <w:tc>
          <w:tcPr>
            <w:tcW w:w="5220" w:type="dxa"/>
            <w:vAlign w:val="bottom"/>
          </w:tcPr>
          <w:p>
            <w:pPr>
              <w:ind w:left="600"/>
              <w:spacing w:after="0"/>
              <w:rPr>
                <w:sz w:val="20"/>
                <w:szCs w:val="20"/>
                <w:color w:val="auto"/>
              </w:rPr>
            </w:pPr>
            <w:r>
              <w:rPr>
                <w:rFonts w:ascii="Arial" w:cs="Arial" w:eastAsia="Arial" w:hAnsi="Arial"/>
                <w:sz w:val="16"/>
                <w:szCs w:val="16"/>
                <w:color w:val="auto"/>
              </w:rPr>
              <w:t>Office space</w:t>
            </w:r>
          </w:p>
        </w:tc>
      </w:tr>
      <w:tr>
        <w:trPr>
          <w:trHeight w:val="217"/>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Forest City, Iowa</w:t>
            </w:r>
          </w:p>
        </w:tc>
        <w:tc>
          <w:tcPr>
            <w:tcW w:w="1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Owned</w:t>
            </w:r>
          </w:p>
        </w:tc>
        <w:tc>
          <w:tcPr>
            <w:tcW w:w="5220" w:type="dxa"/>
            <w:vAlign w:val="bottom"/>
            <w:shd w:val="clear" w:color="auto" w:fill="CCEEFF"/>
          </w:tcPr>
          <w:p>
            <w:pPr>
              <w:ind w:left="600"/>
              <w:spacing w:after="0" w:line="217" w:lineRule="exact"/>
              <w:rPr>
                <w:sz w:val="20"/>
                <w:szCs w:val="20"/>
                <w:color w:val="auto"/>
              </w:rPr>
            </w:pPr>
            <w:r>
              <w:rPr>
                <w:rFonts w:ascii="Arial" w:cs="Arial" w:eastAsia="Arial" w:hAnsi="Arial"/>
                <w:sz w:val="16"/>
                <w:szCs w:val="16"/>
                <w:color w:val="auto"/>
              </w:rPr>
              <w:t xml:space="preserve">Manufacturing </w:t>
            </w:r>
            <w:r>
              <w:rPr>
                <w:rFonts w:ascii="Arial" w:cs="Arial" w:eastAsia="Arial" w:hAnsi="Arial"/>
                <w:sz w:val="21"/>
                <w:szCs w:val="21"/>
                <w:color w:val="auto"/>
                <w:vertAlign w:val="superscript"/>
              </w:rPr>
              <w:t>(1)</w:t>
            </w:r>
          </w:p>
        </w:tc>
      </w:tr>
    </w:tbl>
    <w:p>
      <w:pPr>
        <w:spacing w:after="0" w:line="142"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Manufacturing includes production, warehouse, maintenance, and service center facilities.</w:t>
      </w:r>
    </w:p>
    <w:p>
      <w:pPr>
        <w:spacing w:after="0" w:line="2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Most of our buildings are of steel or steel and concrete construction and are protected from fire with high-pressure sprinkler systems, dust collector systems, automatic fire doors, and alarm systems. All facilities are in good operating condition, suitable for their respective uses and adequate for current needs.</w:t>
      </w:r>
    </w:p>
    <w:p>
      <w:pPr>
        <w:spacing w:after="0" w:line="19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Under our Senior Secured Notes and ABL Credit Facility, we have encumbered substantially all of our real property for the benefit of the lenders under our credit facilities. For additional information, see Note 9 in the Notes to Consolidated Financial Statements, included in Item 8 of Part II in this Annual Report on Form 10-K. Also see Note 10 in the Notes to Consolidated Financial Statements included in Item 8 of Part II in this Annual Report on Form 10-K for more information regarding our leased facilities.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For a description of our legal proceedings, see Note 12 in the Notes to Consolidated Financial Statements, included in Item 8 of Part II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the Registrant's Common Equity, Related Shareholder Matters, and Issuer Purchases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13"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Our common stock is listed on the New York Stock Exchange under the ticker symbol of WGO. As of October 13, 2022, there were 2,120 shareholders of record.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August 17, 2022, our Board of Directors declared a quarterly cash dividend of $0.27 per share, totaling $8.2 million, to be paid on September 28, 2022 to common shareholders of record at the close of business on September 14, 2022. Dividends are generally declared each quarter, and the Board of Directors currently intends to continue to pay quarterly cash dividends; however, declaration of future dividends, if any, will be based on several factors including our financial performance, outlook, and liquidity.</w:t>
      </w:r>
    </w:p>
    <w:p>
      <w:pPr>
        <w:spacing w:after="0" w:line="19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outstanding notes, as further described in Note 9 in the Notes to Consolidated Financial Statements, included in Item 8 of Part II in this Annual Report on Form 10-K, contains restrictions that may limit our ability to pay dividends.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ABL Credit Facility contains restrictions that may limit our ability to make distributions or payments with respect to purchases of our common stock without consent from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Credit Facility in Note 9 in the Notes to Consolidated Financial Statements, included in Item 8 of Part II in this Annual Report on Form 10-K.</w:t>
      </w:r>
    </w:p>
    <w:p>
      <w:pPr>
        <w:spacing w:after="0" w:line="199"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On October 13, 2021, our Board of Directors authorized a share repurchase program in the amount of $200.0 million with no time restriction on the authorization, which took effect immediately and replaced the prior program.</w:t>
      </w:r>
    </w:p>
    <w:p>
      <w:pPr>
        <w:spacing w:after="0" w:line="19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On August 17, 2022, our Board of Directors authorized a share repurchase program in the amount of $350.0 million, also with no time restriction on the authorization, which replaces the previous authorization that was fully depleted in the fourth quarter of Fiscal 2022.</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During Fiscal 2022, we repurchased 3,577,000 shares of our common stock at a cost of $209.7 million, and 62,000 shares of our common stock at a cost of $4.6 million to satisfy tax obligations on employee equity awards as they vested. We continually evaluate if share repurchases reflect a prudent use of our capital and, subject to compliance with our ABL Credit Facility and outstanding Senior Secured Notes, we may purchase shares in the future. As of August 27, 2022, we have $350.0 million remaining on our Board of Directors approved repurchase authorization.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fourth quarter of Fiscal 2022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Number of Shares Purchased as</w:t>
            </w:r>
          </w:p>
        </w:tc>
        <w:tc>
          <w:tcPr>
            <w:tcW w:w="240" w:type="dxa"/>
            <w:vAlign w:val="bottom"/>
          </w:tcPr>
          <w:p>
            <w:pPr>
              <w:spacing w:after="0"/>
              <w:rPr>
                <w:sz w:val="16"/>
                <w:szCs w:val="16"/>
                <w:color w:val="auto"/>
              </w:rPr>
            </w:pPr>
          </w:p>
        </w:tc>
        <w:tc>
          <w:tcPr>
            <w:tcW w:w="264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880" w:type="dxa"/>
            <w:vAlign w:val="bottom"/>
            <w:gridSpan w:val="2"/>
          </w:tcPr>
          <w:p>
            <w:pPr>
              <w:ind w:left="14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(2)</w:t>
            </w: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6"/>
                <w:szCs w:val="16"/>
                <w:b w:val="1"/>
                <w:bCs w:val="1"/>
                <w:color w:val="auto"/>
                <w:w w:val="97"/>
              </w:rPr>
              <w:t>Under the Plans or Programs</w:t>
            </w:r>
            <w:r>
              <w:rPr>
                <w:rFonts w:ascii="Arial" w:cs="Arial" w:eastAsia="Arial" w:hAnsi="Arial"/>
                <w:sz w:val="21"/>
                <w:szCs w:val="21"/>
                <w:b w:val="1"/>
                <w:bCs w:val="1"/>
                <w:color w:val="auto"/>
                <w:w w:val="97"/>
                <w:vertAlign w:val="superscript"/>
              </w:rPr>
              <w:t>(2)(3)</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05/29/22 - 07/02/22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273,442</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50.47</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273,442</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66,200,000</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07/03/22 - 07/30/22</w:t>
            </w:r>
          </w:p>
        </w:tc>
        <w:tc>
          <w:tcPr>
            <w:tcW w:w="1560" w:type="dxa"/>
            <w:vAlign w:val="bottom"/>
          </w:tcPr>
          <w:p>
            <w:pPr>
              <w:jc w:val="right"/>
              <w:spacing w:after="0"/>
              <w:rPr>
                <w:sz w:val="20"/>
                <w:szCs w:val="20"/>
                <w:color w:val="auto"/>
              </w:rPr>
            </w:pPr>
            <w:r>
              <w:rPr>
                <w:rFonts w:ascii="Arial" w:cs="Arial" w:eastAsia="Arial" w:hAnsi="Arial"/>
                <w:sz w:val="16"/>
                <w:szCs w:val="16"/>
                <w:color w:val="auto"/>
              </w:rPr>
              <w:t>796,391</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54.87</w:t>
            </w:r>
          </w:p>
        </w:tc>
        <w:tc>
          <w:tcPr>
            <w:tcW w:w="2760" w:type="dxa"/>
            <w:vAlign w:val="bottom"/>
          </w:tcPr>
          <w:p>
            <w:pPr>
              <w:jc w:val="right"/>
              <w:spacing w:after="0"/>
              <w:rPr>
                <w:sz w:val="20"/>
                <w:szCs w:val="20"/>
                <w:color w:val="auto"/>
              </w:rPr>
            </w:pPr>
            <w:r>
              <w:rPr>
                <w:rFonts w:ascii="Arial" w:cs="Arial" w:eastAsia="Arial" w:hAnsi="Arial"/>
                <w:sz w:val="16"/>
                <w:szCs w:val="16"/>
                <w:color w:val="auto"/>
              </w:rPr>
              <w:t>796,391</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22,500,000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07/31/22 - 08/27/22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364,299</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61.77</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364,252</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350,000,000</w:t>
            </w:r>
          </w:p>
        </w:tc>
        <w:tc>
          <w:tcPr>
            <w:tcW w:w="0" w:type="dxa"/>
            <w:vAlign w:val="bottom"/>
          </w:tcPr>
          <w:p>
            <w:pPr>
              <w:spacing w:after="0"/>
              <w:rPr>
                <w:sz w:val="1"/>
                <w:szCs w:val="1"/>
                <w:color w:val="auto"/>
              </w:rPr>
            </w:pPr>
          </w:p>
        </w:tc>
      </w:tr>
      <w:tr>
        <w:trPr>
          <w:trHeight w:val="210"/>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1,434,132</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55.78</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1,434,085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350,000,000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ind w:left="260" w:right="140" w:hanging="252"/>
        <w:spacing w:after="0" w:line="209" w:lineRule="auto"/>
        <w:tabs>
          <w:tab w:leader="none" w:pos="305"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201" w:lineRule="auto"/>
        <w:tabs>
          <w:tab w:leader="none" w:pos="263"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Pursuant to a $200.0 million share repurchase program authorized by our Board of Directors on October 13, 2021. No shares were repurchased pursuant to a $350.0 million share repurchase program authorized by our Board of Directors on August 17, 2022. There is no time restriction on this authorization.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Inc., and Brunswick Corporation were selected by us as they also manufacture recreation products. It is assumed in the graph that $100 was invested in our common stock, in the Standard</w:t>
      </w:r>
    </w:p>
    <w:p>
      <w:pPr>
        <w:spacing w:after="0" w:line="1" w:lineRule="exact"/>
        <w:rPr>
          <w:sz w:val="20"/>
          <w:szCs w:val="20"/>
          <w:color w:val="auto"/>
        </w:rPr>
      </w:pPr>
    </w:p>
    <w:p>
      <w:pPr>
        <w:ind w:right="100" w:firstLine="8"/>
        <w:spacing w:after="0" w:line="258" w:lineRule="auto"/>
        <w:tabs>
          <w:tab w:leader="none" w:pos="1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Poor's 500 Index and in the stocks of the peer group companies on August 26, 2017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966460" cy="3608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Base Period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Company/Index</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5" w:lineRule="exact"/>
              <w:rPr>
                <w:sz w:val="20"/>
                <w:szCs w:val="20"/>
                <w:color w:val="auto"/>
              </w:rPr>
            </w:pPr>
            <w:r>
              <w:rPr>
                <w:rFonts w:ascii="Arial" w:cs="Arial" w:eastAsia="Arial" w:hAnsi="Arial"/>
                <w:sz w:val="16"/>
                <w:szCs w:val="16"/>
                <w:b w:val="1"/>
                <w:bCs w:val="1"/>
                <w:color w:val="auto"/>
              </w:rPr>
              <w:t>August 26,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August 25,</w:t>
            </w:r>
          </w:p>
        </w:tc>
        <w:tc>
          <w:tcPr>
            <w:tcW w:w="180" w:type="dxa"/>
            <w:vAlign w:val="bottom"/>
          </w:tcPr>
          <w:p>
            <w:pPr>
              <w:spacing w:after="0"/>
              <w:rPr>
                <w:sz w:val="13"/>
                <w:szCs w:val="13"/>
                <w:color w:val="auto"/>
              </w:rPr>
            </w:pPr>
          </w:p>
        </w:tc>
        <w:tc>
          <w:tcPr>
            <w:tcW w:w="12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August 31,</w:t>
            </w:r>
          </w:p>
        </w:tc>
        <w:tc>
          <w:tcPr>
            <w:tcW w:w="160" w:type="dxa"/>
            <w:vAlign w:val="bottom"/>
          </w:tcPr>
          <w:p>
            <w:pPr>
              <w:spacing w:after="0"/>
              <w:rPr>
                <w:sz w:val="13"/>
                <w:szCs w:val="13"/>
                <w:color w:val="auto"/>
              </w:rPr>
            </w:pPr>
          </w:p>
        </w:tc>
        <w:tc>
          <w:tcPr>
            <w:tcW w:w="12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August 29,</w:t>
            </w:r>
          </w:p>
        </w:tc>
        <w:tc>
          <w:tcPr>
            <w:tcW w:w="180" w:type="dxa"/>
            <w:vAlign w:val="bottom"/>
          </w:tcPr>
          <w:p>
            <w:pPr>
              <w:spacing w:after="0"/>
              <w:rPr>
                <w:sz w:val="13"/>
                <w:szCs w:val="13"/>
                <w:color w:val="auto"/>
              </w:rPr>
            </w:pPr>
          </w:p>
        </w:tc>
        <w:tc>
          <w:tcPr>
            <w:tcW w:w="12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August 28,</w:t>
            </w:r>
          </w:p>
        </w:tc>
        <w:tc>
          <w:tcPr>
            <w:tcW w:w="160" w:type="dxa"/>
            <w:vAlign w:val="bottom"/>
          </w:tcPr>
          <w:p>
            <w:pPr>
              <w:spacing w:after="0"/>
              <w:rPr>
                <w:sz w:val="13"/>
                <w:szCs w:val="13"/>
                <w:color w:val="auto"/>
              </w:rPr>
            </w:pPr>
          </w:p>
        </w:tc>
        <w:tc>
          <w:tcPr>
            <w:tcW w:w="11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181.53</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Peer Group</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128.19</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Zacks Investment Research,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five sections:</w:t>
      </w:r>
    </w:p>
    <w:p>
      <w:pPr>
        <w:spacing w:after="0" w:line="200"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Overview</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Results of Operations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Analysis of Financial Condition, Liquidity, and Capital Resources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Critical Accounting Policies and Estimates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Accounting Pronouncements</w:t>
      </w:r>
    </w:p>
    <w:p>
      <w:pPr>
        <w:spacing w:after="0" w:line="23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8 of Part II in this Annual Report on Form 10-K.</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year-over-year comparisons in this MD&amp;A are as of and for the fiscal years ended August 27, 2022 and August 28, 2021, unless stated otherwise. The discussion of Fiscal 2020 results and related year-over-year comparisons as of and for the fiscal years ended August 28, 2021 and August 29, 2020 are found in Item 7 of Part II of our Form 10-K for the fiscal year ended August 28, 2021.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Events</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In February 2022, the United States announced targeted economic sanctions on Russia in response to the military conflict in Ukraine. As described in Part I, Item 1A —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 our business may be sensitive to economic conditions such as the adverse impact of global tensions, which could impact input costs, consumer spending, and fuel prices. As our operations are primarily in North America, we have no direct exposure to Russia and Ukraine. However, we are actively monitoring the broader economic impact of the crisis, especially the potential impact of rising commodity and fuel prices, and the potential decreased demand for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212529"/>
        </w:rPr>
        <w:t xml:space="preserve">The COVID-19 pandemic has resulted in </w:t>
      </w:r>
      <w:r>
        <w:rPr>
          <w:rFonts w:ascii="Arial" w:cs="Arial" w:eastAsia="Arial" w:hAnsi="Arial"/>
          <w:sz w:val="16"/>
          <w:szCs w:val="16"/>
          <w:color w:val="000000"/>
        </w:rPr>
        <w:t>strong retail demand by consumers of RVs as a safe travel option, and of marine products as a safe way to</w:t>
      </w:r>
      <w:r>
        <w:rPr>
          <w:rFonts w:ascii="Arial" w:cs="Arial" w:eastAsia="Arial" w:hAnsi="Arial"/>
          <w:sz w:val="16"/>
          <w:szCs w:val="16"/>
          <w:color w:val="212529"/>
        </w:rPr>
        <w:t xml:space="preserve"> </w:t>
      </w:r>
      <w:r>
        <w:rPr>
          <w:rFonts w:ascii="Arial" w:cs="Arial" w:eastAsia="Arial" w:hAnsi="Arial"/>
          <w:sz w:val="16"/>
          <w:szCs w:val="16"/>
          <w:color w:val="000000"/>
        </w:rPr>
        <w:t xml:space="preserve">experience the outdoors. However, the pandemic has also caused global supply chain disruption. Our production has experienced certain supply shortages, particularly within our Motorhome and Marine segments, as well as material and component cost inflation. If these disruptions continue, or if there are additional disruptions in our supply chain, it could materially or adversely impact our operating results and financial condition. Despite certain supply shortages and inflationary cost input pressures, we continue to operate and adapt to these temporary supply chain disruptions. Refer to the COVID-19 related risk factor disclosed in </w:t>
      </w:r>
      <w:r>
        <w:rPr>
          <w:rFonts w:ascii="Arial" w:cs="Arial" w:eastAsia="Arial" w:hAnsi="Arial"/>
          <w:sz w:val="16"/>
          <w:szCs w:val="16"/>
          <w:color w:val="212529"/>
        </w:rPr>
        <w:t>Item 1A of Part I in this Annual Report on Form 10-K.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Barletta</w:t>
      </w:r>
    </w:p>
    <w:p>
      <w:pPr>
        <w:spacing w:after="0" w:line="12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August 31, 2021, we completed our acquisition of all the equity interests of Barletta for $286.3 million funded with cash payments of $240.1 million, $25.0 million in common stock issued to the sellers (subject to a 12% discount), and contingent consideration from earnout provisions. For further discussion regarding the acquisition, refer to Note 2 in the Notes to Consolidated Financial Statements, included in Item 8 of Part II in this Annual Report on Form 10-K.</w:t>
      </w:r>
    </w:p>
    <w:p>
      <w:pPr>
        <w:spacing w:after="0" w:line="7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acquisition of Barletta resulted in a newly created Marine reportable segment effective as of the first quarter of Fiscal 2022. The Marine reportable segment consists of the Barletta and Chris-Craft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27"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adjustments made in order to present comparable results from period to period.</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Included in "Results of Operations - Fiscal 2022 Compared to Fiscal 2021"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fair-value inventory step-up, acquisition-related costs, litigation reserves, restructuring expenses, gain or loss on sale of property, plant and equipment, contingent consideration fair value adjustment, and non-operating income or loss.</w:t>
      </w:r>
    </w:p>
    <w:p>
      <w:pPr>
        <w:spacing w:after="0" w:line="21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9 in the Notes to Consolidated Financial Statements, included in Item 8 of Part II in this Annual Report on Form 10-K. We believe these non-GAAP financial measures are frequently used by securities analysts, investors and other interested parties to evaluate companies in the industry.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13"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The RV and marine industries continue to experience shipping delays, and material and component cost inflation. In addition, both industries continue to experience supply chain disruptions and shortages, particularly within the Motorhome and Marine segments. While we continue to operate and adapt to these supply chain disruptions, they impacted our ability to increase production to meet existing demand during Fiscal 2022 and continuing in Fiscal 2023.</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believe field inventory for our Towable segment is returning to normalized levels to adequately serve end consumer demand, whereas field inventory for our Motorhome and Marine segments remains lower than desired by our dealer network, which indicates future strength in wholesale shipments. We continue to produce and ship in accordance with dealer demand as evidenced and requested by dealer orders.</w:t>
      </w:r>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RV industry retail sales have been softening compared to record high prior year levels; however, we still believe in the long-term health of consumer demand for RV and marine products. More people are pursuing outdoor activities, household penetration of RVs is increasing, and campers are more diverse than ever. According to statistics published by Kampgrounds of America, Inc., over 14 million households camped for the first time in 2020 and 2021, and combined with record levels of first-time buyers of RVs over the past two years, we believe a positive outlook exists for new product and upgrade-related sales. Despite these developments, current macroeconomic trends such as inflation, rising interest rates and low consumer sentiment, as well as global political tensions, contribute to reduced short-term consumer demand for large discretionary products such as RVs and Marine products, which could in turn impact our future revenue and profits.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Fiscal 2022 Compared to Fiscal 2021</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25"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27, 2022 compared to the fiscal year ended August 28, 2021:</w:t>
      </w:r>
    </w:p>
    <w:tbl>
      <w:tblPr>
        <w:tblLayout w:type="fixed"/>
        <w:tblInd w:w="0" w:type="dxa"/>
        <w:tblCellMar>
          <w:top w:w="0" w:type="dxa"/>
          <w:left w:w="0" w:type="dxa"/>
          <w:bottom w:w="0" w:type="dxa"/>
          <w:right w:w="0" w:type="dxa"/>
        </w:tblCellMar>
      </w:tblPr>
      <w:tr>
        <w:trPr>
          <w:trHeight w:val="146"/>
        </w:trPr>
        <w:tc>
          <w:tcPr>
            <w:tcW w:w="2820" w:type="dxa"/>
            <w:vAlign w:val="bottom"/>
          </w:tcPr>
          <w:p>
            <w:pPr>
              <w:ind w:left="20"/>
              <w:spacing w:after="0" w:line="146" w:lineRule="exact"/>
              <w:rPr>
                <w:sz w:val="20"/>
                <w:szCs w:val="20"/>
                <w:color w:val="auto"/>
              </w:rPr>
            </w:pPr>
            <w:r>
              <w:rPr>
                <w:rFonts w:ascii="Arial" w:cs="Arial" w:eastAsia="Arial" w:hAnsi="Arial"/>
                <w:sz w:val="14"/>
                <w:szCs w:val="14"/>
                <w:color w:val="auto"/>
              </w:rPr>
              <w:t>(in thousands, except percent and per</w:t>
            </w:r>
          </w:p>
        </w:tc>
        <w:tc>
          <w:tcPr>
            <w:tcW w:w="300" w:type="dxa"/>
            <w:vAlign w:val="bottom"/>
          </w:tcPr>
          <w:p>
            <w:pPr>
              <w:spacing w:after="0"/>
              <w:rPr>
                <w:sz w:val="12"/>
                <w:szCs w:val="12"/>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spacing w:after="0"/>
              <w:rPr>
                <w:sz w:val="12"/>
                <w:szCs w:val="12"/>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share data)</w:t>
            </w: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4,957,730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1,327,883</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36.6 %</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4,028,393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2,979,484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1,048,909</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35.2 %</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929,337</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650,363</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278,974</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42.9 %</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316,420</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228,581</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87,839</w:t>
            </w:r>
          </w:p>
        </w:tc>
        <w:tc>
          <w:tcPr>
            <w:tcW w:w="1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38.4 %</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expenses ("SG&amp;A")</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15,058</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104.9 %</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345,839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242,942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102,897</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42.4 %</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583,498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407,421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176,077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43.2 %</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41,313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(7,070.3)%</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514,722</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367,450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147,272</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40.1 %</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124,086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38,507</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108,765</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38.6 %</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43.0 %</w:t>
            </w: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Diluted weighted average shares</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32,985</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34,056</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incremental sales from the acquisition of Barletta, price increases, and unit growth.</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Gross profit as a percentage of revenue increased primarily due to improved operating leverage on higher revenues and price increases, partially offset by higher material and component costs, and production inefficiencies caused by supply constraints.</w:t>
      </w:r>
    </w:p>
    <w:p>
      <w:pPr>
        <w:spacing w:after="0" w:line="168"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Operating expenses increased primarily due to higher operating expenses to support increased sales, acquisition-related costs, incremental operating expenses and amortization associated with the acquisition of Barletta, and higher incentive-based compensation related to operating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Non-operating loss increased predominantly due to the contingent consideration fair value adjustment related to the acquisition of Barletta.</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effective tax rate increased primarily due to the impact of consistent tax credits compared to the prior year over increased income in the current year and a net unfavorable expense in the current year related to nondeductible compensation.</w:t>
      </w:r>
    </w:p>
    <w:p>
      <w:pPr>
        <w:spacing w:after="0" w:line="18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Net income and diluted earnings per share increased primarily due to leverage gained on higher revenues, partially offset by increased operating expenses and higher income tax expense.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Fiscal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281,871</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41,313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40,365</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18,201</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r>
      <w:tr>
        <w:trPr>
          <w:trHeight w:val="209"/>
        </w:trPr>
        <w:tc>
          <w:tcPr>
            <w:tcW w:w="7640" w:type="dxa"/>
            <w:vAlign w:val="bottom"/>
          </w:tcPr>
          <w:p>
            <w:pPr>
              <w:ind w:left="140"/>
              <w:spacing w:after="0"/>
              <w:rPr>
                <w:sz w:val="20"/>
                <w:szCs w:val="20"/>
                <w:color w:val="auto"/>
              </w:rPr>
            </w:pPr>
            <w:r>
              <w:rPr>
                <w:rFonts w:ascii="Arial" w:cs="Arial" w:eastAsia="Arial" w:hAnsi="Arial"/>
                <w:sz w:val="16"/>
                <w:szCs w:val="16"/>
                <w:color w:val="auto"/>
              </w:rPr>
              <w:t>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609,692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440,377</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Restructuring expenses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(4,753)</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35"/>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436,067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Balance excludes depreciation expense classified as restructuring as the balance is already included in the EBITDA calculation.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Fiscal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20" w:type="dxa"/>
            <w:vAlign w:val="bottom"/>
          </w:tcPr>
          <w:p>
            <w:pPr>
              <w:spacing w:after="0"/>
              <w:rPr>
                <w:sz w:val="18"/>
                <w:szCs w:val="18"/>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 of Revenues</w:t>
            </w: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 of Revenues</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2,597,358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2,009,959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587,399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29.2 %</w:t>
            </w: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383,622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289,007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94,615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32.7 %</w:t>
            </w:r>
          </w:p>
        </w:tc>
      </w:tr>
      <w:tr>
        <w:trPr>
          <w:trHeight w:val="217"/>
        </w:trPr>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85"/>
        </w:trPr>
        <w:tc>
          <w:tcPr>
            <w:tcW w:w="314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43,038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9,767</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29.4 %</w:t>
            </w:r>
          </w:p>
        </w:tc>
      </w:tr>
      <w:tr>
        <w:trPr>
          <w:trHeight w:val="363"/>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24"/>
                <w:szCs w:val="24"/>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16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142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19,125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20,163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5"/>
        </w:trPr>
        <w:tc>
          <w:tcPr>
            <w:tcW w:w="3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August 27, 2022</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4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5"/>
        </w:trPr>
        <w:tc>
          <w:tcPr>
            <w:tcW w:w="314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14,588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46,590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(32,002)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7"/>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576,491</w:t>
            </w:r>
          </w:p>
        </w:tc>
        <w:tc>
          <w:tcPr>
            <w:tcW w:w="170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1,704,393</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(1,127,902)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6"/>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125.1 %</w:t>
            </w:r>
          </w:p>
        </w:tc>
      </w:tr>
    </w:tbl>
    <w:p>
      <w:pPr>
        <w:spacing w:after="0" w:line="87"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60" w:right="160" w:hanging="252"/>
        <w:spacing w:after="0" w:line="201" w:lineRule="auto"/>
        <w:tabs>
          <w:tab w:leader="none" w:pos="305"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price increases related to higher material and component costs.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revenue growth, partially offset by higher operating expenses to support increasing sales.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Fiscal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 of Revenues</w:t>
            </w: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 of Revenues</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1,911,196</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372,112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237,992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169,205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68,787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40.7 %</w:t>
            </w: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4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156,917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138,999</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17,918</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36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144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c>
          <w:tcPr>
            <w:tcW w:w="142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56.0 %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5,431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49.8 %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09"/>
        </w:trPr>
        <w:tc>
          <w:tcPr>
            <w:tcW w:w="3460" w:type="dxa"/>
            <w:vAlign w:val="bottom"/>
          </w:tcPr>
          <w:p>
            <w:pPr>
              <w:ind w:left="140"/>
              <w:spacing w:after="0"/>
              <w:rPr>
                <w:sz w:val="20"/>
                <w:szCs w:val="20"/>
                <w:color w:val="auto"/>
              </w:rPr>
            </w:pPr>
            <w:r>
              <w:rPr>
                <w:rFonts w:ascii="Arial" w:cs="Arial" w:eastAsia="Arial" w:hAnsi="Arial"/>
                <w:sz w:val="16"/>
                <w:szCs w:val="16"/>
                <w:color w:val="auto"/>
              </w:rPr>
              <w:t>Total Motorhome</w:t>
            </w: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12,058</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12,024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18,254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(6,230)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1,687,571</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2,303,504</w:t>
            </w: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(615,933)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60" w:right="160" w:hanging="252"/>
        <w:spacing w:after="0" w:line="209" w:lineRule="auto"/>
        <w:tabs>
          <w:tab w:leader="none" w:pos="305"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price increases related to higher material and component costs, and unit growth.</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revenue growth, partially offset by higher material and component costs, and operating expenses.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348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8"/>
        </w:trPr>
        <w:tc>
          <w:tcPr>
            <w:tcW w:w="1260" w:type="dxa"/>
            <w:vAlign w:val="bottom"/>
            <w:tcBorders>
              <w:top w:val="single" w:sz="8" w:color="0000FF"/>
            </w:tcBorders>
          </w:tcPr>
          <w:p>
            <w:pPr>
              <w:spacing w:after="0"/>
              <w:rPr>
                <w:sz w:val="20"/>
                <w:szCs w:val="20"/>
                <w:color w:val="auto"/>
              </w:rPr>
            </w:pPr>
            <w:r>
              <w:rPr>
                <w:rFonts w:ascii="Arial" w:cs="Arial" w:eastAsia="Arial" w:hAnsi="Arial"/>
                <w:sz w:val="16"/>
                <w:szCs w:val="16"/>
                <w:i w:val="1"/>
                <w:iCs w:val="1"/>
                <w:color w:val="auto"/>
              </w:rPr>
              <w:t>Marine</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9"/>
          </w:tcPr>
          <w:p>
            <w:pPr>
              <w:spacing w:after="0"/>
              <w:rPr>
                <w:sz w:val="20"/>
                <w:szCs w:val="20"/>
                <w:color w:val="auto"/>
              </w:rPr>
            </w:pPr>
            <w:r>
              <w:rPr>
                <w:rFonts w:ascii="Arial" w:cs="Arial" w:eastAsia="Arial" w:hAnsi="Arial"/>
                <w:sz w:val="16"/>
                <w:szCs w:val="16"/>
                <w:color w:val="auto"/>
              </w:rPr>
              <w:t>The following is an analysis of key changes in our Marine segment for Fiscal 2022 and 2021: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thousands, except ASP and units)</w:t>
            </w:r>
          </w:p>
        </w:tc>
        <w:tc>
          <w:tcPr>
            <w:tcW w:w="140" w:type="dxa"/>
            <w:vAlign w:val="bottom"/>
          </w:tcPr>
          <w:p>
            <w:pPr>
              <w:spacing w:after="0"/>
              <w:rPr>
                <w:sz w:val="21"/>
                <w:szCs w:val="21"/>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1"/>
                <w:szCs w:val="21"/>
                <w:color w:val="auto"/>
              </w:rPr>
            </w:pPr>
          </w:p>
        </w:tc>
        <w:tc>
          <w:tcPr>
            <w:tcW w:w="14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 of Revenues</w:t>
            </w: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1"/>
                <w:szCs w:val="21"/>
                <w:color w:val="auto"/>
              </w:rPr>
            </w:pPr>
          </w:p>
        </w:tc>
        <w:tc>
          <w:tcPr>
            <w:tcW w:w="14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 of Revenues</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425,269</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60,209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365,060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606.3 %</w:t>
            </w:r>
          </w:p>
        </w:tc>
        <w:tc>
          <w:tcPr>
            <w:tcW w:w="0" w:type="dxa"/>
            <w:vAlign w:val="bottom"/>
          </w:tcPr>
          <w:p>
            <w:pPr>
              <w:spacing w:after="0"/>
              <w:rPr>
                <w:sz w:val="1"/>
                <w:szCs w:val="1"/>
                <w:color w:val="auto"/>
              </w:rPr>
            </w:pP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60,831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55,654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1,075.0 %</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480" w:type="dxa"/>
            <w:vAlign w:val="bottom"/>
            <w:gridSpan w:val="2"/>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75,023</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202,450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(127,427)</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7"/>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4"/>
        </w:trPr>
        <w:tc>
          <w:tcPr>
            <w:tcW w:w="34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1,823.0 %</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577.0 %</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314,718</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116,926</w:t>
            </w: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169.2 %</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2,867.1 %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260" w:right="180" w:hanging="252"/>
        <w:spacing w:after="0" w:line="209" w:lineRule="auto"/>
        <w:tabs>
          <w:tab w:leader="none" w:pos="305"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revenues and Adjusted EBITDA increased primarily due to the acquisition of Barletta at the beginning of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total operations for Fiscal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4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center"/>
              <w:ind w:left="599"/>
              <w:spacing w:after="0"/>
              <w:rPr>
                <w:sz w:val="20"/>
                <w:szCs w:val="20"/>
                <w:color w:val="auto"/>
              </w:rPr>
            </w:pPr>
            <w:r>
              <w:rPr>
                <w:rFonts w:ascii="Arial" w:cs="Arial" w:eastAsia="Arial" w:hAnsi="Arial"/>
                <w:sz w:val="16"/>
                <w:szCs w:val="16"/>
                <w:color w:val="auto"/>
              </w:rPr>
              <w:t>400,622</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237,279</w:t>
            </w:r>
          </w:p>
        </w:tc>
      </w:tr>
      <w:tr>
        <w:trPr>
          <w:trHeight w:val="217"/>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9"/>
              </w:rPr>
              <w:t>(315,670)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(33,009)</w:t>
            </w:r>
          </w:p>
        </w:tc>
      </w:tr>
      <w:tr>
        <w:trPr>
          <w:trHeight w:val="215"/>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w w:val="99"/>
              </w:rPr>
              <w:t>(237,343)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(62,282)</w:t>
            </w:r>
          </w:p>
        </w:tc>
      </w:tr>
      <w:tr>
        <w:trPr>
          <w:trHeight w:val="235"/>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(decrease) increase in cash and cash equivalents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99"/>
              </w:rPr>
              <w:t>(152,391)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141,988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11"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Cash provided by operating activities increased in Fiscal 2022 compared to Fiscal 2021 due to higher profitability, a $36.6 million increase in accrued expenses and other liabilities, and a $27.2 million increase in accounts payable to support the growth in the business, partially offset by a $171.3 million increase in inventory to support operational activities during a period impacted by continued supply chain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used in investing activities increased in Fiscal 2022 compared to Fiscal 2021 primarily due to our acquisition of Barletta during the first quarter of Fiscal 2022.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increased in Fiscal 2022 compared to Fiscal 2021 primarily due to an increase in stock repurchases in Fiscal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and Capital</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maintain an ABL Credit Facility subject to certain factors which may accelerate the maturity date. On July 15, 2022, our ABL Credit Facility was amended and restated to, among other things, increase the commitments thereunder to $350.0 million, from $192.5 million, and extend the maturity date to July 15, 2027 from October 22, 2024. As of August 27, 2022, we had $282.2 million in cash and cash equivalents and no borrowings against the ABL Credit Facility. We continue to evaluate the financial stability of the counterparties and counterparty risk for the Convertible Notes, the Senior Secured Notes, and the ABL Credit Facility.</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July 8, 2020, we closed our private offering (the "Senior Secured Notes Offering") of $300.0 million in aggregate principal amount of 6.25% Senior Secured Notes due 2028 (the "Senior Secured Notes"). Refer to Note 9 in the Notes to Consolidated Financial Statements, included in Item 8 of Part II in this Annual Report on Form 10-K for additional details.</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which were used to partially fund the Newmar acquisition. Refer to Note 9 in the Notes to Consolidated Financial Statements, included in Item 8 of Part II in this Annual Report on Form 10-K for additional details.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 balances consist of high quality, short-term money market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Financial Measures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as of August 27, 2022 and August 28, 2021 was $571.7 million and $651.6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anticipate capital expenditures in Fiscal 2023 of approximately $75.0 million to $100.0 million. We will continue to support organic growth through capacity expansion in our facilities and make capital improvements as necessary. We believe cash on hand, funds generated from operations, and the borrowing capacity available under our ABL Credit Facility and other debt instruments will be sufficient to support our capital expenditures for the foreseeable future.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 and Dividends</w:t>
      </w:r>
    </w:p>
    <w:p>
      <w:pPr>
        <w:spacing w:after="0" w:line="12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industries we compete in, and then return excess cash over time to shareholders through dividends and share repurchases. Refer to Item 5 of Part II of this Annual Report on Form 10-K for discussion about our share repurchase program and dividend declared on August 17,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Our cash requirements within the next twelve months include accounts payable, accrued expenses, purchase commitments and other current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cash requirements greater than twelve months from various contractual obligations and commitments include: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 and Interest Payments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 to Note 9 in the Notes to Consolidated Financial Statements, included in Item 8 of Part II in this Annual Report on Form 10-K for further detail of our debt and the timing of expected future principal and interest payments. Interest payments are based on fixed interest rates for the Senior Secured Notes and Convertible Notes.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and Finance Leases</w:t>
      </w:r>
    </w:p>
    <w:p>
      <w:pPr>
        <w:spacing w:after="0" w:line="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Refer to Note 10 in the Notes to Consolidated Financial Statements, included in Item 8 of Part II in this Annual Report on Form 10-K for further detail of our lease obligations and the timing of expected future payments.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 Obligations</w:t>
      </w:r>
    </w:p>
    <w:p>
      <w:pPr>
        <w:spacing w:after="0" w:line="11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Refer to Note 11 in the Notes to Consolidated Financial Statements, included in Item 8 of Part II in this Annual Report on Form 10-K for further detail of our deferred compensation plans. We expect to pay $2.6 million in the next 12 months and $8.1 million beyond 12 months.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Contracted Services</w:t>
      </w:r>
    </w:p>
    <w:p>
      <w:pPr>
        <w:spacing w:after="0" w:line="9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Contracted services include agreements with third-party service providers for software, payroll services, equipment maintenance services, and audits for periods up to Fiscal 2025. We expect to pay $7.0 million beyond 12 months.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Repurchase Obligations</w:t>
      </w:r>
    </w:p>
    <w:p>
      <w:pPr>
        <w:spacing w:after="0" w:line="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Refer to Note 12 in the Notes to Consolidated Financial Statements, included in Item 8 of Part II in this Annual Report on Form 10-K for further detail of our contingent repurchase commitment and estimated obligation, most of which we expect to expire within one year.</w:t>
      </w:r>
    </w:p>
    <w:p>
      <w:pPr>
        <w:spacing w:after="0" w:line="16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expect to satisfy our short-term and long-term obligations through a combination of cash on hand, funds generated from operations, and the borrowing capacity available under our ABL Credit Facility and other debt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the consolidated financial statements are prepared. Because future events and their effects cannot be determined with certainty, actual results could differ from our assumptions and estimates, and such differences could be material.</w:t>
      </w:r>
    </w:p>
    <w:p>
      <w:pPr>
        <w:spacing w:after="0" w:line="20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Our significant accounting policies are discussed in Note 1 in the Notes to Consolidated Financial Statements, included in Item 8 of Part II in this Annual Report on Form 10-K. We believe that the following accounting policies and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policies and estimates and related disclosures with the Audit Committee of our Board of Directors.</w:t>
      </w:r>
    </w:p>
    <w:p>
      <w:pPr>
        <w:spacing w:after="0" w:line="19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have not made any material changes during the past three fiscal years, nor do we believe there is a reasonable likelihood of a material future change to the accounting methodologies for the areas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Business Combinations</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flows, discount rates, royalty rates and asset lives, among other items.</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fair value of the trade names.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Indefinite-lived Intangible Assets</w:t>
      </w:r>
    </w:p>
    <w:p>
      <w:pPr>
        <w:spacing w:after="0" w:line="12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test goodwill and indefinite-lived intangible assets (trade names)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212" w:lineRule="exact"/>
        <w:rPr>
          <w:sz w:val="20"/>
          <w:szCs w:val="20"/>
          <w:color w:val="auto"/>
        </w:rPr>
      </w:pPr>
    </w:p>
    <w:p>
      <w:pPr>
        <w:ind w:left="660" w:right="4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Qualitative evaluation - Performed to determine whether it is more likely than not that the carrying value of goodwill or the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goodwill exceeds the fair value of goodwill, we perform the quantitative test to determine the amount of the impairment.</w:t>
      </w:r>
    </w:p>
    <w:p>
      <w:pPr>
        <w:spacing w:after="0" w:line="218" w:lineRule="exact"/>
        <w:rPr>
          <w:rFonts w:ascii="Arial" w:cs="Arial" w:eastAsia="Arial" w:hAnsi="Arial"/>
          <w:sz w:val="16"/>
          <w:szCs w:val="16"/>
          <w:color w:val="auto"/>
        </w:rPr>
      </w:pPr>
    </w:p>
    <w:p>
      <w:pPr>
        <w:ind w:left="660" w:hanging="328"/>
        <w:spacing w:after="0" w:line="259"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Quantitative test - Used to calculate the fair value of goodwill or the trade name. If the carrying value of the reporting unit or trade name exceeds the fair value,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w:t>
      </w:r>
    </w:p>
    <w:p>
      <w:pPr>
        <w:spacing w:after="0" w:line="200" w:lineRule="exact"/>
        <w:rPr>
          <w:sz w:val="20"/>
          <w:szCs w:val="20"/>
          <w:color w:val="auto"/>
        </w:rPr>
      </w:pP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Actual results may differ from assumed and estimated amounts. No impairments were recorded in Fiscal 2022, 2021, and 2020. For further information regarding goodwill and intangible assets, see Note 7 in the Notes to Consolidated Financial Statements, included in Item 8 of Part II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11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We provide certain service and warranty on our products. Estimated costs related to product warranty are accrued at the time of sale and are based upon past warranty claims and unit sales history. Estimates are adjusted as needed to reflect actual costs incurred as information becomes available.</w:t>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27, 2022 would not have a material effect on our net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a summary of new applicable accounting pronouncements, see Note 1 in the Notes to Consolidated Financial Statements, included in Item 8 of Part II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6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August 27, 2022, we have no interest rate swaps outstanding. The ABL Credit Facility is our only floating rate debt instrument, which remains undrawn as of August 27, 2022.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81" w:lineRule="exact"/>
        <w:rPr>
          <w:sz w:val="20"/>
          <w:szCs w:val="20"/>
          <w:color w:val="auto"/>
        </w:rPr>
      </w:pPr>
    </w:p>
    <w:p>
      <w:pPr>
        <w:ind w:left="660" w:right="380" w:hanging="328"/>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15" w:lineRule="exact"/>
        <w:rPr>
          <w:rFonts w:ascii="Arial" w:cs="Arial" w:eastAsia="Arial" w:hAnsi="Arial"/>
          <w:sz w:val="16"/>
          <w:szCs w:val="16"/>
          <w:color w:val="auto"/>
        </w:rPr>
      </w:pPr>
    </w:p>
    <w:p>
      <w:pPr>
        <w:ind w:left="660" w:right="640" w:hanging="328"/>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30" w:lineRule="exact"/>
        <w:rPr>
          <w:rFonts w:ascii="Arial" w:cs="Arial" w:eastAsia="Arial" w:hAnsi="Arial"/>
          <w:sz w:val="16"/>
          <w:szCs w:val="16"/>
          <w:color w:val="auto"/>
        </w:rPr>
      </w:pPr>
    </w:p>
    <w:p>
      <w:pPr>
        <w:ind w:left="660" w:right="80" w:hanging="328"/>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0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24" w:lineRule="exact"/>
        <w:rPr>
          <w:sz w:val="20"/>
          <w:szCs w:val="20"/>
          <w:color w:val="auto"/>
        </w:rPr>
      </w:pPr>
    </w:p>
    <w:p>
      <w:pPr>
        <w:ind w:right="6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Based on its assessment, management has concluded that the Company's internal control over financial reporting was effective as of August 27, 2022.</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60" w:type="dxa"/>
            <w:vAlign w:val="bottom"/>
            <w:gridSpan w:val="2"/>
          </w:tcPr>
          <w:p>
            <w:pPr>
              <w:ind w:left="20"/>
              <w:spacing w:after="0"/>
              <w:rPr>
                <w:sz w:val="20"/>
                <w:szCs w:val="20"/>
                <w:color w:val="auto"/>
              </w:rPr>
            </w:pPr>
            <w:r>
              <w:rPr>
                <w:rFonts w:ascii="Arial" w:cs="Arial" w:eastAsia="Arial" w:hAnsi="Arial"/>
                <w:sz w:val="16"/>
                <w:szCs w:val="16"/>
                <w:i w:val="1"/>
                <w:iCs w:val="1"/>
                <w:color w:val="auto"/>
              </w:rPr>
              <w:t>/s/ Michael J. Happe</w:t>
            </w:r>
          </w:p>
        </w:tc>
        <w:tc>
          <w:tcPr>
            <w:tcW w:w="4980" w:type="dxa"/>
            <w:vAlign w:val="bottom"/>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09"/>
        </w:trPr>
        <w:tc>
          <w:tcPr>
            <w:tcW w:w="4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c>
          <w:tcPr>
            <w:tcW w:w="1480" w:type="dxa"/>
            <w:vAlign w:val="bottom"/>
          </w:tcPr>
          <w:p>
            <w:pPr>
              <w:spacing w:after="0"/>
              <w:rPr>
                <w:sz w:val="18"/>
                <w:szCs w:val="18"/>
                <w:color w:val="auto"/>
              </w:rPr>
            </w:pPr>
          </w:p>
        </w:tc>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President, Chief Executive Officer</w:t>
            </w:r>
          </w:p>
        </w:tc>
        <w:tc>
          <w:tcPr>
            <w:tcW w:w="4980" w:type="dxa"/>
            <w:vAlign w:val="bottom"/>
          </w:tcPr>
          <w:p>
            <w:pPr>
              <w:ind w:left="20"/>
              <w:spacing w:after="0"/>
              <w:rPr>
                <w:sz w:val="20"/>
                <w:szCs w:val="20"/>
                <w:color w:val="auto"/>
              </w:rPr>
            </w:pPr>
            <w:r>
              <w:rPr>
                <w:rFonts w:ascii="Arial" w:cs="Arial" w:eastAsia="Arial" w:hAnsi="Arial"/>
                <w:sz w:val="16"/>
                <w:szCs w:val="16"/>
                <w:color w:val="auto"/>
              </w:rPr>
              <w:t>Senior Vice President, Chief Financial Officer</w:t>
            </w:r>
          </w:p>
        </w:tc>
      </w:tr>
      <w:tr>
        <w:trPr>
          <w:trHeight w:val="432"/>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October 19, 2022</w:t>
            </w:r>
          </w:p>
        </w:tc>
        <w:tc>
          <w:tcPr>
            <w:tcW w:w="4980" w:type="dxa"/>
            <w:vAlign w:val="bottom"/>
          </w:tcPr>
          <w:p>
            <w:pPr>
              <w:ind w:left="20"/>
              <w:spacing w:after="0"/>
              <w:rPr>
                <w:sz w:val="20"/>
                <w:szCs w:val="20"/>
                <w:color w:val="auto"/>
              </w:rPr>
            </w:pPr>
            <w:r>
              <w:rPr>
                <w:rFonts w:ascii="Arial" w:cs="Arial" w:eastAsia="Arial" w:hAnsi="Arial"/>
                <w:sz w:val="16"/>
                <w:szCs w:val="16"/>
                <w:color w:val="auto"/>
              </w:rPr>
              <w:t>October 19,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Winnebago Industries,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0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27, 2022, and August 28, 2021, the related consolidated statements of income and comprehensive income, changes in shareholders' equity, and cash flows, for each of the three years in the period ended August 27, 2022, and the related notes (collectively referred to as the "financial statements"). In our opinion, the financial statements present fairly, in all material respects, the financial position of the Company as of August 27, 2022, and August 28, 2021, and the results of its operations and its cash flows for each of the three years in the period ended August 27, 2022, in conformity with accounting principles generally accepted in the United States of America.</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August 27,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October 19, 2022, expressed an unqualified opinion on the Company's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3"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21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13"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Warranties – Grand Design – Refer to Note 8 to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1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 provides certain service and warranty on its products. Estimated costs related to product warranty are accrued at month-end based upon historical warranty claims and unit sales history. Estimates are adjusted as needed to reflect actual costs incurred as information becomes available. Grand Design RV, LLC (“Grand Design”) was founded in 2013 and acquired by the Company in November 2016 and makes up the majority of the Company’s $128 million product warranty accrual as of August 27, 2022.</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identified the product warranty accrual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paid, specifically due to Grand Design’s significant growth since inception, introduction of new product lines, relatively short history of warranty claims paid from which to develop product warranty estimates, and their direct connection to management’s incentive plans.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product warranty for the Grand Design component included the following, among others:</w:t>
      </w:r>
    </w:p>
    <w:p>
      <w:pPr>
        <w:spacing w:after="0" w:line="248" w:lineRule="exact"/>
        <w:rPr>
          <w:sz w:val="20"/>
          <w:szCs w:val="20"/>
          <w:color w:val="auto"/>
        </w:rPr>
      </w:pPr>
    </w:p>
    <w:p>
      <w:pPr>
        <w:ind w:left="660" w:right="80" w:hanging="328"/>
        <w:spacing w:after="0" w:line="24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evaluated the operating effectiveness of controls over management’s estimation of the product warranty accrual, including those over historical product warranty claim data and projected future product warranty claims.</w:t>
      </w:r>
    </w:p>
    <w:p>
      <w:pPr>
        <w:ind w:left="660" w:right="72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evaluated the accuracy and relevance of the historical product warranty claims as an input to management’s product warranty accrual calculation.</w:t>
      </w:r>
    </w:p>
    <w:p>
      <w:pPr>
        <w:spacing w:after="0" w:line="1" w:lineRule="exact"/>
        <w:rPr>
          <w:rFonts w:ascii="Arial" w:cs="Arial" w:eastAsia="Arial" w:hAnsi="Arial"/>
          <w:sz w:val="16"/>
          <w:szCs w:val="16"/>
          <w:color w:val="auto"/>
        </w:rPr>
      </w:pPr>
    </w:p>
    <w:p>
      <w:pPr>
        <w:jc w:val="both"/>
        <w:ind w:left="660" w:right="80" w:hanging="328"/>
        <w:spacing w:after="0"/>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w:t>
      </w:r>
    </w:p>
    <w:p>
      <w:pPr>
        <w:spacing w:after="0" w:line="1" w:lineRule="exact"/>
        <w:rPr>
          <w:rFonts w:ascii="Arial" w:cs="Arial" w:eastAsia="Arial" w:hAnsi="Arial"/>
          <w:sz w:val="16"/>
          <w:szCs w:val="16"/>
          <w:color w:val="auto"/>
        </w:rPr>
      </w:pPr>
    </w:p>
    <w:p>
      <w:pPr>
        <w:ind w:left="660" w:right="360" w:hanging="328"/>
        <w:spacing w:after="0" w:line="24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evaluated management’s ability to accurately estimate the warranty accrual by comparing the product warranty accrual in prior years to the actual product warranty claims paid in subsequent years.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60" w:hanging="328"/>
        <w:spacing w:after="0" w:line="268"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assessed management’s methodology and tested the valuation of the product warranty accrual by developing an expectation for the accrual based on the historical amounts recorded as a percentage of sales and compared our expectation to the amount recorded by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 – Valuation of Barletta Boat Company, LLC – Refer to Note 2 to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9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 August 31, 2022, the Company completed the acquisition of 100% of Barletta Boat Company, LLC and Three Limes, LLC (collectively, “Barletta”) for consideration paid of $286.3 million. Under the acquisition method of accounting for business combinations, the purchase price was allocated to the assets acquired and liabilities assumed based on their respective fair values at the date of acquisition, including a trade name of $77 million, a dealer network of $20.4 million and contingent consideration of $24.2 million.</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fair value of the trade name was estimated using the relief-from-royalty method and required management to make significant estimates and assumptions related to future revenues and the selection of the royalty rate and discount rate. The fair value of the dealer network was estimated using the cost saving method and required management to make significant estimates and assumptions related to future cash flows and the selection of the discount rate. The fair value of the contingent consideration was valued using a probability-weighted scenario analysis of projected EBITDA and gross profit using a discount rate and required management to make significant assumptions related to the unobservable inputs and financial projections.</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identified the acquisition valuation of the indefinite-lived intangible assets and contingent consideration for Barletta as a critical audit matter because of the significant estimates and assumptions management made to the fair value of these assets and liabilities. This required a high degree of auditor judgment and an increased extent of effort, including the need to involve our fair value specialists, when performing audit procedures to evaluate the reasonableness of management’s valuation 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46" w:lineRule="exact"/>
        <w:rPr>
          <w:sz w:val="20"/>
          <w:szCs w:val="20"/>
          <w:color w:val="auto"/>
        </w:rPr>
      </w:pPr>
    </w:p>
    <w:p>
      <w:pPr>
        <w:ind w:right="520"/>
        <w:spacing w:after="0" w:line="251" w:lineRule="auto"/>
        <w:rPr>
          <w:sz w:val="20"/>
          <w:szCs w:val="20"/>
          <w:color w:val="auto"/>
        </w:rPr>
      </w:pPr>
      <w:r>
        <w:rPr>
          <w:rFonts w:ascii="Arial" w:cs="Arial" w:eastAsia="Arial" w:hAnsi="Arial"/>
          <w:sz w:val="16"/>
          <w:szCs w:val="16"/>
          <w:color w:val="auto"/>
        </w:rPr>
        <w:t>Our audit procedures related to the acquisition valuation of the indefinite-lived intangible assets and contingent consideration for Barletta included the following, among others:</w:t>
      </w:r>
    </w:p>
    <w:p>
      <w:pPr>
        <w:spacing w:after="0" w:line="182" w:lineRule="exact"/>
        <w:rPr>
          <w:sz w:val="20"/>
          <w:szCs w:val="20"/>
          <w:color w:val="auto"/>
        </w:rPr>
      </w:pPr>
    </w:p>
    <w:p>
      <w:pPr>
        <w:jc w:val="both"/>
        <w:ind w:left="660" w:right="100" w:hanging="328"/>
        <w:spacing w:after="0" w:line="241"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evaluated the design and operating effectiveness of controls over the valuation of the acquired intangible assets and contingent consideration, including management’s controls over forecasts of future revenues, gross profit and cash flows as well as the selection of the associated discount rates and royalty rate.</w:t>
      </w:r>
    </w:p>
    <w:p>
      <w:pPr>
        <w:spacing w:after="0" w:line="1" w:lineRule="exact"/>
        <w:rPr>
          <w:rFonts w:ascii="Arial" w:cs="Arial" w:eastAsia="Arial" w:hAnsi="Arial"/>
          <w:sz w:val="16"/>
          <w:szCs w:val="16"/>
          <w:color w:val="auto"/>
        </w:rPr>
      </w:pPr>
    </w:p>
    <w:p>
      <w:pPr>
        <w:ind w:left="660" w:right="720" w:hanging="328"/>
        <w:spacing w:after="0" w:line="237"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assessed the reasonableness of management’s forecast of future revenues, gross profit and cash flows by comparing the Company’s projections to historical results for Barletta and projected industry growth rates.</w:t>
      </w:r>
    </w:p>
    <w:p>
      <w:pPr>
        <w:spacing w:after="0" w:line="1" w:lineRule="exact"/>
        <w:rPr>
          <w:rFonts w:ascii="Arial" w:cs="Arial" w:eastAsia="Arial" w:hAnsi="Arial"/>
          <w:sz w:val="16"/>
          <w:szCs w:val="16"/>
          <w:color w:val="auto"/>
        </w:rPr>
      </w:pPr>
    </w:p>
    <w:p>
      <w:pPr>
        <w:ind w:left="660" w:right="820" w:hanging="328"/>
        <w:spacing w:after="0" w:line="237"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(1) valuation methodology and (2) the valuation assumptions used in the fair value analysis by:</w:t>
      </w:r>
    </w:p>
    <w:p>
      <w:pPr>
        <w:spacing w:after="0" w:line="1" w:lineRule="exact"/>
        <w:rPr>
          <w:rFonts w:ascii="Arial" w:cs="Arial" w:eastAsia="Arial" w:hAnsi="Arial"/>
          <w:sz w:val="16"/>
          <w:szCs w:val="16"/>
          <w:color w:val="auto"/>
        </w:rPr>
      </w:pPr>
    </w:p>
    <w:p>
      <w:pPr>
        <w:ind w:left="1300" w:hanging="320"/>
        <w:spacing w:after="0" w:line="228"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Testing the source information underlying the determination of the discount and royalty rates.</w:t>
      </w:r>
    </w:p>
    <w:p>
      <w:pPr>
        <w:ind w:left="1300" w:hanging="320"/>
        <w:spacing w:after="0"/>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Comparing the selected royalty rate to market data for comparable rates.</w:t>
      </w:r>
    </w:p>
    <w:p>
      <w:pPr>
        <w:spacing w:after="0" w:line="5" w:lineRule="exact"/>
        <w:rPr>
          <w:rFonts w:ascii="Arial" w:cs="Arial" w:eastAsia="Arial" w:hAnsi="Arial"/>
          <w:sz w:val="16"/>
          <w:szCs w:val="16"/>
          <w:color w:val="auto"/>
        </w:rPr>
      </w:pPr>
    </w:p>
    <w:p>
      <w:pPr>
        <w:ind w:left="1300" w:hanging="320"/>
        <w:spacing w:after="0" w:line="228"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Testing the mathematical accuracy of the calculation of the discount and royalty rates.</w:t>
      </w:r>
    </w:p>
    <w:p>
      <w:pPr>
        <w:ind w:left="1300" w:hanging="320"/>
        <w:spacing w:after="0"/>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Developing a range of independent estimates for the discount rates and comparing those to the discount rates selected by management.</w:t>
      </w:r>
    </w:p>
    <w:p>
      <w:pPr>
        <w:spacing w:after="0" w:line="5" w:lineRule="exact"/>
        <w:rPr>
          <w:rFonts w:ascii="Arial" w:cs="Arial" w:eastAsia="Arial" w:hAnsi="Arial"/>
          <w:sz w:val="16"/>
          <w:szCs w:val="16"/>
          <w:color w:val="auto"/>
        </w:rPr>
      </w:pPr>
    </w:p>
    <w:p>
      <w:pPr>
        <w:ind w:left="1300" w:right="380" w:hanging="320"/>
        <w:spacing w:after="0" w:line="247"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Evaluating the reasonableness of the inputs used in the contingent consideration valuation, and other key judgments made by management as well as independently running the probability-weighted scenario analysis to calculate an independent estimate of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19, 2022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fiscal 1986.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Winnebago Industries, Inc.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5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27,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August 27,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August 27, 2022, of the Company and our report dated October 19, 2022, expressed an unqualified opinion on those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8"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19,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58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03"/>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5"/>
        </w:trPr>
        <w:tc>
          <w:tcPr>
            <w:tcW w:w="5820" w:type="dxa"/>
            <w:vAlign w:val="bottom"/>
            <w:gridSpan w:val="2"/>
          </w:tcPr>
          <w:p>
            <w:pPr>
              <w:spacing w:after="0"/>
              <w:rPr>
                <w:sz w:val="20"/>
                <w:szCs w:val="20"/>
                <w:color w:val="auto"/>
              </w:rPr>
            </w:pPr>
            <w:r>
              <w:rPr>
                <w:rFonts w:ascii="Arial" w:cs="Arial" w:eastAsia="Arial" w:hAnsi="Arial"/>
                <w:sz w:val="16"/>
                <w:szCs w:val="16"/>
                <w:color w:val="auto"/>
              </w:rPr>
              <w:t>(in thousands, except per share data)</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For the fiscal year ended</w:t>
            </w: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0"/>
        </w:trPr>
        <w:tc>
          <w:tcPr>
            <w:tcW w:w="5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4,957,730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2,355,533</w:t>
            </w:r>
          </w:p>
        </w:tc>
      </w:tr>
      <w:tr>
        <w:trPr>
          <w:trHeight w:val="215"/>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4,028,393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2,979,484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2,042,605</w:t>
            </w: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312,928</w:t>
            </w:r>
          </w:p>
        </w:tc>
      </w:tr>
      <w:tr>
        <w:trPr>
          <w:trHeight w:val="20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316,420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228,581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177,061</w:t>
            </w:r>
          </w:p>
        </w:tc>
      </w:tr>
      <w:tr>
        <w:trPr>
          <w:trHeight w:val="217"/>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r>
      <w:tr>
        <w:trPr>
          <w:trHeight w:val="209"/>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w:t>
            </w: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113,763</w:t>
            </w:r>
          </w:p>
        </w:tc>
      </w:tr>
      <w:tr>
        <w:trPr>
          <w:trHeight w:val="215"/>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37,461</w:t>
            </w:r>
          </w:p>
        </w:tc>
      </w:tr>
      <w:tr>
        <w:trPr>
          <w:trHeight w:val="217"/>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0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514,722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367,450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77,276</w:t>
            </w: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r>
      <w:tr>
        <w:trPr>
          <w:trHeight w:val="210"/>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61,442</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5"/>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582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57"/>
        </w:trPr>
        <w:tc>
          <w:tcPr>
            <w:tcW w:w="582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15"/>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33,236</w:t>
            </w:r>
          </w:p>
        </w:tc>
      </w:tr>
      <w:tr>
        <w:trPr>
          <w:trHeight w:val="215"/>
        </w:trPr>
        <w:tc>
          <w:tcPr>
            <w:tcW w:w="582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33,454</w:t>
            </w:r>
          </w:p>
        </w:tc>
      </w:tr>
      <w:tr>
        <w:trPr>
          <w:trHeight w:val="257"/>
        </w:trPr>
        <w:tc>
          <w:tcPr>
            <w:tcW w:w="582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15"/>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61,442</w:t>
            </w:r>
          </w:p>
        </w:tc>
      </w:tr>
      <w:tr>
        <w:trPr>
          <w:trHeight w:val="217"/>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5820" w:type="dxa"/>
            <w:vAlign w:val="bottom"/>
            <w:gridSpan w:val="2"/>
          </w:tcPr>
          <w:p>
            <w:pPr>
              <w:ind w:left="220"/>
              <w:spacing w:after="0"/>
              <w:rPr>
                <w:sz w:val="20"/>
                <w:szCs w:val="20"/>
                <w:color w:val="auto"/>
              </w:rPr>
            </w:pPr>
            <w:r>
              <w:rPr>
                <w:rFonts w:ascii="Arial" w:cs="Arial" w:eastAsia="Arial" w:hAnsi="Arial"/>
                <w:sz w:val="16"/>
                <w:szCs w:val="16"/>
                <w:color w:val="auto"/>
              </w:rPr>
              <w:t>Amortization of net actuarial loss (net of tax of $12, $12, and $12)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rate swap activity (net of tax of $0, $0, and $22)</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58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5"/>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61,407</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76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03"/>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5"/>
        </w:trPr>
        <w:tc>
          <w:tcPr>
            <w:tcW w:w="7640" w:type="dxa"/>
            <w:vAlign w:val="bottom"/>
            <w:gridSpan w:val="2"/>
          </w:tcPr>
          <w:p>
            <w:pPr>
              <w:spacing w:after="0"/>
              <w:rPr>
                <w:sz w:val="20"/>
                <w:szCs w:val="20"/>
                <w:color w:val="auto"/>
              </w:rPr>
            </w:pPr>
            <w:r>
              <w:rPr>
                <w:rFonts w:ascii="Arial" w:cs="Arial" w:eastAsia="Arial" w:hAnsi="Arial"/>
                <w:sz w:val="16"/>
                <w:szCs w:val="16"/>
                <w:color w:val="auto"/>
              </w:rPr>
              <w:t>(in thousands, except per share data)</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1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r>
      <w:tr>
        <w:trPr>
          <w:trHeight w:val="210"/>
        </w:trPr>
        <w:tc>
          <w:tcPr>
            <w:tcW w:w="7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Receivables, less allowance for doubtful accounts ($567 and $307, respectively)</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254,124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253,808</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r>
      <w:tr>
        <w:trPr>
          <w:trHeight w:val="215"/>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r>
      <w:tr>
        <w:trPr>
          <w:trHeight w:val="210"/>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1,093,815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1,058,913</w:t>
            </w:r>
          </w:p>
        </w:tc>
      </w:tr>
      <w:tr>
        <w:trPr>
          <w:trHeight w:val="209"/>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276,219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191,427</w:t>
            </w:r>
          </w:p>
        </w:tc>
      </w:tr>
      <w:tr>
        <w:trPr>
          <w:trHeight w:val="21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472,388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390,407</w:t>
            </w:r>
          </w:p>
        </w:tc>
      </w:tr>
      <w:tr>
        <w:trPr>
          <w:trHeight w:val="21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1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28,379</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2,416,657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217,458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180,030</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67,541</w:t>
            </w:r>
          </w:p>
        </w:tc>
      </w:tr>
      <w:tr>
        <w:trPr>
          <w:trHeight w:val="215"/>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127,932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91,222</w:t>
            </w:r>
          </w:p>
        </w:tc>
      </w:tr>
      <w:tr>
        <w:trPr>
          <w:trHeight w:val="217"/>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19,296</w:t>
            </w:r>
          </w:p>
        </w:tc>
      </w:tr>
      <w:tr>
        <w:trPr>
          <w:trHeight w:val="215"/>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10,040</w:t>
            </w:r>
          </w:p>
        </w:tc>
      </w:tr>
      <w:tr>
        <w:trPr>
          <w:trHeight w:val="217"/>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interest and dividends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w:t>
            </w:r>
          </w:p>
        </w:tc>
      </w:tr>
      <w:tr>
        <w:trPr>
          <w:trHeight w:val="215"/>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20,384</w:t>
            </w:r>
          </w:p>
        </w:tc>
      </w:tr>
      <w:tr>
        <w:trPr>
          <w:trHeight w:val="210"/>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r>
      <w:tr>
        <w:trPr>
          <w:trHeight w:val="21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13,429</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26,745</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r>
      <w:tr>
        <w:trPr>
          <w:trHeight w:val="215"/>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13,582</w:t>
            </w:r>
          </w:p>
        </w:tc>
      </w:tr>
      <w:tr>
        <w:trPr>
          <w:trHeight w:val="210"/>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1,153,650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1,005,624</w:t>
            </w:r>
          </w:p>
        </w:tc>
      </w:tr>
      <w:tr>
        <w:trPr>
          <w:trHeight w:val="19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Contingent liabilities and commitments (Note 12)</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Preferred stock, par value $0.01: 10,000 shares authorized; Zero shares issued and outstanding</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par value $0.50: 120,000 shares authorized; 51,776 shares issued</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256,224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218,490</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1,172,996</w:t>
            </w:r>
          </w:p>
        </w:tc>
      </w:tr>
      <w:tr>
        <w:trPr>
          <w:trHeight w:val="215"/>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7"/>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Treasury stock, at cost: 21,464 and 18,713 shares,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(556,182)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(359,940)</w:t>
            </w:r>
          </w:p>
        </w:tc>
      </w:tr>
      <w:tr>
        <w:trPr>
          <w:trHeight w:val="210"/>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1,263,007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1,056,943</w:t>
            </w:r>
          </w:p>
        </w:tc>
      </w:tr>
      <w:tr>
        <w:trPr>
          <w:trHeight w:val="235"/>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2,416,657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58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03"/>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5"/>
        </w:trPr>
        <w:tc>
          <w:tcPr>
            <w:tcW w:w="582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For the fiscal year ended</w:t>
            </w: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0"/>
        </w:trPr>
        <w:tc>
          <w:tcPr>
            <w:tcW w:w="5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61,442</w:t>
            </w:r>
          </w:p>
        </w:tc>
      </w:tr>
      <w:tr>
        <w:trPr>
          <w:trHeight w:val="163"/>
        </w:trPr>
        <w:tc>
          <w:tcPr>
            <w:tcW w:w="5820" w:type="dxa"/>
            <w:vAlign w:val="bottom"/>
            <w:gridSpan w:val="2"/>
            <w:shd w:val="clear" w:color="auto" w:fill="CCEEFF"/>
          </w:tcPr>
          <w:p>
            <w:pPr>
              <w:ind w:left="160"/>
              <w:spacing w:after="0" w:line="163"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216"/>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15,997</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22,104</w:t>
            </w: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15,074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10,727</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w:t>
            </w: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(5,188)</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compensation expense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Receivables,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(25,773)</w:t>
            </w: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(171,292)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(161,663)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105,994</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37,041</w:t>
            </w:r>
          </w:p>
        </w:tc>
      </w:tr>
      <w:tr>
        <w:trPr>
          <w:trHeight w:val="217"/>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w:t>
            </w:r>
          </w:p>
        </w:tc>
      </w:tr>
      <w:tr>
        <w:trPr>
          <w:trHeight w:val="215"/>
        </w:trPr>
        <w:tc>
          <w:tcPr>
            <w:tcW w:w="5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21,646</w:t>
            </w: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400,622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270,434</w:t>
            </w:r>
          </w:p>
        </w:tc>
      </w:tr>
      <w:tr>
        <w:trPr>
          <w:trHeight w:val="236"/>
        </w:trPr>
        <w:tc>
          <w:tcPr>
            <w:tcW w:w="1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(32,377)</w:t>
            </w: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(260,965)</w:t>
            </w: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0"/>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(293,076)</w:t>
            </w:r>
          </w:p>
        </w:tc>
      </w:tr>
      <w:tr>
        <w:trPr>
          <w:trHeight w:val="236"/>
        </w:trPr>
        <w:tc>
          <w:tcPr>
            <w:tcW w:w="126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2,786,824</w:t>
            </w: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(4,735,580)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(3,627,627)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(2,446,824)</w:t>
            </w: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convertible bond hedge</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warrants</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42,210</w:t>
            </w: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r>
      <w:tr>
        <w:trPr>
          <w:trHeight w:val="215"/>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(214,275)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(47,589)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(1,844)</w:t>
            </w: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(18,030)</w:t>
            </w:r>
          </w:p>
        </w:tc>
      </w:tr>
      <w:tr>
        <w:trPr>
          <w:trHeight w:val="215"/>
        </w:trPr>
        <w:tc>
          <w:tcPr>
            <w:tcW w:w="5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277,786</w:t>
            </w:r>
          </w:p>
        </w:tc>
      </w:tr>
      <w:tr>
        <w:trPr>
          <w:trHeight w:val="237"/>
        </w:trPr>
        <w:tc>
          <w:tcPr>
            <w:tcW w:w="1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(decrease)/increase in cash and cash equivalents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255,144</w:t>
            </w:r>
          </w:p>
        </w:tc>
      </w:tr>
      <w:tr>
        <w:trPr>
          <w:trHeight w:val="215"/>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35"/>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51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55"/>
        </w:trPr>
        <w:tc>
          <w:tcPr>
            <w:tcW w:w="1260" w:type="dxa"/>
            <w:vAlign w:val="bottom"/>
            <w:tcBorders>
              <w:top w:val="single" w:sz="8" w:color="0000FF"/>
            </w:tcBorders>
          </w:tcPr>
          <w:p>
            <w:pPr>
              <w:spacing w:after="0"/>
              <w:rPr>
                <w:sz w:val="24"/>
                <w:szCs w:val="24"/>
                <w:color w:val="auto"/>
              </w:rPr>
            </w:pPr>
          </w:p>
        </w:tc>
        <w:tc>
          <w:tcPr>
            <w:tcW w:w="3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2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139,652</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88,698</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3,667</w:t>
            </w:r>
          </w:p>
        </w:tc>
      </w:tr>
      <w:tr>
        <w:trPr>
          <w:trHeight w:val="217"/>
        </w:trPr>
        <w:tc>
          <w:tcPr>
            <w:tcW w:w="5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23,779</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24,119</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17,253</w:t>
            </w:r>
          </w:p>
        </w:tc>
      </w:tr>
      <w:tr>
        <w:trPr>
          <w:trHeight w:val="257"/>
        </w:trPr>
        <w:tc>
          <w:tcPr>
            <w:tcW w:w="5120" w:type="dxa"/>
            <w:vAlign w:val="bottom"/>
            <w:gridSpan w:val="2"/>
          </w:tcPr>
          <w:p>
            <w:pPr>
              <w:spacing w:after="0"/>
              <w:rPr>
                <w:sz w:val="22"/>
                <w:szCs w:val="22"/>
                <w:color w:val="auto"/>
              </w:rPr>
            </w:pPr>
          </w:p>
        </w:tc>
        <w:tc>
          <w:tcPr>
            <w:tcW w:w="1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92,572</w:t>
            </w:r>
          </w:p>
        </w:tc>
      </w:tr>
      <w:tr>
        <w:trPr>
          <w:trHeight w:val="217"/>
        </w:trPr>
        <w:tc>
          <w:tcPr>
            <w:tcW w:w="5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earnout liability</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13,168</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20" w:type="dxa"/>
            <w:vAlign w:val="bottom"/>
            <w:gridSpan w:val="2"/>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13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6,843</w:t>
            </w:r>
          </w:p>
        </w:tc>
        <w:tc>
          <w:tcPr>
            <w:tcW w:w="7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3,760</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5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 not yet paid</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8,816</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6,497</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5"/>
        </w:trPr>
        <w:tc>
          <w:tcPr>
            <w:tcW w:w="5120" w:type="dxa"/>
            <w:vAlign w:val="bottom"/>
            <w:gridSpan w:val="2"/>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 leases</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17,236</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2,626</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r>
      <w:tr>
        <w:trPr>
          <w:trHeight w:val="215"/>
        </w:trPr>
        <w:tc>
          <w:tcPr>
            <w:tcW w:w="5120" w:type="dxa"/>
            <w:vAlign w:val="bottom"/>
            <w:gridSpan w:val="2"/>
          </w:tcPr>
          <w:p>
            <w:pPr>
              <w:ind w:left="260"/>
              <w:spacing w:after="0"/>
              <w:rPr>
                <w:sz w:val="20"/>
                <w:szCs w:val="20"/>
                <w:color w:val="auto"/>
              </w:rPr>
            </w:pPr>
            <w:r>
              <w:rPr>
                <w:rFonts w:ascii="Arial" w:cs="Arial" w:eastAsia="Arial" w:hAnsi="Arial"/>
                <w:sz w:val="16"/>
                <w:szCs w:val="16"/>
                <w:color w:val="auto"/>
              </w:rPr>
              <w:t>Financing leases</w:t>
            </w:r>
          </w:p>
        </w:tc>
        <w:tc>
          <w:tcPr>
            <w:tcW w:w="13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2,528</w:t>
            </w:r>
          </w:p>
        </w:tc>
        <w:tc>
          <w:tcPr>
            <w:tcW w:w="7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5,664</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 share data)</w:t>
      </w:r>
    </w:p>
    <w:p>
      <w:pPr>
        <w:spacing w:after="0" w:line="197"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18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Common Shares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Treasury Stock</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20" w:type="dxa"/>
            <w:vAlign w:val="bottom"/>
            <w:tcBorders>
              <w:bottom w:val="single" w:sz="8" w:color="auto"/>
            </w:tcBorders>
            <w:gridSpan w:val="2"/>
            <w:vMerge w:val="continue"/>
          </w:tcPr>
          <w:p>
            <w:pPr>
              <w:spacing w:after="0"/>
              <w:rPr>
                <w:sz w:val="10"/>
                <w:szCs w:val="10"/>
                <w:color w:val="auto"/>
              </w:rPr>
            </w:pPr>
          </w:p>
        </w:tc>
        <w:tc>
          <w:tcPr>
            <w:tcW w:w="10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Paid-In</w:t>
            </w:r>
          </w:p>
        </w:tc>
        <w:tc>
          <w:tcPr>
            <w:tcW w:w="920" w:type="dxa"/>
            <w:vAlign w:val="bottom"/>
          </w:tcPr>
          <w:p>
            <w:pPr>
              <w:ind w:left="180"/>
              <w:spacing w:after="0" w:line="116" w:lineRule="exact"/>
              <w:rPr>
                <w:sz w:val="20"/>
                <w:szCs w:val="20"/>
                <w:color w:val="auto"/>
              </w:rPr>
            </w:pPr>
            <w:r>
              <w:rPr>
                <w:rFonts w:ascii="Arial" w:cs="Arial" w:eastAsia="Arial" w:hAnsi="Arial"/>
                <w:sz w:val="13"/>
                <w:szCs w:val="13"/>
                <w:b w:val="1"/>
                <w:bCs w:val="1"/>
                <w:color w:val="auto"/>
              </w:rPr>
              <w:t>Retained</w:t>
            </w:r>
          </w:p>
        </w:tc>
        <w:tc>
          <w:tcPr>
            <w:tcW w:w="15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Comprehensive</w:t>
            </w:r>
          </w:p>
        </w:tc>
        <w:tc>
          <w:tcPr>
            <w:tcW w:w="1820" w:type="dxa"/>
            <w:vAlign w:val="bottom"/>
            <w:tcBorders>
              <w:bottom w:val="single" w:sz="8" w:color="auto"/>
            </w:tcBorders>
            <w:gridSpan w:val="2"/>
            <w:vMerge w:val="continue"/>
          </w:tcPr>
          <w:p>
            <w:pPr>
              <w:spacing w:after="0"/>
              <w:rPr>
                <w:sz w:val="10"/>
                <w:szCs w:val="10"/>
                <w:color w:val="auto"/>
              </w:rPr>
            </w:pPr>
          </w:p>
        </w:tc>
        <w:tc>
          <w:tcPr>
            <w:tcW w:w="13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Total Shareholders'</w:t>
            </w:r>
          </w:p>
        </w:tc>
        <w:tc>
          <w:tcPr>
            <w:tcW w:w="0" w:type="dxa"/>
            <w:vAlign w:val="bottom"/>
          </w:tcPr>
          <w:p>
            <w:pPr>
              <w:spacing w:after="0"/>
              <w:rPr>
                <w:sz w:val="1"/>
                <w:szCs w:val="1"/>
                <w:color w:val="auto"/>
              </w:rPr>
            </w:pPr>
          </w:p>
        </w:tc>
      </w:tr>
      <w:tr>
        <w:trPr>
          <w:trHeight w:val="208"/>
        </w:trPr>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Earnings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6" w:lineRule="exact"/>
        <w:rPr>
          <w:sz w:val="20"/>
          <w:szCs w:val="20"/>
          <w:color w:val="auto"/>
        </w:rPr>
      </w:pPr>
    </w:p>
    <w:p>
      <w:pPr>
        <w:ind w:left="20" w:right="720"/>
        <w:spacing w:after="0" w:line="301" w:lineRule="auto"/>
        <w:rPr>
          <w:sz w:val="20"/>
          <w:szCs w:val="20"/>
          <w:color w:val="auto"/>
        </w:rPr>
      </w:pPr>
      <w:r>
        <w:rPr>
          <w:rFonts w:ascii="Arial" w:cs="Arial" w:eastAsia="Arial" w:hAnsi="Arial"/>
          <w:sz w:val="14"/>
          <w:szCs w:val="14"/>
          <w:color w:val="auto"/>
        </w:rPr>
        <w:t>Balance, August 31, 2019 Stock-based compensation</w:t>
      </w:r>
    </w:p>
    <w:p>
      <w:pPr>
        <w:spacing w:after="0" w:line="1"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Issuance of stock for employee benefit and stock-based awards,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51,776</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25,888</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91,185</w:t>
            </w: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866,886</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(491)</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(20,262)</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(351,256)</w:t>
            </w:r>
          </w:p>
        </w:tc>
        <w:tc>
          <w:tcPr>
            <w:tcW w:w="960" w:type="dxa"/>
            <w:vAlign w:val="bottom"/>
          </w:tcPr>
          <w:p>
            <w:pPr>
              <w:jc w:val="right"/>
              <w:spacing w:after="0"/>
              <w:rPr>
                <w:sz w:val="20"/>
                <w:szCs w:val="20"/>
                <w:color w:val="auto"/>
              </w:rPr>
            </w:pPr>
            <w:r>
              <w:rPr>
                <w:rFonts w:ascii="Arial" w:cs="Arial" w:eastAsia="Arial" w:hAnsi="Arial"/>
                <w:sz w:val="14"/>
                <w:szCs w:val="14"/>
                <w:color w:val="auto"/>
              </w:rPr>
              <w:t>632,212</w:t>
            </w:r>
          </w:p>
        </w:tc>
      </w:tr>
      <w:tr>
        <w:trPr>
          <w:trHeight w:val="203"/>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6,446</w:t>
            </w: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tcPr>
          <w:p>
            <w:pPr>
              <w:ind w:left="7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29</w:t>
            </w:r>
          </w:p>
        </w:tc>
        <w:tc>
          <w:tcPr>
            <w:tcW w:w="960" w:type="dxa"/>
            <w:vAlign w:val="bottom"/>
          </w:tcPr>
          <w:p>
            <w:pPr>
              <w:jc w:val="right"/>
              <w:spacing w:after="0"/>
              <w:rPr>
                <w:sz w:val="20"/>
                <w:szCs w:val="20"/>
                <w:color w:val="auto"/>
              </w:rPr>
            </w:pPr>
            <w:r>
              <w:rPr>
                <w:rFonts w:ascii="Arial" w:cs="Arial" w:eastAsia="Arial" w:hAnsi="Arial"/>
                <w:sz w:val="14"/>
                <w:szCs w:val="14"/>
                <w:color w:val="auto"/>
              </w:rPr>
              <w:t>6,475</w:t>
            </w:r>
          </w:p>
        </w:tc>
      </w:tr>
      <w:tr>
        <w:trPr>
          <w:trHeight w:val="270"/>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(1,813)</w:t>
            </w: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tcPr>
          <w:p>
            <w:pPr>
              <w:ind w:left="7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174</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3,013</w:t>
            </w:r>
          </w:p>
        </w:tc>
        <w:tc>
          <w:tcPr>
            <w:tcW w:w="960" w:type="dxa"/>
            <w:vAlign w:val="bottom"/>
          </w:tcPr>
          <w:p>
            <w:pPr>
              <w:jc w:val="right"/>
              <w:spacing w:after="0"/>
              <w:rPr>
                <w:sz w:val="20"/>
                <w:szCs w:val="20"/>
                <w:color w:val="auto"/>
              </w:rPr>
            </w:pPr>
            <w:r>
              <w:rPr>
                <w:rFonts w:ascii="Arial" w:cs="Arial" w:eastAsia="Arial" w:hAnsi="Arial"/>
                <w:sz w:val="14"/>
                <w:szCs w:val="14"/>
                <w:color w:val="auto"/>
              </w:rPr>
              <w:t>1,200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-165735</wp:posOffset>
            </wp:positionV>
            <wp:extent cx="710628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480" w:space="500"/>
            <w:col w:w="822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780" w:type="dxa"/>
            <w:vAlign w:val="bottom"/>
          </w:tcPr>
          <w:p>
            <w:pPr>
              <w:ind w:left="20"/>
              <w:spacing w:after="0"/>
              <w:rPr>
                <w:sz w:val="20"/>
                <w:szCs w:val="20"/>
                <w:color w:val="auto"/>
              </w:rPr>
            </w:pPr>
            <w:r>
              <w:rPr>
                <w:rFonts w:ascii="Arial" w:cs="Arial" w:eastAsia="Arial" w:hAnsi="Arial"/>
                <w:sz w:val="14"/>
                <w:szCs w:val="14"/>
                <w:color w:val="auto"/>
              </w:rPr>
              <w:t>Issuance of stock for acquisition</w:t>
            </w:r>
          </w:p>
        </w:tc>
        <w:tc>
          <w:tcPr>
            <w:tcW w:w="1060" w:type="dxa"/>
            <w:vAlign w:val="bottom"/>
          </w:tcPr>
          <w:p>
            <w:pPr>
              <w:ind w:left="50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57,811</w:t>
            </w:r>
          </w:p>
        </w:tc>
        <w:tc>
          <w:tcPr>
            <w:tcW w:w="1440" w:type="dxa"/>
            <w:vAlign w:val="bottom"/>
          </w:tcPr>
          <w:p>
            <w:pPr>
              <w:ind w:left="600"/>
              <w:spacing w:after="0"/>
              <w:rPr>
                <w:sz w:val="20"/>
                <w:szCs w:val="20"/>
                <w:color w:val="auto"/>
              </w:rPr>
            </w:pPr>
            <w:r>
              <w:rPr>
                <w:rFonts w:ascii="Arial" w:cs="Arial" w:eastAsia="Arial" w:hAnsi="Arial"/>
                <w:sz w:val="14"/>
                <w:szCs w:val="14"/>
                <w:color w:val="auto"/>
              </w:rPr>
              <w:t>—</w:t>
            </w:r>
          </w:p>
        </w:tc>
        <w:tc>
          <w:tcPr>
            <w:tcW w:w="102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2,000</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34,761</w:t>
            </w:r>
          </w:p>
        </w:tc>
        <w:tc>
          <w:tcPr>
            <w:tcW w:w="1020" w:type="dxa"/>
            <w:vAlign w:val="bottom"/>
          </w:tcPr>
          <w:p>
            <w:pPr>
              <w:jc w:val="right"/>
              <w:spacing w:after="0"/>
              <w:rPr>
                <w:sz w:val="20"/>
                <w:szCs w:val="20"/>
                <w:color w:val="auto"/>
              </w:rPr>
            </w:pPr>
            <w:r>
              <w:rPr>
                <w:rFonts w:ascii="Arial" w:cs="Arial" w:eastAsia="Arial" w:hAnsi="Arial"/>
                <w:sz w:val="14"/>
                <w:szCs w:val="14"/>
                <w:color w:val="auto"/>
              </w:rPr>
              <w:t>92,572</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(45)</w:t>
            </w:r>
          </w:p>
        </w:tc>
        <w:tc>
          <w:tcPr>
            <w:tcW w:w="11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(1,844)</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53"/>
        </w:trPr>
        <w:tc>
          <w:tcPr>
            <w:tcW w:w="2780" w:type="dxa"/>
            <w:vAlign w:val="bottom"/>
          </w:tcPr>
          <w:p>
            <w:pPr>
              <w:ind w:left="20"/>
              <w:spacing w:after="0" w:line="153" w:lineRule="exact"/>
              <w:rPr>
                <w:sz w:val="20"/>
                <w:szCs w:val="20"/>
                <w:color w:val="auto"/>
              </w:rPr>
            </w:pPr>
            <w:r>
              <w:rPr>
                <w:rFonts w:ascii="Arial" w:cs="Arial" w:eastAsia="Arial" w:hAnsi="Arial"/>
                <w:sz w:val="14"/>
                <w:szCs w:val="14"/>
                <w:color w:val="auto"/>
              </w:rPr>
              <w:t>Common stock dividends declared;</w:t>
            </w:r>
          </w:p>
        </w:tc>
        <w:tc>
          <w:tcPr>
            <w:tcW w:w="106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588"/>
              <w:spacing w:after="0"/>
              <w:rPr>
                <w:sz w:val="20"/>
                <w:szCs w:val="20"/>
                <w:color w:val="auto"/>
              </w:rPr>
            </w:pPr>
            <w:r>
              <w:rPr>
                <w:rFonts w:ascii="Arial" w:cs="Arial" w:eastAsia="Arial" w:hAnsi="Arial"/>
                <w:sz w:val="14"/>
                <w:szCs w:val="14"/>
                <w:color w:val="auto"/>
              </w:rPr>
              <w:t>(14,718)</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(14,718)</w:t>
            </w:r>
          </w:p>
        </w:tc>
        <w:tc>
          <w:tcPr>
            <w:tcW w:w="0" w:type="dxa"/>
            <w:vAlign w:val="bottom"/>
          </w:tcPr>
          <w:p>
            <w:pPr>
              <w:spacing w:after="0"/>
              <w:rPr>
                <w:sz w:val="1"/>
                <w:szCs w:val="1"/>
                <w:color w:val="auto"/>
              </w:rPr>
            </w:pPr>
          </w:p>
        </w:tc>
      </w:tr>
      <w:tr>
        <w:trPr>
          <w:trHeight w:val="109"/>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$0.45 per share</w:t>
            </w:r>
          </w:p>
        </w:tc>
        <w:tc>
          <w:tcPr>
            <w:tcW w:w="10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0628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Total comprehensive income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component of convertible senior</w:t>
      </w:r>
    </w:p>
    <w:p>
      <w:pPr>
        <w:spacing w:after="0" w:line="2" w:lineRule="exact"/>
        <w:rPr>
          <w:sz w:val="20"/>
          <w:szCs w:val="20"/>
          <w:color w:val="auto"/>
        </w:rPr>
      </w:pPr>
    </w:p>
    <w:p>
      <w:pPr>
        <w:ind w:left="20" w:right="200"/>
        <w:spacing w:after="0" w:line="231" w:lineRule="auto"/>
        <w:rPr>
          <w:sz w:val="20"/>
          <w:szCs w:val="20"/>
          <w:color w:val="auto"/>
        </w:rPr>
      </w:pPr>
      <w:r>
        <w:rPr>
          <w:rFonts w:ascii="Arial" w:cs="Arial" w:eastAsia="Arial" w:hAnsi="Arial"/>
          <w:sz w:val="14"/>
          <w:szCs w:val="14"/>
          <w:color w:val="auto"/>
        </w:rPr>
        <w:t>notes and offering costs, net of tax of $20,840</w:t>
      </w:r>
    </w:p>
    <w:p>
      <w:pPr>
        <w:spacing w:after="0" w:line="14"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Convertible note hedge purchase, net of tax of $17,417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ind w:left="4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Pr>
          <w:p>
            <w:pPr>
              <w:ind w:left="400"/>
              <w:spacing w:after="0"/>
              <w:rPr>
                <w:sz w:val="20"/>
                <w:szCs w:val="20"/>
                <w:color w:val="auto"/>
              </w:rPr>
            </w:pPr>
            <w:r>
              <w:rPr>
                <w:rFonts w:ascii="Arial" w:cs="Arial" w:eastAsia="Arial" w:hAnsi="Arial"/>
                <w:sz w:val="14"/>
                <w:szCs w:val="14"/>
                <w:color w:val="auto"/>
              </w:rPr>
              <w:t>—</w:t>
            </w:r>
          </w:p>
        </w:tc>
        <w:tc>
          <w:tcPr>
            <w:tcW w:w="1220" w:type="dxa"/>
            <w:vAlign w:val="bottom"/>
          </w:tcPr>
          <w:p>
            <w:pPr>
              <w:jc w:val="center"/>
              <w:ind w:left="208"/>
              <w:spacing w:after="0"/>
              <w:rPr>
                <w:sz w:val="20"/>
                <w:szCs w:val="20"/>
                <w:color w:val="auto"/>
              </w:rPr>
            </w:pPr>
            <w:r>
              <w:rPr>
                <w:rFonts w:ascii="Arial" w:cs="Arial" w:eastAsia="Arial" w:hAnsi="Arial"/>
                <w:sz w:val="14"/>
                <w:szCs w:val="14"/>
                <w:color w:val="auto"/>
              </w:rPr>
              <w:t>(35)</w:t>
            </w:r>
          </w:p>
        </w:tc>
        <w:tc>
          <w:tcPr>
            <w:tcW w:w="880" w:type="dxa"/>
            <w:vAlign w:val="bottom"/>
          </w:tcPr>
          <w:p>
            <w:pPr>
              <w:ind w:left="3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85"/>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ind w:left="4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61,335</w:t>
            </w:r>
          </w:p>
        </w:tc>
        <w:tc>
          <w:tcPr>
            <w:tcW w:w="1180" w:type="dxa"/>
            <w:vAlign w:val="bottom"/>
          </w:tcPr>
          <w:p>
            <w:pPr>
              <w:ind w:left="400"/>
              <w:spacing w:after="0"/>
              <w:rPr>
                <w:sz w:val="20"/>
                <w:szCs w:val="20"/>
                <w:color w:val="auto"/>
              </w:rPr>
            </w:pPr>
            <w:r>
              <w:rPr>
                <w:rFonts w:ascii="Arial" w:cs="Arial" w:eastAsia="Arial" w:hAnsi="Arial"/>
                <w:sz w:val="14"/>
                <w:szCs w:val="14"/>
                <w:color w:val="auto"/>
              </w:rPr>
              <w:t>—</w:t>
            </w:r>
          </w:p>
        </w:tc>
        <w:tc>
          <w:tcPr>
            <w:tcW w:w="122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880" w:type="dxa"/>
            <w:vAlign w:val="bottom"/>
          </w:tcPr>
          <w:p>
            <w:pPr>
              <w:ind w:left="3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61,335</w:t>
            </w:r>
          </w:p>
        </w:tc>
      </w:tr>
      <w:tr>
        <w:trPr>
          <w:trHeight w:val="270"/>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ind w:left="4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(53,383)</w:t>
            </w:r>
          </w:p>
        </w:tc>
        <w:tc>
          <w:tcPr>
            <w:tcW w:w="1180" w:type="dxa"/>
            <w:vAlign w:val="bottom"/>
          </w:tcPr>
          <w:p>
            <w:pPr>
              <w:ind w:left="400"/>
              <w:spacing w:after="0"/>
              <w:rPr>
                <w:sz w:val="20"/>
                <w:szCs w:val="20"/>
                <w:color w:val="auto"/>
              </w:rPr>
            </w:pPr>
            <w:r>
              <w:rPr>
                <w:rFonts w:ascii="Arial" w:cs="Arial" w:eastAsia="Arial" w:hAnsi="Arial"/>
                <w:sz w:val="14"/>
                <w:szCs w:val="14"/>
                <w:color w:val="auto"/>
              </w:rPr>
              <w:t>—</w:t>
            </w:r>
          </w:p>
        </w:tc>
        <w:tc>
          <w:tcPr>
            <w:tcW w:w="122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880" w:type="dxa"/>
            <w:vAlign w:val="bottom"/>
          </w:tcPr>
          <w:p>
            <w:pPr>
              <w:ind w:left="3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-165735</wp:posOffset>
            </wp:positionV>
            <wp:extent cx="710628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580" w:space="700"/>
            <w:col w:w="7920"/>
          </w:cols>
          <w:pgMar w:left="320" w:top="125" w:right="3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Issuance of warrants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August 29, 2020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Issuance of stock for employee benefit and stock-based awards,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Repurchase of common stock</w:t>
      </w:r>
    </w:p>
    <w:p>
      <w:pPr>
        <w:spacing w:after="0" w:line="40" w:lineRule="exact"/>
        <w:rPr>
          <w:sz w:val="20"/>
          <w:szCs w:val="20"/>
          <w:color w:val="auto"/>
        </w:rPr>
      </w:pPr>
    </w:p>
    <w:p>
      <w:pPr>
        <w:ind w:left="20" w:right="220"/>
        <w:spacing w:after="0" w:line="256" w:lineRule="auto"/>
        <w:rPr>
          <w:sz w:val="20"/>
          <w:szCs w:val="20"/>
          <w:color w:val="auto"/>
        </w:rPr>
      </w:pPr>
      <w:r>
        <w:rPr>
          <w:rFonts w:ascii="Arial" w:cs="Arial" w:eastAsia="Arial" w:hAnsi="Arial"/>
          <w:sz w:val="14"/>
          <w:szCs w:val="14"/>
          <w:color w:val="auto"/>
        </w:rPr>
        <w:t>Common stock dividends declared; $0.66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42,210</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42,210</w:t>
            </w:r>
          </w:p>
        </w:tc>
      </w:tr>
      <w:tr>
        <w:trPr>
          <w:trHeight w:val="205"/>
        </w:trPr>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61,442</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61,442</w:t>
            </w:r>
          </w:p>
        </w:tc>
      </w:tr>
      <w:tr>
        <w:trPr>
          <w:trHeight w:val="192"/>
        </w:trPr>
        <w:tc>
          <w:tcPr>
            <w:tcW w:w="1040" w:type="dxa"/>
            <w:vAlign w:val="bottom"/>
          </w:tcPr>
          <w:p>
            <w:pPr>
              <w:jc w:val="right"/>
              <w:ind w:right="208"/>
              <w:spacing w:after="0"/>
              <w:rPr>
                <w:sz w:val="20"/>
                <w:szCs w:val="20"/>
                <w:color w:val="auto"/>
              </w:rPr>
            </w:pPr>
            <w:r>
              <w:rPr>
                <w:rFonts w:ascii="Arial" w:cs="Arial" w:eastAsia="Arial" w:hAnsi="Arial"/>
                <w:sz w:val="14"/>
                <w:szCs w:val="14"/>
                <w:color w:val="auto"/>
              </w:rPr>
              <w:t>51,776</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25,888</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203,791</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913,610</w:t>
            </w:r>
          </w:p>
        </w:tc>
        <w:tc>
          <w:tcPr>
            <w:tcW w:w="1060" w:type="dxa"/>
            <w:vAlign w:val="bottom"/>
          </w:tcPr>
          <w:p>
            <w:pPr>
              <w:ind w:left="560"/>
              <w:spacing w:after="0"/>
              <w:rPr>
                <w:sz w:val="20"/>
                <w:szCs w:val="20"/>
                <w:color w:val="auto"/>
              </w:rPr>
            </w:pPr>
            <w:r>
              <w:rPr>
                <w:rFonts w:ascii="Arial" w:cs="Arial" w:eastAsia="Arial" w:hAnsi="Arial"/>
                <w:sz w:val="14"/>
                <w:szCs w:val="14"/>
                <w:color w:val="auto"/>
              </w:rPr>
              <w:t>(526)</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(18,133)</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(315,297)</w:t>
            </w:r>
          </w:p>
        </w:tc>
        <w:tc>
          <w:tcPr>
            <w:tcW w:w="1020" w:type="dxa"/>
            <w:vAlign w:val="bottom"/>
          </w:tcPr>
          <w:p>
            <w:pPr>
              <w:jc w:val="right"/>
              <w:spacing w:after="0"/>
              <w:rPr>
                <w:sz w:val="20"/>
                <w:szCs w:val="20"/>
                <w:color w:val="auto"/>
              </w:rPr>
            </w:pPr>
            <w:r>
              <w:rPr>
                <w:rFonts w:ascii="Arial" w:cs="Arial" w:eastAsia="Arial" w:hAnsi="Arial"/>
                <w:sz w:val="14"/>
                <w:szCs w:val="14"/>
                <w:color w:val="auto"/>
              </w:rPr>
              <w:t>827,466</w:t>
            </w:r>
          </w:p>
        </w:tc>
      </w:tr>
      <w:tr>
        <w:trPr>
          <w:trHeight w:val="203"/>
        </w:trPr>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15,323</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24</w:t>
            </w:r>
          </w:p>
        </w:tc>
        <w:tc>
          <w:tcPr>
            <w:tcW w:w="1020" w:type="dxa"/>
            <w:vAlign w:val="bottom"/>
          </w:tcPr>
          <w:p>
            <w:pPr>
              <w:jc w:val="right"/>
              <w:spacing w:after="0"/>
              <w:rPr>
                <w:sz w:val="20"/>
                <w:szCs w:val="20"/>
                <w:color w:val="auto"/>
              </w:rPr>
            </w:pPr>
            <w:r>
              <w:rPr>
                <w:rFonts w:ascii="Arial" w:cs="Arial" w:eastAsia="Arial" w:hAnsi="Arial"/>
                <w:sz w:val="14"/>
                <w:szCs w:val="14"/>
                <w:color w:val="auto"/>
              </w:rPr>
              <w:t>15,347</w:t>
            </w:r>
          </w:p>
        </w:tc>
      </w:tr>
      <w:tr>
        <w:trPr>
          <w:trHeight w:val="270"/>
        </w:trPr>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(624)</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166</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2,922</w:t>
            </w:r>
          </w:p>
        </w:tc>
        <w:tc>
          <w:tcPr>
            <w:tcW w:w="1020" w:type="dxa"/>
            <w:vAlign w:val="bottom"/>
          </w:tcPr>
          <w:p>
            <w:pPr>
              <w:jc w:val="right"/>
              <w:spacing w:after="0"/>
              <w:rPr>
                <w:sz w:val="20"/>
                <w:szCs w:val="20"/>
                <w:color w:val="auto"/>
              </w:rPr>
            </w:pPr>
            <w:r>
              <w:rPr>
                <w:rFonts w:ascii="Arial" w:cs="Arial" w:eastAsia="Arial" w:hAnsi="Arial"/>
                <w:sz w:val="14"/>
                <w:szCs w:val="14"/>
                <w:color w:val="auto"/>
              </w:rPr>
              <w:t>2,298</w:t>
            </w:r>
          </w:p>
        </w:tc>
      </w:tr>
      <w:tr>
        <w:trPr>
          <w:trHeight w:val="270"/>
        </w:trPr>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(747)</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(47,589)</w:t>
            </w:r>
          </w:p>
        </w:tc>
        <w:tc>
          <w:tcPr>
            <w:tcW w:w="1020" w:type="dxa"/>
            <w:vAlign w:val="bottom"/>
          </w:tcPr>
          <w:p>
            <w:pPr>
              <w:jc w:val="right"/>
              <w:spacing w:after="0"/>
              <w:rPr>
                <w:sz w:val="20"/>
                <w:szCs w:val="20"/>
                <w:color w:val="auto"/>
              </w:rPr>
            </w:pPr>
            <w:r>
              <w:rPr>
                <w:rFonts w:ascii="Arial" w:cs="Arial" w:eastAsia="Arial" w:hAnsi="Arial"/>
                <w:sz w:val="14"/>
                <w:szCs w:val="14"/>
                <w:color w:val="auto"/>
              </w:rPr>
              <w:t>(47,589)</w:t>
            </w:r>
          </w:p>
        </w:tc>
      </w:tr>
      <w:tr>
        <w:trPr>
          <w:trHeight w:val="270"/>
        </w:trPr>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8"/>
              <w:spacing w:after="0"/>
              <w:rPr>
                <w:sz w:val="20"/>
                <w:szCs w:val="20"/>
                <w:color w:val="auto"/>
              </w:rPr>
            </w:pPr>
            <w:r>
              <w:rPr>
                <w:rFonts w:ascii="Arial" w:cs="Arial" w:eastAsia="Arial" w:hAnsi="Arial"/>
                <w:sz w:val="14"/>
                <w:szCs w:val="14"/>
                <w:color w:val="auto"/>
              </w:rPr>
              <w:t>(22,485)</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-902970</wp:posOffset>
            </wp:positionV>
            <wp:extent cx="710628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-636905</wp:posOffset>
            </wp:positionV>
            <wp:extent cx="710628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-294005</wp:posOffset>
            </wp:positionV>
            <wp:extent cx="710628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2480" w:space="180"/>
            <w:col w:w="854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8"/>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281,871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281,871</w:t>
            </w:r>
          </w:p>
        </w:tc>
        <w:tc>
          <w:tcPr>
            <w:tcW w:w="0" w:type="dxa"/>
            <w:vAlign w:val="bottom"/>
          </w:tcPr>
          <w:p>
            <w:pPr>
              <w:spacing w:after="0"/>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August 28, 2021</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51,776</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25,888</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218,490</w:t>
            </w:r>
          </w:p>
        </w:tc>
        <w:tc>
          <w:tcPr>
            <w:tcW w:w="14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1,172,996</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(491)</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(18,713)</w:t>
            </w:r>
          </w:p>
        </w:tc>
        <w:tc>
          <w:tcPr>
            <w:tcW w:w="12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(359,940)</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1,056,943</w:t>
            </w: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16,974</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111</w:t>
            </w:r>
          </w:p>
        </w:tc>
        <w:tc>
          <w:tcPr>
            <w:tcW w:w="1080" w:type="dxa"/>
            <w:vAlign w:val="bottom"/>
          </w:tcPr>
          <w:p>
            <w:pPr>
              <w:jc w:val="right"/>
              <w:spacing w:after="0"/>
              <w:rPr>
                <w:sz w:val="20"/>
                <w:szCs w:val="20"/>
                <w:color w:val="auto"/>
              </w:rPr>
            </w:pPr>
            <w:r>
              <w:rPr>
                <w:rFonts w:ascii="Arial" w:cs="Arial" w:eastAsia="Arial" w:hAnsi="Arial"/>
                <w:sz w:val="14"/>
                <w:szCs w:val="14"/>
                <w:color w:val="auto"/>
              </w:rPr>
              <w:t>17,085</w:t>
            </w:r>
          </w:p>
        </w:tc>
        <w:tc>
          <w:tcPr>
            <w:tcW w:w="0" w:type="dxa"/>
            <w:vAlign w:val="bottom"/>
          </w:tcPr>
          <w:p>
            <w:pPr>
              <w:spacing w:after="0"/>
              <w:rPr>
                <w:sz w:val="1"/>
                <w:szCs w:val="1"/>
                <w:color w:val="auto"/>
              </w:rPr>
            </w:pPr>
          </w:p>
        </w:tc>
      </w:tr>
      <w:tr>
        <w:trPr>
          <w:trHeight w:val="157"/>
        </w:trPr>
        <w:tc>
          <w:tcPr>
            <w:tcW w:w="26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stock for employee benefit</w:t>
            </w:r>
          </w:p>
        </w:tc>
        <w:tc>
          <w:tcPr>
            <w:tcW w:w="10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(2,461)</w:t>
            </w:r>
          </w:p>
        </w:tc>
        <w:tc>
          <w:tcPr>
            <w:tcW w:w="14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261</w:t>
            </w:r>
          </w:p>
        </w:tc>
        <w:tc>
          <w:tcPr>
            <w:tcW w:w="120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5,293</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09"/>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and stock-based awards, net</w:t>
            </w:r>
          </w:p>
        </w:tc>
        <w:tc>
          <w:tcPr>
            <w:tcW w:w="104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660" w:type="dxa"/>
            <w:vAlign w:val="bottom"/>
            <w:vMerge w:val="continue"/>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00"/>
          </w:cols>
          <w:pgMar w:left="320" w:top="125" w:right="3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Issuance of stock for acquisition</w:t>
      </w:r>
    </w:p>
    <w:p>
      <w:pPr>
        <w:spacing w:after="0" w:line="42" w:lineRule="exact"/>
        <w:rPr>
          <w:sz w:val="20"/>
          <w:szCs w:val="20"/>
          <w:color w:val="auto"/>
        </w:rPr>
      </w:pPr>
    </w:p>
    <w:p>
      <w:pPr>
        <w:ind w:left="20" w:right="360"/>
        <w:spacing w:after="0" w:line="252" w:lineRule="auto"/>
        <w:rPr>
          <w:sz w:val="20"/>
          <w:szCs w:val="20"/>
          <w:color w:val="auto"/>
        </w:rPr>
      </w:pPr>
      <w:r>
        <w:rPr>
          <w:rFonts w:ascii="Arial" w:cs="Arial" w:eastAsia="Arial" w:hAnsi="Arial"/>
          <w:sz w:val="14"/>
          <w:szCs w:val="14"/>
          <w:color w:val="auto"/>
        </w:rPr>
        <w:t>Issuance of stock for settlement of earnout liability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Repurchase of common stock</w:t>
      </w:r>
    </w:p>
    <w:p>
      <w:pPr>
        <w:spacing w:after="0" w:line="40" w:lineRule="exact"/>
        <w:rPr>
          <w:sz w:val="20"/>
          <w:szCs w:val="20"/>
          <w:color w:val="auto"/>
        </w:rPr>
      </w:pPr>
    </w:p>
    <w:p>
      <w:pPr>
        <w:ind w:left="20" w:right="300"/>
        <w:spacing w:after="0" w:line="252" w:lineRule="auto"/>
        <w:rPr>
          <w:sz w:val="20"/>
          <w:szCs w:val="20"/>
          <w:color w:val="auto"/>
        </w:rPr>
      </w:pPr>
      <w:r>
        <w:rPr>
          <w:rFonts w:ascii="Arial" w:cs="Arial" w:eastAsia="Arial" w:hAnsi="Arial"/>
          <w:sz w:val="14"/>
          <w:szCs w:val="14"/>
          <w:color w:val="auto"/>
        </w:rPr>
        <w:t>Common stock dividends declared; $0.81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14,709</w:t>
            </w:r>
          </w:p>
        </w:tc>
        <w:tc>
          <w:tcPr>
            <w:tcW w:w="1440" w:type="dxa"/>
            <w:vAlign w:val="bottom"/>
          </w:tcPr>
          <w:p>
            <w:pPr>
              <w:ind w:left="600"/>
              <w:spacing w:after="0"/>
              <w:rPr>
                <w:sz w:val="20"/>
                <w:szCs w:val="20"/>
                <w:color w:val="auto"/>
              </w:rPr>
            </w:pPr>
            <w:r>
              <w:rPr>
                <w:rFonts w:ascii="Arial" w:cs="Arial" w:eastAsia="Arial" w:hAnsi="Arial"/>
                <w:sz w:val="14"/>
                <w:szCs w:val="14"/>
                <w:color w:val="auto"/>
              </w:rPr>
              <w:t>—</w:t>
            </w:r>
          </w:p>
        </w:tc>
        <w:tc>
          <w:tcPr>
            <w:tcW w:w="100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379</w:t>
            </w:r>
          </w:p>
        </w:tc>
        <w:tc>
          <w:tcPr>
            <w:tcW w:w="1220" w:type="dxa"/>
            <w:vAlign w:val="bottom"/>
          </w:tcPr>
          <w:p>
            <w:pPr>
              <w:jc w:val="right"/>
              <w:ind w:right="388"/>
              <w:spacing w:after="0"/>
              <w:rPr>
                <w:sz w:val="20"/>
                <w:szCs w:val="20"/>
                <w:color w:val="auto"/>
              </w:rPr>
            </w:pPr>
            <w:r>
              <w:rPr>
                <w:rFonts w:ascii="Arial" w:cs="Arial" w:eastAsia="Arial" w:hAnsi="Arial"/>
                <w:sz w:val="14"/>
                <w:szCs w:val="14"/>
                <w:color w:val="auto"/>
              </w:rPr>
              <w:t>7,291</w:t>
            </w:r>
          </w:p>
        </w:tc>
        <w:tc>
          <w:tcPr>
            <w:tcW w:w="1040" w:type="dxa"/>
            <w:vAlign w:val="bottom"/>
          </w:tcPr>
          <w:p>
            <w:pPr>
              <w:jc w:val="right"/>
              <w:spacing w:after="0"/>
              <w:rPr>
                <w:sz w:val="20"/>
                <w:szCs w:val="20"/>
                <w:color w:val="auto"/>
              </w:rPr>
            </w:pPr>
            <w:r>
              <w:rPr>
                <w:rFonts w:ascii="Arial" w:cs="Arial" w:eastAsia="Arial" w:hAnsi="Arial"/>
                <w:sz w:val="14"/>
                <w:szCs w:val="14"/>
                <w:color w:val="auto"/>
              </w:rPr>
              <w:t>22,000</w:t>
            </w:r>
          </w:p>
        </w:tc>
      </w:tr>
      <w:tr>
        <w:trPr>
          <w:trHeight w:val="338"/>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7,830</w:t>
            </w:r>
          </w:p>
        </w:tc>
        <w:tc>
          <w:tcPr>
            <w:tcW w:w="1440" w:type="dxa"/>
            <w:vAlign w:val="bottom"/>
          </w:tcPr>
          <w:p>
            <w:pPr>
              <w:ind w:left="600"/>
              <w:spacing w:after="0"/>
              <w:rPr>
                <w:sz w:val="20"/>
                <w:szCs w:val="20"/>
                <w:color w:val="auto"/>
              </w:rPr>
            </w:pPr>
            <w:r>
              <w:rPr>
                <w:rFonts w:ascii="Arial" w:cs="Arial" w:eastAsia="Arial" w:hAnsi="Arial"/>
                <w:sz w:val="14"/>
                <w:szCs w:val="14"/>
                <w:color w:val="auto"/>
              </w:rPr>
              <w:t>—</w:t>
            </w:r>
          </w:p>
        </w:tc>
        <w:tc>
          <w:tcPr>
            <w:tcW w:w="100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244</w:t>
            </w:r>
          </w:p>
        </w:tc>
        <w:tc>
          <w:tcPr>
            <w:tcW w:w="1220" w:type="dxa"/>
            <w:vAlign w:val="bottom"/>
          </w:tcPr>
          <w:p>
            <w:pPr>
              <w:jc w:val="right"/>
              <w:ind w:right="388"/>
              <w:spacing w:after="0"/>
              <w:rPr>
                <w:sz w:val="20"/>
                <w:szCs w:val="20"/>
                <w:color w:val="auto"/>
              </w:rPr>
            </w:pPr>
            <w:r>
              <w:rPr>
                <w:rFonts w:ascii="Arial" w:cs="Arial" w:eastAsia="Arial" w:hAnsi="Arial"/>
                <w:sz w:val="14"/>
                <w:szCs w:val="14"/>
                <w:color w:val="auto"/>
              </w:rPr>
              <w:t>5,338</w:t>
            </w:r>
          </w:p>
        </w:tc>
        <w:tc>
          <w:tcPr>
            <w:tcW w:w="1040" w:type="dxa"/>
            <w:vAlign w:val="bottom"/>
          </w:tcPr>
          <w:p>
            <w:pPr>
              <w:jc w:val="right"/>
              <w:spacing w:after="0"/>
              <w:rPr>
                <w:sz w:val="20"/>
                <w:szCs w:val="20"/>
                <w:color w:val="auto"/>
              </w:rPr>
            </w:pPr>
            <w:r>
              <w:rPr>
                <w:rFonts w:ascii="Arial" w:cs="Arial" w:eastAsia="Arial" w:hAnsi="Arial"/>
                <w:sz w:val="14"/>
                <w:szCs w:val="14"/>
                <w:color w:val="auto"/>
              </w:rPr>
              <w:t>13,168</w:t>
            </w:r>
          </w:p>
        </w:tc>
      </w:tr>
      <w:tr>
        <w:trPr>
          <w:trHeight w:val="203"/>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tcPr>
          <w:p>
            <w:pPr>
              <w:ind w:left="600"/>
              <w:spacing w:after="0"/>
              <w:rPr>
                <w:sz w:val="20"/>
                <w:szCs w:val="20"/>
                <w:color w:val="auto"/>
              </w:rPr>
            </w:pPr>
            <w:r>
              <w:rPr>
                <w:rFonts w:ascii="Arial" w:cs="Arial" w:eastAsia="Arial" w:hAnsi="Arial"/>
                <w:sz w:val="14"/>
                <w:szCs w:val="14"/>
                <w:color w:val="auto"/>
              </w:rPr>
              <w:t>—</w:t>
            </w:r>
          </w:p>
        </w:tc>
        <w:tc>
          <w:tcPr>
            <w:tcW w:w="100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(3,639)</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(214,275)</w:t>
            </w:r>
          </w:p>
        </w:tc>
        <w:tc>
          <w:tcPr>
            <w:tcW w:w="1040" w:type="dxa"/>
            <w:vAlign w:val="bottom"/>
          </w:tcPr>
          <w:p>
            <w:pPr>
              <w:jc w:val="right"/>
              <w:spacing w:after="0"/>
              <w:rPr>
                <w:sz w:val="20"/>
                <w:szCs w:val="20"/>
                <w:color w:val="auto"/>
              </w:rPr>
            </w:pPr>
            <w:r>
              <w:rPr>
                <w:rFonts w:ascii="Arial" w:cs="Arial" w:eastAsia="Arial" w:hAnsi="Arial"/>
                <w:sz w:val="14"/>
                <w:szCs w:val="14"/>
                <w:color w:val="auto"/>
              </w:rPr>
              <w:t>(214,275)</w:t>
            </w:r>
          </w:p>
        </w:tc>
      </w:tr>
      <w:tr>
        <w:trPr>
          <w:trHeight w:val="270"/>
        </w:trPr>
        <w:tc>
          <w:tcPr>
            <w:tcW w:w="5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588"/>
              <w:spacing w:after="0"/>
              <w:rPr>
                <w:sz w:val="20"/>
                <w:szCs w:val="20"/>
                <w:color w:val="auto"/>
              </w:rPr>
            </w:pPr>
            <w:r>
              <w:rPr>
                <w:rFonts w:ascii="Arial" w:cs="Arial" w:eastAsia="Arial" w:hAnsi="Arial"/>
                <w:sz w:val="14"/>
                <w:szCs w:val="14"/>
                <w:color w:val="auto"/>
              </w:rPr>
              <w:t>(26,195)</w:t>
            </w:r>
          </w:p>
        </w:tc>
        <w:tc>
          <w:tcPr>
            <w:tcW w:w="100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-508635</wp:posOffset>
            </wp:positionV>
            <wp:extent cx="710628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-165735</wp:posOffset>
            </wp:positionV>
            <wp:extent cx="7106285"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560" w:space="720"/>
            <w:col w:w="792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660" w:type="dxa"/>
            <w:vAlign w:val="bottom"/>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682</w:t>
            </w:r>
          </w:p>
        </w:tc>
        <w:tc>
          <w:tcPr>
            <w:tcW w:w="1420" w:type="dxa"/>
            <w:vAlign w:val="bottom"/>
          </w:tcPr>
          <w:p>
            <w:pPr>
              <w:jc w:val="right"/>
              <w:ind w:right="528"/>
              <w:spacing w:after="0"/>
              <w:rPr>
                <w:sz w:val="20"/>
                <w:szCs w:val="20"/>
                <w:color w:val="auto"/>
              </w:rPr>
            </w:pPr>
            <w:r>
              <w:rPr>
                <w:rFonts w:ascii="Arial" w:cs="Arial" w:eastAsia="Arial" w:hAnsi="Arial"/>
                <w:sz w:val="14"/>
                <w:szCs w:val="14"/>
                <w:color w:val="auto"/>
              </w:rPr>
              <w:t>94</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ind w:left="500"/>
              <w:spacing w:after="0"/>
              <w:rPr>
                <w:sz w:val="20"/>
                <w:szCs w:val="20"/>
                <w:color w:val="auto"/>
              </w:rPr>
            </w:pPr>
            <w:r>
              <w:rPr>
                <w:rFonts w:ascii="Arial" w:cs="Arial" w:eastAsia="Arial" w:hAnsi="Arial"/>
                <w:sz w:val="14"/>
                <w:szCs w:val="14"/>
                <w:color w:val="auto"/>
              </w:rPr>
              <w:t>—</w:t>
            </w:r>
          </w:p>
        </w:tc>
        <w:tc>
          <w:tcPr>
            <w:tcW w:w="1200" w:type="dxa"/>
            <w:vAlign w:val="bottom"/>
          </w:tcPr>
          <w:p>
            <w:pPr>
              <w:ind w:left="6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776</w:t>
            </w: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w:t>
            </w:r>
          </w:p>
        </w:tc>
        <w:tc>
          <w:tcPr>
            <w:tcW w:w="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390,636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390,636</w:t>
            </w:r>
          </w:p>
        </w:tc>
      </w:tr>
      <w:tr>
        <w:trPr>
          <w:trHeight w:val="221"/>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August 27, 2022</w:t>
            </w:r>
          </w:p>
        </w:tc>
        <w:tc>
          <w:tcPr>
            <w:tcW w:w="10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51,776</w:t>
            </w:r>
          </w:p>
        </w:tc>
        <w:tc>
          <w:tcPr>
            <w:tcW w:w="9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25,888</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256,224</w:t>
            </w:r>
          </w:p>
        </w:tc>
        <w:tc>
          <w:tcPr>
            <w:tcW w:w="142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1,537,531</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(454)</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(21,464)</w:t>
            </w:r>
          </w:p>
        </w:tc>
        <w:tc>
          <w:tcPr>
            <w:tcW w:w="12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(556,182)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1,263,007</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in tables are in thousands, except share and per share data, unless otherwise designated)</w:t>
      </w:r>
    </w:p>
    <w:p>
      <w:pPr>
        <w:spacing w:after="0" w:line="23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Other products manufactured by us consist primarily of original equipment manufacturing parts for other manufacturers and commercial vehicles.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w:t>
      </w:r>
    </w:p>
    <w:p>
      <w:pPr>
        <w:spacing w:after="0" w:line="12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wholly-owned subsidiaries. Significant intercompany account balances and transactions have been eliminated. The use of the terms "Winnebago Industries," "Winnebago," "we," "our," and "us" in this Annual Report on Form 10-K, unless the context otherwise requires, refer to Winnebago Industries, Inc. and its wholly-owned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13"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We have a 5-4-4 quarterly accounting cycle with the fiscal year ending on the last Saturday in August. Fiscal 2022 refers to the fiscal year ended August 27, 2022, Fiscal 2021 refers to the fiscal year ended August 28, 2021, and Fiscal 2020 refers to the fiscal year ended August 29, 2020. The financial statements presented are all 52-week fiscal periods.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27"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Cash and cash equivalents represent cash, demand deposits and highly liquid investments with original maturities of three months or less that are not legally restricted. Cash equivalents are recorded at cost, which approximates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Receivables consist principally of amounts due from our dealer network for RVs and boats sold.</w:t>
      </w:r>
    </w:p>
    <w:p>
      <w:pPr>
        <w:spacing w:after="0" w:line="248"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record an allowance using a model to reduce receivables by the expected credit loss and consider factors such as financial condition of the dealer, specific collection issues, current and expected economic conditions, and other factors that may impact our ability to collect. If there is a deterioration of a dealer's financial condition, if we become aware of additional information related to credit worthiness, or if future actual default rates on receivables differ from those currently anticipated, we may adjust the allowance for doubtful accounts, which would affect earnings in the period the adjustments are made.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1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Generally, inventories are stated at the lower of cost or net realizable value determined under the First-in, First-out basis ("FIFO"), except for the Winnebago Motorhome operating segment which is determined using the Last-in, First-out ("LIFO") basis. Manufacturing cost includes materials, labor, and overhead. Unallocated overhead and abnormal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113"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44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Asset Life</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4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 years</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4440" w:type="dxa"/>
            <w:vAlign w:val="bottom"/>
          </w:tcPr>
          <w:p>
            <w:pPr>
              <w:jc w:val="right"/>
              <w:spacing w:after="0"/>
              <w:rPr>
                <w:sz w:val="20"/>
                <w:szCs w:val="20"/>
                <w:color w:val="auto"/>
              </w:rPr>
            </w:pPr>
            <w:r>
              <w:rPr>
                <w:rFonts w:ascii="Arial" w:cs="Arial" w:eastAsia="Arial" w:hAnsi="Arial"/>
                <w:sz w:val="16"/>
                <w:szCs w:val="16"/>
                <w:color w:val="auto"/>
              </w:rPr>
              <w:t>1-15 years</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w:t>
            </w:r>
          </w:p>
        </w:tc>
        <w:tc>
          <w:tcPr>
            <w:tcW w:w="4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years</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4440" w:type="dxa"/>
            <w:vAlign w:val="bottom"/>
          </w:tcPr>
          <w:p>
            <w:pPr>
              <w:jc w:val="right"/>
              <w:spacing w:after="0"/>
              <w:rPr>
                <w:sz w:val="20"/>
                <w:szCs w:val="20"/>
                <w:color w:val="auto"/>
              </w:rPr>
            </w:pPr>
            <w:r>
              <w:rPr>
                <w:rFonts w:ascii="Arial" w:cs="Arial" w:eastAsia="Arial" w:hAnsi="Arial"/>
                <w:sz w:val="16"/>
                <w:szCs w:val="16"/>
                <w:color w:val="auto"/>
              </w:rPr>
              <w:t>3-6 years</w:t>
            </w:r>
          </w:p>
        </w:tc>
      </w:tr>
      <w:tr>
        <w:trPr>
          <w:trHeight w:val="547"/>
        </w:trPr>
        <w:tc>
          <w:tcPr>
            <w:tcW w:w="6800" w:type="dxa"/>
            <w:vAlign w:val="bottom"/>
          </w:tcPr>
          <w:p>
            <w:pPr>
              <w:spacing w:after="0"/>
              <w:rPr>
                <w:sz w:val="20"/>
                <w:szCs w:val="20"/>
                <w:color w:val="auto"/>
              </w:rPr>
            </w:pPr>
            <w:r>
              <w:rPr>
                <w:rFonts w:ascii="Arial" w:cs="Arial" w:eastAsia="Arial" w:hAnsi="Arial"/>
                <w:sz w:val="16"/>
                <w:szCs w:val="16"/>
                <w:b w:val="1"/>
                <w:bCs w:val="1"/>
                <w:color w:val="auto"/>
              </w:rPr>
              <w:t>Goodwill and Indefinite-Lived Intangible Assets</w:t>
            </w:r>
          </w:p>
        </w:tc>
        <w:tc>
          <w:tcPr>
            <w:tcW w:w="4440" w:type="dxa"/>
            <w:vAlign w:val="bottom"/>
          </w:tcPr>
          <w:p>
            <w:pPr>
              <w:spacing w:after="0"/>
              <w:rPr>
                <w:sz w:val="24"/>
                <w:szCs w:val="24"/>
                <w:color w:val="auto"/>
              </w:rPr>
            </w:pPr>
          </w:p>
        </w:tc>
      </w:tr>
      <w:tr>
        <w:trPr>
          <w:trHeight w:val="289"/>
        </w:trPr>
        <w:tc>
          <w:tcPr>
            <w:tcW w:w="6800" w:type="dxa"/>
            <w:vAlign w:val="bottom"/>
          </w:tcPr>
          <w:p>
            <w:pPr>
              <w:spacing w:after="0"/>
              <w:rPr>
                <w:sz w:val="20"/>
                <w:szCs w:val="20"/>
                <w:color w:val="auto"/>
              </w:rPr>
            </w:pPr>
            <w:r>
              <w:rPr>
                <w:rFonts w:ascii="Arial" w:cs="Arial" w:eastAsia="Arial" w:hAnsi="Arial"/>
                <w:sz w:val="16"/>
                <w:szCs w:val="16"/>
                <w:i w:val="1"/>
                <w:iCs w:val="1"/>
                <w:color w:val="auto"/>
              </w:rPr>
              <w:t>Goodwill</w:t>
            </w:r>
          </w:p>
        </w:tc>
        <w:tc>
          <w:tcPr>
            <w:tcW w:w="4440" w:type="dxa"/>
            <w:vAlign w:val="bottom"/>
          </w:tcPr>
          <w:p>
            <w:pPr>
              <w:spacing w:after="0"/>
              <w:rPr>
                <w:sz w:val="24"/>
                <w:szCs w:val="24"/>
                <w:color w:val="auto"/>
              </w:rPr>
            </w:pPr>
          </w:p>
        </w:tc>
      </w:tr>
    </w:tbl>
    <w:p>
      <w:pPr>
        <w:spacing w:after="0" w:line="9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Goodwill is tested for impairment at least annually, during the fourth quarter and whenever events occur or circumstances change that would indicate the carrying value may not be recoverable. Impairment testing for goodwill is performed at a reporting unit level and all goodwill is assigned to a reporting unit. Our reporting units are the same as the operating segments as defined in Note 3.</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have the option to first assess qualitative factors to determine whether the fair value of a reporting unit is “more likely than not” less than its carrying value. If it is more likely than not that an impairment has occurred, we then perform the quantitative goodwill impairment test. If we perform the quantitative test, the carrying value of the reporting unit is compared to an estimate of the reporting unit’s fair value to identify impairment. The estimate of the reporting unit’s fair value involves significant unobservable inputs (Level 3 inputs). The fair value is determined by a blend of the income approach (discounted future cash flow) and market approach (guideline public company) using current industry information. In determining the estimated future cash flow, we consider and apply certain estimates and judgments, including current and projected future levels of income based on management plans, business trends, prospects, market and economic conditions, and market-participant considerations. If the quantitative assessment of goodwill impairment fails, an impairment loss equal to the amount that a reporting unit's carrying value exceeds its fair value will be recognized.</w:t>
      </w:r>
    </w:p>
    <w:p>
      <w:pPr>
        <w:spacing w:after="0" w:line="2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During the fourth quarter of Fiscal 2022, we completed the annual goodwill impairment analysis. We elected to rely on a qualitative assessment for the Grand Design, Newmar, and Barletta reporting units, and performed a quantitative analysis for the Chris-Craft reporting unit. No impairment was identified for the years ended August 27, 2022, August 28, 2021, or August 29, 2020.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names</w:t>
      </w:r>
    </w:p>
    <w:p>
      <w:pPr>
        <w:spacing w:after="0" w:line="11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have indefinite-lived intangible assets for trade names related to Newmar within the Motorhome segment, Grand Design within the Towable segment, and Chris-Craft and Barletta within the Marine segment. Annually in the fourth quarter, or if conditions indicate an interim review is necessary, we test trade names for impairment. We have the option to first assess qualitative factors to determine whether the fair value of a trade name is “more likely than not” less than its carrying value. If it is more likely than not that an impairment has occurred, we then perform the quantitative impairment test. If we perform the quantitative test, the carrying value of the asset is compared to an estimate of its fair value to identify impairment. The fair value is determined by the relief-from-royalty method, which requires significant judgment. Actual results may differ from assumed and estimated amounts utilized in the analysis. If we conclude an impairment exists, the asset's carrying value will be written down to its fair value.</w:t>
      </w: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During the fourth quarter of Fiscal 2022, we completed the annual impairment analysis. We elected to rely on a qualitative assessment for the Grand Design, Newmar, and Barletta trade names, and performed a quantitative analysis for the Chris-Craft trade name. No impairment was identified for the years ended August 27, 2022, August 28, 2021, or August 29, 2020.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Long-Lived Assets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Long-lived assets, which include property, plant and equipment, definite-lived intangible assets subject to amortization, primarily the dealer network, and right-of-use assets are assessed for impairment whenever events or changes in circumstances such as asset utilization, physical change, legal factors or other matters indicate the carrying value of those assets may not be recoverable from future undiscounted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the asset and other long-lived assets is regularly evaluated.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 impairment loss of any long-lived asset was identified for the years ended August 27, 2022, August 28, 2021, or August 29,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Generally, we self-insure a portion of health insurance, product liability claims, and workers' compensation. Under these plans, liabilities are recognized for claims incurred, including those incurred but not reported. We use third party administrators and actuaries who use historical claims experience and various state statutes to assist in the determination of the accrued liability balance. We have a $75.0 million insurance policy that includes a self-insured retention for product liability of $1.0 million per occurrence and $2.0 million in aggregate per policy year. Our self-insured health insurance policy includes an individual retention of $0.5 million per occurrence. We maintain excess liability insurance with outside insurance carriers to minimize the risks related to catastrophic claims in excess of self-insured positions for product liability, health insurance, and personal injury matters. Any material change in the aforementioned factors could have an adverse impact on operating results. Balances are included within self-insurance (accrued expenses) on the Consolidated Balance Sheets.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preparing these financial statements, we are required to estimate the income taxes in each of the jurisdictions in which we operate. This process involves estimating the current tax exposure together with assessing temporary differences resulting from differing treatment of items for tax and accounting purposes. These temporary differences result in deferred tax assets and liabilities, which are included on the Consolidated Balance Sheets. We then assess the likelihood that the deferred tax assets will be realized based on future taxable income and, to the extent that recovery is not likely, a valuation allowance is established. To the extent we establish a valuation allowance or change this allowance in a period, an expense or a benefit is included within the tax provision on the Consolidated Statements of Income and Comprehensive Income.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Litigation expense, including estimated defense costs, is recorded when probable and reasonably estimable.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primary source of revenue is generated through the sale of non-motorized towable units, motorhome units, and marine units to our independent dealer network (customers). Unit revenue is recognized at a point-in-time when the performance obligation is satisfied and control of the promised goods or services is transferred to the customer, which generally occurs when the unit is shipped to or picked-up from the manufacturing facilities by the customer. Control refers to the ability of the customer to direct the use of, and obtain substantially all of, the remaining benefits from the goods or services. We recognize revenue based on an amount that reflects the transaction price consideration that we expect to receive in exchange for those goods or services. Our transaction price consideration is fixed, unless otherwise disclosed as variable consideration. The amount of consideration received and recorded to revenue can vary with changes in marketing incentives and discounts offered to customers. These marketing incentives and discounts are considered variable consideration. We adjust the estimate of revenue at the earlier of when the most likely amount of consideration expected to be received changes or when the consideration becomes fixed. Our payment terms are typically before or on delivery, and do not include a significant financing component.</w:t>
      </w:r>
    </w:p>
    <w:p>
      <w:pPr>
        <w:spacing w:after="0" w:line="20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Net revenue includes shipping and handling charges billed directly to customers, and we also generate income through the sale of certain parts and services, acting as the principal in these arrangements. We have made an accounting policy election to account for any shipping and handling costs that occur after the transfer of control as a fulfillment cost that is accrued when control is transferred. We also have made an accounting policy election to exclude from revenue sales and usage-based taxes collected.</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20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13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11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Advertising costs, which consist primarily of trade shows and online content, were $23.3 million, $11.6 million, and $12.5 million in Fiscal 2022, 2021, and 2020, respectively. Advertising costs are included in selling, general, and administrative expenses and are expensed as incurred on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0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We took advantage of the employer payroll tax deferral offered by the CARES Act, which allowed us to defer the payment of employer payroll taxes for the period from March 27, 2020 to December 31, 2020. The deferred employer payroll tax liability was $8.1 million and $16.2 million as of August 27, 2022 and August 28, 2021, respectively. The deferred employer payroll tax liability paid in Fiscal 2022 was $8.1 million. We also took advantage of a tax credit granted to companies under the CARES Act who continued to pay their employees when operations were fully or partially suspended. The refundable tax credit available through the end of our third quarter of Fiscal 2020 reflected in cost of goods sold on the Consolidated Statements of Income and Comprehensive Income was approximately $4.0 million. The entire amount is expected to be received by the end of calendar year 2022. As of August 27, 2022, $0.8 million remains outstanding within other current assets on the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events occurring between the end of the most recent fiscal year and the date the financial statements were issued.</w:t>
      </w:r>
    </w:p>
    <w:p>
      <w:pPr>
        <w:spacing w:after="0" w:line="248" w:lineRule="exact"/>
        <w:rPr>
          <w:sz w:val="20"/>
          <w:szCs w:val="20"/>
          <w:color w:val="auto"/>
        </w:rPr>
      </w:pPr>
    </w:p>
    <w:p>
      <w:pPr>
        <w:ind w:right="620"/>
        <w:spacing w:after="0" w:line="251" w:lineRule="auto"/>
        <w:rPr>
          <w:sz w:val="20"/>
          <w:szCs w:val="20"/>
          <w:color w:val="auto"/>
        </w:rPr>
      </w:pPr>
      <w:r>
        <w:rPr>
          <w:rFonts w:ascii="Arial" w:cs="Arial" w:eastAsia="Arial" w:hAnsi="Arial"/>
          <w:sz w:val="16"/>
          <w:szCs w:val="16"/>
          <w:color w:val="auto"/>
        </w:rPr>
        <w:t>On September 28, 2022, Hurricane Ian made landfall on the west coast of Florida near our marine facility in Sarasota. The facility sustained minimal damage, and we do not expect it to have a significant impact on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00"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 xml:space="preserve">Accounting Standards Update ("ASU") Topic 740, </w:t>
      </w:r>
      <w:r>
        <w:rPr>
          <w:rFonts w:ascii="Arial" w:cs="Arial" w:eastAsia="Arial" w:hAnsi="Arial"/>
          <w:sz w:val="16"/>
          <w:szCs w:val="16"/>
          <w:i w:val="1"/>
          <w:iCs w:val="1"/>
          <w:color w:val="auto"/>
        </w:rPr>
        <w:t>Income Taxes: Simplifying the Accounting for Income Taxes</w:t>
      </w:r>
      <w:r>
        <w:rPr>
          <w:rFonts w:ascii="Arial" w:cs="Arial" w:eastAsia="Arial" w:hAnsi="Arial"/>
          <w:sz w:val="16"/>
          <w:szCs w:val="16"/>
          <w:color w:val="auto"/>
        </w:rPr>
        <w:t>, was adopted in the first quarter of Fiscal 2022. The new standard eliminates certain exceptions to Topic 740's general principles, improves consistent application and simplifies its application. We adopted the new guidance in the first quarter of Fiscal 2022, and there was not a material impact to our financial condition, results of operations or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Debt - Debt with Conversion and Other Options (Subtopic 470-</w:t>
      </w:r>
    </w:p>
    <w:p>
      <w:pPr>
        <w:spacing w:after="0" w:line="8" w:lineRule="exact"/>
        <w:rPr>
          <w:sz w:val="20"/>
          <w:szCs w:val="20"/>
          <w:color w:val="auto"/>
        </w:rPr>
      </w:pPr>
    </w:p>
    <w:p>
      <w:pPr>
        <w:ind w:firstLine="8"/>
        <w:spacing w:after="0" w:line="230" w:lineRule="auto"/>
        <w:tabs>
          <w:tab w:leader="none" w:pos="279"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and Derivatives and Hedging - Contracts in Entity's Own Equity (Subtopic 815-40) </w:t>
      </w:r>
      <w:r>
        <w:rPr>
          <w:rFonts w:ascii="Arial" w:cs="Arial" w:eastAsia="Arial" w:hAnsi="Arial"/>
          <w:sz w:val="16"/>
          <w:szCs w:val="16"/>
          <w:color w:val="auto"/>
        </w:rPr>
        <w:t>which reduces the number of models used to account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must be used for including convertible instruments in diluted EPS as opposed to the treasury stock method. We adopted the new guidance in the first quarter of Fiscal 2023 using the modified retrospective approach, resulting in a decrease to additional paid-in capital of $62.0 million, an increase to long-term debt of $43.8 million, a decrease in the deferred income tax liability of $10.8 million, and an increase to beginning retained earnings of $29.0 million. The amended guidance is expected to lower non-cash interest expense in Fiscal 2023 by approximately $15.1 million (pre-tax) and increase the dilutive share count associated with the convertible instruments to approximately 4.7 million shares.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Barletta Boat Company, LLC</w:t>
      </w:r>
    </w:p>
    <w:p>
      <w:pPr>
        <w:spacing w:after="0" w:line="248"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Barletta resulted in a newly created Marine reportable segment that includes the Barletta and Chris-Craft operating segments.</w:t>
      </w:r>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over the next few years. The maximum payout under the earnout is $50.0 million in cash and $15.0 million in stock if all metrics are achieved. The fair value of the earnout as of August 31, 2021 was $24.2 million. The fair value of the earnout as of August 27, 2022 was $39.8 million, of which $21.3 million is included in other current liabilities and $18.5 million is included in other long-term liabilities on the Consolidated Balance Sheets. In the third quarter of Fiscal 2022, we issued 0.2 million shares of common stock in connection with the settlement of the 2021 earnout period obligation.</w:t>
      </w:r>
    </w:p>
    <w:p>
      <w:pPr>
        <w:spacing w:after="0" w:line="2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total purchase price was allocated to the acquired net tangible and intangible assets of Barletta, based on their preliminary fair values at the date of the acquisition. We finalized the allocation of the purchase price in the third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values assigned to the Barletta net assets acquired as of the date of acquisition: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11,903</w:t>
            </w:r>
          </w:p>
        </w:tc>
      </w:tr>
      <w:tr>
        <w:trPr>
          <w:trHeight w:val="215"/>
        </w:trPr>
        <w:tc>
          <w:tcPr>
            <w:tcW w:w="90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w:t>
            </w:r>
          </w:p>
        </w:tc>
      </w:tr>
      <w:tr>
        <w:trPr>
          <w:trHeight w:val="215"/>
        </w:trPr>
        <w:tc>
          <w:tcPr>
            <w:tcW w:w="9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111,400</w:t>
            </w:r>
          </w:p>
        </w:tc>
      </w:tr>
      <w:tr>
        <w:trPr>
          <w:trHeight w:val="209"/>
        </w:trPr>
        <w:tc>
          <w:tcPr>
            <w:tcW w:w="9080" w:type="dxa"/>
            <w:vAlign w:val="bottom"/>
          </w:tcPr>
          <w:p>
            <w:pPr>
              <w:ind w:left="240"/>
              <w:spacing w:after="0"/>
              <w:rPr>
                <w:sz w:val="20"/>
                <w:szCs w:val="20"/>
                <w:color w:val="auto"/>
              </w:rPr>
            </w:pPr>
            <w:r>
              <w:rPr>
                <w:rFonts w:ascii="Arial" w:cs="Arial" w:eastAsia="Arial" w:hAnsi="Arial"/>
                <w:sz w:val="16"/>
                <w:szCs w:val="16"/>
                <w:color w:val="auto"/>
              </w:rPr>
              <w:t>Total assets acquired</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301,235</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5"/>
        </w:trPr>
        <w:tc>
          <w:tcPr>
            <w:tcW w:w="908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4,656</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r>
      <w:tr>
        <w:trPr>
          <w:trHeight w:val="209"/>
        </w:trPr>
        <w:tc>
          <w:tcPr>
            <w:tcW w:w="9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liabilities assumed</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14,983</w:t>
            </w:r>
          </w:p>
        </w:tc>
      </w:tr>
      <w:tr>
        <w:trPr>
          <w:trHeight w:val="23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286,252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Goodwill from the Barletta acquisition is recognized in our newly created Marine segment. We expect that the full amount of goodwill will be deductible for tax purposes.</w:t>
      </w:r>
    </w:p>
    <w:p>
      <w:pPr>
        <w:spacing w:after="0" w:line="19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intangible assets acquired include a trade name, dealer network, and backlog. The trade name has an indefinite life, while the dealer network is being amortized on a straight line basis over 12 years. The backlog, which was amortized over 10 months, is fully amortized as of August 27, 2022.</w:t>
      </w:r>
    </w:p>
    <w:p>
      <w:pPr>
        <w:spacing w:after="0" w:line="196"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Total transaction costs related to the Barletta acquisition were $3.1 million, of which $2.4 million were expensed during the first quarter of Fiscal 2022 and $0.7 million were expensed during the fourth quarter of Fiscal 2021. Transaction costs are included in selling, general and administrative expenses in the accompanying Consolidated Statements of Income and Comprehensive Income.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Pro forma results of operations for this acquisition have not been presented as they were immaterial to the reported results.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Corporation</w:t>
      </w:r>
    </w:p>
    <w:p>
      <w:pPr>
        <w:spacing w:after="0" w:line="26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November 8, 2019, pursuant to the terms of the Stock Purchase Agreement dated September 15, 2019 (the "Purchase Agreement"), Winnebago completed the acquisition of 100% of Newmar Corporation, Dutch Real Estate Corp., New-Way Transport, and New-Serv (collectively “Newmar”). Newmar is a leading manufacturer of Class A and Super C motorized recreation vehicles that are sold through an established network of independent authorized dealers throughout North America.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total consideration paid for Newmar, which was subject to purchase price adjustments of $3.3 million as stipulated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share data)</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November 8, 2019</w:t>
            </w:r>
          </w:p>
        </w:tc>
      </w:tr>
      <w:tr>
        <w:trPr>
          <w:trHeight w:val="209"/>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264,434</w:t>
            </w:r>
          </w:p>
        </w:tc>
      </w:tr>
      <w:tr>
        <w:trPr>
          <w:trHeight w:val="215"/>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Winnebago Industries shares: 2,000,000 at $46.29</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92,572</w:t>
            </w:r>
          </w:p>
        </w:tc>
      </w:tr>
      <w:tr>
        <w:trPr>
          <w:trHeight w:val="235"/>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357,006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The cash portion of the purchase price of the acquisition and certain transaction expenses were funded through the private placement of convertible senior notes (as further described in Note 9) and cash on hand. The stock consideration was discounted by 7.0% due to lack of marketability because of the one-year lock-up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The results of Newmar's operations have been included in the Consolidated Financial Statements from the close of the acquisition within the Motorhome segment. The following table provides net revenues and operating loss from the Newmar operating segment included in the consolidated results following the November 8, 2019 closing date:</w:t>
      </w:r>
    </w:p>
    <w:tbl>
      <w:tblPr>
        <w:tblLayout w:type="fixed"/>
        <w:tblInd w:w="0" w:type="dxa"/>
        <w:tblCellMar>
          <w:top w:w="0" w:type="dxa"/>
          <w:left w:w="0" w:type="dxa"/>
          <w:bottom w:w="0" w:type="dxa"/>
          <w:right w:w="0" w:type="dxa"/>
        </w:tblCellMar>
      </w:tblPr>
      <w:tr>
        <w:trPr>
          <w:trHeight w:val="217"/>
        </w:trPr>
        <w:tc>
          <w:tcPr>
            <w:tcW w:w="50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388,383</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4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(3,642)</w:t>
            </w:r>
          </w:p>
        </w:tc>
      </w:tr>
    </w:tbl>
    <w:p>
      <w:pPr>
        <w:spacing w:after="0" w:line="32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The following unaudited pro forma information represents our results of operations as if the Fiscal 2020 acquisition of Newmar had occurred at the beginning of Fiscal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2,508,792</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72,609</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 basic</w:t>
            </w:r>
          </w:p>
        </w:tc>
        <w:tc>
          <w:tcPr>
            <w:tcW w:w="40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40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2.11</w:t>
            </w:r>
          </w:p>
        </w:tc>
      </w:tr>
    </w:tbl>
    <w:p>
      <w:pPr>
        <w:spacing w:after="0" w:line="311"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Newmar had occurred at the beginning of Fiscal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r>
      <w:tr>
        <w:trPr>
          <w:trHeight w:val="210"/>
        </w:trPr>
        <w:tc>
          <w:tcPr>
            <w:tcW w:w="7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p>
        </w:tc>
        <w:tc>
          <w:tcPr>
            <w:tcW w:w="1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w:t>
            </w:r>
          </w:p>
        </w:tc>
      </w:tr>
      <w:tr>
        <w:trPr>
          <w:trHeight w:val="216"/>
        </w:trPr>
        <w:tc>
          <w:tcPr>
            <w:tcW w:w="7780" w:type="dxa"/>
            <w:vAlign w:val="bottom"/>
          </w:tcPr>
          <w:p>
            <w:pPr>
              <w:ind w:left="20"/>
              <w:spacing w:after="0" w:line="216" w:lineRule="exact"/>
              <w:rPr>
                <w:sz w:val="20"/>
                <w:szCs w:val="20"/>
                <w:color w:val="auto"/>
              </w:rPr>
            </w:pPr>
            <w:r>
              <w:rPr>
                <w:rFonts w:ascii="Arial" w:cs="Arial" w:eastAsia="Arial" w:hAnsi="Arial"/>
                <w:sz w:val="16"/>
                <w:szCs w:val="16"/>
                <w:color w:val="auto"/>
              </w:rPr>
              <w:t>Increase in amortization of intangible assets</w:t>
            </w:r>
            <w:r>
              <w:rPr>
                <w:rFonts w:ascii="Arial" w:cs="Arial" w:eastAsia="Arial" w:hAnsi="Arial"/>
                <w:sz w:val="21"/>
                <w:szCs w:val="21"/>
                <w:color w:val="auto"/>
                <w:vertAlign w:val="superscript"/>
              </w:rPr>
              <w:t>(2)</w:t>
            </w:r>
          </w:p>
        </w:tc>
        <w:tc>
          <w:tcPr>
            <w:tcW w:w="18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16"/>
        </w:trPr>
        <w:tc>
          <w:tcPr>
            <w:tcW w:w="7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Expenses related to business combination (transaction costs)</w:t>
            </w:r>
            <w:r>
              <w:rPr>
                <w:rFonts w:ascii="Arial" w:cs="Arial" w:eastAsia="Arial" w:hAnsi="Arial"/>
                <w:sz w:val="21"/>
                <w:szCs w:val="21"/>
                <w:color w:val="auto"/>
                <w:vertAlign w:val="superscript"/>
              </w:rPr>
              <w:t>(3)</w:t>
            </w:r>
          </w:p>
        </w:tc>
        <w:tc>
          <w:tcPr>
            <w:tcW w:w="1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w:t>
            </w:r>
          </w:p>
        </w:tc>
      </w:tr>
      <w:tr>
        <w:trPr>
          <w:trHeight w:val="216"/>
        </w:trPr>
        <w:tc>
          <w:tcPr>
            <w:tcW w:w="7780" w:type="dxa"/>
            <w:vAlign w:val="bottom"/>
          </w:tcPr>
          <w:p>
            <w:pPr>
              <w:ind w:left="20"/>
              <w:spacing w:after="0" w:line="216" w:lineRule="exact"/>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(4)</w:t>
            </w:r>
          </w:p>
        </w:tc>
        <w:tc>
          <w:tcPr>
            <w:tcW w:w="18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(4,356)</w:t>
            </w:r>
          </w:p>
        </w:tc>
      </w:tr>
      <w:tr>
        <w:trPr>
          <w:trHeight w:val="216"/>
        </w:trPr>
        <w:tc>
          <w:tcPr>
            <w:tcW w:w="7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Taxes related to the adjustments to the pro forma data and to the net income of Newmar</w:t>
            </w:r>
            <w:r>
              <w:rPr>
                <w:rFonts w:ascii="Arial" w:cs="Arial" w:eastAsia="Arial" w:hAnsi="Arial"/>
                <w:sz w:val="21"/>
                <w:szCs w:val="21"/>
                <w:color w:val="auto"/>
                <w:vertAlign w:val="superscript"/>
              </w:rPr>
              <w:t>(5)</w:t>
            </w:r>
          </w:p>
        </w:tc>
        <w:tc>
          <w:tcPr>
            <w:tcW w:w="1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r>
    </w:tbl>
    <w:p>
      <w:pPr>
        <w:spacing w:after="0" w:line="69"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Includes amortization adjustments for the backlog intangible asset and the fair-value inventory adjustment.</w:t>
      </w:r>
    </w:p>
    <w:p>
      <w:pPr>
        <w:spacing w:after="0" w:line="5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Includes amortization adjustments for the dealer network and non-compete intangible assets.</w:t>
      </w:r>
    </w:p>
    <w:p>
      <w:pPr>
        <w:spacing w:after="0" w:line="40"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Includes transaction costs related to the Newmar acquisition that were expensed in Fiscal 2020.</w:t>
      </w:r>
    </w:p>
    <w:p>
      <w:pPr>
        <w:spacing w:after="0" w:line="53" w:lineRule="exact"/>
        <w:rPr>
          <w:rFonts w:ascii="Arial" w:cs="Arial" w:eastAsia="Arial" w:hAnsi="Arial"/>
          <w:sz w:val="18"/>
          <w:szCs w:val="18"/>
          <w:color w:val="auto"/>
          <w:vertAlign w:val="superscript"/>
        </w:rPr>
      </w:pPr>
    </w:p>
    <w:p>
      <w:pPr>
        <w:ind w:left="260" w:right="20" w:hanging="252"/>
        <w:spacing w:after="0" w:line="215" w:lineRule="auto"/>
        <w:tabs>
          <w:tab w:leader="none" w:pos="175"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Includes adjustments for cash and non-cash interest expense as well as deferred financing costs. Refer to Note 9 for additional information on our debt structure as a result of the acquisition.</w:t>
      </w:r>
    </w:p>
    <w:p>
      <w:pPr>
        <w:spacing w:after="0" w:line="24"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Calculated using our U.S. federal statutory rate of 21.0%.</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identified seven operating segments: 1) Grand Design towables, 2) Winnebago towables, 3) Winnebago motorhomes, 4) Newmar motorhomes, 5) Chris-Craft marine, 6) Barletta marine, and 7)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0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acquisition of Barletta resulted in a newly created Marine reportable segment effective for the first quarter of Fiscal 2022. The Marine reportable segment consists of the Barletta and Chris-Craft operating segments. Prior year amounts for Chris-Craft have been reclassified from Corporate / All Other category to the Marine segment.</w:t>
      </w:r>
    </w:p>
    <w:p>
      <w:pPr>
        <w:spacing w:after="0" w:line="205"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Our three reportable segments are: Towable (an aggregation of the Grand Design towables and the Winnebago towables operating segments), Motorhome (an aggregation of the Winnebago motorhomes and Newmar motorhomes operating segments), and Marine (an aggregation of the Chris-Craft marine and Barletta marine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 Marine is comprised of products that include boats, along with manufactured products and services.</w:t>
      </w:r>
    </w:p>
    <w:p>
      <w:pPr>
        <w:spacing w:after="0" w:line="21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Corporate / All Other category includes the Winnebago specialty vehicles operating segments as well as certain corporate administration expenses related to the oversight of the enterprise, such as corporate leadership and administration costs.</w:t>
      </w:r>
    </w:p>
    <w:p>
      <w:pPr>
        <w:spacing w:after="0" w:line="18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68"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allocating resources and assessing performance within their respective operating segment. The accounting policies of all reportable segments are the same as those described in Note 1.</w:t>
      </w:r>
    </w:p>
    <w:p>
      <w:pPr>
        <w:spacing w:after="0" w:line="183"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Towable</w:t>
            </w:r>
          </w:p>
        </w:tc>
        <w:tc>
          <w:tcPr>
            <w:tcW w:w="14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2,597,358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2,009,959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1,227,567</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1,911,196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1,056,794</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Marine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425,269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51,812</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10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19,360</w:t>
            </w:r>
          </w:p>
        </w:tc>
        <w:tc>
          <w:tcPr>
            <w:tcW w:w="0" w:type="dxa"/>
            <w:vAlign w:val="bottom"/>
          </w:tcPr>
          <w:p>
            <w:pPr>
              <w:spacing w:after="0"/>
              <w:rPr>
                <w:sz w:val="1"/>
                <w:szCs w:val="1"/>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10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4,957,730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2,355,533</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14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148,276</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Motorhome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237,992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169,205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32,949</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10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(12,802)</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648,928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Towable</w:t>
            </w:r>
          </w:p>
        </w:tc>
        <w:tc>
          <w:tcPr>
            <w:tcW w:w="14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45,703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13,389</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15,061</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Marine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3,927</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10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44,891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32,377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24"/>
                <w:szCs w:val="24"/>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Towable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874,879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790,257</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728,060</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Marine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416,146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102,901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441,349</w:t>
            </w:r>
          </w:p>
        </w:tc>
        <w:tc>
          <w:tcPr>
            <w:tcW w:w="0" w:type="dxa"/>
            <w:vAlign w:val="bottom"/>
          </w:tcPr>
          <w:p>
            <w:pPr>
              <w:spacing w:after="0"/>
              <w:rPr>
                <w:sz w:val="1"/>
                <w:szCs w:val="1"/>
                <w:color w:val="auto"/>
              </w:rPr>
            </w:pPr>
          </w:p>
        </w:tc>
      </w:tr>
      <w:tr>
        <w:trPr>
          <w:trHeight w:val="210"/>
        </w:trPr>
        <w:tc>
          <w:tcPr>
            <w:tcW w:w="482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2,416,657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0"/>
        </w:trPr>
        <w:tc>
          <w:tcPr>
            <w:tcW w:w="48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Reconciliation of net income to consolidated Adjusted EBITDA is as follows: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5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41,313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37,461</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15,997</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r>
      <w:tr>
        <w:trPr>
          <w:trHeight w:val="209"/>
        </w:trPr>
        <w:tc>
          <w:tcPr>
            <w:tcW w:w="5820" w:type="dxa"/>
            <w:vAlign w:val="bottom"/>
          </w:tcPr>
          <w:p>
            <w:pPr>
              <w:ind w:left="40"/>
              <w:spacing w:after="0"/>
              <w:rPr>
                <w:sz w:val="20"/>
                <w:szCs w:val="20"/>
                <w:color w:val="auto"/>
              </w:rPr>
            </w:pPr>
            <w:r>
              <w:rPr>
                <w:rFonts w:ascii="Arial" w:cs="Arial" w:eastAsia="Arial" w:hAnsi="Arial"/>
                <w:sz w:val="16"/>
                <w:szCs w:val="16"/>
                <w:color w:val="auto"/>
              </w:rPr>
              <w:t>EBITDA</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609,692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440,377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152,838</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fair-value inventory step-up</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Acquisition-related costs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9,761</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reserves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expenses </w:t>
            </w:r>
            <w:r>
              <w:rPr>
                <w:rFonts w:ascii="Arial" w:cs="Arial" w:eastAsia="Arial" w:hAnsi="Arial"/>
                <w:sz w:val="21"/>
                <w:szCs w:val="21"/>
                <w:color w:val="auto"/>
                <w:vertAlign w:val="superscript"/>
              </w:rPr>
              <w:t>(1)</w:t>
            </w:r>
          </w:p>
        </w:tc>
        <w:tc>
          <w:tcPr>
            <w:tcW w:w="10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w:t>
            </w: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property, plant and equipment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income</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10"/>
        </w:trPr>
        <w:tc>
          <w:tcPr>
            <w:tcW w:w="58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648,928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168,075</w:t>
            </w:r>
          </w:p>
        </w:tc>
      </w:tr>
      <w:tr>
        <w:trPr>
          <w:trHeight w:val="21"/>
        </w:trPr>
        <w:tc>
          <w:tcPr>
            <w:tcW w:w="5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Balance excludes depreciation expense classified as restructuring as the balance is already included in the EBITDA calculation.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Net revenues by geography are as follows: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5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4,618,130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3,410,588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2,225,028</w:t>
            </w:r>
          </w:p>
        </w:tc>
      </w:tr>
      <w:tr>
        <w:trPr>
          <w:trHeight w:val="215"/>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130,505</w:t>
            </w:r>
          </w:p>
        </w:tc>
      </w:tr>
      <w:tr>
        <w:trPr>
          <w:trHeight w:val="235"/>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4,957,730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2,355,533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Derivatives, Investments, and 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adjusts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68"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7" w:lineRule="exact"/>
        <w:rPr>
          <w:sz w:val="20"/>
          <w:szCs w:val="20"/>
          <w:color w:val="auto"/>
        </w:rPr>
      </w:pPr>
    </w:p>
    <w:p>
      <w:pPr>
        <w:ind w:left="660" w:right="300"/>
        <w:spacing w:after="0" w:line="268"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837"/>
        </w:trPr>
        <w:tc>
          <w:tcPr>
            <w:tcW w:w="5840" w:type="dxa"/>
            <w:vAlign w:val="bottom"/>
            <w:gridSpan w:val="5"/>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9"/>
        </w:trPr>
        <w:tc>
          <w:tcPr>
            <w:tcW w:w="7040" w:type="dxa"/>
            <w:vAlign w:val="bottom"/>
            <w:gridSpan w:val="6"/>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5"/>
        </w:trPr>
        <w:tc>
          <w:tcPr>
            <w:tcW w:w="12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 at</w:t>
            </w: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Fair Value Hierarchy</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10"/>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27, 2022</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5"/>
        </w:trPr>
        <w:tc>
          <w:tcPr>
            <w:tcW w:w="402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020" w:type="dxa"/>
            <w:vAlign w:val="bottom"/>
            <w:gridSpan w:val="2"/>
          </w:tcPr>
          <w:p>
            <w:pPr>
              <w:ind w:left="140"/>
              <w:spacing w:after="0"/>
              <w:rPr>
                <w:sz w:val="20"/>
                <w:szCs w:val="20"/>
                <w:color w:val="auto"/>
              </w:rPr>
            </w:pPr>
            <w:r>
              <w:rPr>
                <w:rFonts w:ascii="Arial" w:cs="Arial" w:eastAsia="Arial" w:hAnsi="Arial"/>
                <w:sz w:val="16"/>
                <w:szCs w:val="16"/>
                <w:color w:val="auto"/>
              </w:rPr>
              <w:t>Fixed income funds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12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4020" w:type="dxa"/>
            <w:vAlign w:val="bottom"/>
            <w:gridSpan w:val="2"/>
          </w:tcPr>
          <w:p>
            <w:pPr>
              <w:ind w:left="200"/>
              <w:spacing w:after="0"/>
              <w:rPr>
                <w:sz w:val="20"/>
                <w:szCs w:val="20"/>
                <w:color w:val="auto"/>
              </w:rPr>
            </w:pPr>
            <w:r>
              <w:rPr>
                <w:rFonts w:ascii="Arial" w:cs="Arial" w:eastAsia="Arial" w:hAnsi="Arial"/>
                <w:sz w:val="16"/>
                <w:szCs w:val="16"/>
                <w:color w:val="auto"/>
              </w:rPr>
              <w:t>Earnout liability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39,812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39,812</w:t>
            </w:r>
          </w:p>
        </w:tc>
      </w:tr>
      <w:tr>
        <w:trPr>
          <w:trHeight w:val="235"/>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98"/>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 at</w:t>
            </w: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Fair Value Hierarchy</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6"/>
                <w:szCs w:val="16"/>
                <w:b w:val="1"/>
                <w:bCs w:val="1"/>
                <w:color w:val="auto"/>
              </w:rPr>
              <w:t>August 28, 2021</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5"/>
        </w:trPr>
        <w:tc>
          <w:tcPr>
            <w:tcW w:w="402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020" w:type="dxa"/>
            <w:vAlign w:val="bottom"/>
            <w:gridSpan w:val="2"/>
          </w:tcPr>
          <w:p>
            <w:pPr>
              <w:ind w:left="140"/>
              <w:spacing w:after="0"/>
              <w:rPr>
                <w:sz w:val="20"/>
                <w:szCs w:val="20"/>
                <w:color w:val="auto"/>
              </w:rPr>
            </w:pPr>
            <w:r>
              <w:rPr>
                <w:rFonts w:ascii="Arial" w:cs="Arial" w:eastAsia="Arial" w:hAnsi="Arial"/>
                <w:sz w:val="16"/>
                <w:szCs w:val="16"/>
                <w:color w:val="auto"/>
              </w:rPr>
              <w:t>Fixed income funds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0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46"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for additional information regarding these plans.</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long-term assets on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of the contingent consideration: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August 27,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ind w:left="180"/>
              <w:spacing w:after="0" w:line="175" w:lineRule="exact"/>
              <w:rPr>
                <w:sz w:val="20"/>
                <w:szCs w:val="20"/>
                <w:color w:val="auto"/>
              </w:rPr>
            </w:pPr>
            <w:r>
              <w:rPr>
                <w:rFonts w:ascii="Arial" w:cs="Arial" w:eastAsia="Arial" w:hAnsi="Arial"/>
                <w:sz w:val="16"/>
                <w:szCs w:val="16"/>
                <w:b w:val="1"/>
                <w:bCs w:val="1"/>
                <w:color w:val="auto"/>
              </w:rPr>
              <w:t>August 28,</w:t>
            </w:r>
          </w:p>
        </w:tc>
      </w:tr>
      <w:tr>
        <w:trPr>
          <w:trHeight w:val="216"/>
        </w:trPr>
        <w:tc>
          <w:tcPr>
            <w:tcW w:w="7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2021</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fair value - contingent consideration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Additions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6"/>
                <w:szCs w:val="16"/>
                <w:color w:val="auto"/>
              </w:rPr>
              <w:t>—</w:t>
            </w: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adjustments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Settlements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Ending fair value - contingent consideration</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The fair value of the earnout liability that will be settled within a year is included in other current liabilities on the Consolidated Balance Sheets. The remaining earnout liability is included in other long-term liabilities on the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1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Fiscal 2022,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13"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w:t>
      </w:r>
    </w:p>
    <w:p>
      <w:pPr>
        <w:spacing w:after="0" w:line="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markets for our publicly traded debt obligations, which is classified as Level 1 in the fair value hierarchy. See Note 9 for information about the fair value of our long-term debt.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21"/>
                <w:szCs w:val="21"/>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c>
          <w:tcPr>
            <w:tcW w:w="0" w:type="dxa"/>
            <w:vAlign w:val="bottom"/>
          </w:tcPr>
          <w:p>
            <w:pPr>
              <w:spacing w:after="0"/>
              <w:rPr>
                <w:sz w:val="1"/>
                <w:szCs w:val="1"/>
                <w:color w:val="auto"/>
              </w:rPr>
            </w:pP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Work-in-process ("WIP")</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198,900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184,611</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183,583</w:t>
            </w:r>
          </w:p>
        </w:tc>
        <w:tc>
          <w:tcPr>
            <w:tcW w:w="0" w:type="dxa"/>
            <w:vAlign w:val="bottom"/>
          </w:tcPr>
          <w:p>
            <w:pPr>
              <w:spacing w:after="0"/>
              <w:rPr>
                <w:sz w:val="1"/>
                <w:szCs w:val="1"/>
                <w:color w:val="auto"/>
              </w:rPr>
            </w:pPr>
          </w:p>
        </w:tc>
      </w:tr>
      <w:tr>
        <w:trPr>
          <w:trHeight w:val="209"/>
        </w:trPr>
        <w:tc>
          <w:tcPr>
            <w:tcW w:w="764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573,178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38,964</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525,769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341,473</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c>
          <w:tcPr>
            <w:tcW w:w="0" w:type="dxa"/>
            <w:vAlign w:val="bottom"/>
          </w:tcPr>
          <w:p>
            <w:pPr>
              <w:spacing w:after="0"/>
              <w:rPr>
                <w:sz w:val="1"/>
                <w:szCs w:val="1"/>
                <w:color w:val="auto"/>
              </w:rPr>
            </w:pP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139,544</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240,893</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573,178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6.</w:t>
        <w:tab/>
        <w:t>Property, Plant,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171,035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147,629</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121,911</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Software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36,815</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31,137</w:t>
            </w:r>
          </w:p>
        </w:tc>
      </w:tr>
      <w:tr>
        <w:trPr>
          <w:trHeight w:val="210"/>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351,938</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160,511</w:t>
            </w:r>
          </w:p>
        </w:tc>
      </w:tr>
      <w:tr>
        <w:trPr>
          <w:trHeight w:val="235"/>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$24.2 million, $18.2 million, and $16.0 million for Fiscal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value of goodwill by reportable segment, with no accumulated impairment losses, for Fiscal 2022, 2021, and 2020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Towable</w:t>
            </w:r>
          </w:p>
        </w:tc>
        <w:tc>
          <w:tcPr>
            <w:tcW w:w="28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Motorhome</w:t>
            </w:r>
          </w:p>
        </w:tc>
        <w:tc>
          <w:tcPr>
            <w:tcW w:w="34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Marine</w:t>
            </w:r>
          </w:p>
        </w:tc>
        <w:tc>
          <w:tcPr>
            <w:tcW w:w="440" w:type="dxa"/>
            <w:vAlign w:val="bottom"/>
          </w:tcPr>
          <w:p>
            <w:pPr>
              <w:spacing w:after="0"/>
              <w:rPr>
                <w:sz w:val="18"/>
                <w:szCs w:val="18"/>
                <w:color w:val="auto"/>
              </w:rPr>
            </w:pPr>
          </w:p>
        </w:tc>
        <w:tc>
          <w:tcPr>
            <w:tcW w:w="1500" w:type="dxa"/>
            <w:vAlign w:val="bottom"/>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235"/>
        </w:trPr>
        <w:tc>
          <w:tcPr>
            <w:tcW w:w="404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Balances at August 29, 2020 </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28, 2021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Barletta</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136,118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3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August 27, 2022</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484,176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There was no activity between the years ended August 29, 2020 and August 28, 2021.</w:t>
      </w:r>
    </w:p>
    <w:p>
      <w:pPr>
        <w:spacing w:after="0" w:line="53" w:lineRule="exact"/>
        <w:rPr>
          <w:rFonts w:ascii="Arial" w:cs="Arial" w:eastAsia="Arial" w:hAnsi="Arial"/>
          <w:sz w:val="21"/>
          <w:szCs w:val="21"/>
          <w:color w:val="auto"/>
          <w:vertAlign w:val="superscript"/>
        </w:rPr>
      </w:pPr>
    </w:p>
    <w:p>
      <w:pPr>
        <w:ind w:left="260" w:hanging="252"/>
        <w:spacing w:after="0" w:line="183" w:lineRule="auto"/>
        <w:tabs>
          <w:tab w:leader="none" w:pos="2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Refer to Note 2 for additional information on the acquisition of Barletta.</w:t>
      </w:r>
    </w:p>
    <w:p>
      <w:pPr>
        <w:spacing w:after="0" w:line="33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valuation used to test goodwill for impairment is dependent upon a number of significant estimates and assumptions, including macroeconomic conditions, growth rates, competitive activities, cost containment, margin expansion and our business plans. We believe these estimates and assumptions are reasonable. However, future changes in the judgments, assumptions and estimates that are used in our goodwill impairment analysis, including discount and tax rates or future cash flow projections, could result in significantly different estimates of the fair values.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August 27, 2022</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Gross Carrying</w:t>
            </w:r>
          </w:p>
        </w:tc>
        <w:tc>
          <w:tcPr>
            <w:tcW w:w="180" w:type="dxa"/>
            <w:vAlign w:val="bottom"/>
          </w:tcPr>
          <w:p>
            <w:pPr>
              <w:spacing w:after="0"/>
              <w:rPr>
                <w:sz w:val="13"/>
                <w:szCs w:val="13"/>
                <w:color w:val="auto"/>
              </w:rPr>
            </w:pPr>
          </w:p>
        </w:tc>
        <w:tc>
          <w:tcPr>
            <w:tcW w:w="1800" w:type="dxa"/>
            <w:vAlign w:val="bottom"/>
            <w:gridSpan w:val="3"/>
          </w:tcPr>
          <w:p>
            <w:pPr>
              <w:jc w:val="center"/>
              <w:ind w:right="339"/>
              <w:spacing w:after="0" w:line="155" w:lineRule="exact"/>
              <w:rPr>
                <w:sz w:val="20"/>
                <w:szCs w:val="20"/>
                <w:color w:val="auto"/>
              </w:rPr>
            </w:pPr>
            <w:r>
              <w:rPr>
                <w:rFonts w:ascii="Arial" w:cs="Arial" w:eastAsia="Arial" w:hAnsi="Arial"/>
                <w:sz w:val="16"/>
                <w:szCs w:val="16"/>
                <w:b w:val="1"/>
                <w:bCs w:val="1"/>
                <w:color w:val="auto"/>
              </w:rPr>
              <w:t>Accumulated</w:t>
            </w:r>
          </w:p>
        </w:tc>
        <w:tc>
          <w:tcPr>
            <w:tcW w:w="16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8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Amortization</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352,250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352,250</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20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179,981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60,518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119,463</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581,205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108,817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472,388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August 28, 2021</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Gross Carrying</w:t>
            </w:r>
          </w:p>
        </w:tc>
        <w:tc>
          <w:tcPr>
            <w:tcW w:w="180" w:type="dxa"/>
            <w:vAlign w:val="bottom"/>
          </w:tcPr>
          <w:p>
            <w:pPr>
              <w:spacing w:after="0"/>
              <w:rPr>
                <w:sz w:val="13"/>
                <w:szCs w:val="13"/>
                <w:color w:val="auto"/>
              </w:rPr>
            </w:pPr>
          </w:p>
        </w:tc>
        <w:tc>
          <w:tcPr>
            <w:tcW w:w="1800" w:type="dxa"/>
            <w:vAlign w:val="bottom"/>
            <w:gridSpan w:val="3"/>
          </w:tcPr>
          <w:p>
            <w:pPr>
              <w:jc w:val="center"/>
              <w:ind w:right="339"/>
              <w:spacing w:after="0" w:line="155" w:lineRule="exact"/>
              <w:rPr>
                <w:sz w:val="20"/>
                <w:szCs w:val="20"/>
                <w:color w:val="auto"/>
              </w:rPr>
            </w:pPr>
            <w:r>
              <w:rPr>
                <w:rFonts w:ascii="Arial" w:cs="Arial" w:eastAsia="Arial" w:hAnsi="Arial"/>
                <w:sz w:val="16"/>
                <w:szCs w:val="16"/>
                <w:b w:val="1"/>
                <w:bCs w:val="1"/>
                <w:color w:val="auto"/>
              </w:rPr>
              <w:t>Accumulated</w:t>
            </w:r>
          </w:p>
        </w:tc>
        <w:tc>
          <w:tcPr>
            <w:tcW w:w="16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8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Amortization</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275,250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20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45,652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113,929</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469,805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79,398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390,407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finite-lived intangible assets as of August 27, 2022 was approximately eight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r>
      <w:tr>
        <w:trPr>
          <w:trHeight w:val="209"/>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15,226</w:t>
            </w:r>
          </w:p>
        </w:tc>
      </w:tr>
      <w:tr>
        <w:trPr>
          <w:trHeight w:val="215"/>
        </w:trPr>
        <w:tc>
          <w:tcPr>
            <w:tcW w:w="928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15,124</w:t>
            </w:r>
          </w:p>
        </w:tc>
      </w:tr>
      <w:tr>
        <w:trPr>
          <w:trHeight w:val="217"/>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14,919</w:t>
            </w:r>
          </w:p>
        </w:tc>
      </w:tr>
      <w:tr>
        <w:trPr>
          <w:trHeight w:val="215"/>
        </w:trPr>
        <w:tc>
          <w:tcPr>
            <w:tcW w:w="928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14,865</w:t>
            </w:r>
          </w:p>
        </w:tc>
      </w:tr>
      <w:tr>
        <w:trPr>
          <w:trHeight w:val="217"/>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14,865</w:t>
            </w:r>
          </w:p>
        </w:tc>
      </w:tr>
      <w:tr>
        <w:trPr>
          <w:trHeight w:val="215"/>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45,139</w:t>
            </w:r>
          </w:p>
        </w:tc>
      </w:tr>
      <w:tr>
        <w:trPr>
          <w:trHeight w:val="235"/>
        </w:trPr>
        <w:tc>
          <w:tcPr>
            <w:tcW w:w="9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amortization expense remaining</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120,138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Product Warranties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9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5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8"/>
              </w:rPr>
              <w:t>44,436</w:t>
            </w:r>
          </w:p>
        </w:tc>
      </w:tr>
      <w:tr>
        <w:trPr>
          <w:trHeight w:val="216"/>
        </w:trPr>
        <w:tc>
          <w:tcPr>
            <w:tcW w:w="582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acquisitions</w:t>
            </w:r>
            <w:r>
              <w:rPr>
                <w:rFonts w:ascii="Arial" w:cs="Arial" w:eastAsia="Arial" w:hAnsi="Arial"/>
                <w:sz w:val="21"/>
                <w:szCs w:val="21"/>
                <w:color w:val="auto"/>
                <w:vertAlign w:val="superscript"/>
              </w:rPr>
              <w:t>(1)</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center"/>
              <w:ind w:left="619"/>
              <w:spacing w:after="0"/>
              <w:rPr>
                <w:sz w:val="20"/>
                <w:szCs w:val="20"/>
                <w:color w:val="auto"/>
              </w:rPr>
            </w:pPr>
            <w:r>
              <w:rPr>
                <w:rFonts w:ascii="Arial" w:cs="Arial" w:eastAsia="Arial" w:hAnsi="Arial"/>
                <w:sz w:val="16"/>
                <w:szCs w:val="16"/>
                <w:color w:val="auto"/>
                <w:w w:val="98"/>
              </w:rPr>
              <w:t>15,147</w:t>
            </w: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119,286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89,951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8"/>
              </w:rPr>
              <w:t>61,898</w:t>
            </w:r>
          </w:p>
        </w:tc>
      </w:tr>
      <w:tr>
        <w:trPr>
          <w:trHeight w:val="215"/>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(62,760)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rPr>
              <w:t>(57,450)</w:t>
            </w:r>
          </w:p>
        </w:tc>
      </w:tr>
      <w:tr>
        <w:trPr>
          <w:trHeight w:val="23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127,932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91,222</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center"/>
              <w:ind w:left="619"/>
              <w:spacing w:after="0"/>
              <w:rPr>
                <w:sz w:val="20"/>
                <w:szCs w:val="20"/>
                <w:color w:val="auto"/>
              </w:rPr>
            </w:pPr>
            <w:r>
              <w:rPr>
                <w:rFonts w:ascii="Arial" w:cs="Arial" w:eastAsia="Arial" w:hAnsi="Arial"/>
                <w:sz w:val="16"/>
                <w:szCs w:val="16"/>
                <w:color w:val="auto"/>
                <w:w w:val="98"/>
              </w:rPr>
              <w:t>64,031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Refer to Note 2 for additional information regarding the acquisition of Barletta on August 31, 2021 and the acquisition of Newmar on November 8, 2019.</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Long-Term Debt</w:t>
      </w:r>
    </w:p>
    <w:p>
      <w:pPr>
        <w:spacing w:after="0" w:line="26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On July 15, 2022, we amended and restated our existing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borrowings is at a floating rate based upon our election, either term SOFR or REVSOFR30 (as defined in the credit agreement), plus, in each case, a credit spread adjustment of</w:t>
      </w:r>
    </w:p>
    <w:p>
      <w:pPr>
        <w:spacing w:after="0" w:line="3"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0.10%, as well as an applicable spread between 1.25% and 1.75%, depending on the usage of the facility during the most recent quarter. Based on current usage, we would pay an applicable spread of 1.25%. In connection with the amendment, we capitalized $1.2 million of issuance costs that will be amortized over the five-year term of the agreement.</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our existing and future assets (other than certain collateral under our ABL facility) and (ii) a second-priority lien on our present and future receivables, inventory and other related assets and proceeds that secure the ABL facility on a first-priority basis.</w:t>
      </w:r>
    </w:p>
    <w:p>
      <w:pPr>
        <w:spacing w:after="0" w:line="20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Indenture limits certain of our abilities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our restricted subsidiaries to pay dividends or make other inter-company distributions; engage in certain transactions with affiliates; designate subsidiaries as unrestricted subsidiaries; and consolidate, merge or transfer all or substantially all of our assets and the assets of our restricted subsidiaries.</w:t>
      </w:r>
    </w:p>
    <w:p>
      <w:pPr>
        <w:spacing w:after="0" w:line="19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our election, at an initial conversion rate of 15.6906 shares of common stock per $1,000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186"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our current intent to settle all conversions of the Convertible Notes in cash. Our ability to cash settle may be limited depending on the stock price at the time of conversion.</w:t>
      </w:r>
    </w:p>
    <w:p>
      <w:pPr>
        <w:spacing w:after="0" w:line="21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196" w:lineRule="exact"/>
        <w:rPr>
          <w:sz w:val="20"/>
          <w:szCs w:val="20"/>
          <w:color w:val="auto"/>
        </w:rPr>
      </w:pPr>
    </w:p>
    <w:p>
      <w:pPr>
        <w:ind w:left="660" w:right="700" w:hanging="328"/>
        <w:spacing w:after="0" w:line="26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76" w:lineRule="exact"/>
        <w:rPr>
          <w:rFonts w:ascii="Arial" w:cs="Arial" w:eastAsia="Arial" w:hAnsi="Arial"/>
          <w:sz w:val="16"/>
          <w:szCs w:val="16"/>
          <w:color w:val="auto"/>
        </w:rPr>
      </w:pPr>
    </w:p>
    <w:p>
      <w:pPr>
        <w:ind w:left="660" w:hanging="328"/>
        <w:spacing w:after="0" w:line="26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76"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Convertible Notes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6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 and are expected generally to reduce the potential dilution and/or offset any cash payments we are required to make in excess of the principal amount due, as the case may be, upon conversion of the Convertible Notes in the event that the market price of our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our common stock on October 29, 2019. The Warrant Transactions could have a dilutive effect to our shareholders to the extent that the market price per share of our common stock, as measured under the terms of the Warrant Transactions, exceeds the applicable strike price of the warrants.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We used $28.6 million of the net proceeds from the issuance of the Convertible Notes to pay the cost of the Call Spread Transactions.</w:t>
      </w:r>
    </w:p>
    <w:p>
      <w:pPr>
        <w:spacing w:after="0" w:line="20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net cost incurred in connection with the Call Spread Transactions was $11.2 million. These transactions are classified as equity and are not remeasured each reporting period. We bifurcated the proceeds from the offering of the Convertible Notes between liability and equity components. On the date of issuance, the liability and equity components were calculated to be approximately $215.0 million and $85.0 million, respectively. The initial $215.0</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million liability component was determined based on the fair value of similar debt instruments excluding the conversion feature assuming a hypothetical interest rate of 8.0%. The initial $85.0 million ($64.1 million net of tax) equity component represents the difference between the fair value of the initial $215.0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million in debt and the $300.0 million of gross proceeds. The related initial debt discount of $85.0 million is being amortized over the life of the Convertible Notes as non-cash interest expense using the effective interest method.</w:t>
      </w:r>
    </w:p>
    <w:p>
      <w:pPr>
        <w:spacing w:after="0" w:line="19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 connection with the above-noted transactions, we incurred approximately $9.8 million of offering-related costs. These offering fees were allocated to the liability and equity components in proportion to the allocation of proceeds and accounted for as debt and equity issuance costs, respectively. We allocated $7.0 million of debt issuance costs to the liability component, which were capitalized as deferred financing costs within long-term debt, net on the Consolidated Balance Sheets.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August 27, 2022</w:t>
            </w: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09"/>
        </w:trPr>
        <w:tc>
          <w:tcPr>
            <w:tcW w:w="764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(60,366)</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(11,075)</w:t>
            </w:r>
          </w:p>
        </w:tc>
      </w:tr>
      <w:tr>
        <w:trPr>
          <w:trHeight w:val="235"/>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As of August 27, 2022 and August 28, 2021, the fair value of long-term debt, gross, was $634.2 million and $726.6 million, respectively. We are in compliance with all of our debt covenants as of August 27, 2022.</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r>
      <w:tr>
        <w:trPr>
          <w:trHeight w:val="210"/>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5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15"/>
        </w:trPr>
        <w:tc>
          <w:tcPr>
            <w:tcW w:w="95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10"/>
        </w:trPr>
        <w:tc>
          <w:tcPr>
            <w:tcW w:w="9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Long-term debt, gross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4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Our leases primarily include operating leases for equipment and real estate, including office space and manufacturing space. Financing leases are primarily for real estate and solar energy producing equipment. For any lease with an initial term in excess of 12 months, the related lease assets and liabilities are</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recognized on the Consolidated Balance Sheets as either operating or finance leases at the inception of an agreement when it is determined that a lease exists. We have lease agreements that contain both lease and non-lease components, and have elected to combine lease and non-lease components for all classes of assets. Leases with an initial term of 12 months or less are not recorded on the Consolidated Balance Sheets. We recognize lease expense for these leases on a straight-line basis over the lease term. When the terms of multiple lease agreements are materially consistent, we have elected the portfolio approach for our asset and liability calculations.</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The assumed lease terms generally do not include options to extend or terminate the lease unless it is reasonably certain that the option will be exercised.</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Some of our real estate operating leases require payment of real estate taxes, common area maintenance, and insurance. In addition, some of the leases are subject to annual changes in the consumer price index. These components comprise the majority of our variable lease cost and are excluded from the present value of the lease obligations. Fixed payments may contain predetermined fixed rent escalations. For operating leases, we recognize the related rent expense on a straight-line basis from the commencement date to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supplemental balance sheet information related to our leases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August 27, 2022</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28, 2021</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760" w:type="dxa"/>
            <w:vAlign w:val="bottom"/>
          </w:tcPr>
          <w:p>
            <w:pPr>
              <w:ind w:left="660"/>
              <w:spacing w:after="0"/>
              <w:rPr>
                <w:sz w:val="20"/>
                <w:szCs w:val="20"/>
                <w:color w:val="auto"/>
              </w:rPr>
            </w:pPr>
            <w:r>
              <w:rPr>
                <w:rFonts w:ascii="Arial" w:cs="Arial" w:eastAsia="Arial" w:hAnsi="Arial"/>
                <w:sz w:val="16"/>
                <w:szCs w:val="16"/>
                <w:color w:val="auto"/>
              </w:rPr>
              <w:t>Operating lease assets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41,131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28,379</w:t>
            </w: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3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long-term assets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6,672</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0" w:type="dxa"/>
            <w:vAlign w:val="bottom"/>
          </w:tcPr>
          <w:p>
            <w:pPr>
              <w:spacing w:after="0"/>
              <w:rPr>
                <w:sz w:val="1"/>
                <w:szCs w:val="1"/>
                <w:color w:val="auto"/>
              </w:rPr>
            </w:pPr>
          </w:p>
        </w:tc>
      </w:tr>
      <w:tr>
        <w:trPr>
          <w:trHeight w:val="209"/>
        </w:trPr>
        <w:tc>
          <w:tcPr>
            <w:tcW w:w="3560" w:type="dxa"/>
            <w:vAlign w:val="bottom"/>
          </w:tcPr>
          <w:p>
            <w:pPr>
              <w:ind w:left="140"/>
              <w:spacing w:after="0"/>
              <w:rPr>
                <w:sz w:val="20"/>
                <w:szCs w:val="20"/>
                <w:color w:val="auto"/>
              </w:rPr>
            </w:pPr>
            <w:r>
              <w:rPr>
                <w:rFonts w:ascii="Arial" w:cs="Arial" w:eastAsia="Arial" w:hAnsi="Arial"/>
                <w:sz w:val="16"/>
                <w:szCs w:val="16"/>
                <w:color w:val="auto"/>
              </w:rPr>
              <w:t>Total lease assets</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47,803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33,350</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leases</w:t>
            </w:r>
          </w:p>
        </w:tc>
        <w:tc>
          <w:tcPr>
            <w:tcW w:w="3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current liabilities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Current: Finance leases</w:t>
            </w:r>
          </w:p>
        </w:tc>
        <w:tc>
          <w:tcPr>
            <w:tcW w:w="3760" w:type="dxa"/>
            <w:vAlign w:val="bottom"/>
          </w:tcPr>
          <w:p>
            <w:pPr>
              <w:ind w:left="66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974</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leases</w:t>
            </w:r>
          </w:p>
        </w:tc>
        <w:tc>
          <w:tcPr>
            <w:tcW w:w="3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40,426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26,745</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leases</w:t>
            </w:r>
          </w:p>
        </w:tc>
        <w:tc>
          <w:tcPr>
            <w:tcW w:w="37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6,690</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5,313</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52,805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Operating lease costs incurred are as follows:</w:t>
            </w:r>
          </w:p>
        </w:tc>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56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August 27, 2022</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28, 2021</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(1)</w:t>
            </w:r>
          </w:p>
        </w:tc>
        <w:tc>
          <w:tcPr>
            <w:tcW w:w="3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Costs of goods sold and SG&amp;A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of lease assets</w:t>
            </w:r>
          </w:p>
        </w:tc>
        <w:tc>
          <w:tcPr>
            <w:tcW w:w="3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Costs of goods sold and SG&amp;A</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on lease liabilities</w:t>
            </w:r>
          </w:p>
        </w:tc>
        <w:tc>
          <w:tcPr>
            <w:tcW w:w="37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3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2"/>
          <w:szCs w:val="12"/>
          <w:color w:val="auto"/>
        </w:rPr>
        <w:t>Operating lease expense includes short-term leases and variable lease payments, which are immaterial.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Our future lease commitments as of August 27, 2022 included the following related party and non-related party leases: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4"/>
          </w:tcPr>
          <w:p>
            <w:pPr>
              <w:jc w:val="center"/>
              <w:ind w:left="1059"/>
              <w:spacing w:after="0"/>
              <w:rPr>
                <w:sz w:val="20"/>
                <w:szCs w:val="20"/>
                <w:color w:val="auto"/>
              </w:rPr>
            </w:pPr>
            <w:r>
              <w:rPr>
                <w:rFonts w:ascii="Arial" w:cs="Arial" w:eastAsia="Arial" w:hAnsi="Arial"/>
                <w:sz w:val="16"/>
                <w:szCs w:val="16"/>
                <w:b w:val="1"/>
                <w:bCs w:val="1"/>
                <w:color w:val="auto"/>
              </w:rPr>
              <w:t>Operating Leases as of August 27, 2022</w:t>
            </w: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Financing Leases</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Related Party Amount</w:t>
            </w:r>
          </w:p>
        </w:tc>
        <w:tc>
          <w:tcPr>
            <w:tcW w:w="220" w:type="dxa"/>
            <w:vAlign w:val="bottom"/>
          </w:tcPr>
          <w:p>
            <w:pPr>
              <w:spacing w:after="0"/>
              <w:rPr>
                <w:sz w:val="13"/>
                <w:szCs w:val="13"/>
                <w:color w:val="auto"/>
              </w:rPr>
            </w:pPr>
          </w:p>
        </w:tc>
        <w:tc>
          <w:tcPr>
            <w:tcW w:w="17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Non-Related Party</w:t>
            </w:r>
          </w:p>
        </w:tc>
        <w:tc>
          <w:tcPr>
            <w:tcW w:w="700" w:type="dxa"/>
            <w:vAlign w:val="bottom"/>
          </w:tcPr>
          <w:p>
            <w:pPr>
              <w:spacing w:after="0"/>
              <w:rPr>
                <w:sz w:val="13"/>
                <w:szCs w:val="13"/>
                <w:color w:val="auto"/>
              </w:rPr>
            </w:pPr>
          </w:p>
        </w:tc>
        <w:tc>
          <w:tcPr>
            <w:tcW w:w="1240" w:type="dxa"/>
            <w:vAlign w:val="bottom"/>
            <w:vMerge w:val="restart"/>
          </w:tcPr>
          <w:p>
            <w:pPr>
              <w:jc w:val="right"/>
              <w:ind w:right="679"/>
              <w:spacing w:after="0"/>
              <w:rPr>
                <w:sz w:val="20"/>
                <w:szCs w:val="20"/>
                <w:color w:val="auto"/>
              </w:rPr>
            </w:pPr>
            <w:r>
              <w:rPr>
                <w:rFonts w:ascii="Arial" w:cs="Arial" w:eastAsia="Arial" w:hAnsi="Arial"/>
                <w:sz w:val="16"/>
                <w:szCs w:val="16"/>
                <w:b w:val="1"/>
                <w:bCs w:val="1"/>
                <w:color w:val="auto"/>
              </w:rPr>
              <w:t>Total</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Non-Related Party Amount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w:t>
            </w:r>
          </w:p>
        </w:tc>
        <w:tc>
          <w:tcPr>
            <w:tcW w:w="7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5,352</w:t>
            </w: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7,152</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4,930</w:t>
            </w: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6,730</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18,031</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22,231</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future undiscounted lease payments</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43,793</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56,693</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9,205</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8,984</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11,552</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35"/>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reported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34,809</w:t>
            </w:r>
          </w:p>
        </w:tc>
        <w:tc>
          <w:tcPr>
            <w:tcW w:w="7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45,141</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61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071"/>
        </w:trPr>
        <w:tc>
          <w:tcPr>
            <w:tcW w:w="6100" w:type="dxa"/>
            <w:vAlign w:val="bottom"/>
            <w:gridSpan w:val="2"/>
          </w:tcPr>
          <w:p>
            <w:pPr>
              <w:spacing w:after="0"/>
              <w:rPr>
                <w:sz w:val="20"/>
                <w:szCs w:val="20"/>
                <w:color w:val="auto"/>
              </w:rPr>
            </w:pPr>
            <w:r>
              <w:rPr>
                <w:rFonts w:ascii="Arial" w:cs="Arial" w:eastAsia="Arial" w:hAnsi="Arial"/>
                <w:sz w:val="16"/>
                <w:szCs w:val="16"/>
                <w:color w:val="auto"/>
              </w:rPr>
              <w:t>Additional information related to our leases is as follows:</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2"/>
        </w:trPr>
        <w:tc>
          <w:tcPr>
            <w:tcW w:w="126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August 27, 2022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August 28, 2021</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3,666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2,589</w:t>
            </w:r>
          </w:p>
        </w:tc>
      </w:tr>
      <w:tr>
        <w:trPr>
          <w:trHeight w:val="21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financing leases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327</w:t>
            </w:r>
          </w:p>
        </w:tc>
      </w:tr>
      <w:tr>
        <w:trPr>
          <w:trHeight w:val="215"/>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Financing cash flows from financing leases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572</w:t>
            </w:r>
          </w:p>
        </w:tc>
      </w:tr>
      <w:tr>
        <w:trPr>
          <w:trHeight w:val="217"/>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Weighted average discount rate: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5"/>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Finance leases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844"/>
        </w:trPr>
        <w:tc>
          <w:tcPr>
            <w:tcW w:w="6100" w:type="dxa"/>
            <w:vAlign w:val="bottom"/>
            <w:gridSpan w:val="2"/>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4"/>
        </w:trPr>
        <w:tc>
          <w:tcPr>
            <w:tcW w:w="6100" w:type="dxa"/>
            <w:vAlign w:val="bottom"/>
            <w:gridSpan w:val="2"/>
          </w:tcPr>
          <w:p>
            <w:pPr>
              <w:spacing w:after="0"/>
              <w:rPr>
                <w:sz w:val="20"/>
                <w:szCs w:val="20"/>
                <w:color w:val="auto"/>
              </w:rPr>
            </w:pPr>
            <w:r>
              <w:rPr>
                <w:rFonts w:ascii="Arial" w:cs="Arial" w:eastAsia="Arial" w:hAnsi="Arial"/>
                <w:sz w:val="16"/>
                <w:szCs w:val="16"/>
                <w:color w:val="auto"/>
              </w:rPr>
              <w:t>Deferred compensation benefits are as follows:</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26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27, 2022</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9,731</w:t>
            </w:r>
          </w:p>
        </w:tc>
      </w:tr>
      <w:tr>
        <w:trPr>
          <w:trHeight w:val="215"/>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Supplemental executive retirement plan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1,615</w:t>
            </w:r>
          </w:p>
        </w:tc>
      </w:tr>
      <w:tr>
        <w:trPr>
          <w:trHeight w:val="217"/>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1,029</w:t>
            </w:r>
          </w:p>
        </w:tc>
      </w:tr>
      <w:tr>
        <w:trPr>
          <w:trHeight w:val="209"/>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Total deferred compensation benefits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12,375</w:t>
            </w:r>
          </w:p>
        </w:tc>
      </w:tr>
      <w:tr>
        <w:trPr>
          <w:trHeight w:val="217"/>
        </w:trPr>
        <w:tc>
          <w:tcPr>
            <w:tcW w:w="610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2,825</w:t>
            </w:r>
          </w:p>
        </w:tc>
      </w:tr>
      <w:tr>
        <w:trPr>
          <w:trHeight w:val="210"/>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5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8,145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9,550</w:t>
            </w:r>
          </w:p>
        </w:tc>
      </w:tr>
      <w:tr>
        <w:trPr>
          <w:trHeight w:val="20"/>
        </w:trPr>
        <w:tc>
          <w:tcPr>
            <w:tcW w:w="1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tabs>
          <w:tab w:leader="none" w:pos="280" w:val="left"/>
        </w:tabs>
        <w:rPr>
          <w:sz w:val="20"/>
          <w:szCs w:val="20"/>
          <w:color w:val="auto"/>
        </w:rPr>
      </w:pP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4"/>
          <w:szCs w:val="14"/>
          <w:color w:val="auto"/>
        </w:rPr>
        <w:t>Included in accrued compensation on the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Deferred Compensation</w:t>
      </w:r>
    </w:p>
    <w:p>
      <w:pPr>
        <w:spacing w:after="0" w:line="11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$0.6 million, $0.8 million, and $0.9 million in Fiscal 2022, 2021, and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Executive Retirement Plan ("SERP")</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in investment in life insurance in the Consolidated Balance Sheets and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value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67,201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98"/>
              </w:rPr>
              <w:t>66,544</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Borrowings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rPr>
              <w:t>(38,577)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rPr>
              <w:t>(37,723)</w:t>
            </w:r>
          </w:p>
        </w:tc>
      </w:tr>
      <w:tr>
        <w:trPr>
          <w:trHeight w:val="235"/>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28,624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98"/>
              </w:rPr>
              <w:t>28,821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Deferred Compensation Plan</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long-term assets in the Consolidated Balance Sheets. Such assets on August 27, 2022 and August 28, 2021 were $1.4 million and $1.0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a qualified profit sharing and contributory 401(k) plan for eligible employees. The plan provides matching contributions made by Winnebago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Industries and discretionary contributions as approved by the Board of Directors. Matching contributions to the plan for Fiscal 2022, 2021, and 2020 were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$12.0 million, $5.6 million, and $3.4 million, respectively. Discretionary contributions of $12.1 million and $6.1 million were approved in Fiscal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discretionary contributions were approved for Fiscal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1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9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$1,783.7 million and $552.1 million as of August 27, 2022 and August 28, 2021, respectively.</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$1.4 million and $0.9 million as of August 27, 2022 and August 28, 2021,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for repurchased units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units)</w:t>
            </w:r>
          </w:p>
        </w:tc>
        <w:tc>
          <w:tcPr>
            <w:tcW w:w="2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Inventory repurchased:</w:t>
            </w: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920" w:type="dxa"/>
            <w:vAlign w:val="bottom"/>
          </w:tcPr>
          <w:p>
            <w:pPr>
              <w:ind w:left="220"/>
              <w:spacing w:after="0"/>
              <w:rPr>
                <w:sz w:val="20"/>
                <w:szCs w:val="20"/>
                <w:color w:val="auto"/>
              </w:rPr>
            </w:pPr>
            <w:r>
              <w:rPr>
                <w:rFonts w:ascii="Arial" w:cs="Arial" w:eastAsia="Arial" w:hAnsi="Arial"/>
                <w:sz w:val="16"/>
                <w:szCs w:val="16"/>
                <w:color w:val="auto"/>
              </w:rPr>
              <w:t>Units</w:t>
            </w:r>
          </w:p>
        </w:tc>
        <w:tc>
          <w:tcPr>
            <w:tcW w:w="2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Dollars</w:t>
            </w:r>
          </w:p>
        </w:tc>
        <w:tc>
          <w:tcPr>
            <w:tcW w:w="2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Inventory resold:</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Units</w:t>
            </w: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3920" w:type="dxa"/>
            <w:vAlign w:val="bottom"/>
          </w:tcPr>
          <w:p>
            <w:pPr>
              <w:ind w:left="220"/>
              <w:spacing w:after="0"/>
              <w:rPr>
                <w:sz w:val="20"/>
                <w:szCs w:val="20"/>
                <w:color w:val="auto"/>
              </w:rPr>
            </w:pPr>
            <w:r>
              <w:rPr>
                <w:rFonts w:ascii="Arial" w:cs="Arial" w:eastAsia="Arial" w:hAnsi="Arial"/>
                <w:sz w:val="16"/>
                <w:szCs w:val="16"/>
                <w:color w:val="auto"/>
              </w:rPr>
              <w:t>Cash collected</w:t>
            </w:r>
          </w:p>
        </w:tc>
        <w:tc>
          <w:tcPr>
            <w:tcW w:w="23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2,540</w:t>
            </w: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recognized</w:t>
            </w:r>
          </w:p>
        </w:tc>
        <w:tc>
          <w:tcPr>
            <w:tcW w:w="2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2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Units in ending inventory</w:t>
            </w:r>
          </w:p>
        </w:tc>
        <w:tc>
          <w:tcPr>
            <w:tcW w:w="23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Revenue Recognition</w:t>
      </w:r>
    </w:p>
    <w:p>
      <w:pPr>
        <w:spacing w:after="0" w:line="26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non-motorized towable units, motorhome units and marine units to our independent dealer network (our customers). The following table disaggregates revenue by reportable segment and product category:</w:t>
      </w:r>
    </w:p>
    <w:tbl>
      <w:tblPr>
        <w:tblLayout w:type="fixed"/>
        <w:tblInd w:w="0" w:type="dxa"/>
        <w:tblCellMar>
          <w:top w:w="0" w:type="dxa"/>
          <w:left w:w="0" w:type="dxa"/>
          <w:bottom w:w="0" w:type="dxa"/>
          <w:right w:w="0" w:type="dxa"/>
        </w:tblCellMar>
      </w:tblPr>
      <w:tr>
        <w:trPr>
          <w:trHeight w:val="217"/>
        </w:trPr>
        <w:tc>
          <w:tcPr>
            <w:tcW w:w="5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Towable: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1,260,871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690,452</w:t>
            </w:r>
          </w:p>
        </w:tc>
      </w:tr>
      <w:tr>
        <w:trPr>
          <w:trHeight w:val="215"/>
        </w:trPr>
        <w:tc>
          <w:tcPr>
            <w:tcW w:w="580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1,296,591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959,716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519,282</w:t>
            </w:r>
          </w:p>
        </w:tc>
      </w:tr>
      <w:tr>
        <w:trPr>
          <w:trHeight w:val="217"/>
        </w:trPr>
        <w:tc>
          <w:tcPr>
            <w:tcW w:w="580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17,833</w:t>
            </w:r>
          </w:p>
        </w:tc>
      </w:tr>
      <w:tr>
        <w:trPr>
          <w:trHeight w:val="209"/>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Towable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2,597,358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2,009,959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1,227,567</w:t>
            </w:r>
          </w:p>
        </w:tc>
      </w:tr>
      <w:tr>
        <w:trPr>
          <w:trHeight w:val="19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5800" w:type="dxa"/>
            <w:vAlign w:val="bottom"/>
          </w:tcPr>
          <w:p>
            <w:pPr>
              <w:ind w:left="140"/>
              <w:spacing w:after="0"/>
              <w:rPr>
                <w:sz w:val="20"/>
                <w:szCs w:val="20"/>
                <w:color w:val="auto"/>
              </w:rPr>
            </w:pPr>
            <w:r>
              <w:rPr>
                <w:rFonts w:ascii="Arial" w:cs="Arial" w:eastAsia="Arial" w:hAnsi="Arial"/>
                <w:sz w:val="16"/>
                <w:szCs w:val="16"/>
                <w:color w:val="auto"/>
              </w:rPr>
              <w:t>Class A</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786,740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690,146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479,120</w:t>
            </w:r>
          </w:p>
        </w:tc>
      </w:tr>
      <w:tr>
        <w:trPr>
          <w:trHeight w:val="217"/>
        </w:trPr>
        <w:tc>
          <w:tcPr>
            <w:tcW w:w="5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332,961</w:t>
            </w:r>
          </w:p>
        </w:tc>
      </w:tr>
      <w:tr>
        <w:trPr>
          <w:trHeight w:val="216"/>
        </w:trPr>
        <w:tc>
          <w:tcPr>
            <w:tcW w:w="58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316,738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244,713</w:t>
            </w:r>
          </w:p>
        </w:tc>
      </w:tr>
      <w:tr>
        <w:trPr>
          <w:trHeight w:val="209"/>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1,911,196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1,056,794</w:t>
            </w: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Marine: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425,269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60,209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51,812</w:t>
            </w:r>
          </w:p>
        </w:tc>
      </w:tr>
      <w:tr>
        <w:trPr>
          <w:trHeight w:val="217"/>
        </w:trPr>
        <w:tc>
          <w:tcPr>
            <w:tcW w:w="5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19,360</w:t>
            </w:r>
          </w:p>
        </w:tc>
      </w:tr>
      <w:tr>
        <w:trPr>
          <w:trHeight w:val="210"/>
        </w:trPr>
        <w:tc>
          <w:tcPr>
            <w:tcW w:w="5800" w:type="dxa"/>
            <w:vAlign w:val="bottom"/>
          </w:tcPr>
          <w:p>
            <w:pPr>
              <w:ind w:left="360"/>
              <w:spacing w:after="0"/>
              <w:rPr>
                <w:sz w:val="20"/>
                <w:szCs w:val="20"/>
                <w:color w:val="auto"/>
              </w:rPr>
            </w:pPr>
            <w:r>
              <w:rPr>
                <w:rFonts w:ascii="Arial" w:cs="Arial" w:eastAsia="Arial" w:hAnsi="Arial"/>
                <w:sz w:val="16"/>
                <w:szCs w:val="16"/>
                <w:color w:val="auto"/>
              </w:rPr>
              <w:t>Consolidated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4,957,730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3,629,847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2,355,533</w:t>
            </w:r>
          </w:p>
        </w:tc>
      </w:tr>
      <w:tr>
        <w:trPr>
          <w:trHeight w:val="20"/>
        </w:trPr>
        <w:tc>
          <w:tcPr>
            <w:tcW w:w="5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spacing w:after="0" w:line="39" w:lineRule="exact"/>
        <w:rPr>
          <w:rFonts w:ascii="Arial" w:cs="Arial" w:eastAsia="Arial" w:hAnsi="Arial"/>
          <w:sz w:val="21"/>
          <w:szCs w:val="21"/>
          <w:color w:val="auto"/>
          <w:vertAlign w:val="superscript"/>
        </w:rPr>
      </w:pPr>
    </w:p>
    <w:p>
      <w:pPr>
        <w:ind w:left="300" w:hanging="292"/>
        <w:spacing w:after="0" w:line="183" w:lineRule="auto"/>
        <w:tabs>
          <w:tab w:leader="none" w:pos="30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Relates to specialty vehicle units, parts, accessories, and services.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material contract assets or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revenues for Fiscal 2022,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 Plans</w:t>
      </w:r>
    </w:p>
    <w:p>
      <w:pPr>
        <w:spacing w:after="0" w:line="26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in the same manner as options, except for time-based share awards to directors which vest one year from the grant date.</w:t>
      </w:r>
    </w:p>
    <w:p>
      <w:pPr>
        <w:spacing w:after="0" w:line="21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Beginning with our annual grant of restricted stock units in October 2018, dividend equivalents are attached to restricted stock units equal to dividends payable on the same number of shares of our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21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Employee Stock Purchase Plan ("ESPP") permits employees to purchase Winnebago Industries, Inc. common stock at a 15% discount from the market price at the end of semi-annual purchase periods and is compensatory. In Fiscal 2022 and 2021, 42,000 shares and 24,000 shares, respectively, were purchased through the ESPP. Plan participants had accumulated $0.4 million for each period ended August 27, 2022 and August 28, 2021 to purchase our common stock pursuant to this plan.</w:t>
      </w:r>
    </w:p>
    <w:p>
      <w:pPr>
        <w:spacing w:after="0" w:line="200"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color w:val="auto"/>
        </w:rPr>
        <w:t>Compensation expense associated with share-based awards is recognized on a straight-line basis over the required service period and forfeitures are recorded when they occur. Total stock-based compensation expense for the past three fiscal years consisted of the following components: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awards: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840" w:type="dxa"/>
            <w:vAlign w:val="bottom"/>
          </w:tcPr>
          <w:p>
            <w:pPr>
              <w:ind w:left="140"/>
              <w:spacing w:after="0"/>
              <w:rPr>
                <w:sz w:val="20"/>
                <w:szCs w:val="20"/>
                <w:color w:val="auto"/>
              </w:rPr>
            </w:pPr>
            <w:r>
              <w:rPr>
                <w:rFonts w:ascii="Arial" w:cs="Arial" w:eastAsia="Arial" w:hAnsi="Arial"/>
                <w:sz w:val="16"/>
                <w:szCs w:val="16"/>
                <w:color w:val="auto"/>
              </w:rPr>
              <w:t>Time-based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7,540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4,287</w:t>
            </w:r>
          </w:p>
        </w:tc>
      </w:tr>
      <w:tr>
        <w:trPr>
          <w:trHeight w:val="217"/>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Performance-based</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990</w:t>
            </w:r>
          </w:p>
        </w:tc>
      </w:tr>
      <w:tr>
        <w:trPr>
          <w:trHeight w:val="217"/>
        </w:trPr>
        <w:tc>
          <w:tcPr>
            <w:tcW w:w="58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0"/>
        </w:trPr>
        <w:tc>
          <w:tcPr>
            <w:tcW w:w="5840" w:type="dxa"/>
            <w:vAlign w:val="bottom"/>
          </w:tcPr>
          <w:p>
            <w:pPr>
              <w:ind w:left="140"/>
              <w:spacing w:after="0"/>
              <w:rPr>
                <w:sz w:val="20"/>
                <w:szCs w:val="20"/>
                <w:color w:val="auto"/>
              </w:rPr>
            </w:pPr>
            <w:r>
              <w:rPr>
                <w:rFonts w:ascii="Arial" w:cs="Arial" w:eastAsia="Arial" w:hAnsi="Arial"/>
                <w:sz w:val="16"/>
                <w:szCs w:val="16"/>
                <w:color w:val="auto"/>
              </w:rPr>
              <w:t>Total stock-based compensation expense</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6,475</w:t>
            </w: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60" w:right="120" w:hanging="252"/>
        <w:spacing w:after="0" w:line="210" w:lineRule="auto"/>
        <w:tabs>
          <w:tab w:leader="none" w:pos="305" w:val="left"/>
        </w:tabs>
        <w:numPr>
          <w:ilvl w:val="0"/>
          <w:numId w:val="31"/>
        </w:numPr>
        <w:rPr>
          <w:rFonts w:ascii="Arial" w:cs="Arial" w:eastAsia="Arial" w:hAnsi="Arial"/>
          <w:sz w:val="21"/>
          <w:szCs w:val="21"/>
          <w:color w:val="auto"/>
          <w:vertAlign w:val="superscript"/>
        </w:rPr>
      </w:pPr>
      <w:r>
        <w:rPr>
          <w:rFonts w:ascii="Arial" w:cs="Arial" w:eastAsia="Arial" w:hAnsi="Arial"/>
          <w:sz w:val="14"/>
          <w:szCs w:val="14"/>
          <w:color w:val="auto"/>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 Time-Based</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fair value of time-based restricted stock units is determined based on the closing market price of our stock on the date of grant. A summary of the status of nonvested time-based restricted stock units at August 27, 2022, and changes during Fiscal 2022, is as follows:</w:t>
      </w:r>
    </w:p>
    <w:tbl>
      <w:tblPr>
        <w:tblLayout w:type="fixed"/>
        <w:tblInd w:w="0" w:type="dxa"/>
        <w:tblCellMar>
          <w:top w:w="0" w:type="dxa"/>
          <w:left w:w="0" w:type="dxa"/>
          <w:bottom w:w="0" w:type="dxa"/>
          <w:right w:w="0" w:type="dxa"/>
        </w:tblCellMar>
      </w:tblPr>
      <w:tr>
        <w:trPr>
          <w:trHeight w:val="164"/>
        </w:trPr>
        <w:tc>
          <w:tcPr>
            <w:tcW w:w="7440" w:type="dxa"/>
            <w:vAlign w:val="bottom"/>
          </w:tcPr>
          <w:p>
            <w:pPr>
              <w:spacing w:after="0"/>
              <w:rPr>
                <w:sz w:val="14"/>
                <w:szCs w:val="14"/>
                <w:color w:val="auto"/>
              </w:rPr>
            </w:pPr>
          </w:p>
        </w:tc>
        <w:tc>
          <w:tcPr>
            <w:tcW w:w="18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8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Weighted Average Fair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28, 2021</w:t>
            </w:r>
          </w:p>
        </w:tc>
        <w:tc>
          <w:tcPr>
            <w:tcW w:w="182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rPr>
              <w:t>330,819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center"/>
              <w:ind w:left="1039"/>
              <w:spacing w:after="0"/>
              <w:rPr>
                <w:sz w:val="20"/>
                <w:szCs w:val="20"/>
                <w:color w:val="auto"/>
              </w:rPr>
            </w:pPr>
            <w:r>
              <w:rPr>
                <w:rFonts w:ascii="Arial" w:cs="Arial" w:eastAsia="Arial" w:hAnsi="Arial"/>
                <w:sz w:val="16"/>
                <w:szCs w:val="16"/>
                <w:color w:val="auto"/>
              </w:rPr>
              <w:t>147,236</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(111,832)</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(37,385)</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55.05</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27, 2022</w:t>
            </w:r>
          </w:p>
        </w:tc>
        <w:tc>
          <w:tcPr>
            <w:tcW w:w="182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328,838</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spacing w:after="0" w:line="223"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As of August 27, 2022, there was $8.4 million of unrecognized compensation expense related to nonvested time-based restricted stock units that are expected to be recognized over a weighted average period of 0.8 years. The total fair value of restricted stock units vested during Fiscal 2022, 2021, and 2020 was $8.0 million, $5.2 million, and $3.3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 Performance-Based</w:t>
      </w:r>
    </w:p>
    <w:p>
      <w:pPr>
        <w:spacing w:after="0" w:line="11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fair value of performance-based restricted stock units is determined based on the closing market price of our stock on the date of grant. A summary of the status of our nonvested performance-based restricted stock units at August 27, 2022, and changes during Fiscal 2022, is as follows:</w:t>
      </w:r>
    </w:p>
    <w:tbl>
      <w:tblPr>
        <w:tblLayout w:type="fixed"/>
        <w:tblInd w:w="0" w:type="dxa"/>
        <w:tblCellMar>
          <w:top w:w="0" w:type="dxa"/>
          <w:left w:w="0" w:type="dxa"/>
          <w:bottom w:w="0" w:type="dxa"/>
          <w:right w:w="0" w:type="dxa"/>
        </w:tblCellMar>
      </w:tblPr>
      <w:tr>
        <w:trPr>
          <w:trHeight w:val="164"/>
        </w:trPr>
        <w:tc>
          <w:tcPr>
            <w:tcW w:w="7440" w:type="dxa"/>
            <w:vAlign w:val="bottom"/>
          </w:tcPr>
          <w:p>
            <w:pPr>
              <w:spacing w:after="0"/>
              <w:rPr>
                <w:sz w:val="14"/>
                <w:szCs w:val="14"/>
                <w:color w:val="auto"/>
              </w:rPr>
            </w:pPr>
          </w:p>
        </w:tc>
        <w:tc>
          <w:tcPr>
            <w:tcW w:w="18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840" w:type="dxa"/>
            <w:vAlign w:val="bottom"/>
            <w:gridSpan w:val="2"/>
          </w:tcPr>
          <w:p>
            <w:pPr>
              <w:jc w:val="right"/>
              <w:spacing w:after="0" w:line="164" w:lineRule="exact"/>
              <w:rPr>
                <w:sz w:val="20"/>
                <w:szCs w:val="20"/>
                <w:color w:val="auto"/>
              </w:rPr>
            </w:pPr>
            <w:r>
              <w:rPr>
                <w:rFonts w:ascii="Arial" w:cs="Arial" w:eastAsia="Arial" w:hAnsi="Arial"/>
                <w:sz w:val="16"/>
                <w:szCs w:val="16"/>
                <w:b w:val="1"/>
                <w:bCs w:val="1"/>
                <w:color w:val="auto"/>
              </w:rPr>
              <w:t>Weighted Average Fair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28, 2021</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227,751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88,557</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68.59</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(76,413)</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(41,689)</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43.93</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27,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198,206</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spacing w:after="0" w:line="223"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As of August 27, 2022, there was $3.9 million of unrecognized compensation expense related to nonvested performance-based restricted stock units that are expected to be recognized over a weighted average period of 0.9 years. The total fair value of performance-based restricted stock units vested during Fiscal 2022, Fiscal 2021, and Fiscal 2020 was $5.8 million, $1.4 million, and $2.4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Fiscal 2022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4"/>
                <w:szCs w:val="14"/>
                <w:color w:val="auto"/>
              </w:rPr>
            </w:pPr>
          </w:p>
        </w:tc>
        <w:tc>
          <w:tcPr>
            <w:tcW w:w="16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5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Stock Options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Exercise Price Per</w:t>
            </w: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Term (in</w:t>
            </w:r>
          </w:p>
        </w:tc>
        <w:tc>
          <w:tcPr>
            <w:tcW w:w="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Share</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8"/>
                <w:szCs w:val="18"/>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28,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44,040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75.59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60.27</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27,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44.75</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and expected to vest at August 27, 2022</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44.75</w:t>
            </w: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322,107</w:t>
            </w:r>
          </w:p>
        </w:tc>
        <w:tc>
          <w:tcPr>
            <w:tcW w:w="24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at August 27,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spacing w:after="0" w:line="22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As of August 27, 2022, there was $1.3 million of unrecognized compensation expense related to stock options that is expected to be recognized over a weighted average period of 0.8 years.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is estimated on the date of grant using the Black-Scholes option-pricing model with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1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4340" w:type="dxa"/>
            <w:vAlign w:val="bottom"/>
          </w:tcPr>
          <w:p>
            <w:pPr>
              <w:ind w:left="20"/>
              <w:spacing w:after="0" w:line="216"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(2)</w:t>
            </w:r>
          </w:p>
        </w:tc>
        <w:tc>
          <w:tcPr>
            <w:tcW w:w="1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6"/>
        </w:trPr>
        <w:tc>
          <w:tcPr>
            <w:tcW w:w="43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Expected life of stock options (in years)</w:t>
            </w:r>
            <w:r>
              <w:rPr>
                <w:rFonts w:ascii="Arial" w:cs="Arial" w:eastAsia="Arial" w:hAnsi="Arial"/>
                <w:sz w:val="21"/>
                <w:szCs w:val="21"/>
                <w:color w:val="auto"/>
                <w:vertAlign w:val="superscript"/>
              </w:rPr>
              <w:t>(3)</w:t>
            </w:r>
          </w:p>
        </w:tc>
        <w:tc>
          <w:tcPr>
            <w:tcW w:w="1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340" w:type="dxa"/>
            <w:vAlign w:val="bottom"/>
          </w:tcPr>
          <w:p>
            <w:pPr>
              <w:ind w:left="20"/>
              <w:spacing w:after="0" w:line="216" w:lineRule="exact"/>
              <w:rPr>
                <w:sz w:val="20"/>
                <w:szCs w:val="20"/>
                <w:color w:val="auto"/>
              </w:rPr>
            </w:pPr>
            <w:r>
              <w:rPr>
                <w:rFonts w:ascii="Arial" w:cs="Arial" w:eastAsia="Arial" w:hAnsi="Arial"/>
                <w:sz w:val="16"/>
                <w:szCs w:val="16"/>
                <w:color w:val="auto"/>
              </w:rPr>
              <w:t>Expected stock price volatility</w:t>
            </w:r>
            <w:r>
              <w:rPr>
                <w:rFonts w:ascii="Arial" w:cs="Arial" w:eastAsia="Arial" w:hAnsi="Arial"/>
                <w:sz w:val="21"/>
                <w:szCs w:val="21"/>
                <w:color w:val="auto"/>
                <w:vertAlign w:val="superscript"/>
              </w:rPr>
              <w:t>(4)</w:t>
            </w:r>
          </w:p>
        </w:tc>
        <w:tc>
          <w:tcPr>
            <w:tcW w:w="1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48.6 %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41.2 %</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17.18</w:t>
            </w:r>
          </w:p>
        </w:tc>
      </w:tr>
    </w:tbl>
    <w:p>
      <w:pPr>
        <w:spacing w:after="0" w:line="88"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21"/>
          <w:szCs w:val="21"/>
          <w:color w:val="auto"/>
          <w:vertAlign w:val="superscript"/>
        </w:rPr>
      </w:pPr>
      <w:r>
        <w:rPr>
          <w:rFonts w:ascii="Arial" w:cs="Arial" w:eastAsia="Arial" w:hAnsi="Arial"/>
          <w:sz w:val="14"/>
          <w:szCs w:val="14"/>
          <w:color w:val="auto"/>
        </w:rPr>
        <w:t>Forfeitures are recorded when they occur.</w:t>
      </w:r>
    </w:p>
    <w:p>
      <w:pPr>
        <w:spacing w:after="0" w:line="53" w:lineRule="exact"/>
        <w:rPr>
          <w:rFonts w:ascii="Arial" w:cs="Arial" w:eastAsia="Arial" w:hAnsi="Arial"/>
          <w:sz w:val="21"/>
          <w:szCs w:val="21"/>
          <w:color w:val="auto"/>
          <w:vertAlign w:val="superscript"/>
        </w:rPr>
      </w:pPr>
    </w:p>
    <w:p>
      <w:pPr>
        <w:ind w:left="300" w:hanging="292"/>
        <w:spacing w:after="0" w:line="183" w:lineRule="auto"/>
        <w:tabs>
          <w:tab w:leader="none" w:pos="30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Based on U.S. Treasury constant maturity interest rate whose term is consistent with the expected life of the stock options.</w:t>
      </w:r>
    </w:p>
    <w:p>
      <w:pPr>
        <w:spacing w:after="0" w:line="40" w:lineRule="exact"/>
        <w:rPr>
          <w:rFonts w:ascii="Arial" w:cs="Arial" w:eastAsia="Arial" w:hAnsi="Arial"/>
          <w:sz w:val="20"/>
          <w:szCs w:val="20"/>
          <w:color w:val="auto"/>
          <w:vertAlign w:val="superscript"/>
        </w:rPr>
      </w:pPr>
    </w:p>
    <w:p>
      <w:pPr>
        <w:ind w:left="300" w:hanging="292"/>
        <w:spacing w:after="0" w:line="183" w:lineRule="auto"/>
        <w:tabs>
          <w:tab w:leader="none" w:pos="30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Estimated based on historical experience.</w:t>
      </w:r>
    </w:p>
    <w:p>
      <w:pPr>
        <w:spacing w:after="0" w:line="54" w:lineRule="exact"/>
        <w:rPr>
          <w:rFonts w:ascii="Arial" w:cs="Arial" w:eastAsia="Arial" w:hAnsi="Arial"/>
          <w:sz w:val="20"/>
          <w:szCs w:val="20"/>
          <w:color w:val="auto"/>
          <w:vertAlign w:val="superscript"/>
        </w:rPr>
      </w:pPr>
    </w:p>
    <w:p>
      <w:pPr>
        <w:ind w:left="300" w:hanging="292"/>
        <w:spacing w:after="0" w:line="183" w:lineRule="auto"/>
        <w:tabs>
          <w:tab w:leader="none" w:pos="30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Based on historical experience over a term consistent with the expected life of the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Restructuring</w:t>
      </w:r>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Fiscal 2020, our Class A diesel production included in the Motorhome reportable segment, was moved from Junction City, OR to Forest City, IA. In Fiscal 2021, the property was sold for net proceeds of $12.4 million with a resulting gain of $4.8 million. The gain on sale is included within selling, general, and administrative expenses on the Consolidated Statements of Income and Comprehensive Income for Fiscal 2021. Total restructuring expense related to the relocation for Fiscal 2021 was immaterial to the consolidated financial statements. There were no restructuring charges in Fiscal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Note 16. Income Taxes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4"/>
        </w:trPr>
        <w:tc>
          <w:tcPr>
            <w:tcW w:w="5500" w:type="dxa"/>
            <w:vAlign w:val="bottom"/>
            <w:gridSpan w:val="2"/>
          </w:tcPr>
          <w:p>
            <w:pPr>
              <w:spacing w:after="0"/>
              <w:rPr>
                <w:sz w:val="20"/>
                <w:szCs w:val="20"/>
                <w:color w:val="auto"/>
              </w:rPr>
            </w:pPr>
            <w:r>
              <w:rPr>
                <w:rFonts w:ascii="Arial" w:cs="Arial" w:eastAsia="Arial" w:hAnsi="Arial"/>
                <w:sz w:val="16"/>
                <w:szCs w:val="16"/>
                <w:color w:val="auto"/>
              </w:rPr>
              <w:t>Income tax expense consisted of the following:</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5"/>
        </w:trPr>
        <w:tc>
          <w:tcPr>
            <w:tcW w:w="5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0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105,863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71,579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14,318</w:t>
            </w:r>
          </w:p>
        </w:tc>
      </w:tr>
      <w:tr>
        <w:trPr>
          <w:trHeight w:val="217"/>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24,868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16,179</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r>
      <w:tr>
        <w:trPr>
          <w:trHeight w:val="209"/>
        </w:trPr>
        <w:tc>
          <w:tcPr>
            <w:tcW w:w="5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130,731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87,758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17,124</w:t>
            </w:r>
          </w:p>
        </w:tc>
      </w:tr>
      <w:tr>
        <w:trPr>
          <w:trHeight w:val="19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(5,553)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7"/>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9"/>
        </w:trPr>
        <w:tc>
          <w:tcPr>
            <w:tcW w:w="5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(6,645)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(2,179)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w:t>
            </w:r>
          </w:p>
        </w:tc>
      </w:tr>
      <w:tr>
        <w:trPr>
          <w:trHeight w:val="235"/>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124,086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98"/>
        </w:trPr>
        <w:tc>
          <w:tcPr>
            <w:tcW w:w="7440" w:type="dxa"/>
            <w:vAlign w:val="bottom"/>
            <w:gridSpan w:val="7"/>
          </w:tcPr>
          <w:p>
            <w:pPr>
              <w:spacing w:after="0"/>
              <w:rPr>
                <w:sz w:val="20"/>
                <w:szCs w:val="20"/>
                <w:color w:val="auto"/>
              </w:rPr>
            </w:pPr>
            <w:r>
              <w:rPr>
                <w:rFonts w:ascii="Arial" w:cs="Arial" w:eastAsia="Arial" w:hAnsi="Arial"/>
                <w:sz w:val="16"/>
                <w:szCs w:val="16"/>
                <w:color w:val="auto"/>
              </w:rPr>
              <w:t>A reconciliation of the U.S. statutory income tax rate to our effective income tax rate is as follows: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5"/>
        </w:trPr>
        <w:tc>
          <w:tcPr>
            <w:tcW w:w="5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0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credits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Nondeductible compensation</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Tax-free and dividend income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Uncertain tax position settlements and adjustments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Effective tax provision rate</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24.1 %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23.3 %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20.5 %</w:t>
            </w: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Our effective tax rate increased to 24.1% in Fiscal 2022 compared to 23.3% in Fiscal 2021 primarily due to consistent tax credits year-over-year over increased income in the current year and a net unfavorable expense in the current year related to nondeductible compensation.</w:t>
      </w:r>
    </w:p>
    <w:p>
      <w:pPr>
        <w:spacing w:after="0" w:line="1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74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28"/>
        </w:trPr>
        <w:tc>
          <w:tcPr>
            <w:tcW w:w="7440" w:type="dxa"/>
            <w:vAlign w:val="bottom"/>
            <w:gridSpan w:val="2"/>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2022</w:t>
            </w:r>
          </w:p>
        </w:tc>
        <w:tc>
          <w:tcPr>
            <w:tcW w:w="200" w:type="dxa"/>
            <w:vAlign w:val="bottom"/>
          </w:tcPr>
          <w:p>
            <w:pPr>
              <w:spacing w:after="0"/>
              <w:rPr>
                <w:sz w:val="20"/>
                <w:szCs w:val="20"/>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7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Warranty reserves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22,450</w:t>
            </w:r>
          </w:p>
        </w:tc>
      </w:tr>
      <w:tr>
        <w:trPr>
          <w:trHeight w:val="215"/>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5,224</w:t>
            </w:r>
          </w:p>
        </w:tc>
      </w:tr>
      <w:tr>
        <w:trPr>
          <w:trHeight w:val="21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Self-insurance reserve</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w:t>
            </w:r>
          </w:p>
        </w:tc>
      </w:tr>
      <w:tr>
        <w:trPr>
          <w:trHeight w:val="215"/>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5,534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4,607</w:t>
            </w:r>
          </w:p>
        </w:tc>
      </w:tr>
      <w:tr>
        <w:trPr>
          <w:trHeight w:val="21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8,422</w:t>
            </w:r>
          </w:p>
        </w:tc>
      </w:tr>
      <w:tr>
        <w:trPr>
          <w:trHeight w:val="216"/>
        </w:trPr>
        <w:tc>
          <w:tcPr>
            <w:tcW w:w="74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w:t>
            </w:r>
          </w:p>
        </w:tc>
      </w:tr>
      <w:tr>
        <w:trPr>
          <w:trHeight w:val="210"/>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deferred tax assets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52,209</w:t>
            </w:r>
          </w:p>
        </w:tc>
      </w:tr>
      <w:tr>
        <w:trPr>
          <w:trHeight w:val="215"/>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Convertible notes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2,608</w:t>
            </w:r>
          </w:p>
        </w:tc>
      </w:tr>
      <w:tr>
        <w:trPr>
          <w:trHeight w:val="21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39,940</w:t>
            </w:r>
          </w:p>
        </w:tc>
      </w:tr>
      <w:tr>
        <w:trPr>
          <w:trHeight w:val="215"/>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19,036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15,161</w:t>
            </w:r>
          </w:p>
        </w:tc>
      </w:tr>
      <w:tr>
        <w:trPr>
          <w:trHeight w:val="21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7,929</w:t>
            </w:r>
          </w:p>
        </w:tc>
      </w:tr>
      <w:tr>
        <w:trPr>
          <w:trHeight w:val="209"/>
        </w:trPr>
        <w:tc>
          <w:tcPr>
            <w:tcW w:w="7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65,638</w:t>
            </w:r>
          </w:p>
        </w:tc>
      </w:tr>
      <w:tr>
        <w:trPr>
          <w:trHeight w:val="235"/>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deferred income tax liabilities,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60" w:right="340" w:hanging="252"/>
        <w:spacing w:after="0" w:line="224" w:lineRule="auto"/>
        <w:tabs>
          <w:tab w:leader="none" w:pos="305" w:val="left"/>
        </w:tabs>
        <w:numPr>
          <w:ilvl w:val="0"/>
          <w:numId w:val="36"/>
        </w:numPr>
        <w:rPr>
          <w:rFonts w:ascii="Arial" w:cs="Arial" w:eastAsia="Arial" w:hAnsi="Arial"/>
          <w:sz w:val="21"/>
          <w:szCs w:val="21"/>
          <w:color w:val="auto"/>
          <w:vertAlign w:val="superscript"/>
        </w:rPr>
      </w:pPr>
      <w:r>
        <w:rPr>
          <w:rFonts w:ascii="Arial" w:cs="Arial" w:eastAsia="Arial" w:hAnsi="Arial"/>
          <w:sz w:val="14"/>
          <w:szCs w:val="14"/>
          <w:color w:val="auto"/>
        </w:rPr>
        <w:t>Other includes $113 and $400 related to state net operating losses as of August 27, 2022 and August 28, 2021, respectively. These net operating losses are subject to various expiration periods from 5 years to no expiration. We have evaluated all the positive and negative evidence and consider it more likely than not that these carryforwards can be realized before expiration.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2"/>
        </w:trPr>
        <w:tc>
          <w:tcPr>
            <w:tcW w:w="5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5"/>
        </w:trPr>
        <w:tc>
          <w:tcPr>
            <w:tcW w:w="5520" w:type="dxa"/>
            <w:vAlign w:val="bottom"/>
          </w:tcPr>
          <w:p>
            <w:pPr>
              <w:ind w:left="140"/>
              <w:spacing w:after="0"/>
              <w:rPr>
                <w:sz w:val="20"/>
                <w:szCs w:val="20"/>
                <w:color w:val="auto"/>
              </w:rPr>
            </w:pPr>
            <w:r>
              <w:rPr>
                <w:rFonts w:ascii="Arial" w:cs="Arial" w:eastAsia="Arial" w:hAnsi="Arial"/>
                <w:sz w:val="16"/>
                <w:szCs w:val="16"/>
                <w:color w:val="auto"/>
              </w:rPr>
              <w:t>Gross increases-tax positions in a prior year</w:t>
            </w:r>
          </w:p>
        </w:tc>
        <w:tc>
          <w:tcPr>
            <w:tcW w:w="1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17"/>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decreases-tax positions in a prior year</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Gross increases-current year tax positions</w:t>
            </w: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r>
      <w:tr>
        <w:trPr>
          <w:trHeight w:val="215"/>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interest and penalties</w:t>
            </w: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35"/>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unrecognized tax benefits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amount of unrecognized tax benefits is not expected to change materially within the next 12 months. If the remaining uncertain tax positions are ultimately resolved favorably, $5.3 million of unrecognized tax benefits would have a favorable impact on our effective tax rate. It is our policy to recognize interest and penalties accrued relative to unrecognized tax benefits in income tax expense.</w:t>
      </w:r>
    </w:p>
    <w:p>
      <w:pPr>
        <w:spacing w:after="0" w:line="21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27, 2022, our federal returns from Fiscal 2019 to present are subject to review by the IRS. With limited exception, state returns from Fiscal 2018 to present continue to be subject to review by state taxing jurisdictions. Several years may lapse before an uncertain tax position is audited and finally resolved and it is difficult to predict the outcome of such audits.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Earnings per Share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are calculated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390,636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33,236</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assuming dilution</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32,985</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34,056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33,454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6"/>
                <w:szCs w:val="16"/>
                <w:color w:val="auto"/>
              </w:rPr>
              <w:t>Anti-dilutive securities excluded from weighted average diluted common shares</w:t>
            </w:r>
          </w:p>
        </w:tc>
        <w:tc>
          <w:tcPr>
            <w:tcW w:w="4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Pr>
          <w:p>
            <w:pPr>
              <w:spacing w:after="0"/>
              <w:rPr>
                <w:sz w:val="20"/>
                <w:szCs w:val="20"/>
                <w:color w:val="auto"/>
              </w:rPr>
            </w:pPr>
            <w:r>
              <w:rPr>
                <w:rFonts w:ascii="Arial" w:cs="Arial" w:eastAsia="Arial" w:hAnsi="Arial"/>
                <w:sz w:val="16"/>
                <w:szCs w:val="16"/>
                <w:b w:val="1"/>
                <w:bCs w:val="1"/>
                <w:color w:val="auto"/>
              </w:rPr>
              <w:t>Note 18. Accumulated Other Comprehensive Loss</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7220" w:type="dxa"/>
            <w:vAlign w:val="bottom"/>
          </w:tcPr>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2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Defined Benefit Pension Items</w:t>
            </w:r>
          </w:p>
        </w:tc>
        <w:tc>
          <w:tcPr>
            <w:tcW w:w="0" w:type="dxa"/>
            <w:vAlign w:val="bottom"/>
          </w:tcPr>
          <w:p>
            <w:pPr>
              <w:spacing w:after="0"/>
              <w:rPr>
                <w:sz w:val="1"/>
                <w:szCs w:val="1"/>
                <w:color w:val="auto"/>
              </w:rPr>
            </w:pPr>
          </w:p>
        </w:tc>
      </w:tr>
      <w:tr>
        <w:trPr>
          <w:trHeight w:val="217"/>
        </w:trPr>
        <w:tc>
          <w:tcPr>
            <w:tcW w:w="7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OCI before reclassifications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AOCI</w:t>
            </w:r>
          </w:p>
        </w:tc>
        <w:tc>
          <w:tcPr>
            <w:tcW w:w="1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current-year OCI</w:t>
            </w:r>
          </w:p>
        </w:tc>
        <w:tc>
          <w:tcPr>
            <w:tcW w:w="1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Reclassifications out of AOCI, net of tax, were:</w:t>
            </w:r>
          </w:p>
        </w:tc>
        <w:tc>
          <w:tcPr>
            <w:tcW w:w="1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7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220" w:type="dxa"/>
            <w:vAlign w:val="bottom"/>
          </w:tcPr>
          <w:p>
            <w:pPr>
              <w:ind w:left="3180"/>
              <w:spacing w:after="0" w:line="178" w:lineRule="exact"/>
              <w:rPr>
                <w:sz w:val="20"/>
                <w:szCs w:val="20"/>
                <w:color w:val="auto"/>
              </w:rPr>
            </w:pPr>
            <w:r>
              <w:rPr>
                <w:rFonts w:ascii="Arial" w:cs="Arial" w:eastAsia="Arial" w:hAnsi="Arial"/>
                <w:sz w:val="16"/>
                <w:szCs w:val="16"/>
                <w:b w:val="1"/>
                <w:bCs w:val="1"/>
                <w:color w:val="auto"/>
              </w:rPr>
              <w:t>Location on Consolidated Statements of Income</w:t>
            </w: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6"/>
        </w:trPr>
        <w:tc>
          <w:tcPr>
            <w:tcW w:w="7220" w:type="dxa"/>
            <w:vAlign w:val="bottom"/>
          </w:tcPr>
          <w:p>
            <w:pPr>
              <w:ind w:left="3960"/>
              <w:spacing w:after="0"/>
              <w:rPr>
                <w:sz w:val="20"/>
                <w:szCs w:val="20"/>
                <w:color w:val="auto"/>
              </w:rPr>
            </w:pPr>
            <w:r>
              <w:rPr>
                <w:rFonts w:ascii="Arial" w:cs="Arial" w:eastAsia="Arial" w:hAnsi="Arial"/>
                <w:sz w:val="16"/>
                <w:szCs w:val="16"/>
                <w:b w:val="1"/>
                <w:bCs w:val="1"/>
                <w:color w:val="auto"/>
              </w:rPr>
              <w:t>and Comprehensive Income</w:t>
            </w:r>
          </w:p>
        </w:tc>
        <w:tc>
          <w:tcPr>
            <w:tcW w:w="1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3"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Amortization of net actuarial loss</w:t>
      </w:r>
      <w:r>
        <w:rPr>
          <w:sz w:val="20"/>
          <w:szCs w:val="20"/>
          <w:color w:val="auto"/>
        </w:rPr>
        <w:tab/>
      </w:r>
      <w:r>
        <w:rPr>
          <w:rFonts w:ascii="Arial" w:cs="Arial" w:eastAsia="Arial" w:hAnsi="Arial"/>
          <w:sz w:val="15"/>
          <w:szCs w:val="15"/>
          <w:color w:val="auto"/>
        </w:rPr>
        <w:t>SG&amp;A</w:t>
      </w:r>
    </w:p>
    <w:p>
      <w:pPr>
        <w:spacing w:after="0" w:line="32"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Interest rate contract</w:t>
      </w:r>
      <w:r>
        <w:rPr>
          <w:sz w:val="20"/>
          <w:szCs w:val="20"/>
          <w:color w:val="auto"/>
        </w:rPr>
        <w:tab/>
      </w:r>
      <w:r>
        <w:rPr>
          <w:rFonts w:ascii="Arial" w:cs="Arial" w:eastAsia="Arial" w:hAnsi="Arial"/>
          <w:sz w:val="15"/>
          <w:szCs w:val="15"/>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reclassifications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37</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r>
      <w:tr>
        <w:trPr>
          <w:trHeight w:val="210"/>
        </w:trPr>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21"/>
        </w:trPr>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5"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Internal Control Over Financial Reporting</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Management's report on internal control over financial reporting as of August 27, 2022 is included within Item 8 of Part II in this Annual Report on Form 10-K and is incorporated herein by reference. The report of Deloitte &amp; Touche LLP on the effectiveness of internal control over financial reporting is included within Item 8 of Part II in this Annual Report on Form 10-K and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There were no significant changes in internal control over financial reporting during the quarter ended August 27, 2022 that have materially affected, or are reasonably likely to materially affect, our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 xml:space="preserve">Reference is made to the table entitled "Information about our Executive Officers" in Part I of this report and to the information included under the captions </w:t>
      </w:r>
      <w:r>
        <w:rPr>
          <w:rFonts w:ascii="Arial" w:cs="Arial" w:eastAsia="Arial" w:hAnsi="Arial"/>
          <w:sz w:val="16"/>
          <w:szCs w:val="16"/>
          <w:i w:val="1"/>
          <w:iCs w:val="1"/>
          <w:color w:val="auto"/>
        </w:rPr>
        <w:t xml:space="preserve">Corporate Governance </w:t>
      </w:r>
      <w:r>
        <w:rPr>
          <w:rFonts w:ascii="Arial" w:cs="Arial" w:eastAsia="Arial" w:hAnsi="Arial"/>
          <w:sz w:val="16"/>
          <w:szCs w:val="16"/>
          <w:color w:val="auto"/>
        </w:rPr>
        <w:t>and</w:t>
      </w:r>
      <w:r>
        <w:rPr>
          <w:rFonts w:ascii="Arial" w:cs="Arial" w:eastAsia="Arial" w:hAnsi="Arial"/>
          <w:sz w:val="16"/>
          <w:szCs w:val="16"/>
          <w:i w:val="1"/>
          <w:iCs w:val="1"/>
          <w:color w:val="auto"/>
        </w:rPr>
        <w:t xml:space="preserve"> Election of Directors, </w:t>
      </w:r>
      <w:r>
        <w:rPr>
          <w:rFonts w:ascii="Arial" w:cs="Arial" w:eastAsia="Arial" w:hAnsi="Arial"/>
          <w:sz w:val="16"/>
          <w:szCs w:val="16"/>
          <w:color w:val="auto"/>
        </w:rPr>
        <w:t>in our Proxy Statement for the Annual Meeting of Shareholders scheduled to be held December 13, 2022,</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information is incorporated by reference herein.</w:t>
      </w:r>
    </w:p>
    <w:p>
      <w:pPr>
        <w:spacing w:after="0" w:line="191"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We have adopted a written code of ethics, the "Code of Conduct" (the "Code"), which is applicable to each of our employees, including our Chief Executive Officer and Chief Financial Officer (such two officers, collectively, the "Senior Officers"). In accordance with the rules and regulations of the SEC, a copy of the Code is posted on our website at www.winnebagoind.com in the "Company" section under "Investor Relations - Corporate Governance."</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13"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 xml:space="preserve">Reference is made to the information included under the captions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in our Proxy Statement for the Annual Meeting of Shareholders scheduled to be held December 13, 2022, which information is incorporated by reference herein.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Shareholder Matters.</w:t>
      </w:r>
    </w:p>
    <w:p>
      <w:pPr>
        <w:spacing w:after="0" w:line="113"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 xml:space="preserve">Reference is made to the share ownership information and table entitled </w:t>
      </w:r>
      <w:r>
        <w:rPr>
          <w:rFonts w:ascii="Arial" w:cs="Arial" w:eastAsia="Arial" w:hAnsi="Arial"/>
          <w:sz w:val="16"/>
          <w:szCs w:val="16"/>
          <w:i w:val="1"/>
          <w:iCs w:val="1"/>
          <w:color w:val="auto"/>
        </w:rPr>
        <w:t>Security Ownership of Certain Beneficial Owners and Management</w:t>
      </w:r>
      <w:r>
        <w:rPr>
          <w:rFonts w:ascii="Arial" w:cs="Arial" w:eastAsia="Arial" w:hAnsi="Arial"/>
          <w:sz w:val="16"/>
          <w:szCs w:val="16"/>
          <w:color w:val="auto"/>
        </w:rPr>
        <w:t xml:space="preserve"> and the information included under the caption </w:t>
      </w:r>
      <w:r>
        <w:rPr>
          <w:rFonts w:ascii="Arial" w:cs="Arial" w:eastAsia="Arial" w:hAnsi="Arial"/>
          <w:sz w:val="16"/>
          <w:szCs w:val="16"/>
          <w:i w:val="1"/>
          <w:iCs w:val="1"/>
          <w:color w:val="auto"/>
        </w:rPr>
        <w:t>Equity Compensation Plan Information</w:t>
      </w:r>
      <w:r>
        <w:rPr>
          <w:rFonts w:ascii="Arial" w:cs="Arial" w:eastAsia="Arial" w:hAnsi="Arial"/>
          <w:sz w:val="16"/>
          <w:szCs w:val="16"/>
          <w:color w:val="auto"/>
        </w:rPr>
        <w:t xml:space="preserve"> included in our Proxy Statement for the Annual Meeting of Shareholders scheduled to be held December 13, 2022, which information is incorporated by reference herein.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 xml:space="preserve">Reference is made to the information included under the caption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in our Proxy Statement for the Annual Meeting of Shareholders scheduled to be held December 13, 2022, which information is incorporated by reference herein.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fees and services billed to us by our principal accountant, Deloitte &amp; Touche LLP (PCAOB ID No. 34) is included under the caption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Independent Registered Public Accountant's Fees and Services </w:t>
      </w:r>
      <w:r>
        <w:rPr>
          <w:rFonts w:ascii="Arial" w:cs="Arial" w:eastAsia="Arial" w:hAnsi="Arial"/>
          <w:sz w:val="16"/>
          <w:szCs w:val="16"/>
          <w:color w:val="auto"/>
        </w:rPr>
        <w:t>in our Proxy Statement for the Annual Meeting of Shareholders scheduled to be held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13, 2022, and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6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consolidated financial statements are set forth within Item 8 of Part II in this Annual Report on Form 10-K.</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w:t>
      </w:r>
    </w:p>
    <w:p>
      <w:pPr>
        <w:sectPr>
          <w:pgSz w:w="11900" w:h="16838" w:orient="portrait"/>
          <w:cols w:equalWidth="0" w:num="1">
            <w:col w:w="11200"/>
          </w:cols>
          <w:pgMar w:left="320" w:top="125" w:right="379" w:bottom="1440" w:gutter="0" w:footer="0" w:header="0"/>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or the notes thereto.</w:t>
      </w:r>
    </w:p>
    <w:p>
      <w:pPr>
        <w:spacing w:after="0" w:line="23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Exhibit Index</w:t>
      </w:r>
    </w:p>
    <w:p>
      <w:pPr>
        <w:spacing w:after="0" w:line="356"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wp:posOffset>
            </wp:positionV>
            <wp:extent cx="6506210" cy="659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06210" cy="659765"/>
                    </a:xfrm>
                    <a:prstGeom prst="rect">
                      <a:avLst/>
                    </a:prstGeom>
                    <a:noFill/>
                  </pic:spPr>
                </pic:pic>
              </a:graphicData>
            </a:graphic>
          </wp:anchor>
        </w:drawing>
      </w:r>
    </w:p>
    <w:p>
      <w:pPr>
        <w:spacing w:after="0" w:line="26" w:lineRule="exact"/>
        <w:rPr>
          <w:sz w:val="20"/>
          <w:szCs w:val="20"/>
          <w:color w:val="auto"/>
        </w:rPr>
      </w:pPr>
    </w:p>
    <w:p>
      <w:pPr>
        <w:ind w:left="1600" w:right="20"/>
        <w:spacing w:after="0" w:line="221" w:lineRule="auto"/>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Stock Purchase Agreement dated as of September 15, 2019, by and among</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Winnebago Industries, Inc., Octavius Corporation, Newmar Corporation,</w:t>
        </w:r>
      </w:hyperlink>
    </w:p>
    <w:p>
      <w:pPr>
        <w:spacing w:after="0" w:line="1" w:lineRule="exact"/>
        <w:rPr>
          <w:sz w:val="20"/>
          <w:szCs w:val="20"/>
          <w:color w:val="auto"/>
        </w:rPr>
      </w:pPr>
    </w:p>
    <w:p>
      <w:pPr>
        <w:ind w:left="1600" w:right="200" w:hanging="260"/>
        <w:spacing w:after="0" w:line="22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2a. </w:t>
      </w:r>
      <w:hyperlink r:id="rId86">
        <w:r>
          <w:rPr>
            <w:rFonts w:ascii="Arial" w:cs="Arial" w:eastAsia="Arial" w:hAnsi="Arial"/>
            <w:sz w:val="16"/>
            <w:szCs w:val="16"/>
            <w:u w:val="single" w:color="auto"/>
            <w:color w:val="0000FF"/>
          </w:rPr>
          <w:t>Dutch Real Estate Corp., New-Way Transport Corp., New-Serv, Inc., the</w:t>
        </w:r>
      </w:hyperlink>
      <w:r>
        <w:rPr>
          <w:rFonts w:ascii="Arial" w:cs="Arial" w:eastAsia="Arial" w:hAnsi="Arial"/>
          <w:sz w:val="16"/>
          <w:szCs w:val="16"/>
          <w:color w:val="auto"/>
        </w:rPr>
        <w:t xml:space="preserve"> </w:t>
      </w:r>
      <w:hyperlink r:id="rId86">
        <w:r>
          <w:rPr>
            <w:rFonts w:ascii="Arial" w:cs="Arial" w:eastAsia="Arial" w:hAnsi="Arial"/>
            <w:sz w:val="16"/>
            <w:szCs w:val="16"/>
            <w:u w:val="single" w:color="auto"/>
            <w:color w:val="0000FF"/>
          </w:rPr>
          <w:t>shareholders of Newmar Corporation, Dutch Real Estate Corp., New-Way</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Transport Corp. and New-Serv, Inc. and Matthew Miller, as Sellers Agent.</w:t>
        </w:r>
      </w:hyperlink>
    </w:p>
    <w:p>
      <w:pPr>
        <w:spacing w:after="0" w:line="158" w:lineRule="exact"/>
        <w:rPr>
          <w:rFonts w:ascii="Arial" w:cs="Arial" w:eastAsia="Arial" w:hAnsi="Arial"/>
          <w:sz w:val="16"/>
          <w:szCs w:val="16"/>
          <w:color w:val="auto"/>
        </w:rPr>
      </w:pPr>
    </w:p>
    <w:p>
      <w:pPr>
        <w:ind w:left="1600"/>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Equity Purchase Agreement dated July 19, 2021, by and among Winnebago</w:t>
        </w:r>
      </w:hyperlink>
    </w:p>
    <w:p>
      <w:pPr>
        <w:jc w:val="both"/>
        <w:ind w:left="1600" w:right="160" w:hanging="260"/>
        <w:spacing w:after="0" w:line="22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2b. </w:t>
      </w:r>
      <w:hyperlink r:id="rId87">
        <w:r>
          <w:rPr>
            <w:rFonts w:ascii="Arial" w:cs="Arial" w:eastAsia="Arial" w:hAnsi="Arial"/>
            <w:sz w:val="16"/>
            <w:szCs w:val="16"/>
            <w:u w:val="single" w:color="auto"/>
            <w:color w:val="0000FF"/>
          </w:rPr>
          <w:t>Industries, Inc., Falcon Family, Inc., Ronald J. Fenech, William C. Fenech,</w:t>
        </w:r>
      </w:hyperlink>
      <w:r>
        <w:rPr>
          <w:rFonts w:ascii="Arial" w:cs="Arial" w:eastAsia="Arial" w:hAnsi="Arial"/>
          <w:sz w:val="16"/>
          <w:szCs w:val="16"/>
          <w:color w:val="auto"/>
        </w:rPr>
        <w:t xml:space="preserve"> </w:t>
      </w:r>
      <w:hyperlink r:id="rId87">
        <w:r>
          <w:rPr>
            <w:rFonts w:ascii="Arial" w:cs="Arial" w:eastAsia="Arial" w:hAnsi="Arial"/>
            <w:sz w:val="16"/>
            <w:szCs w:val="16"/>
            <w:u w:val="single" w:color="auto"/>
            <w:color w:val="0000FF"/>
          </w:rPr>
          <w:t>Donald Clark, and Donald Clark Family, LLC, and William C. Fenech in his</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capacity as Representative.</w:t>
        </w:r>
      </w:hyperlink>
    </w:p>
    <w:p>
      <w:pPr>
        <w:spacing w:after="0" w:line="1" w:lineRule="exact"/>
        <w:rPr>
          <w:rFonts w:ascii="Arial" w:cs="Arial" w:eastAsia="Arial" w:hAnsi="Arial"/>
          <w:sz w:val="16"/>
          <w:szCs w:val="16"/>
          <w:color w:val="auto"/>
        </w:rPr>
      </w:pPr>
    </w:p>
    <w:p>
      <w:pPr>
        <w:ind w:left="1340"/>
        <w:spacing w:after="0"/>
        <w:rPr>
          <w:rFonts w:ascii="Arial" w:cs="Arial" w:eastAsia="Arial" w:hAnsi="Arial"/>
          <w:sz w:val="15"/>
          <w:szCs w:val="15"/>
          <w:color w:val="0000FF"/>
        </w:rPr>
      </w:pPr>
      <w:hyperlink r:id="rId88"/>
      <w:r>
        <w:rPr>
          <w:rFonts w:ascii="Arial" w:cs="Arial" w:eastAsia="Arial" w:hAnsi="Arial"/>
          <w:sz w:val="29"/>
          <w:szCs w:val="29"/>
          <w:color w:val="000000"/>
          <w:vertAlign w:val="subscript"/>
        </w:rPr>
        <w:t>3a.</w:t>
      </w:r>
      <w:r>
        <w:rPr>
          <w:rFonts w:ascii="Arial" w:cs="Arial" w:eastAsia="Arial" w:hAnsi="Arial"/>
          <w:sz w:val="15"/>
          <w:szCs w:val="15"/>
          <w:color w:val="0000FF"/>
        </w:rPr>
        <w:t xml:space="preserve"> </w:t>
      </w:r>
      <w:hyperlink r:id="rId88">
        <w:r>
          <w:rPr>
            <w:rFonts w:ascii="Arial" w:cs="Arial" w:eastAsia="Arial" w:hAnsi="Arial"/>
            <w:sz w:val="15"/>
            <w:szCs w:val="15"/>
            <w:color w:val="0000FF"/>
          </w:rPr>
          <w:t>Articles</w:t>
        </w:r>
        <w:r>
          <w:rPr>
            <w:rFonts w:ascii="Arial" w:cs="Arial" w:eastAsia="Arial" w:hAnsi="Arial"/>
            <w:sz w:val="29"/>
            <w:szCs w:val="29"/>
            <w:u w:val="single" w:color="auto"/>
            <w:color w:val="0000FF"/>
            <w:vertAlign w:val="subscript"/>
          </w:rPr>
          <w:t>2022</w:t>
        </w:r>
        <w:r>
          <w:rPr>
            <w:rFonts w:ascii="Arial" w:cs="Arial" w:eastAsia="Arial" w:hAnsi="Arial"/>
            <w:sz w:val="15"/>
            <w:szCs w:val="15"/>
            <w:color w:val="0000FF"/>
          </w:rPr>
          <w:t xml:space="preserve"> of Incorporation of Winnebago Industries, Inc., effective January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650621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spacing w:after="0" w:line="52" w:lineRule="exact"/>
        <w:rPr>
          <w:sz w:val="20"/>
          <w:szCs w:val="20"/>
          <w:color w:val="auto"/>
        </w:rPr>
      </w:pPr>
    </w:p>
    <w:p>
      <w:pPr>
        <w:ind w:left="1340"/>
        <w:spacing w:after="0"/>
        <w:rPr>
          <w:rFonts w:ascii="Arial" w:cs="Arial" w:eastAsia="Arial" w:hAnsi="Arial"/>
          <w:sz w:val="16"/>
          <w:szCs w:val="16"/>
          <w:color w:val="0000FF"/>
        </w:rPr>
      </w:pPr>
      <w:hyperlink r:id="rId90"/>
      <w:r>
        <w:rPr>
          <w:rFonts w:ascii="Arial" w:cs="Arial" w:eastAsia="Arial" w:hAnsi="Arial"/>
          <w:sz w:val="32"/>
          <w:szCs w:val="32"/>
          <w:color w:val="000000"/>
          <w:vertAlign w:val="superscript"/>
        </w:rPr>
        <w:t>3b.</w:t>
      </w:r>
      <w:r>
        <w:rPr>
          <w:rFonts w:ascii="Arial" w:cs="Arial" w:eastAsia="Arial" w:hAnsi="Arial"/>
          <w:sz w:val="16"/>
          <w:szCs w:val="16"/>
          <w:color w:val="0000FF"/>
        </w:rPr>
        <w:t xml:space="preserve"> </w:t>
      </w:r>
      <w:hyperlink r:id="rId90">
        <w:r>
          <w:rPr>
            <w:rFonts w:ascii="Arial" w:cs="Arial" w:eastAsia="Arial" w:hAnsi="Arial"/>
            <w:sz w:val="16"/>
            <w:szCs w:val="16"/>
            <w:u w:val="single" w:color="auto"/>
            <w:color w:val="0000FF"/>
          </w:rPr>
          <w:t>Bylaws of Winnebago Industries, Inc., effective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50621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1340"/>
        <w:spacing w:after="0" w:line="182" w:lineRule="auto"/>
        <w:rPr>
          <w:sz w:val="20"/>
          <w:szCs w:val="20"/>
          <w:color w:val="auto"/>
        </w:rPr>
      </w:pPr>
      <w:r>
        <w:rPr>
          <w:rFonts w:ascii="Arial" w:cs="Arial" w:eastAsia="Arial" w:hAnsi="Arial"/>
          <w:sz w:val="32"/>
          <w:szCs w:val="32"/>
          <w:color w:val="000000"/>
          <w:vertAlign w:val="subscript"/>
        </w:rPr>
        <w:t>4a.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Description of Securities.</w:t>
      </w:r>
    </w:p>
    <w:p>
      <w:pPr>
        <w:spacing w:after="0" w:line="83" w:lineRule="exact"/>
        <w:rPr>
          <w:sz w:val="20"/>
          <w:szCs w:val="20"/>
          <w:color w:val="auto"/>
        </w:rPr>
      </w:pPr>
    </w:p>
    <w:p>
      <w:pPr>
        <w:ind w:left="1600" w:right="20" w:hanging="260"/>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4b. </w:t>
      </w:r>
      <w:hyperlink r:id="rId92">
        <w:r>
          <w:rPr>
            <w:rFonts w:ascii="Arial" w:cs="Arial" w:eastAsia="Arial" w:hAnsi="Arial"/>
            <w:sz w:val="16"/>
            <w:szCs w:val="16"/>
            <w:u w:val="single" w:color="auto"/>
            <w:color w:val="0000FF"/>
          </w:rPr>
          <w:t>Indenture, dated November 1, 2019, by and between Winnebago Industries,</w:t>
        </w:r>
      </w:hyperlink>
      <w:r>
        <w:rPr>
          <w:rFonts w:ascii="Arial" w:cs="Arial" w:eastAsia="Arial" w:hAnsi="Arial"/>
          <w:sz w:val="16"/>
          <w:szCs w:val="16"/>
          <w:color w:val="auto"/>
        </w:rPr>
        <w:t xml:space="preserve"> </w:t>
      </w:r>
      <w:hyperlink r:id="rId92">
        <w:r>
          <w:rPr>
            <w:rFonts w:ascii="Arial" w:cs="Arial" w:eastAsia="Arial" w:hAnsi="Arial"/>
            <w:sz w:val="16"/>
            <w:szCs w:val="16"/>
            <w:u w:val="single" w:color="auto"/>
            <w:color w:val="0000FF"/>
          </w:rPr>
          <w:t>Inc. and U.S. Bank National Association.</w:t>
        </w:r>
      </w:hyperlink>
    </w:p>
    <w:p>
      <w:pPr>
        <w:spacing w:after="0" w:line="1" w:lineRule="exact"/>
        <w:rPr>
          <w:sz w:val="20"/>
          <w:szCs w:val="20"/>
          <w:color w:val="auto"/>
        </w:rPr>
      </w:pPr>
    </w:p>
    <w:p>
      <w:pPr>
        <w:jc w:val="right"/>
        <w:ind w:left="1360" w:right="200"/>
        <w:spacing w:after="0" w:line="25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4c. </w:t>
      </w:r>
      <w:hyperlink r:id="rId92">
        <w:r>
          <w:rPr>
            <w:rFonts w:ascii="Arial" w:cs="Arial" w:eastAsia="Arial" w:hAnsi="Arial"/>
            <w:sz w:val="16"/>
            <w:szCs w:val="16"/>
            <w:u w:val="single" w:color="auto"/>
            <w:color w:val="0000FF"/>
          </w:rPr>
          <w:t>Form of 1.50% Convertible Senior Note due 2025 (included in Exhibit 4b)</w:t>
        </w:r>
      </w:hyperlink>
      <w:r>
        <w:rPr>
          <w:rFonts w:ascii="Arial" w:cs="Arial" w:eastAsia="Arial" w:hAnsi="Arial"/>
          <w:sz w:val="16"/>
          <w:szCs w:val="16"/>
          <w:color w:val="auto"/>
        </w:rPr>
        <w:t xml:space="preserve"> </w:t>
      </w:r>
      <w:hyperlink r:id="rId93">
        <w:r>
          <w:rPr>
            <w:rFonts w:ascii="Arial" w:cs="Arial" w:eastAsia="Arial" w:hAnsi="Arial"/>
            <w:sz w:val="16"/>
            <w:szCs w:val="16"/>
            <w:u w:val="single" w:color="auto"/>
            <w:color w:val="0000FF"/>
          </w:rPr>
          <w:t>Indenture, dated as of July 8, 2020, by and among Winnebago Industries,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650621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506210" cy="137160"/>
                    </a:xfrm>
                    <a:prstGeom prst="rect">
                      <a:avLst/>
                    </a:prstGeom>
                    <a:noFill/>
                  </pic:spPr>
                </pic:pic>
              </a:graphicData>
            </a:graphic>
          </wp:anchor>
        </w:drawing>
      </w:r>
    </w:p>
    <w:p>
      <w:pPr>
        <w:ind w:left="1600" w:right="140" w:hanging="260"/>
        <w:spacing w:after="0" w:line="23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4d. </w:t>
      </w:r>
      <w:hyperlink r:id="rId93">
        <w:r>
          <w:rPr>
            <w:rFonts w:ascii="Arial" w:cs="Arial" w:eastAsia="Arial" w:hAnsi="Arial"/>
            <w:sz w:val="16"/>
            <w:szCs w:val="16"/>
            <w:u w:val="single" w:color="auto"/>
            <w:color w:val="0000FF"/>
          </w:rPr>
          <w:t>Inc., the guarantors named therein and U.S. Bank National Association, as</w:t>
        </w:r>
      </w:hyperlink>
      <w:r>
        <w:rPr>
          <w:rFonts w:ascii="Arial" w:cs="Arial" w:eastAsia="Arial" w:hAnsi="Arial"/>
          <w:sz w:val="16"/>
          <w:szCs w:val="16"/>
          <w:color w:val="auto"/>
        </w:rPr>
        <w:t xml:space="preserve"> </w:t>
      </w:r>
      <w:hyperlink r:id="rId93">
        <w:r>
          <w:rPr>
            <w:rFonts w:ascii="Arial" w:cs="Arial" w:eastAsia="Arial" w:hAnsi="Arial"/>
            <w:sz w:val="16"/>
            <w:szCs w:val="16"/>
            <w:u w:val="single" w:color="auto"/>
            <w:color w:val="0000FF"/>
          </w:rPr>
          <w:t>trustee.</w:t>
        </w:r>
      </w:hyperlink>
    </w:p>
    <w:p>
      <w:pPr>
        <w:spacing w:after="0" w:line="2" w:lineRule="exact"/>
        <w:rPr>
          <w:sz w:val="20"/>
          <w:szCs w:val="20"/>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 xml:space="preserve">4e. </w:t>
      </w:r>
      <w:hyperlink r:id="rId93">
        <w:r>
          <w:rPr>
            <w:rFonts w:ascii="Arial" w:cs="Arial" w:eastAsia="Arial" w:hAnsi="Arial"/>
            <w:sz w:val="16"/>
            <w:szCs w:val="16"/>
            <w:u w:val="single" w:color="auto"/>
            <w:color w:val="0000FF"/>
          </w:rPr>
          <w:t>Form of 6.250% Senior Secured Note due 2028 (included in Exhibit 4d)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-115570</wp:posOffset>
            </wp:positionV>
            <wp:extent cx="650621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506210" cy="137160"/>
                    </a:xfrm>
                    <a:prstGeom prst="rect">
                      <a:avLst/>
                    </a:prstGeom>
                    <a:noFill/>
                  </pic:spPr>
                </pic:pic>
              </a:graphicData>
            </a:graphic>
          </wp:anchor>
        </w:drawing>
      </w:r>
    </w:p>
    <w:p>
      <w:pPr>
        <w:spacing w:after="0" w:line="12" w:lineRule="exact"/>
        <w:rPr>
          <w:sz w:val="20"/>
          <w:szCs w:val="20"/>
          <w:color w:val="auto"/>
        </w:rPr>
      </w:pPr>
    </w:p>
    <w:p>
      <w:pPr>
        <w:ind w:left="1600" w:right="160"/>
        <w:spacing w:after="0" w:line="221" w:lineRule="auto"/>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Winnebago Industries, Inc. Deferred Compensation Plan previously filed</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with the Registrant's Quarterly Report on Form 10-Q for the quarter ended</w:t>
        </w:r>
      </w:hyperlink>
    </w:p>
    <w:p>
      <w:pPr>
        <w:spacing w:after="0" w:line="1" w:lineRule="exact"/>
        <w:rPr>
          <w:sz w:val="20"/>
          <w:szCs w:val="20"/>
          <w:color w:val="auto"/>
        </w:rPr>
      </w:pPr>
    </w:p>
    <w:p>
      <w:pPr>
        <w:ind w:left="1600" w:right="240" w:hanging="350"/>
        <w:spacing w:after="0" w:line="23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 </w:t>
      </w:r>
      <w:hyperlink r:id="rId96">
        <w:r>
          <w:rPr>
            <w:rFonts w:ascii="Arial" w:cs="Arial" w:eastAsia="Arial" w:hAnsi="Arial"/>
            <w:sz w:val="16"/>
            <w:szCs w:val="16"/>
            <w:u w:val="single" w:color="auto"/>
            <w:color w:val="0000FF"/>
          </w:rPr>
          <w:t>March 2, 1991 and incorporated by reference herein and the Amendment</w:t>
        </w:r>
      </w:hyperlink>
      <w:r>
        <w:rPr>
          <w:rFonts w:ascii="Arial" w:cs="Arial" w:eastAsia="Arial" w:hAnsi="Arial"/>
          <w:sz w:val="16"/>
          <w:szCs w:val="16"/>
          <w:color w:val="auto"/>
        </w:rPr>
        <w:t xml:space="preserve"> </w:t>
      </w:r>
      <w:hyperlink r:id="rId96">
        <w:r>
          <w:rPr>
            <w:rFonts w:ascii="Arial" w:cs="Arial" w:eastAsia="Arial" w:hAnsi="Arial"/>
            <w:sz w:val="16"/>
            <w:szCs w:val="16"/>
            <w:u w:val="single" w:color="auto"/>
            <w:color w:val="0000FF"/>
          </w:rPr>
          <w:t>dated June 29, 1995.*</w:t>
        </w:r>
      </w:hyperlink>
    </w:p>
    <w:p>
      <w:pPr>
        <w:spacing w:after="0" w:line="164" w:lineRule="exact"/>
        <w:rPr>
          <w:sz w:val="20"/>
          <w:szCs w:val="20"/>
          <w:color w:val="auto"/>
        </w:rPr>
      </w:pPr>
    </w:p>
    <w:p>
      <w:pPr>
        <w:ind w:left="1600" w:right="100"/>
        <w:spacing w:after="0" w:line="216" w:lineRule="auto"/>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Winnebago Industries, Inc. Executive Share Option Plan previously filed as</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Exhibit 10.J with the Registrant's Annual Report on Form 10-K for the fiscal</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year ended August 29, 1998 (Commission File Number 001-06403) and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incorporated by reference herein, and the Amendment dated July 1, 1999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416560</wp:posOffset>
            </wp:positionH>
            <wp:positionV relativeFrom="paragraph">
              <wp:posOffset>-419735</wp:posOffset>
            </wp:positionV>
            <wp:extent cx="6506210" cy="9601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506210" cy="960120"/>
                    </a:xfrm>
                    <a:prstGeom prst="rect">
                      <a:avLst/>
                    </a:prstGeom>
                    <a:noFill/>
                  </pic:spPr>
                </pic:pic>
              </a:graphicData>
            </a:graphic>
          </wp:anchor>
        </w:drawing>
      </w:r>
    </w:p>
    <w:p>
      <w:pPr>
        <w:ind w:left="1600" w:hanging="350"/>
        <w:spacing w:after="0" w:line="22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10b. </w:t>
      </w:r>
      <w:hyperlink r:id="rId97">
        <w:r>
          <w:rPr>
            <w:rFonts w:ascii="Arial" w:cs="Arial" w:eastAsia="Arial" w:hAnsi="Arial"/>
            <w:sz w:val="16"/>
            <w:szCs w:val="16"/>
            <w:u w:val="single" w:color="auto"/>
            <w:color w:val="0000FF"/>
          </w:rPr>
          <w:t>previously filed as Exhibit 10.J with the Registrant's Quarterly Report on</w:t>
        </w:r>
      </w:hyperlink>
      <w:r>
        <w:rPr>
          <w:rFonts w:ascii="Arial" w:cs="Arial" w:eastAsia="Arial" w:hAnsi="Arial"/>
          <w:sz w:val="16"/>
          <w:szCs w:val="16"/>
          <w:color w:val="auto"/>
        </w:rPr>
        <w:t xml:space="preserve"> </w:t>
      </w:r>
      <w:hyperlink r:id="rId97">
        <w:r>
          <w:rPr>
            <w:rFonts w:ascii="Arial" w:cs="Arial" w:eastAsia="Arial" w:hAnsi="Arial"/>
            <w:sz w:val="16"/>
            <w:szCs w:val="16"/>
            <w:u w:val="single" w:color="auto"/>
            <w:color w:val="0000FF"/>
          </w:rPr>
          <w:t>Form 10-Q for the quarter ended May 29, 1999 (Commission File Number</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001-06403) and incorporated by reference herein and the Amendment dated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January 1, 2001.*</w:t>
        </w:r>
      </w:hyperlink>
    </w:p>
    <w:p>
      <w:pPr>
        <w:spacing w:after="0" w:line="164" w:lineRule="exact"/>
        <w:rPr>
          <w:rFonts w:ascii="Arial" w:cs="Arial" w:eastAsia="Arial" w:hAnsi="Arial"/>
          <w:sz w:val="16"/>
          <w:szCs w:val="16"/>
          <w:u w:val="single" w:color="auto"/>
          <w:color w:val="0000FF"/>
        </w:rPr>
      </w:pPr>
    </w:p>
    <w:p>
      <w:pPr>
        <w:ind w:left="1600" w:right="300"/>
        <w:spacing w:after="0" w:line="221" w:lineRule="auto"/>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Winnebago Industries, Inc. Executive Deferred Compensation Plan</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previously filed as Exhibit 10.C with the Registrant's Quarterly Report on</w:t>
        </w:r>
      </w:hyperlink>
    </w:p>
    <w:p>
      <w:pPr>
        <w:spacing w:after="0" w:line="1" w:lineRule="exact"/>
        <w:rPr>
          <w:sz w:val="20"/>
          <w:szCs w:val="20"/>
          <w:color w:val="auto"/>
        </w:rPr>
      </w:pPr>
    </w:p>
    <w:p>
      <w:pPr>
        <w:ind w:left="1600" w:right="360" w:hanging="341"/>
        <w:spacing w:after="0" w:line="23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10c. </w:t>
      </w:r>
      <w:hyperlink r:id="rId99">
        <w:r>
          <w:rPr>
            <w:rFonts w:ascii="Arial" w:cs="Arial" w:eastAsia="Arial" w:hAnsi="Arial"/>
            <w:sz w:val="16"/>
            <w:szCs w:val="16"/>
            <w:u w:val="single" w:color="auto"/>
            <w:color w:val="0000FF"/>
          </w:rPr>
          <w:t>Form 10-Q for the quarter ended November 25, 2006 (Commission File</w:t>
        </w:r>
      </w:hyperlink>
      <w:r>
        <w:rPr>
          <w:rFonts w:ascii="Arial" w:cs="Arial" w:eastAsia="Arial" w:hAnsi="Arial"/>
          <w:sz w:val="16"/>
          <w:szCs w:val="16"/>
          <w:color w:val="auto"/>
        </w:rPr>
        <w:t xml:space="preserve"> </w:t>
      </w:r>
      <w:hyperlink r:id="rId99">
        <w:r>
          <w:rPr>
            <w:rFonts w:ascii="Arial" w:cs="Arial" w:eastAsia="Arial" w:hAnsi="Arial"/>
            <w:sz w:val="16"/>
            <w:szCs w:val="16"/>
            <w:u w:val="single" w:color="auto"/>
            <w:color w:val="0000FF"/>
          </w:rPr>
          <w:t>Number 001-06403) and the Amendment dated June 21, 2011.*</w:t>
        </w:r>
      </w:hyperlink>
    </w:p>
    <w:p>
      <w:pPr>
        <w:spacing w:after="0" w:line="164" w:lineRule="exact"/>
        <w:rPr>
          <w:sz w:val="20"/>
          <w:szCs w:val="20"/>
          <w:color w:val="auto"/>
        </w:rPr>
      </w:pPr>
    </w:p>
    <w:p>
      <w:pPr>
        <w:ind w:left="1600" w:right="220"/>
        <w:spacing w:after="0" w:line="216"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Winnebago Industries, Inc. 2004 Incentive Compensation Plan previously</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filed as Appendix B with the Registrant's Proxy Statement for the Annual</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Meeting of Shareholders held on January 13, 2004 (Commission File</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Number 001-06403) and incorporated by reference herein and the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416560</wp:posOffset>
            </wp:positionH>
            <wp:positionV relativeFrom="paragraph">
              <wp:posOffset>-419735</wp:posOffset>
            </wp:positionV>
            <wp:extent cx="6506210" cy="960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506210" cy="960120"/>
                    </a:xfrm>
                    <a:prstGeom prst="rect">
                      <a:avLst/>
                    </a:prstGeom>
                    <a:noFill/>
                  </pic:spPr>
                </pic:pic>
              </a:graphicData>
            </a:graphic>
          </wp:anchor>
        </w:drawing>
      </w:r>
    </w:p>
    <w:p>
      <w:pPr>
        <w:ind w:left="1600" w:hanging="350"/>
        <w:spacing w:after="0" w:line="22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10d. </w:t>
      </w:r>
      <w:hyperlink r:id="rId100">
        <w:r>
          <w:rPr>
            <w:rFonts w:ascii="Arial" w:cs="Arial" w:eastAsia="Arial" w:hAnsi="Arial"/>
            <w:sz w:val="16"/>
            <w:szCs w:val="16"/>
            <w:u w:val="single" w:color="auto"/>
            <w:color w:val="0000FF"/>
          </w:rPr>
          <w:t>Amendment dated October 11, 2006 previously filed as Exhibit 10.A with the</w:t>
        </w:r>
      </w:hyperlink>
      <w:r>
        <w:rPr>
          <w:rFonts w:ascii="Arial" w:cs="Arial" w:eastAsia="Arial" w:hAnsi="Arial"/>
          <w:sz w:val="16"/>
          <w:szCs w:val="16"/>
          <w:color w:val="auto"/>
        </w:rPr>
        <w:t xml:space="preserve"> </w:t>
      </w:r>
      <w:hyperlink r:id="rId100">
        <w:r>
          <w:rPr>
            <w:rFonts w:ascii="Arial" w:cs="Arial" w:eastAsia="Arial" w:hAnsi="Arial"/>
            <w:sz w:val="16"/>
            <w:szCs w:val="16"/>
            <w:u w:val="single" w:color="auto"/>
            <w:color w:val="0000FF"/>
          </w:rPr>
          <w:t>Registrant's Quarterly Report on Form 10-Q for the quarter ended</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November 25, 2006 (Commission File Number 001-06403) and incorporated</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by reference herein and the Amendment dated March 23, 2011.*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0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266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21"/>
        </w:trPr>
        <w:tc>
          <w:tcPr>
            <w:tcW w:w="6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Form</w:t>
            </w:r>
          </w:p>
        </w:tc>
        <w:tc>
          <w:tcPr>
            <w:tcW w:w="100" w:type="dxa"/>
            <w:vAlign w:val="bottom"/>
            <w:vMerge w:val="restart"/>
          </w:tcPr>
          <w:p>
            <w:pPr>
              <w:spacing w:after="0" w:line="20" w:lineRule="exact"/>
              <w:rPr>
                <w:sz w:val="1"/>
                <w:szCs w:val="1"/>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Exhibit</w:t>
            </w:r>
          </w:p>
        </w:tc>
        <w:tc>
          <w:tcPr>
            <w:tcW w:w="100" w:type="dxa"/>
            <w:vAlign w:val="bottom"/>
            <w:vMerge w:val="restart"/>
          </w:tcPr>
          <w:p>
            <w:pPr>
              <w:spacing w:after="0" w:line="20" w:lineRule="exact"/>
              <w:rPr>
                <w:sz w:val="1"/>
                <w:szCs w:val="1"/>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613"/>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09/16/2019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01/05/2022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01/05/2022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07/09/2020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07/09/2020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10.B</w:t>
            </w:r>
          </w:p>
        </w:tc>
        <w:tc>
          <w:tcPr>
            <w:tcW w:w="1060" w:type="dxa"/>
            <w:vAlign w:val="bottom"/>
          </w:tcPr>
          <w:p>
            <w:pPr>
              <w:jc w:val="right"/>
              <w:spacing w:after="0"/>
              <w:rPr>
                <w:sz w:val="20"/>
                <w:szCs w:val="20"/>
                <w:color w:val="auto"/>
              </w:rPr>
            </w:pPr>
            <w:r>
              <w:rPr>
                <w:rFonts w:ascii="Arial" w:cs="Arial" w:eastAsia="Arial" w:hAnsi="Arial"/>
                <w:sz w:val="16"/>
                <w:szCs w:val="16"/>
                <w:color w:val="auto"/>
              </w:rPr>
              <w:t>11/22/1995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10.I</w:t>
            </w:r>
          </w:p>
        </w:tc>
        <w:tc>
          <w:tcPr>
            <w:tcW w:w="1060" w:type="dxa"/>
            <w:vAlign w:val="bottom"/>
          </w:tcPr>
          <w:p>
            <w:pPr>
              <w:jc w:val="right"/>
              <w:spacing w:after="0"/>
              <w:rPr>
                <w:sz w:val="20"/>
                <w:szCs w:val="20"/>
                <w:color w:val="auto"/>
              </w:rPr>
            </w:pPr>
            <w:r>
              <w:rPr>
                <w:rFonts w:ascii="Arial" w:cs="Arial" w:eastAsia="Arial" w:hAnsi="Arial"/>
                <w:sz w:val="16"/>
                <w:szCs w:val="16"/>
                <w:color w:val="auto"/>
              </w:rPr>
              <w:t>04/09/2001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10.BB</w:t>
            </w:r>
          </w:p>
        </w:tc>
        <w:tc>
          <w:tcPr>
            <w:tcW w:w="1060" w:type="dxa"/>
            <w:vAlign w:val="bottom"/>
          </w:tcPr>
          <w:p>
            <w:pPr>
              <w:jc w:val="right"/>
              <w:spacing w:after="0"/>
              <w:rPr>
                <w:sz w:val="20"/>
                <w:szCs w:val="20"/>
                <w:color w:val="auto"/>
              </w:rPr>
            </w:pPr>
            <w:r>
              <w:rPr>
                <w:rFonts w:ascii="Arial" w:cs="Arial" w:eastAsia="Arial" w:hAnsi="Arial"/>
                <w:sz w:val="16"/>
                <w:szCs w:val="16"/>
                <w:color w:val="auto"/>
              </w:rPr>
              <w:t>10/25/2011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07/01/2011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5" w:lineRule="exact"/>
        <w:rPr>
          <w:rFonts w:ascii="Arial" w:cs="Arial" w:eastAsia="Arial" w:hAnsi="Arial"/>
          <w:sz w:val="16"/>
          <w:szCs w:val="16"/>
          <w:u w:val="single" w:color="auto"/>
          <w:color w:val="0000FF"/>
        </w:rPr>
      </w:pPr>
    </w:p>
    <w:p>
      <w:pPr>
        <w:sectPr>
          <w:pgSz w:w="11900" w:h="16838" w:orient="portrait"/>
          <w:cols w:equalWidth="0" w:num="2">
            <w:col w:w="7080" w:space="140"/>
            <w:col w:w="3980"/>
          </w:cols>
          <w:pgMar w:left="320" w:top="125" w:right="37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12"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0580"/>
          </w:cols>
          <w:pgMar w:left="32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40976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26" w:lineRule="exact"/>
        <w:rPr>
          <w:sz w:val="20"/>
          <w:szCs w:val="20"/>
          <w:color w:val="auto"/>
        </w:rPr>
      </w:pPr>
    </w:p>
    <w:p>
      <w:pPr>
        <w:ind w:left="1300" w:right="80"/>
        <w:spacing w:after="0" w:line="216" w:lineRule="auto"/>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Winnebago Industries, Inc. 2014 Omnibus Equity, Performance Award, and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Incentive Compensation Plan previously filed as Appendix B with the</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Registrant's Proxy Statement for the Annual Meeting of Shareholders held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on December 17, 2013 (Commission File Number 001-06403) and</w:t>
        </w:r>
      </w:hyperlink>
    </w:p>
    <w:p>
      <w:pPr>
        <w:spacing w:after="0" w:line="2" w:lineRule="exact"/>
        <w:rPr>
          <w:rFonts w:ascii="Arial" w:cs="Arial" w:eastAsia="Arial" w:hAnsi="Arial"/>
          <w:sz w:val="16"/>
          <w:szCs w:val="16"/>
          <w:u w:val="single" w:color="auto"/>
          <w:color w:val="0000FF"/>
        </w:rPr>
      </w:pPr>
    </w:p>
    <w:p>
      <w:pPr>
        <w:ind w:left="1300" w:right="80" w:hanging="350"/>
        <w:spacing w:after="0" w:line="22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10e. </w:t>
      </w:r>
      <w:hyperlink r:id="rId104">
        <w:r>
          <w:rPr>
            <w:rFonts w:ascii="Arial" w:cs="Arial" w:eastAsia="Arial" w:hAnsi="Arial"/>
            <w:sz w:val="16"/>
            <w:szCs w:val="16"/>
            <w:u w:val="single" w:color="auto"/>
            <w:color w:val="0000FF"/>
          </w:rPr>
          <w:t>incorporated by reference herein and the Supplement previously filed as</w:t>
        </w:r>
      </w:hyperlink>
      <w:r>
        <w:rPr>
          <w:rFonts w:ascii="Arial" w:cs="Arial" w:eastAsia="Arial" w:hAnsi="Arial"/>
          <w:sz w:val="16"/>
          <w:szCs w:val="16"/>
          <w:color w:val="auto"/>
        </w:rPr>
        <w:t xml:space="preserve"> </w:t>
      </w:r>
      <w:hyperlink r:id="rId104">
        <w:r>
          <w:rPr>
            <w:rFonts w:ascii="Arial" w:cs="Arial" w:eastAsia="Arial" w:hAnsi="Arial"/>
            <w:sz w:val="16"/>
            <w:szCs w:val="16"/>
            <w:u w:val="single" w:color="auto"/>
            <w:color w:val="0000FF"/>
          </w:rPr>
          <w:t>Exhibit 10.1 with the Registrant's Current Report on Form 8-K dated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December 6, 2013 (Commission File Number 001-06403) and incorporated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by reference herein.*</w:t>
        </w:r>
      </w:hyperlink>
    </w:p>
    <w:p>
      <w:pPr>
        <w:spacing w:after="0" w:line="164" w:lineRule="exact"/>
        <w:rPr>
          <w:rFonts w:ascii="Arial" w:cs="Arial" w:eastAsia="Arial" w:hAnsi="Arial"/>
          <w:sz w:val="16"/>
          <w:szCs w:val="16"/>
          <w:u w:val="single" w:color="auto"/>
          <w:color w:val="0000FF"/>
        </w:rPr>
      </w:pPr>
    </w:p>
    <w:p>
      <w:pPr>
        <w:ind w:left="1300"/>
        <w:spacing w:after="0" w:line="221" w:lineRule="auto"/>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Winnebago Industries, Inc. 2019 Omnibus Incentive Plan, previously filed as</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Appendix A to the Registrant's Definitive Proxy Statement on Schedule 14A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50621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506210" cy="548640"/>
                    </a:xfrm>
                    <a:prstGeom prst="rect">
                      <a:avLst/>
                    </a:prstGeom>
                    <a:noFill/>
                  </pic:spPr>
                </pic:pic>
              </a:graphicData>
            </a:graphic>
          </wp:anchor>
        </w:drawing>
      </w:r>
    </w:p>
    <w:p>
      <w:pPr>
        <w:ind w:left="1300" w:right="540" w:hanging="305"/>
        <w:spacing w:after="0" w:line="235" w:lineRule="auto"/>
        <w:rPr>
          <w:rFonts w:ascii="Arial" w:cs="Arial" w:eastAsia="Arial" w:hAnsi="Arial"/>
          <w:sz w:val="16"/>
          <w:szCs w:val="16"/>
          <w:color w:val="0000FF"/>
        </w:rPr>
      </w:pPr>
      <w:r>
        <w:rPr>
          <w:rFonts w:ascii="Arial" w:cs="Arial" w:eastAsia="Arial" w:hAnsi="Arial"/>
          <w:sz w:val="16"/>
          <w:szCs w:val="16"/>
          <w:color w:val="auto"/>
        </w:rPr>
        <w:t xml:space="preserve">10f. </w:t>
      </w:r>
      <w:hyperlink r:id="rId105">
        <w:r>
          <w:rPr>
            <w:rFonts w:ascii="Arial" w:cs="Arial" w:eastAsia="Arial" w:hAnsi="Arial"/>
            <w:sz w:val="16"/>
            <w:szCs w:val="16"/>
            <w:u w:val="single" w:color="auto"/>
            <w:color w:val="0000FF"/>
          </w:rPr>
          <w:t>filed on October 31, 2018 (Commission File Number 001-06403) and</w:t>
        </w:r>
      </w:hyperlink>
      <w:r>
        <w:rPr>
          <w:rFonts w:ascii="Arial" w:cs="Arial" w:eastAsia="Arial" w:hAnsi="Arial"/>
          <w:sz w:val="16"/>
          <w:szCs w:val="16"/>
          <w:color w:val="auto"/>
        </w:rPr>
        <w:t xml:space="preserve"> </w:t>
      </w:r>
      <w:hyperlink r:id="rId105">
        <w:r>
          <w:rPr>
            <w:rFonts w:ascii="Arial" w:cs="Arial" w:eastAsia="Arial" w:hAnsi="Arial"/>
            <w:sz w:val="16"/>
            <w:szCs w:val="16"/>
            <w:u w:val="single" w:color="auto"/>
            <w:color w:val="0000FF"/>
          </w:rPr>
          <w:t>incorporated by reference herein.</w:t>
        </w:r>
        <w:r>
          <w:rPr>
            <w:rFonts w:ascii="Arial" w:cs="Arial" w:eastAsia="Arial" w:hAnsi="Arial"/>
            <w:sz w:val="16"/>
            <w:szCs w:val="16"/>
            <w:color w:val="3051F2"/>
          </w:rPr>
          <w:t>*</w:t>
        </w:r>
      </w:hyperlink>
    </w:p>
    <w:p>
      <w:pPr>
        <w:spacing w:after="0" w:line="164" w:lineRule="exact"/>
        <w:rPr>
          <w:sz w:val="20"/>
          <w:szCs w:val="20"/>
          <w:color w:val="auto"/>
        </w:rPr>
      </w:pPr>
    </w:p>
    <w:p>
      <w:pPr>
        <w:ind w:left="1300" w:right="20"/>
        <w:spacing w:after="0" w:line="215" w:lineRule="auto"/>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Winnebago Industries, Inc. Directors' Deferred Compensation Plan</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previously filed as Exhibit 10.E with the Registrant's Annual Report on Form</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10-K for the fiscal year ended August 30, 1997 (Commission File Number</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001-06403), and incorporated by reference herein and the Amendment</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dated October 15, 2003 previously filed as Exhibit 10.H with the Registrant's</w:t>
        </w:r>
      </w:hyperlink>
    </w:p>
    <w:p>
      <w:pPr>
        <w:spacing w:after="0" w:line="2" w:lineRule="exact"/>
        <w:rPr>
          <w:rFonts w:ascii="Arial" w:cs="Arial" w:eastAsia="Arial" w:hAnsi="Arial"/>
          <w:sz w:val="16"/>
          <w:szCs w:val="16"/>
          <w:u w:val="single" w:color="auto"/>
          <w:color w:val="0000FF"/>
        </w:rPr>
      </w:pPr>
    </w:p>
    <w:p>
      <w:pPr>
        <w:ind w:left="1300" w:right="20" w:hanging="350"/>
        <w:spacing w:after="0" w:line="21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10g. </w:t>
      </w:r>
      <w:hyperlink r:id="rId107">
        <w:r>
          <w:rPr>
            <w:rFonts w:ascii="Arial" w:cs="Arial" w:eastAsia="Arial" w:hAnsi="Arial"/>
            <w:sz w:val="16"/>
            <w:szCs w:val="16"/>
            <w:u w:val="single" w:color="auto"/>
            <w:color w:val="0000FF"/>
          </w:rPr>
          <w:t>Quarterly Report on Form 10-Q for the quarter ended November 29, 2003</w:t>
        </w:r>
      </w:hyperlink>
      <w:r>
        <w:rPr>
          <w:rFonts w:ascii="Arial" w:cs="Arial" w:eastAsia="Arial" w:hAnsi="Arial"/>
          <w:sz w:val="16"/>
          <w:szCs w:val="16"/>
          <w:color w:val="auto"/>
        </w:rPr>
        <w:t xml:space="preserve"> </w:t>
      </w:r>
      <w:hyperlink r:id="rId107">
        <w:r>
          <w:rPr>
            <w:rFonts w:ascii="Arial" w:cs="Arial" w:eastAsia="Arial" w:hAnsi="Arial"/>
            <w:sz w:val="16"/>
            <w:szCs w:val="16"/>
            <w:u w:val="single" w:color="auto"/>
            <w:color w:val="0000FF"/>
          </w:rPr>
          <w:t>(Commission File Number 001-06403) and incorporated by reference herein</w:t>
        </w:r>
      </w:hyperlink>
    </w:p>
    <w:p>
      <w:pPr>
        <w:ind w:left="1300" w:right="20"/>
        <w:spacing w:after="0" w:line="223" w:lineRule="auto"/>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and the Amendment dated October 11, 2006 previously filed as Exhibit 10.B</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with the Registrant's Quarterly Report on Form 10-Q for the quarter ended</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November 25, 2006 (Commission File Number 001-06403) and the</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Amendment dated July 1, 2013.*</w:t>
        </w:r>
      </w:hyperlink>
    </w:p>
    <w:p>
      <w:pPr>
        <w:spacing w:after="0" w:line="164" w:lineRule="exact"/>
        <w:rPr>
          <w:rFonts w:ascii="Arial" w:cs="Arial" w:eastAsia="Arial" w:hAnsi="Arial"/>
          <w:sz w:val="16"/>
          <w:szCs w:val="16"/>
          <w:u w:val="single" w:color="auto"/>
          <w:color w:val="0000FF"/>
        </w:rPr>
      </w:pPr>
    </w:p>
    <w:p>
      <w:pPr>
        <w:ind w:left="1300" w:right="80"/>
        <w:spacing w:after="0" w:line="221" w:lineRule="auto"/>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Winnebago Industries, Inc. Profit Sharing and Deferred Savings Investment</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Plan previously filed with the Registrant's Annual Report on Form 10-K for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506210" cy="651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6506210" cy="651510"/>
                    </a:xfrm>
                    <a:prstGeom prst="rect">
                      <a:avLst/>
                    </a:prstGeom>
                    <a:noFill/>
                  </pic:spPr>
                </pic:pic>
              </a:graphicData>
            </a:graphic>
          </wp:anchor>
        </w:drawing>
      </w:r>
    </w:p>
    <w:p>
      <w:pPr>
        <w:ind w:left="940"/>
        <w:spacing w:after="0" w:line="212" w:lineRule="auto"/>
        <w:rPr>
          <w:rFonts w:ascii="Arial" w:cs="Arial" w:eastAsia="Arial" w:hAnsi="Arial"/>
          <w:sz w:val="16"/>
          <w:szCs w:val="16"/>
          <w:color w:val="auto"/>
        </w:rPr>
      </w:pPr>
      <w:r>
        <w:rPr>
          <w:rFonts w:ascii="Arial" w:cs="Arial" w:eastAsia="Arial" w:hAnsi="Arial"/>
          <w:sz w:val="16"/>
          <w:szCs w:val="16"/>
          <w:color w:val="auto"/>
        </w:rPr>
        <w:t xml:space="preserve">10h. </w:t>
      </w:r>
      <w:hyperlink r:id="rId96">
        <w:r>
          <w:rPr>
            <w:rFonts w:ascii="Arial" w:cs="Arial" w:eastAsia="Arial" w:hAnsi="Arial"/>
            <w:sz w:val="16"/>
            <w:szCs w:val="16"/>
            <w:u w:val="single" w:color="auto"/>
            <w:color w:val="0000FF"/>
          </w:rPr>
          <w:t>the fiscal year ended August 31, 1985 (Commission File Number 001-</w:t>
        </w:r>
      </w:hyperlink>
    </w:p>
    <w:p>
      <w:pPr>
        <w:ind w:left="1300"/>
        <w:spacing w:after="0" w:line="212" w:lineRule="auto"/>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06403), and incorporated by reference herein, and the Amendment dated</w:t>
        </w:r>
      </w:hyperlink>
    </w:p>
    <w:p>
      <w:pPr>
        <w:ind w:left="1300"/>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July 1, 1995 and incorporated by reference herein.*</w:t>
        </w:r>
      </w:hyperlink>
    </w:p>
    <w:p>
      <w:pPr>
        <w:spacing w:after="0" w:line="172" w:lineRule="exact"/>
        <w:rPr>
          <w:sz w:val="20"/>
          <w:szCs w:val="20"/>
          <w:color w:val="auto"/>
        </w:rPr>
      </w:pPr>
    </w:p>
    <w:p>
      <w:pPr>
        <w:ind w:left="1300"/>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Form of Non-Qualified Stock Option Agreement under Winnebago</w:t>
        </w:r>
      </w:hyperlink>
    </w:p>
    <w:p>
      <w:pPr>
        <w:ind w:left="1300" w:right="260" w:hanging="296"/>
        <w:spacing w:after="0" w:line="235" w:lineRule="auto"/>
        <w:rPr>
          <w:rFonts w:ascii="Arial" w:cs="Arial" w:eastAsia="Arial" w:hAnsi="Arial"/>
          <w:sz w:val="16"/>
          <w:szCs w:val="16"/>
          <w:color w:val="0000FF"/>
        </w:rPr>
      </w:pPr>
      <w:r>
        <w:rPr>
          <w:rFonts w:ascii="Arial" w:cs="Arial" w:eastAsia="Arial" w:hAnsi="Arial"/>
          <w:sz w:val="16"/>
          <w:szCs w:val="16"/>
          <w:color w:val="auto"/>
        </w:rPr>
        <w:t xml:space="preserve">10i. </w:t>
      </w:r>
      <w:hyperlink r:id="rId109">
        <w:r>
          <w:rPr>
            <w:rFonts w:ascii="Arial" w:cs="Arial" w:eastAsia="Arial" w:hAnsi="Arial"/>
            <w:sz w:val="16"/>
            <w:szCs w:val="16"/>
            <w:u w:val="single" w:color="auto"/>
            <w:color w:val="0000FF"/>
          </w:rPr>
          <w:t>Industries, Inc. 2014 Omnibus Equity, Performance Award, and Incentive</w:t>
        </w:r>
      </w:hyperlink>
      <w:r>
        <w:rPr>
          <w:rFonts w:ascii="Arial" w:cs="Arial" w:eastAsia="Arial" w:hAnsi="Arial"/>
          <w:sz w:val="16"/>
          <w:szCs w:val="16"/>
          <w:color w:val="auto"/>
        </w:rPr>
        <w:t xml:space="preserve"> </w:t>
      </w:r>
      <w:hyperlink r:id="rId109">
        <w:r>
          <w:rPr>
            <w:rFonts w:ascii="Arial" w:cs="Arial" w:eastAsia="Arial" w:hAnsi="Arial"/>
            <w:sz w:val="16"/>
            <w:szCs w:val="16"/>
            <w:u w:val="single" w:color="auto"/>
            <w:color w:val="0000FF"/>
          </w:rPr>
          <w:t>Compensation Plan (Fiscal 2019 awards and later).</w:t>
        </w:r>
        <w:r>
          <w:rPr>
            <w:rFonts w:ascii="Arial" w:cs="Arial" w:eastAsia="Arial" w:hAnsi="Arial"/>
            <w:sz w:val="16"/>
            <w:szCs w:val="16"/>
            <w:color w:val="0000FF"/>
          </w:rPr>
          <w:t xml:space="preserve"> </w:t>
        </w:r>
        <w:r>
          <w:rPr>
            <w:rFonts w:ascii="Arial" w:cs="Arial" w:eastAsia="Arial" w:hAnsi="Arial"/>
            <w:sz w:val="16"/>
            <w:szCs w:val="16"/>
            <w:color w:val="3051F2"/>
          </w:rPr>
          <w:t>*</w:t>
        </w:r>
      </w:hyperlink>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Form of Non-Qualified Stock Option Agreement under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06210"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ind w:left="1300" w:right="260" w:hanging="296"/>
        <w:spacing w:after="0" w:line="235" w:lineRule="auto"/>
        <w:rPr>
          <w:sz w:val="20"/>
          <w:szCs w:val="20"/>
          <w:color w:val="auto"/>
        </w:rPr>
      </w:pPr>
      <w:r>
        <w:rPr>
          <w:rFonts w:ascii="Arial" w:cs="Arial" w:eastAsia="Arial" w:hAnsi="Arial"/>
          <w:sz w:val="16"/>
          <w:szCs w:val="16"/>
          <w:color w:val="auto"/>
        </w:rPr>
        <w:t xml:space="preserve">10j. </w:t>
      </w:r>
      <w:r>
        <w:rPr>
          <w:rFonts w:ascii="Arial" w:cs="Arial" w:eastAsia="Arial" w:hAnsi="Arial"/>
          <w:sz w:val="16"/>
          <w:szCs w:val="16"/>
          <w:u w:val="single" w:color="auto"/>
          <w:color w:val="0000FF"/>
        </w:rPr>
        <w:t>Industries, Inc. 2019 Omnibus Equity, Performance Award, and Incentive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Compensation Plan (Fiscal 2022 awards and later).</w:t>
      </w:r>
      <w:r>
        <w:rPr>
          <w:rFonts w:ascii="Arial" w:cs="Arial" w:eastAsia="Arial" w:hAnsi="Arial"/>
          <w:sz w:val="16"/>
          <w:szCs w:val="16"/>
          <w:color w:val="3051F2"/>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Form of Non-Qualified Stock Option Agreement under Winnebago</w:t>
      </w:r>
    </w:p>
    <w:p>
      <w:pPr>
        <w:ind w:left="1300" w:right="260" w:hanging="341"/>
        <w:spacing w:after="0" w:line="235" w:lineRule="auto"/>
        <w:rPr>
          <w:sz w:val="20"/>
          <w:szCs w:val="20"/>
          <w:color w:val="auto"/>
        </w:rPr>
      </w:pPr>
      <w:r>
        <w:rPr>
          <w:rFonts w:ascii="Arial" w:cs="Arial" w:eastAsia="Arial" w:hAnsi="Arial"/>
          <w:sz w:val="16"/>
          <w:szCs w:val="16"/>
          <w:color w:val="auto"/>
        </w:rPr>
        <w:t xml:space="preserve">10k. </w:t>
      </w:r>
      <w:r>
        <w:rPr>
          <w:rFonts w:ascii="Arial" w:cs="Arial" w:eastAsia="Arial" w:hAnsi="Arial"/>
          <w:sz w:val="16"/>
          <w:szCs w:val="16"/>
          <w:u w:val="single" w:color="auto"/>
          <w:color w:val="0000FF"/>
        </w:rPr>
        <w:t>Industries, Inc. 2019 Omnibus Equity, Performance Award, and Incentive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Compensation Plan (Fiscal 2023 awards and later).</w:t>
      </w:r>
      <w:r>
        <w:rPr>
          <w:rFonts w:ascii="Arial" w:cs="Arial" w:eastAsia="Arial" w:hAnsi="Arial"/>
          <w:sz w:val="16"/>
          <w:szCs w:val="16"/>
          <w:color w:val="3051F2"/>
        </w:rPr>
        <w:t>*</w:t>
      </w:r>
    </w:p>
    <w:p>
      <w:pPr>
        <w:spacing w:after="0" w:line="158" w:lineRule="exact"/>
        <w:rPr>
          <w:sz w:val="20"/>
          <w:szCs w:val="20"/>
          <w:color w:val="auto"/>
        </w:rPr>
      </w:pPr>
    </w:p>
    <w:p>
      <w:pPr>
        <w:ind w:left="1300"/>
        <w:spacing w:after="0"/>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Form of Restricted Stock Unit Award Agreement (Executives) 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06210" cy="44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ind w:left="1300" w:right="80" w:hanging="296"/>
        <w:spacing w:after="0" w:line="235" w:lineRule="auto"/>
        <w:rPr>
          <w:rFonts w:ascii="Arial" w:cs="Arial" w:eastAsia="Arial" w:hAnsi="Arial"/>
          <w:sz w:val="16"/>
          <w:szCs w:val="16"/>
          <w:color w:val="0000FF"/>
        </w:rPr>
      </w:pPr>
      <w:r>
        <w:rPr>
          <w:rFonts w:ascii="Arial" w:cs="Arial" w:eastAsia="Arial" w:hAnsi="Arial"/>
          <w:sz w:val="16"/>
          <w:szCs w:val="16"/>
          <w:color w:val="auto"/>
        </w:rPr>
        <w:t xml:space="preserve">10l. </w:t>
      </w:r>
      <w:hyperlink r:id="rId111">
        <w:r>
          <w:rPr>
            <w:rFonts w:ascii="Arial" w:cs="Arial" w:eastAsia="Arial" w:hAnsi="Arial"/>
            <w:sz w:val="16"/>
            <w:szCs w:val="16"/>
            <w:u w:val="single" w:color="auto"/>
            <w:color w:val="0000FF"/>
          </w:rPr>
          <w:t>Winnebago Industries, Inc. 2014 Omnibus Equity, Performance Award, and</w:t>
        </w:r>
      </w:hyperlink>
      <w:r>
        <w:rPr>
          <w:rFonts w:ascii="Arial" w:cs="Arial" w:eastAsia="Arial" w:hAnsi="Arial"/>
          <w:sz w:val="16"/>
          <w:szCs w:val="16"/>
          <w:color w:val="auto"/>
        </w:rPr>
        <w:t xml:space="preserve"> </w:t>
      </w:r>
      <w:hyperlink r:id="rId111">
        <w:r>
          <w:rPr>
            <w:rFonts w:ascii="Arial" w:cs="Arial" w:eastAsia="Arial" w:hAnsi="Arial"/>
            <w:sz w:val="16"/>
            <w:szCs w:val="16"/>
            <w:u w:val="single" w:color="auto"/>
            <w:color w:val="0000FF"/>
          </w:rPr>
          <w:t>Incentive Compensation Plan (Fiscal 2019 awards and later).</w:t>
        </w:r>
        <w:r>
          <w:rPr>
            <w:rFonts w:ascii="Arial" w:cs="Arial" w:eastAsia="Arial" w:hAnsi="Arial"/>
            <w:sz w:val="16"/>
            <w:szCs w:val="16"/>
            <w:color w:val="3051F2"/>
          </w:rPr>
          <w:t>*</w:t>
        </w:r>
      </w:hyperlink>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Form of Restricted Stock Unit Award Agreement (Executives) under</w:t>
      </w:r>
    </w:p>
    <w:p>
      <w:pPr>
        <w:ind w:left="1300" w:right="80" w:hanging="395"/>
        <w:spacing w:after="0" w:line="235" w:lineRule="auto"/>
        <w:rPr>
          <w:sz w:val="20"/>
          <w:szCs w:val="20"/>
          <w:color w:val="auto"/>
        </w:rPr>
      </w:pPr>
      <w:r>
        <w:rPr>
          <w:rFonts w:ascii="Arial" w:cs="Arial" w:eastAsia="Arial" w:hAnsi="Arial"/>
          <w:sz w:val="16"/>
          <w:szCs w:val="16"/>
          <w:color w:val="auto"/>
        </w:rPr>
        <w:t xml:space="preserve">10m. </w:t>
      </w:r>
      <w:r>
        <w:rPr>
          <w:rFonts w:ascii="Arial" w:cs="Arial" w:eastAsia="Arial" w:hAnsi="Arial"/>
          <w:sz w:val="16"/>
          <w:szCs w:val="16"/>
          <w:u w:val="single" w:color="auto"/>
          <w:color w:val="0000FF"/>
        </w:rPr>
        <w:t>Winnebago Industries, Inc. 2019 Omnibus Equity, Performance Award,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Incentive Compensation Plan (Fiscal 2022 awards and later).</w:t>
      </w:r>
      <w:r>
        <w:rPr>
          <w:rFonts w:ascii="Arial" w:cs="Arial" w:eastAsia="Arial" w:hAnsi="Arial"/>
          <w:sz w:val="16"/>
          <w:szCs w:val="16"/>
          <w:color w:val="3051F2"/>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Form of Restricted Stock Unit Award Agreement (Executives)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06210" cy="445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ind w:left="1300" w:right="80" w:hanging="350"/>
        <w:spacing w:after="0" w:line="235" w:lineRule="auto"/>
        <w:rPr>
          <w:sz w:val="20"/>
          <w:szCs w:val="20"/>
          <w:color w:val="auto"/>
        </w:rPr>
      </w:pPr>
      <w:r>
        <w:rPr>
          <w:rFonts w:ascii="Arial" w:cs="Arial" w:eastAsia="Arial" w:hAnsi="Arial"/>
          <w:sz w:val="16"/>
          <w:szCs w:val="16"/>
          <w:color w:val="auto"/>
        </w:rPr>
        <w:t xml:space="preserve">10n. </w:t>
      </w:r>
      <w:r>
        <w:rPr>
          <w:rFonts w:ascii="Arial" w:cs="Arial" w:eastAsia="Arial" w:hAnsi="Arial"/>
          <w:sz w:val="16"/>
          <w:szCs w:val="16"/>
          <w:u w:val="single" w:color="auto"/>
          <w:color w:val="0000FF"/>
        </w:rPr>
        <w:t>Winnebago Industries, Inc. 2019 Omnibus Equity, Performance Award,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Incentive Compensation Plan (Fiscal 2023 awards and later).</w:t>
      </w:r>
      <w:r>
        <w:rPr>
          <w:rFonts w:ascii="Arial" w:cs="Arial" w:eastAsia="Arial" w:hAnsi="Arial"/>
          <w:sz w:val="16"/>
          <w:szCs w:val="16"/>
          <w:color w:val="3051F2"/>
        </w:rPr>
        <w:t>*</w:t>
      </w:r>
    </w:p>
    <w:p>
      <w:pPr>
        <w:spacing w:after="0" w:line="158" w:lineRule="exact"/>
        <w:rPr>
          <w:sz w:val="20"/>
          <w:szCs w:val="20"/>
          <w:color w:val="auto"/>
        </w:rPr>
      </w:pPr>
    </w:p>
    <w:p>
      <w:pPr>
        <w:ind w:left="1300"/>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Form of Performance Stock Unit Agreement under Winnebago Industries,</w:t>
        </w:r>
      </w:hyperlink>
    </w:p>
    <w:p>
      <w:pPr>
        <w:ind w:left="1300" w:right="1040" w:hanging="350"/>
        <w:spacing w:after="0" w:line="235" w:lineRule="auto"/>
        <w:rPr>
          <w:rFonts w:ascii="Arial" w:cs="Arial" w:eastAsia="Arial" w:hAnsi="Arial"/>
          <w:sz w:val="16"/>
          <w:szCs w:val="16"/>
          <w:color w:val="0000FF"/>
        </w:rPr>
      </w:pPr>
      <w:r>
        <w:rPr>
          <w:rFonts w:ascii="Arial" w:cs="Arial" w:eastAsia="Arial" w:hAnsi="Arial"/>
          <w:sz w:val="16"/>
          <w:szCs w:val="16"/>
          <w:color w:val="auto"/>
        </w:rPr>
        <w:t xml:space="preserve">10o. </w:t>
      </w:r>
      <w:hyperlink r:id="rId114">
        <w:r>
          <w:rPr>
            <w:rFonts w:ascii="Arial" w:cs="Arial" w:eastAsia="Arial" w:hAnsi="Arial"/>
            <w:sz w:val="16"/>
            <w:szCs w:val="16"/>
            <w:u w:val="single" w:color="auto"/>
            <w:color w:val="0000FF"/>
          </w:rPr>
          <w:t>Inc. 2014 Omnibus Equity, Performance Award, and Incentive</w:t>
        </w:r>
      </w:hyperlink>
      <w:r>
        <w:rPr>
          <w:rFonts w:ascii="Arial" w:cs="Arial" w:eastAsia="Arial" w:hAnsi="Arial"/>
          <w:sz w:val="16"/>
          <w:szCs w:val="16"/>
          <w:color w:val="auto"/>
        </w:rPr>
        <w:t xml:space="preserve"> </w:t>
      </w:r>
      <w:hyperlink r:id="rId114">
        <w:r>
          <w:rPr>
            <w:rFonts w:ascii="Arial" w:cs="Arial" w:eastAsia="Arial" w:hAnsi="Arial"/>
            <w:sz w:val="16"/>
            <w:szCs w:val="16"/>
            <w:u w:val="single" w:color="auto"/>
            <w:color w:val="0000FF"/>
          </w:rPr>
          <w:t>Compensation Plan (Fiscal 2019 awards and later).</w:t>
        </w:r>
        <w:r>
          <w:rPr>
            <w:rFonts w:ascii="Arial" w:cs="Arial" w:eastAsia="Arial" w:hAnsi="Arial"/>
            <w:sz w:val="16"/>
            <w:szCs w:val="16"/>
            <w:color w:val="3051F2"/>
          </w:rPr>
          <w:t>*</w:t>
        </w:r>
      </w:hyperlink>
    </w:p>
    <w:p>
      <w:pPr>
        <w:spacing w:after="0" w:line="158" w:lineRule="exact"/>
        <w:rPr>
          <w:sz w:val="20"/>
          <w:szCs w:val="20"/>
          <w:color w:val="auto"/>
        </w:rPr>
      </w:pPr>
    </w:p>
    <w:p>
      <w:pPr>
        <w:ind w:left="1300"/>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Form of Restricted Stock Unit Award Agreement (Non-Employee Director)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06210" cy="445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ind w:left="1300" w:right="160" w:hanging="350"/>
        <w:spacing w:after="0" w:line="235" w:lineRule="auto"/>
        <w:rPr>
          <w:rFonts w:ascii="Arial" w:cs="Arial" w:eastAsia="Arial" w:hAnsi="Arial"/>
          <w:sz w:val="16"/>
          <w:szCs w:val="16"/>
          <w:color w:val="0000FF"/>
        </w:rPr>
      </w:pPr>
      <w:r>
        <w:rPr>
          <w:rFonts w:ascii="Arial" w:cs="Arial" w:eastAsia="Arial" w:hAnsi="Arial"/>
          <w:sz w:val="16"/>
          <w:szCs w:val="16"/>
          <w:color w:val="auto"/>
        </w:rPr>
        <w:t xml:space="preserve">10p. </w:t>
      </w:r>
      <w:hyperlink r:id="rId115">
        <w:r>
          <w:rPr>
            <w:rFonts w:ascii="Arial" w:cs="Arial" w:eastAsia="Arial" w:hAnsi="Arial"/>
            <w:sz w:val="16"/>
            <w:szCs w:val="16"/>
            <w:u w:val="single" w:color="auto"/>
            <w:color w:val="0000FF"/>
          </w:rPr>
          <w:t>under Winnebago Industries, Inc. 2014 Omnibus Equity, Performance</w:t>
        </w:r>
      </w:hyperlink>
      <w:r>
        <w:rPr>
          <w:rFonts w:ascii="Arial" w:cs="Arial" w:eastAsia="Arial" w:hAnsi="Arial"/>
          <w:sz w:val="16"/>
          <w:szCs w:val="16"/>
          <w:color w:val="auto"/>
        </w:rPr>
        <w:t xml:space="preserve"> </w:t>
      </w:r>
      <w:hyperlink r:id="rId115">
        <w:r>
          <w:rPr>
            <w:rFonts w:ascii="Arial" w:cs="Arial" w:eastAsia="Arial" w:hAnsi="Arial"/>
            <w:sz w:val="16"/>
            <w:szCs w:val="16"/>
            <w:u w:val="single" w:color="auto"/>
            <w:color w:val="0000FF"/>
          </w:rPr>
          <w:t>Award, and Incentive Compensation Plan (Fiscal 2019 awards and later).</w:t>
        </w:r>
        <w:r>
          <w:rPr>
            <w:rFonts w:ascii="Arial" w:cs="Arial" w:eastAsia="Arial" w:hAnsi="Arial"/>
            <w:sz w:val="16"/>
            <w:szCs w:val="16"/>
            <w:color w:val="3051F2"/>
          </w:rPr>
          <w:t>*</w:t>
        </w:r>
      </w:hyperlink>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Form of Restricted Stock Unit Award Agreement (Non-Employee Director)</w:t>
      </w:r>
    </w:p>
    <w:p>
      <w:pPr>
        <w:ind w:left="1300" w:right="160" w:hanging="350"/>
        <w:spacing w:after="0" w:line="235" w:lineRule="auto"/>
        <w:rPr>
          <w:sz w:val="20"/>
          <w:szCs w:val="20"/>
          <w:color w:val="auto"/>
        </w:rPr>
      </w:pPr>
      <w:r>
        <w:rPr>
          <w:rFonts w:ascii="Arial" w:cs="Arial" w:eastAsia="Arial" w:hAnsi="Arial"/>
          <w:sz w:val="16"/>
          <w:szCs w:val="16"/>
          <w:color w:val="auto"/>
        </w:rPr>
        <w:t xml:space="preserve">10q. </w:t>
      </w:r>
      <w:r>
        <w:rPr>
          <w:rFonts w:ascii="Arial" w:cs="Arial" w:eastAsia="Arial" w:hAnsi="Arial"/>
          <w:sz w:val="16"/>
          <w:szCs w:val="16"/>
          <w:u w:val="single" w:color="auto"/>
          <w:color w:val="0000FF"/>
        </w:rPr>
        <w:t>under Winnebago Industries, Inc. 2019 Omnibus Equity, Performance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Award, and Incentive Compensation Plan (Fiscal 2022 awards and later).</w:t>
      </w:r>
      <w:r>
        <w:rPr>
          <w:rFonts w:ascii="Arial" w:cs="Arial" w:eastAsia="Arial" w:hAnsi="Arial"/>
          <w:sz w:val="16"/>
          <w:szCs w:val="16"/>
          <w:color w:val="3051F2"/>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66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
        </w:trPr>
        <w:tc>
          <w:tcPr>
            <w:tcW w:w="6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Form</w:t>
            </w:r>
          </w:p>
        </w:tc>
        <w:tc>
          <w:tcPr>
            <w:tcW w:w="120" w:type="dxa"/>
            <w:vAlign w:val="bottom"/>
            <w:vMerge w:val="restart"/>
          </w:tcPr>
          <w:p>
            <w:pPr>
              <w:spacing w:after="0" w:line="20" w:lineRule="exact"/>
              <w:rPr>
                <w:sz w:val="1"/>
                <w:szCs w:val="1"/>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Exhibit</w:t>
            </w:r>
          </w:p>
        </w:tc>
        <w:tc>
          <w:tcPr>
            <w:tcW w:w="100" w:type="dxa"/>
            <w:vAlign w:val="bottom"/>
            <w:vMerge w:val="restart"/>
          </w:tcPr>
          <w:p>
            <w:pPr>
              <w:spacing w:after="0" w:line="20" w:lineRule="exact"/>
              <w:rPr>
                <w:sz w:val="1"/>
                <w:szCs w:val="1"/>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855"/>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12/06/2013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5"/>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DEF</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A</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10/31/2018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14A</w:t>
            </w:r>
          </w:p>
        </w:tc>
        <w:tc>
          <w:tcPr>
            <w:tcW w:w="82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7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9"/>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06/28/2013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10.C</w:t>
            </w:r>
          </w:p>
        </w:tc>
        <w:tc>
          <w:tcPr>
            <w:tcW w:w="1060" w:type="dxa"/>
            <w:vAlign w:val="bottom"/>
          </w:tcPr>
          <w:p>
            <w:pPr>
              <w:jc w:val="right"/>
              <w:spacing w:after="0"/>
              <w:rPr>
                <w:sz w:val="20"/>
                <w:szCs w:val="20"/>
                <w:color w:val="auto"/>
              </w:rPr>
            </w:pPr>
            <w:r>
              <w:rPr>
                <w:rFonts w:ascii="Arial" w:cs="Arial" w:eastAsia="Arial" w:hAnsi="Arial"/>
                <w:sz w:val="16"/>
                <w:szCs w:val="16"/>
                <w:color w:val="auto"/>
              </w:rPr>
              <w:t>11/22/1995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10.b</w:t>
            </w:r>
          </w:p>
        </w:tc>
        <w:tc>
          <w:tcPr>
            <w:tcW w:w="1060" w:type="dxa"/>
            <w:vAlign w:val="bottom"/>
          </w:tcPr>
          <w:p>
            <w:pPr>
              <w:jc w:val="right"/>
              <w:spacing w:after="0"/>
              <w:rPr>
                <w:sz w:val="20"/>
                <w:szCs w:val="20"/>
                <w:color w:val="auto"/>
              </w:rPr>
            </w:pPr>
            <w:r>
              <w:rPr>
                <w:rFonts w:ascii="Arial" w:cs="Arial" w:eastAsia="Arial" w:hAnsi="Arial"/>
                <w:sz w:val="16"/>
                <w:szCs w:val="16"/>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70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10.c</w:t>
            </w:r>
          </w:p>
        </w:tc>
        <w:tc>
          <w:tcPr>
            <w:tcW w:w="1060" w:type="dxa"/>
            <w:vAlign w:val="bottom"/>
          </w:tcPr>
          <w:p>
            <w:pPr>
              <w:jc w:val="right"/>
              <w:spacing w:after="0"/>
              <w:rPr>
                <w:sz w:val="20"/>
                <w:szCs w:val="20"/>
                <w:color w:val="auto"/>
              </w:rPr>
            </w:pPr>
            <w:r>
              <w:rPr>
                <w:rFonts w:ascii="Arial" w:cs="Arial" w:eastAsia="Arial" w:hAnsi="Arial"/>
                <w:sz w:val="16"/>
                <w:szCs w:val="16"/>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70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10.d</w:t>
            </w:r>
          </w:p>
        </w:tc>
        <w:tc>
          <w:tcPr>
            <w:tcW w:w="1060" w:type="dxa"/>
            <w:vAlign w:val="bottom"/>
          </w:tcPr>
          <w:p>
            <w:pPr>
              <w:jc w:val="right"/>
              <w:spacing w:after="0"/>
              <w:rPr>
                <w:sz w:val="20"/>
                <w:szCs w:val="20"/>
                <w:color w:val="auto"/>
              </w:rPr>
            </w:pPr>
            <w:r>
              <w:rPr>
                <w:rFonts w:ascii="Arial" w:cs="Arial" w:eastAsia="Arial" w:hAnsi="Arial"/>
                <w:sz w:val="16"/>
                <w:szCs w:val="16"/>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10.e</w:t>
            </w:r>
          </w:p>
        </w:tc>
        <w:tc>
          <w:tcPr>
            <w:tcW w:w="1060" w:type="dxa"/>
            <w:vAlign w:val="bottom"/>
          </w:tcPr>
          <w:p>
            <w:pPr>
              <w:jc w:val="right"/>
              <w:spacing w:after="0"/>
              <w:rPr>
                <w:sz w:val="20"/>
                <w:szCs w:val="20"/>
                <w:color w:val="auto"/>
              </w:rPr>
            </w:pPr>
            <w:r>
              <w:rPr>
                <w:rFonts w:ascii="Arial" w:cs="Arial" w:eastAsia="Arial" w:hAnsi="Arial"/>
                <w:sz w:val="16"/>
                <w:szCs w:val="16"/>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80" w:lineRule="exact"/>
        <w:rPr>
          <w:sz w:val="20"/>
          <w:szCs w:val="20"/>
          <w:color w:val="auto"/>
        </w:rPr>
      </w:pPr>
    </w:p>
    <w:p>
      <w:pPr>
        <w:sectPr>
          <w:pgSz w:w="11900" w:h="16838" w:orient="portrait"/>
          <w:cols w:equalWidth="0" w:num="2">
            <w:col w:w="6760" w:space="140"/>
            <w:col w:w="3680"/>
          </w:cols>
          <w:pgMar w:left="320" w:top="12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25" w:right="9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6506210" cy="454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506210" cy="454660"/>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0000FF"/>
        </w:rPr>
        <w:t>Form of Restricted Stock Unit Award Agreement (Non-Employee Director)</w:t>
      </w:r>
    </w:p>
    <w:p>
      <w:pPr>
        <w:ind w:left="1300" w:right="160" w:hanging="305"/>
        <w:spacing w:after="0" w:line="235" w:lineRule="auto"/>
        <w:rPr>
          <w:sz w:val="20"/>
          <w:szCs w:val="20"/>
          <w:color w:val="auto"/>
        </w:rPr>
      </w:pPr>
      <w:r>
        <w:rPr>
          <w:rFonts w:ascii="Arial" w:cs="Arial" w:eastAsia="Arial" w:hAnsi="Arial"/>
          <w:sz w:val="16"/>
          <w:szCs w:val="16"/>
          <w:color w:val="auto"/>
        </w:rPr>
        <w:t xml:space="preserve">10r. </w:t>
      </w:r>
      <w:r>
        <w:rPr>
          <w:rFonts w:ascii="Arial" w:cs="Arial" w:eastAsia="Arial" w:hAnsi="Arial"/>
          <w:sz w:val="16"/>
          <w:szCs w:val="16"/>
          <w:u w:val="single" w:color="auto"/>
          <w:color w:val="0000FF"/>
        </w:rPr>
        <w:t>under Winnebago Industries, Inc. 2019 Omnibus Equity, Performance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Award, and Incentive Compensation Plan (Fiscal 2023 awards and later).</w:t>
      </w:r>
      <w:r>
        <w:rPr>
          <w:rFonts w:ascii="Arial" w:cs="Arial" w:eastAsia="Arial" w:hAnsi="Arial"/>
          <w:sz w:val="16"/>
          <w:szCs w:val="16"/>
          <w:color w:val="3051F2"/>
        </w:rPr>
        <w:t>*</w:t>
      </w:r>
    </w:p>
    <w:p>
      <w:pPr>
        <w:spacing w:after="0" w:line="25" w:lineRule="exact"/>
        <w:rPr>
          <w:sz w:val="20"/>
          <w:szCs w:val="20"/>
          <w:color w:val="auto"/>
        </w:rPr>
      </w:pPr>
    </w:p>
    <w:p>
      <w:pPr>
        <w:ind w:left="960"/>
        <w:spacing w:after="0"/>
        <w:rPr>
          <w:rFonts w:ascii="Arial" w:cs="Arial" w:eastAsia="Arial" w:hAnsi="Arial"/>
          <w:sz w:val="16"/>
          <w:szCs w:val="16"/>
          <w:color w:val="0000FF"/>
        </w:rPr>
      </w:pPr>
      <w:hyperlink r:id="rId119"/>
      <w:r>
        <w:rPr>
          <w:rFonts w:ascii="Arial" w:cs="Arial" w:eastAsia="Arial" w:hAnsi="Arial"/>
          <w:sz w:val="32"/>
          <w:szCs w:val="32"/>
          <w:color w:val="000000"/>
          <w:vertAlign w:val="subscript"/>
        </w:rPr>
        <w:t>10s.</w:t>
      </w:r>
      <w:r>
        <w:rPr>
          <w:rFonts w:ascii="Arial" w:cs="Arial" w:eastAsia="Arial" w:hAnsi="Arial"/>
          <w:sz w:val="16"/>
          <w:szCs w:val="16"/>
          <w:color w:val="0000FF"/>
        </w:rPr>
        <w:t xml:space="preserve"> </w:t>
      </w:r>
      <w:hyperlink r:id="rId119">
        <w:r>
          <w:rPr>
            <w:rFonts w:ascii="Arial" w:cs="Arial" w:eastAsia="Arial" w:hAnsi="Arial"/>
            <w:sz w:val="16"/>
            <w:szCs w:val="16"/>
            <w:u w:val="single" w:color="auto"/>
            <w:color w:val="0000FF"/>
          </w:rPr>
          <w:t>Form of Change in Control Agreemen</w:t>
        </w:r>
        <w:r>
          <w:rPr>
            <w:rFonts w:ascii="Arial" w:cs="Arial" w:eastAsia="Arial" w:hAnsi="Arial"/>
            <w:sz w:val="16"/>
            <w:szCs w:val="16"/>
            <w:u w:val="single" w:color="auto"/>
            <w:color w:val="3051F2"/>
          </w:rPr>
          <w:t>t.</w:t>
        </w:r>
      </w:hyperlink>
      <w:r>
        <w:rPr>
          <w:rFonts w:ascii="Arial" w:cs="Arial" w:eastAsia="Arial" w:hAnsi="Arial"/>
          <w:sz w:val="16"/>
          <w:szCs w:val="16"/>
          <w:color w:val="3051F2"/>
        </w:rPr>
        <w:t>*</w:t>
      </w:r>
    </w:p>
    <w:p>
      <w:pPr>
        <w:spacing w:after="0" w:line="67" w:lineRule="exact"/>
        <w:rPr>
          <w:sz w:val="20"/>
          <w:szCs w:val="20"/>
          <w:color w:val="auto"/>
        </w:rPr>
      </w:pPr>
    </w:p>
    <w:p>
      <w:pPr>
        <w:ind w:left="980"/>
        <w:spacing w:after="0"/>
        <w:rPr>
          <w:rFonts w:ascii="Arial" w:cs="Arial" w:eastAsia="Arial" w:hAnsi="Arial"/>
          <w:sz w:val="16"/>
          <w:szCs w:val="16"/>
          <w:color w:val="0000FF"/>
        </w:rPr>
      </w:pPr>
      <w:hyperlink r:id="rId120"/>
      <w:r>
        <w:rPr>
          <w:rFonts w:ascii="Arial" w:cs="Arial" w:eastAsia="Arial" w:hAnsi="Arial"/>
          <w:sz w:val="32"/>
          <w:szCs w:val="32"/>
          <w:color w:val="000000"/>
          <w:vertAlign w:val="subscript"/>
        </w:rPr>
        <w:t>10t.</w:t>
      </w:r>
      <w:r>
        <w:rPr>
          <w:rFonts w:ascii="Arial" w:cs="Arial" w:eastAsia="Arial" w:hAnsi="Arial"/>
          <w:sz w:val="16"/>
          <w:szCs w:val="16"/>
          <w:color w:val="0000FF"/>
        </w:rPr>
        <w:t xml:space="preserve"> </w:t>
      </w:r>
      <w:hyperlink r:id="rId120">
        <w:r>
          <w:rPr>
            <w:rFonts w:ascii="Arial" w:cs="Arial" w:eastAsia="Arial" w:hAnsi="Arial"/>
            <w:sz w:val="16"/>
            <w:szCs w:val="16"/>
            <w:u w:val="single" w:color="auto"/>
            <w:color w:val="0000FF"/>
          </w:rPr>
          <w:t>Winnebago Industries, Inc. Supplemental Executive Retirement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-180340</wp:posOffset>
            </wp:positionV>
            <wp:extent cx="650621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spacing w:after="0" w:line="72" w:lineRule="exact"/>
        <w:rPr>
          <w:sz w:val="20"/>
          <w:szCs w:val="20"/>
          <w:color w:val="auto"/>
        </w:rPr>
      </w:pPr>
    </w:p>
    <w:p>
      <w:pPr>
        <w:ind w:left="1300" w:right="420" w:hanging="350"/>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10u. </w:t>
      </w:r>
      <w:hyperlink r:id="rId122">
        <w:r>
          <w:rPr>
            <w:rFonts w:ascii="Arial" w:cs="Arial" w:eastAsia="Arial" w:hAnsi="Arial"/>
            <w:sz w:val="16"/>
            <w:szCs w:val="16"/>
            <w:u w:val="single" w:color="auto"/>
            <w:color w:val="0000FF"/>
          </w:rPr>
          <w:t>Winnebago Industries, Inc. Executive Incentive Compensation Plan for</w:t>
        </w:r>
      </w:hyperlink>
      <w:r>
        <w:rPr>
          <w:rFonts w:ascii="Arial" w:cs="Arial" w:eastAsia="Arial" w:hAnsi="Arial"/>
          <w:sz w:val="16"/>
          <w:szCs w:val="16"/>
          <w:color w:val="auto"/>
        </w:rPr>
        <w:t xml:space="preserve"> </w:t>
      </w:r>
      <w:hyperlink r:id="rId122">
        <w:r>
          <w:rPr>
            <w:rFonts w:ascii="Arial" w:cs="Arial" w:eastAsia="Arial" w:hAnsi="Arial"/>
            <w:sz w:val="16"/>
            <w:szCs w:val="16"/>
            <w:u w:val="single" w:color="auto"/>
            <w:color w:val="0000FF"/>
          </w:rPr>
          <w:t>Fiscal Period 2021 and later.*</w:t>
        </w:r>
      </w:hyperlink>
    </w:p>
    <w:p>
      <w:pPr>
        <w:spacing w:after="0" w:line="1" w:lineRule="exact"/>
        <w:rPr>
          <w:sz w:val="20"/>
          <w:szCs w:val="20"/>
          <w:color w:val="auto"/>
        </w:rPr>
      </w:pPr>
    </w:p>
    <w:p>
      <w:pPr>
        <w:ind w:left="1300" w:right="200" w:hanging="329"/>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10v. </w:t>
      </w:r>
      <w:hyperlink r:id="rId123">
        <w:r>
          <w:rPr>
            <w:rFonts w:ascii="Arial" w:cs="Arial" w:eastAsia="Arial" w:hAnsi="Arial"/>
            <w:sz w:val="16"/>
            <w:szCs w:val="16"/>
            <w:u w:val="single" w:color="auto"/>
            <w:color w:val="0000FF"/>
          </w:rPr>
          <w:t>Form of Performance Stock Unit Agreement under Winnebago Industries,</w:t>
        </w:r>
      </w:hyperlink>
      <w:r>
        <w:rPr>
          <w:rFonts w:ascii="Arial" w:cs="Arial" w:eastAsia="Arial" w:hAnsi="Arial"/>
          <w:sz w:val="16"/>
          <w:szCs w:val="16"/>
          <w:color w:val="auto"/>
        </w:rPr>
        <w:t xml:space="preserve"> </w:t>
      </w:r>
      <w:hyperlink r:id="rId123">
        <w:r>
          <w:rPr>
            <w:rFonts w:ascii="Arial" w:cs="Arial" w:eastAsia="Arial" w:hAnsi="Arial"/>
            <w:sz w:val="16"/>
            <w:szCs w:val="16"/>
            <w:u w:val="single" w:color="auto"/>
            <w:color w:val="0000FF"/>
          </w:rPr>
          <w:t>Inc. 2019 Omnibus Incentive Plan (Special FY21 1-year award).*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-238760</wp:posOffset>
            </wp:positionV>
            <wp:extent cx="650621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1300" w:right="200" w:hanging="368"/>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10w. </w:t>
      </w:r>
      <w:hyperlink r:id="rId125">
        <w:r>
          <w:rPr>
            <w:rFonts w:ascii="Arial" w:cs="Arial" w:eastAsia="Arial" w:hAnsi="Arial"/>
            <w:sz w:val="16"/>
            <w:szCs w:val="16"/>
            <w:u w:val="single" w:color="auto"/>
            <w:color w:val="0000FF"/>
          </w:rPr>
          <w:t>Form of Performance Stock Unit Agreement under Winnebago Industries,</w:t>
        </w:r>
      </w:hyperlink>
      <w:r>
        <w:rPr>
          <w:rFonts w:ascii="Arial" w:cs="Arial" w:eastAsia="Arial" w:hAnsi="Arial"/>
          <w:sz w:val="16"/>
          <w:szCs w:val="16"/>
          <w:color w:val="auto"/>
        </w:rPr>
        <w:t xml:space="preserve"> </w:t>
      </w:r>
      <w:hyperlink r:id="rId125">
        <w:r>
          <w:rPr>
            <w:rFonts w:ascii="Arial" w:cs="Arial" w:eastAsia="Arial" w:hAnsi="Arial"/>
            <w:sz w:val="16"/>
            <w:szCs w:val="16"/>
            <w:u w:val="single" w:color="auto"/>
            <w:color w:val="0000FF"/>
          </w:rPr>
          <w:t>Inc. 2019 Omnibus Incentive Plan (Fiscal 2021 awards)*</w:t>
        </w:r>
      </w:hyperlink>
    </w:p>
    <w:p>
      <w:pPr>
        <w:spacing w:after="0" w:line="1" w:lineRule="exact"/>
        <w:rPr>
          <w:sz w:val="20"/>
          <w:szCs w:val="20"/>
          <w:color w:val="auto"/>
        </w:rPr>
      </w:pPr>
    </w:p>
    <w:p>
      <w:pPr>
        <w:ind w:left="1300" w:right="200" w:hanging="341"/>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10x. </w:t>
      </w:r>
      <w:hyperlink r:id="rId126">
        <w:r>
          <w:rPr>
            <w:rFonts w:ascii="Arial" w:cs="Arial" w:eastAsia="Arial" w:hAnsi="Arial"/>
            <w:sz w:val="16"/>
            <w:szCs w:val="16"/>
            <w:u w:val="single" w:color="auto"/>
            <w:color w:val="0000FF"/>
          </w:rPr>
          <w:t>Form of Performance Stock Unit Agreement under Winnebago Industries,</w:t>
        </w:r>
      </w:hyperlink>
      <w:r>
        <w:rPr>
          <w:rFonts w:ascii="Arial" w:cs="Arial" w:eastAsia="Arial" w:hAnsi="Arial"/>
          <w:sz w:val="16"/>
          <w:szCs w:val="16"/>
          <w:color w:val="auto"/>
        </w:rPr>
        <w:t xml:space="preserve"> </w:t>
      </w:r>
      <w:hyperlink r:id="rId126">
        <w:r>
          <w:rPr>
            <w:rFonts w:ascii="Arial" w:cs="Arial" w:eastAsia="Arial" w:hAnsi="Arial"/>
            <w:sz w:val="16"/>
            <w:szCs w:val="16"/>
            <w:u w:val="single" w:color="auto"/>
            <w:color w:val="0000FF"/>
          </w:rPr>
          <w:t>Inc. 2019 Omnibus Incentive Plan (Fiscal 2022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-238760</wp:posOffset>
            </wp:positionV>
            <wp:extent cx="6506210"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1300" w:right="200" w:hanging="329"/>
        <w:spacing w:after="0" w:line="246" w:lineRule="auto"/>
        <w:rPr>
          <w:sz w:val="20"/>
          <w:szCs w:val="20"/>
          <w:color w:val="auto"/>
        </w:rPr>
      </w:pPr>
      <w:r>
        <w:rPr>
          <w:rFonts w:ascii="Arial" w:cs="Arial" w:eastAsia="Arial" w:hAnsi="Arial"/>
          <w:sz w:val="16"/>
          <w:szCs w:val="16"/>
          <w:color w:val="auto"/>
        </w:rPr>
        <w:t xml:space="preserve">10y. </w:t>
      </w:r>
      <w:r>
        <w:rPr>
          <w:rFonts w:ascii="Arial" w:cs="Arial" w:eastAsia="Arial" w:hAnsi="Arial"/>
          <w:sz w:val="16"/>
          <w:szCs w:val="16"/>
          <w:u w:val="single" w:color="auto"/>
          <w:color w:val="0000FF"/>
        </w:rPr>
        <w:t>Form of Performance Stock Unit Agreement under Winnebago Industries,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Inc. 2019 Omnibus Incentive Plan (Fiscal 2023 awards)*</w:t>
      </w:r>
    </w:p>
    <w:p>
      <w:pPr>
        <w:ind w:left="1300"/>
        <w:spacing w:after="0" w:line="233" w:lineRule="auto"/>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Non-competition, Non-solicitation and Confidentiality Agreement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06210" cy="44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ind w:left="1300" w:hanging="341"/>
        <w:spacing w:after="0" w:line="23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10z. </w:t>
      </w:r>
      <w:hyperlink r:id="rId128">
        <w:r>
          <w:rPr>
            <w:rFonts w:ascii="Arial" w:cs="Arial" w:eastAsia="Arial" w:hAnsi="Arial"/>
            <w:sz w:val="16"/>
            <w:szCs w:val="16"/>
            <w:u w:val="single" w:color="auto"/>
            <w:color w:val="0000FF"/>
          </w:rPr>
          <w:t>among Octavius Corporation, Winnebago Industries, Inc., Grand Design RV,</w:t>
        </w:r>
      </w:hyperlink>
      <w:r>
        <w:rPr>
          <w:rFonts w:ascii="Arial" w:cs="Arial" w:eastAsia="Arial" w:hAnsi="Arial"/>
          <w:sz w:val="16"/>
          <w:szCs w:val="16"/>
          <w:color w:val="auto"/>
        </w:rPr>
        <w:t xml:space="preserve"> </w:t>
      </w:r>
      <w:hyperlink r:id="rId128">
        <w:r>
          <w:rPr>
            <w:rFonts w:ascii="Arial" w:cs="Arial" w:eastAsia="Arial" w:hAnsi="Arial"/>
            <w:sz w:val="16"/>
            <w:szCs w:val="16"/>
            <w:u w:val="single" w:color="auto"/>
            <w:color w:val="0000FF"/>
          </w:rPr>
          <w:t>LLC, RDB III, Inc., Ronald Fenech, Donald Clark and William Fenech.</w:t>
        </w:r>
      </w:hyperlink>
    </w:p>
    <w:p>
      <w:pPr>
        <w:spacing w:after="0" w:line="164" w:lineRule="exact"/>
        <w:rPr>
          <w:sz w:val="20"/>
          <w:szCs w:val="20"/>
          <w:color w:val="auto"/>
        </w:rPr>
      </w:pPr>
    </w:p>
    <w:p>
      <w:pPr>
        <w:ind w:left="1300" w:right="200"/>
        <w:spacing w:after="0" w:line="218" w:lineRule="auto"/>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Non-Solicitation and Confidentiality Agreement by and among Octavius</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Corporation, Winnebago Industries, Inc., Grand Design, RV, LLC, Summit</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Partners Growth Equity Fund VIII-B, L.P., Summit Partners Growth Equity</w:t>
        </w:r>
      </w:hyperlink>
    </w:p>
    <w:p>
      <w:pPr>
        <w:spacing w:after="0" w:line="1" w:lineRule="exact"/>
        <w:rPr>
          <w:rFonts w:ascii="Arial" w:cs="Arial" w:eastAsia="Arial" w:hAnsi="Arial"/>
          <w:sz w:val="16"/>
          <w:szCs w:val="16"/>
          <w:u w:val="single" w:color="auto"/>
          <w:color w:val="0000FF"/>
        </w:rPr>
      </w:pPr>
    </w:p>
    <w:p>
      <w:pPr>
        <w:ind w:left="1300" w:right="220" w:hanging="440"/>
        <w:spacing w:after="0" w:line="22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10aa. </w:t>
      </w:r>
      <w:hyperlink r:id="rId130">
        <w:r>
          <w:rPr>
            <w:rFonts w:ascii="Arial" w:cs="Arial" w:eastAsia="Arial" w:hAnsi="Arial"/>
            <w:sz w:val="16"/>
            <w:szCs w:val="16"/>
            <w:u w:val="single" w:color="auto"/>
            <w:color w:val="0000FF"/>
          </w:rPr>
          <w:t>Fund VIII-A, L.P., Summit Partners Entrepreneur Advisors Fund I, L.P.,</w:t>
        </w:r>
      </w:hyperlink>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FF"/>
          </w:rPr>
          <w:t>Summit Investors I, LLC, Summit Investors I (UK), L.P., and SP GE VIII-B</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GD RV Holdings, L.P.</w:t>
        </w:r>
      </w:hyperlink>
    </w:p>
    <w:p>
      <w:pPr>
        <w:spacing w:after="0" w:line="164" w:lineRule="exact"/>
        <w:rPr>
          <w:rFonts w:ascii="Arial" w:cs="Arial" w:eastAsia="Arial" w:hAnsi="Arial"/>
          <w:sz w:val="16"/>
          <w:szCs w:val="16"/>
          <w:color w:val="auto"/>
        </w:rPr>
      </w:pPr>
    </w:p>
    <w:p>
      <w:pPr>
        <w:ind w:left="1300" w:right="120"/>
        <w:spacing w:after="0" w:line="221" w:lineRule="auto"/>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Registration Rights Agreement by and among Winnebago Industries, Inc.,</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Summit Partners Growth Equity Fund VIII-A, L.P., Summit Partners Growth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506210" cy="651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6506210" cy="651510"/>
                    </a:xfrm>
                    <a:prstGeom prst="rect">
                      <a:avLst/>
                    </a:prstGeom>
                    <a:noFill/>
                  </pic:spPr>
                </pic:pic>
              </a:graphicData>
            </a:graphic>
          </wp:anchor>
        </w:drawing>
      </w:r>
    </w:p>
    <w:p>
      <w:pPr>
        <w:ind w:left="1300" w:hanging="440"/>
        <w:spacing w:after="0" w:line="22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10ab. </w:t>
      </w:r>
      <w:hyperlink r:id="rId131">
        <w:r>
          <w:rPr>
            <w:rFonts w:ascii="Arial" w:cs="Arial" w:eastAsia="Arial" w:hAnsi="Arial"/>
            <w:sz w:val="16"/>
            <w:szCs w:val="16"/>
            <w:u w:val="single" w:color="auto"/>
            <w:color w:val="0000FF"/>
          </w:rPr>
          <w:t>Equity Fund VIII-B, L.P., Summit Partners Entrepreneur Advisors Fund I,</w:t>
        </w:r>
      </w:hyperlink>
      <w:r>
        <w:rPr>
          <w:rFonts w:ascii="Arial" w:cs="Arial" w:eastAsia="Arial" w:hAnsi="Arial"/>
          <w:sz w:val="16"/>
          <w:szCs w:val="16"/>
          <w:color w:val="auto"/>
        </w:rPr>
        <w:t xml:space="preserve"> </w:t>
      </w:r>
      <w:hyperlink r:id="rId131">
        <w:r>
          <w:rPr>
            <w:rFonts w:ascii="Arial" w:cs="Arial" w:eastAsia="Arial" w:hAnsi="Arial"/>
            <w:sz w:val="16"/>
            <w:szCs w:val="16"/>
            <w:u w:val="single" w:color="auto"/>
            <w:color w:val="0000FF"/>
          </w:rPr>
          <w:t>L.P., Summit Investors I, LLC, Summit Investors I (UK), L.P. and SP GE VIII-</w:t>
        </w:r>
      </w:hyperlink>
      <w:hyperlink r:id="rId131">
        <w:r>
          <w:rPr>
            <w:rFonts w:ascii="Arial" w:cs="Arial" w:eastAsia="Arial" w:hAnsi="Arial"/>
            <w:sz w:val="16"/>
            <w:szCs w:val="16"/>
            <w:u w:val="single" w:color="auto"/>
            <w:color w:val="0000FF"/>
          </w:rPr>
          <w:t>B GD RV Holdings, L.P., Donald Clark, Ronald Fenech, and William Fenech.</w:t>
        </w:r>
      </w:hyperlink>
    </w:p>
    <w:p>
      <w:pPr>
        <w:spacing w:after="0" w:line="164" w:lineRule="exact"/>
        <w:rPr>
          <w:rFonts w:ascii="Arial" w:cs="Arial" w:eastAsia="Arial" w:hAnsi="Arial"/>
          <w:sz w:val="16"/>
          <w:szCs w:val="16"/>
          <w:color w:val="auto"/>
        </w:rPr>
      </w:pPr>
    </w:p>
    <w:p>
      <w:pPr>
        <w:ind w:left="860" w:right="460" w:firstLine="432"/>
        <w:spacing w:after="0" w:line="221" w:lineRule="auto"/>
        <w:rPr>
          <w:rFonts w:ascii="Arial" w:cs="Arial" w:eastAsia="Arial" w:hAnsi="Arial"/>
          <w:sz w:val="16"/>
          <w:szCs w:val="16"/>
          <w:color w:val="000000"/>
        </w:rPr>
      </w:pPr>
      <w:hyperlink r:id="rId133">
        <w:r>
          <w:rPr>
            <w:rFonts w:ascii="Arial" w:cs="Arial" w:eastAsia="Arial" w:hAnsi="Arial"/>
            <w:sz w:val="16"/>
            <w:szCs w:val="16"/>
            <w:u w:val="single" w:color="auto"/>
            <w:color w:val="0000FF"/>
          </w:rPr>
          <w:t>Amended and Restated Employment Agreement between Winnebago</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10ac. </w:t>
      </w:r>
      <w:hyperlink r:id="rId133">
        <w:r>
          <w:rPr>
            <w:rFonts w:ascii="Arial" w:cs="Arial" w:eastAsia="Arial" w:hAnsi="Arial"/>
            <w:sz w:val="16"/>
            <w:szCs w:val="16"/>
            <w:u w:val="single" w:color="auto"/>
            <w:color w:val="0000FF"/>
          </w:rPr>
          <w:t>Industries, Inc., Grand Design RV, LLC, and Donald Clark effective</w:t>
        </w:r>
      </w:hyperlink>
    </w:p>
    <w:p>
      <w:pPr>
        <w:spacing w:after="0" w:line="1" w:lineRule="exact"/>
        <w:rPr>
          <w:sz w:val="20"/>
          <w:szCs w:val="20"/>
          <w:color w:val="auto"/>
        </w:rPr>
      </w:pPr>
    </w:p>
    <w:p>
      <w:pPr>
        <w:ind w:left="130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September 1, 2019.*</w:t>
        </w:r>
      </w:hyperlink>
    </w:p>
    <w:p>
      <w:pPr>
        <w:spacing w:after="0" w:line="16" w:lineRule="exact"/>
        <w:rPr>
          <w:sz w:val="20"/>
          <w:szCs w:val="20"/>
          <w:color w:val="auto"/>
        </w:rPr>
      </w:pPr>
    </w:p>
    <w:p>
      <w:pPr>
        <w:ind w:left="860" w:right="60" w:firstLine="441"/>
        <w:spacing w:after="0" w:line="251" w:lineRule="auto"/>
        <w:rPr>
          <w:rFonts w:ascii="Arial" w:cs="Arial" w:eastAsia="Arial" w:hAnsi="Arial"/>
          <w:sz w:val="16"/>
          <w:szCs w:val="16"/>
          <w:color w:val="000000"/>
        </w:rPr>
      </w:pPr>
      <w:hyperlink r:id="rId134">
        <w:r>
          <w:rPr>
            <w:rFonts w:ascii="Arial" w:cs="Arial" w:eastAsia="Arial" w:hAnsi="Arial"/>
            <w:sz w:val="16"/>
            <w:szCs w:val="16"/>
            <w:u w:val="single" w:color="auto"/>
            <w:color w:val="0000FF"/>
          </w:rPr>
          <w:t>Amended and Restated Change in Control Agreement between Winnebago</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10ad. </w:t>
      </w:r>
      <w:hyperlink r:id="rId134">
        <w:r>
          <w:rPr>
            <w:rFonts w:ascii="Arial" w:cs="Arial" w:eastAsia="Arial" w:hAnsi="Arial"/>
            <w:sz w:val="16"/>
            <w:szCs w:val="16"/>
            <w:u w:val="single" w:color="auto"/>
            <w:color w:val="0000FF"/>
          </w:rPr>
          <w:t>Industries, Inc. and Donald Clark effective September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-243205</wp:posOffset>
            </wp:positionV>
            <wp:extent cx="6506210"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29" w:lineRule="exact"/>
        <w:rPr>
          <w:sz w:val="20"/>
          <w:szCs w:val="20"/>
          <w:color w:val="auto"/>
        </w:rPr>
      </w:pPr>
    </w:p>
    <w:p>
      <w:pPr>
        <w:ind w:left="1300"/>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Commitment Letter dated September 15, 2019, by and among Winnebago</w:t>
        </w:r>
      </w:hyperlink>
    </w:p>
    <w:p>
      <w:pPr>
        <w:ind w:left="1300" w:right="280" w:hanging="440"/>
        <w:spacing w:after="0" w:line="23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10ae. </w:t>
      </w:r>
      <w:hyperlink r:id="rId136">
        <w:r>
          <w:rPr>
            <w:rFonts w:ascii="Arial" w:cs="Arial" w:eastAsia="Arial" w:hAnsi="Arial"/>
            <w:sz w:val="16"/>
            <w:szCs w:val="16"/>
            <w:u w:val="single" w:color="auto"/>
            <w:color w:val="0000FF"/>
          </w:rPr>
          <w:t>Industries, Inc., Goldman Sachs Bank USA, Bank of Montreal, and BMO</w:t>
        </w:r>
      </w:hyperlink>
      <w:r>
        <w:rPr>
          <w:rFonts w:ascii="Arial" w:cs="Arial" w:eastAsia="Arial" w:hAnsi="Arial"/>
          <w:sz w:val="16"/>
          <w:szCs w:val="16"/>
          <w:color w:val="auto"/>
        </w:rPr>
        <w:t xml:space="preserve"> </w:t>
      </w:r>
      <w:hyperlink r:id="rId136">
        <w:r>
          <w:rPr>
            <w:rFonts w:ascii="Arial" w:cs="Arial" w:eastAsia="Arial" w:hAnsi="Arial"/>
            <w:sz w:val="16"/>
            <w:szCs w:val="16"/>
            <w:u w:val="single" w:color="auto"/>
            <w:color w:val="0000FF"/>
          </w:rPr>
          <w:t>Capital Markets Corp.</w:t>
        </w:r>
      </w:hyperlink>
    </w:p>
    <w:p>
      <w:pPr>
        <w:spacing w:after="0" w:line="164" w:lineRule="exact"/>
        <w:rPr>
          <w:sz w:val="20"/>
          <w:szCs w:val="20"/>
          <w:color w:val="auto"/>
        </w:rPr>
      </w:pPr>
    </w:p>
    <w:p>
      <w:pPr>
        <w:ind w:left="1300"/>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Amended and Restated Credit Agreement dated as of October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6506210" cy="505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6506210" cy="505460"/>
                    </a:xfrm>
                    <a:prstGeom prst="rect">
                      <a:avLst/>
                    </a:prstGeom>
                    <a:noFill/>
                  </pic:spPr>
                </pic:pic>
              </a:graphicData>
            </a:graphic>
          </wp:anchor>
        </w:drawing>
      </w:r>
    </w:p>
    <w:p>
      <w:pPr>
        <w:spacing w:after="0" w:line="1" w:lineRule="exact"/>
        <w:rPr>
          <w:sz w:val="20"/>
          <w:szCs w:val="20"/>
          <w:color w:val="auto"/>
        </w:rPr>
      </w:pPr>
    </w:p>
    <w:p>
      <w:pPr>
        <w:jc w:val="right"/>
        <w:ind w:left="900" w:right="140"/>
        <w:spacing w:after="0" w:line="185" w:lineRule="auto"/>
        <w:rPr>
          <w:rFonts w:ascii="Arial" w:cs="Arial" w:eastAsia="Arial" w:hAnsi="Arial"/>
          <w:sz w:val="14"/>
          <w:szCs w:val="14"/>
          <w:u w:val="single" w:color="auto"/>
          <w:color w:val="0000FF"/>
        </w:rPr>
      </w:pPr>
      <w:hyperlink r:id="rId137"/>
      <w:r>
        <w:rPr>
          <w:rFonts w:ascii="Arial" w:cs="Arial" w:eastAsia="Arial" w:hAnsi="Arial"/>
          <w:sz w:val="27"/>
          <w:szCs w:val="27"/>
          <w:color w:val="000000"/>
          <w:vertAlign w:val="subscript"/>
        </w:rPr>
        <w:t>10af.</w:t>
      </w:r>
      <w:r>
        <w:rPr>
          <w:rFonts w:ascii="Arial" w:cs="Arial" w:eastAsia="Arial" w:hAnsi="Arial"/>
          <w:sz w:val="14"/>
          <w:szCs w:val="14"/>
          <w:color w:val="0000FF"/>
        </w:rPr>
        <w:t xml:space="preserve"> </w:t>
      </w:r>
      <w:hyperlink r:id="rId137">
        <w:r>
          <w:rPr>
            <w:rFonts w:ascii="Arial" w:cs="Arial" w:eastAsia="Arial" w:hAnsi="Arial"/>
            <w:sz w:val="14"/>
            <w:szCs w:val="14"/>
            <w:u w:val="single" w:color="auto"/>
            <w:color w:val="0000FF"/>
          </w:rPr>
          <w:t>among Winnebago Industries, Inc., Winnebago of Indiana, LLC and Grand</w:t>
        </w:r>
      </w:hyperlink>
      <w:r>
        <w:rPr>
          <w:rFonts w:ascii="Arial" w:cs="Arial" w:eastAsia="Arial" w:hAnsi="Arial"/>
          <w:sz w:val="14"/>
          <w:szCs w:val="14"/>
          <w:color w:val="0000FF"/>
        </w:rPr>
        <w:t xml:space="preserve"> </w:t>
      </w:r>
      <w:hyperlink r:id="rId137">
        <w:r>
          <w:rPr>
            <w:rFonts w:ascii="Arial" w:cs="Arial" w:eastAsia="Arial" w:hAnsi="Arial"/>
            <w:sz w:val="14"/>
            <w:szCs w:val="14"/>
            <w:u w:val="single" w:color="auto"/>
            <w:color w:val="0000FF"/>
          </w:rPr>
          <w:t>Design RV, LLC, the other loan parties party thereto from time to time, the</w:t>
        </w:r>
      </w:hyperlink>
    </w:p>
    <w:p>
      <w:pPr>
        <w:spacing w:after="0" w:line="1" w:lineRule="exact"/>
        <w:rPr>
          <w:rFonts w:ascii="Arial" w:cs="Arial" w:eastAsia="Arial" w:hAnsi="Arial"/>
          <w:sz w:val="14"/>
          <w:szCs w:val="14"/>
          <w:color w:val="0000FF"/>
        </w:rPr>
      </w:pPr>
    </w:p>
    <w:p>
      <w:pPr>
        <w:ind w:left="1300"/>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lenders party thereto from time to time and JPMorgan Chase Bank, N.A.</w:t>
        </w:r>
      </w:hyperlink>
    </w:p>
    <w:p>
      <w:pPr>
        <w:spacing w:after="0" w:line="43" w:lineRule="exact"/>
        <w:rPr>
          <w:rFonts w:ascii="Arial" w:cs="Arial" w:eastAsia="Arial" w:hAnsi="Arial"/>
          <w:sz w:val="14"/>
          <w:szCs w:val="14"/>
          <w:color w:val="0000FF"/>
        </w:rPr>
      </w:pPr>
    </w:p>
    <w:p>
      <w:pPr>
        <w:ind w:left="860" w:right="40" w:firstLine="441"/>
        <w:spacing w:after="0" w:line="212" w:lineRule="auto"/>
        <w:rPr>
          <w:rFonts w:ascii="Arial" w:cs="Arial" w:eastAsia="Arial" w:hAnsi="Arial"/>
          <w:sz w:val="15"/>
          <w:szCs w:val="15"/>
          <w:color w:val="0000FF"/>
        </w:rPr>
      </w:pPr>
      <w:hyperlink r:id="rId139">
        <w:r>
          <w:rPr>
            <w:rFonts w:ascii="Arial" w:cs="Arial" w:eastAsia="Arial" w:hAnsi="Arial"/>
            <w:sz w:val="15"/>
            <w:szCs w:val="15"/>
            <w:u w:val="single" w:color="auto"/>
            <w:color w:val="0000FF"/>
          </w:rPr>
          <w:t>Purchase Agreement, dated October 29, 2019, by and among Winnebago</w:t>
        </w:r>
      </w:hyperlink>
      <w:r>
        <w:rPr>
          <w:rFonts w:ascii="Arial" w:cs="Arial" w:eastAsia="Arial" w:hAnsi="Arial"/>
          <w:sz w:val="15"/>
          <w:szCs w:val="15"/>
          <w:u w:val="single" w:color="auto"/>
          <w:color w:val="0000FF"/>
        </w:rPr>
        <w:t xml:space="preserve"> </w:t>
      </w:r>
      <w:hyperlink r:id="rId139"/>
      <w:r>
        <w:rPr>
          <w:rFonts w:ascii="Arial" w:cs="Arial" w:eastAsia="Arial" w:hAnsi="Arial"/>
          <w:sz w:val="29"/>
          <w:szCs w:val="29"/>
          <w:color w:val="000000"/>
          <w:vertAlign w:val="superscript"/>
        </w:rPr>
        <w:t>10ag.</w:t>
      </w:r>
      <w:r>
        <w:rPr>
          <w:rFonts w:ascii="Arial" w:cs="Arial" w:eastAsia="Arial" w:hAnsi="Arial"/>
          <w:sz w:val="15"/>
          <w:szCs w:val="15"/>
          <w:color w:val="0000FF"/>
        </w:rPr>
        <w:t xml:space="preserve"> </w:t>
      </w:r>
      <w:hyperlink r:id="rId139">
        <w:r>
          <w:rPr>
            <w:rFonts w:ascii="Arial" w:cs="Arial" w:eastAsia="Arial" w:hAnsi="Arial"/>
            <w:sz w:val="15"/>
            <w:szCs w:val="15"/>
            <w:u w:val="single" w:color="auto"/>
            <w:color w:val="0000FF"/>
          </w:rPr>
          <w:t>Industries, Inc., Goldman Sachs &amp; Co. LLC and BMO Capital Markets Corp.</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50621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6506210" cy="274320"/>
                    </a:xfrm>
                    <a:prstGeom prst="rect">
                      <a:avLst/>
                    </a:prstGeom>
                    <a:noFill/>
                  </pic:spPr>
                </pic:pic>
              </a:graphicData>
            </a:graphic>
          </wp:anchor>
        </w:drawing>
      </w:r>
    </w:p>
    <w:p>
      <w:pPr>
        <w:jc w:val="both"/>
        <w:ind w:left="860" w:right="480" w:firstLine="441"/>
        <w:spacing w:after="0" w:line="204" w:lineRule="auto"/>
        <w:rPr>
          <w:rFonts w:ascii="Arial" w:cs="Arial" w:eastAsia="Arial" w:hAnsi="Arial"/>
          <w:sz w:val="15"/>
          <w:szCs w:val="15"/>
          <w:color w:val="0000FF"/>
        </w:rPr>
      </w:pPr>
      <w:hyperlink r:id="rId141">
        <w:r>
          <w:rPr>
            <w:rFonts w:ascii="Arial" w:cs="Arial" w:eastAsia="Arial" w:hAnsi="Arial"/>
            <w:sz w:val="15"/>
            <w:szCs w:val="15"/>
            <w:u w:val="single" w:color="auto"/>
            <w:color w:val="0000FF"/>
          </w:rPr>
          <w:t>Base Convertible Bond Hedge Confirmation, dated October 29, 2019,</w:t>
        </w:r>
      </w:hyperlink>
      <w:r>
        <w:rPr>
          <w:rFonts w:ascii="Arial" w:cs="Arial" w:eastAsia="Arial" w:hAnsi="Arial"/>
          <w:sz w:val="15"/>
          <w:szCs w:val="15"/>
          <w:u w:val="single" w:color="auto"/>
          <w:color w:val="0000FF"/>
        </w:rPr>
        <w:t xml:space="preserve"> </w:t>
      </w:r>
      <w:hyperlink r:id="rId141"/>
      <w:r>
        <w:rPr>
          <w:rFonts w:ascii="Arial" w:cs="Arial" w:eastAsia="Arial" w:hAnsi="Arial"/>
          <w:sz w:val="29"/>
          <w:szCs w:val="29"/>
          <w:color w:val="000000"/>
          <w:vertAlign w:val="superscript"/>
        </w:rPr>
        <w:t>10ah.</w:t>
      </w:r>
      <w:r>
        <w:rPr>
          <w:rFonts w:ascii="Arial" w:cs="Arial" w:eastAsia="Arial" w:hAnsi="Arial"/>
          <w:sz w:val="15"/>
          <w:szCs w:val="15"/>
          <w:color w:val="0000FF"/>
        </w:rPr>
        <w:t xml:space="preserve"> </w:t>
      </w:r>
      <w:hyperlink r:id="rId141">
        <w:r>
          <w:rPr>
            <w:rFonts w:ascii="Arial" w:cs="Arial" w:eastAsia="Arial" w:hAnsi="Arial"/>
            <w:sz w:val="15"/>
            <w:szCs w:val="15"/>
            <w:u w:val="single" w:color="auto"/>
            <w:color w:val="0000FF"/>
          </w:rPr>
          <w:t>between Winnebago Industries, Inc., and Goldman Sachs &amp; Co. LLC.</w:t>
        </w:r>
      </w:hyperlink>
    </w:p>
    <w:p>
      <w:pPr>
        <w:spacing w:after="0" w:line="2" w:lineRule="exact"/>
        <w:rPr>
          <w:rFonts w:ascii="Arial" w:cs="Arial" w:eastAsia="Arial" w:hAnsi="Arial"/>
          <w:sz w:val="15"/>
          <w:szCs w:val="15"/>
          <w:u w:val="single" w:color="auto"/>
          <w:color w:val="0000FF"/>
        </w:rPr>
      </w:pPr>
    </w:p>
    <w:p>
      <w:pPr>
        <w:ind w:left="900" w:right="480" w:firstLine="387"/>
        <w:spacing w:after="0" w:line="203" w:lineRule="auto"/>
        <w:rPr>
          <w:rFonts w:ascii="Arial" w:cs="Arial" w:eastAsia="Arial" w:hAnsi="Arial"/>
          <w:sz w:val="16"/>
          <w:szCs w:val="16"/>
          <w:color w:val="0000FF"/>
        </w:rPr>
      </w:pPr>
      <w:hyperlink r:id="rId142">
        <w:r>
          <w:rPr>
            <w:rFonts w:ascii="Arial" w:cs="Arial" w:eastAsia="Arial" w:hAnsi="Arial"/>
            <w:sz w:val="16"/>
            <w:szCs w:val="16"/>
            <w:u w:val="single" w:color="auto"/>
            <w:color w:val="0000FF"/>
          </w:rPr>
          <w:t>Base Convertible Bond Hedge Confirmation, dated October 29, 2019,</w:t>
        </w:r>
      </w:hyperlink>
      <w:r>
        <w:rPr>
          <w:rFonts w:ascii="Arial" w:cs="Arial" w:eastAsia="Arial" w:hAnsi="Arial"/>
          <w:sz w:val="16"/>
          <w:szCs w:val="16"/>
          <w:u w:val="single" w:color="auto"/>
          <w:color w:val="0000FF"/>
        </w:rPr>
        <w:t xml:space="preserve"> </w:t>
      </w:r>
      <w:hyperlink r:id="rId142"/>
      <w:r>
        <w:rPr>
          <w:rFonts w:ascii="Arial" w:cs="Arial" w:eastAsia="Arial" w:hAnsi="Arial"/>
          <w:sz w:val="32"/>
          <w:szCs w:val="32"/>
          <w:color w:val="000000"/>
          <w:vertAlign w:val="superscript"/>
        </w:rPr>
        <w:t>10ai.</w:t>
      </w:r>
      <w:r>
        <w:rPr>
          <w:rFonts w:ascii="Arial" w:cs="Arial" w:eastAsia="Arial" w:hAnsi="Arial"/>
          <w:sz w:val="16"/>
          <w:szCs w:val="16"/>
          <w:color w:val="0000FF"/>
        </w:rPr>
        <w:t xml:space="preserve"> </w:t>
      </w:r>
      <w:hyperlink r:id="rId142">
        <w:r>
          <w:rPr>
            <w:rFonts w:ascii="Arial" w:cs="Arial" w:eastAsia="Arial" w:hAnsi="Arial"/>
            <w:sz w:val="16"/>
            <w:szCs w:val="16"/>
            <w:u w:val="single" w:color="auto"/>
            <w:color w:val="0000FF"/>
          </w:rPr>
          <w:t>between Winnebago Industries, Inc., and Bank of Montreal.</w:t>
        </w:r>
      </w:hyperlink>
    </w:p>
    <w:p>
      <w:pPr>
        <w:spacing w:after="0" w:line="200" w:lineRule="exact"/>
        <w:rPr>
          <w:rFonts w:ascii="Arial" w:cs="Arial" w:eastAsia="Arial" w:hAnsi="Arial"/>
          <w:sz w:val="16"/>
          <w:szCs w:val="16"/>
          <w:u w:val="single" w:color="auto"/>
          <w:color w:val="0000FF"/>
        </w:rPr>
      </w:pPr>
    </w:p>
    <w:p>
      <w:pPr>
        <w:spacing w:after="0" w:line="397" w:lineRule="exact"/>
        <w:rPr>
          <w:rFonts w:ascii="Arial" w:cs="Arial" w:eastAsia="Arial" w:hAnsi="Arial"/>
          <w:sz w:val="16"/>
          <w:szCs w:val="16"/>
          <w:u w:val="single" w:color="auto"/>
          <w:color w:val="0000FF"/>
        </w:rPr>
      </w:pPr>
    </w:p>
    <w:p>
      <w:pPr>
        <w:ind w:left="5540"/>
        <w:spacing w:after="0"/>
        <w:rPr>
          <w:sz w:val="20"/>
          <w:szCs w:val="20"/>
          <w:color w:val="auto"/>
        </w:rPr>
      </w:pPr>
      <w:r>
        <w:rPr>
          <w:rFonts w:ascii="Arial" w:cs="Arial" w:eastAsia="Arial" w:hAnsi="Arial"/>
          <w:sz w:val="16"/>
          <w:szCs w:val="16"/>
          <w:color w:val="auto"/>
        </w:rPr>
        <w:t>65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3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26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
        </w:trPr>
        <w:tc>
          <w:tcPr>
            <w:tcW w:w="7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Form</w:t>
            </w: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Exhibit</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450"/>
        </w:trPr>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40"/>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820" w:type="dxa"/>
            <w:vAlign w:val="bottom"/>
            <w:gridSpan w:val="2"/>
          </w:tcPr>
          <w:p>
            <w:pPr>
              <w:jc w:val="center"/>
              <w:ind w:left="219"/>
              <w:spacing w:after="0"/>
              <w:rPr>
                <w:sz w:val="20"/>
                <w:szCs w:val="20"/>
                <w:color w:val="auto"/>
              </w:rPr>
            </w:pPr>
            <w:r>
              <w:rPr>
                <w:rFonts w:ascii="Arial" w:cs="Arial" w:eastAsia="Arial" w:hAnsi="Arial"/>
                <w:sz w:val="16"/>
                <w:szCs w:val="16"/>
                <w:color w:val="auto"/>
              </w:rPr>
              <w:t>10.f</w:t>
            </w:r>
          </w:p>
        </w:tc>
        <w:tc>
          <w:tcPr>
            <w:tcW w:w="1060" w:type="dxa"/>
            <w:vAlign w:val="bottom"/>
          </w:tcPr>
          <w:p>
            <w:pPr>
              <w:jc w:val="right"/>
              <w:spacing w:after="0"/>
              <w:rPr>
                <w:sz w:val="20"/>
                <w:szCs w:val="20"/>
                <w:color w:val="auto"/>
              </w:rPr>
            </w:pPr>
            <w:r>
              <w:rPr>
                <w:rFonts w:ascii="Arial" w:cs="Arial" w:eastAsia="Arial" w:hAnsi="Arial"/>
                <w:sz w:val="16"/>
                <w:szCs w:val="16"/>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center"/>
              <w:ind w:left="159"/>
              <w:spacing w:after="0"/>
              <w:rPr>
                <w:sz w:val="20"/>
                <w:szCs w:val="20"/>
                <w:color w:val="auto"/>
              </w:rPr>
            </w:pPr>
            <w:r>
              <w:rPr>
                <w:rFonts w:ascii="Arial" w:cs="Arial" w:eastAsia="Arial" w:hAnsi="Arial"/>
                <w:sz w:val="16"/>
                <w:szCs w:val="16"/>
                <w:color w:val="auto"/>
              </w:rPr>
              <w:t>10.Z</w:t>
            </w:r>
          </w:p>
        </w:tc>
        <w:tc>
          <w:tcPr>
            <w:tcW w:w="1060" w:type="dxa"/>
            <w:vAlign w:val="bottom"/>
          </w:tcPr>
          <w:p>
            <w:pPr>
              <w:jc w:val="right"/>
              <w:spacing w:after="0"/>
              <w:rPr>
                <w:sz w:val="20"/>
                <w:szCs w:val="20"/>
                <w:color w:val="auto"/>
              </w:rPr>
            </w:pPr>
            <w:r>
              <w:rPr>
                <w:rFonts w:ascii="Arial" w:cs="Arial" w:eastAsia="Arial" w:hAnsi="Arial"/>
                <w:sz w:val="16"/>
                <w:szCs w:val="16"/>
                <w:color w:val="auto"/>
              </w:rPr>
              <w:t>10/27/2009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1060" w:type="dxa"/>
            <w:vAlign w:val="bottom"/>
          </w:tcPr>
          <w:p>
            <w:pPr>
              <w:jc w:val="right"/>
              <w:spacing w:after="0"/>
              <w:rPr>
                <w:sz w:val="20"/>
                <w:szCs w:val="20"/>
                <w:color w:val="auto"/>
              </w:rPr>
            </w:pPr>
            <w:r>
              <w:rPr>
                <w:rFonts w:ascii="Arial" w:cs="Arial" w:eastAsia="Arial" w:hAnsi="Arial"/>
                <w:sz w:val="16"/>
                <w:szCs w:val="16"/>
                <w:color w:val="auto"/>
              </w:rPr>
              <w:t>10/21/2020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10r</w:t>
            </w:r>
          </w:p>
        </w:tc>
        <w:tc>
          <w:tcPr>
            <w:tcW w:w="1060" w:type="dxa"/>
            <w:vAlign w:val="bottom"/>
          </w:tcPr>
          <w:p>
            <w:pPr>
              <w:jc w:val="right"/>
              <w:spacing w:after="0"/>
              <w:rPr>
                <w:sz w:val="20"/>
                <w:szCs w:val="20"/>
                <w:color w:val="auto"/>
              </w:rPr>
            </w:pPr>
            <w:r>
              <w:rPr>
                <w:rFonts w:ascii="Arial" w:cs="Arial" w:eastAsia="Arial" w:hAnsi="Arial"/>
                <w:sz w:val="16"/>
                <w:szCs w:val="16"/>
                <w:color w:val="auto"/>
              </w:rPr>
              <w:t>10/21/2020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10s</w:t>
            </w:r>
          </w:p>
        </w:tc>
        <w:tc>
          <w:tcPr>
            <w:tcW w:w="1060" w:type="dxa"/>
            <w:vAlign w:val="bottom"/>
          </w:tcPr>
          <w:p>
            <w:pPr>
              <w:jc w:val="right"/>
              <w:spacing w:after="0"/>
              <w:rPr>
                <w:sz w:val="20"/>
                <w:szCs w:val="20"/>
                <w:color w:val="auto"/>
              </w:rPr>
            </w:pPr>
            <w:r>
              <w:rPr>
                <w:rFonts w:ascii="Arial" w:cs="Arial" w:eastAsia="Arial" w:hAnsi="Arial"/>
                <w:sz w:val="16"/>
                <w:szCs w:val="16"/>
                <w:color w:val="auto"/>
              </w:rPr>
              <w:t>10/21/2020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10t</w:t>
            </w:r>
          </w:p>
        </w:tc>
        <w:tc>
          <w:tcPr>
            <w:tcW w:w="1060" w:type="dxa"/>
            <w:vAlign w:val="bottom"/>
          </w:tcPr>
          <w:p>
            <w:pPr>
              <w:jc w:val="right"/>
              <w:spacing w:after="0"/>
              <w:rPr>
                <w:sz w:val="20"/>
                <w:szCs w:val="20"/>
                <w:color w:val="auto"/>
              </w:rPr>
            </w:pPr>
            <w:r>
              <w:rPr>
                <w:rFonts w:ascii="Arial" w:cs="Arial" w:eastAsia="Arial" w:hAnsi="Arial"/>
                <w:sz w:val="16"/>
                <w:szCs w:val="16"/>
                <w:color w:val="auto"/>
              </w:rPr>
              <w:t>10/20/2021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40"/>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06/24/2019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06/24/2019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09/16/2019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10/23/2019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40"/>
            <w:col w:w="3680"/>
          </w:cols>
          <w:pgMar w:left="320" w:top="125" w:right="999" w:bottom="1440" w:gutter="0" w:footer="0" w:header="0"/>
        </w:sectPr>
      </w:pPr>
    </w:p>
    <w:bookmarkStart w:id="65" w:name="page66"/>
    <w:bookmarkEnd w:id="65"/>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0580"/>
          </w:cols>
          <w:pgMar w:left="32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6506210" cy="283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6506210" cy="283210"/>
                    </a:xfrm>
                    <a:prstGeom prst="rect">
                      <a:avLst/>
                    </a:prstGeom>
                    <a:noFill/>
                  </pic:spPr>
                </pic:pic>
              </a:graphicData>
            </a:graphic>
          </wp:anchor>
        </w:drawing>
      </w:r>
    </w:p>
    <w:p>
      <w:pPr>
        <w:spacing w:after="0" w:line="26" w:lineRule="exact"/>
        <w:rPr>
          <w:sz w:val="20"/>
          <w:szCs w:val="20"/>
          <w:color w:val="auto"/>
        </w:rPr>
      </w:pPr>
    </w:p>
    <w:p>
      <w:pPr>
        <w:ind w:left="900" w:right="140" w:firstLine="387"/>
        <w:spacing w:after="0" w:line="194" w:lineRule="auto"/>
        <w:rPr>
          <w:rFonts w:ascii="Arial" w:cs="Arial" w:eastAsia="Arial" w:hAnsi="Arial"/>
          <w:sz w:val="16"/>
          <w:szCs w:val="16"/>
          <w:color w:val="0000FF"/>
        </w:rPr>
      </w:pPr>
      <w:hyperlink r:id="rId145">
        <w:r>
          <w:rPr>
            <w:rFonts w:ascii="Arial" w:cs="Arial" w:eastAsia="Arial" w:hAnsi="Arial"/>
            <w:sz w:val="16"/>
            <w:szCs w:val="16"/>
            <w:u w:val="single" w:color="auto"/>
            <w:color w:val="0000FF"/>
          </w:rPr>
          <w:t>Additional Convertible Bond Hedge Confirmation, dated October 30, 2019,</w:t>
        </w:r>
      </w:hyperlink>
      <w:r>
        <w:rPr>
          <w:rFonts w:ascii="Arial" w:cs="Arial" w:eastAsia="Arial" w:hAnsi="Arial"/>
          <w:sz w:val="16"/>
          <w:szCs w:val="16"/>
          <w:u w:val="single" w:color="auto"/>
          <w:color w:val="0000FF"/>
        </w:rPr>
        <w:t xml:space="preserve"> </w:t>
      </w:r>
      <w:hyperlink r:id="rId145"/>
      <w:r>
        <w:rPr>
          <w:rFonts w:ascii="Arial" w:cs="Arial" w:eastAsia="Arial" w:hAnsi="Arial"/>
          <w:sz w:val="32"/>
          <w:szCs w:val="32"/>
          <w:color w:val="000000"/>
          <w:vertAlign w:val="superscript"/>
        </w:rPr>
        <w:t>10aj.</w:t>
      </w:r>
      <w:r>
        <w:rPr>
          <w:rFonts w:ascii="Arial" w:cs="Arial" w:eastAsia="Arial" w:hAnsi="Arial"/>
          <w:sz w:val="16"/>
          <w:szCs w:val="16"/>
          <w:color w:val="0000FF"/>
        </w:rPr>
        <w:t xml:space="preserve"> </w:t>
      </w:r>
      <w:hyperlink r:id="rId145">
        <w:r>
          <w:rPr>
            <w:rFonts w:ascii="Arial" w:cs="Arial" w:eastAsia="Arial" w:hAnsi="Arial"/>
            <w:sz w:val="16"/>
            <w:szCs w:val="16"/>
            <w:u w:val="single" w:color="auto"/>
            <w:color w:val="0000FF"/>
          </w:rPr>
          <w:t>between Winnebago Industries, Inc., and Goldman Sachs &amp; Co. LLC.</w:t>
        </w:r>
      </w:hyperlink>
    </w:p>
    <w:p>
      <w:pPr>
        <w:spacing w:after="0" w:line="2" w:lineRule="exact"/>
        <w:rPr>
          <w:rFonts w:ascii="Arial" w:cs="Arial" w:eastAsia="Arial" w:hAnsi="Arial"/>
          <w:sz w:val="16"/>
          <w:szCs w:val="16"/>
          <w:u w:val="single" w:color="auto"/>
          <w:color w:val="0000FF"/>
        </w:rPr>
      </w:pPr>
    </w:p>
    <w:p>
      <w:pPr>
        <w:ind w:left="860" w:right="140" w:firstLine="432"/>
        <w:spacing w:after="0" w:line="187" w:lineRule="auto"/>
        <w:rPr>
          <w:rFonts w:ascii="Arial" w:cs="Arial" w:eastAsia="Arial" w:hAnsi="Arial"/>
          <w:sz w:val="16"/>
          <w:szCs w:val="16"/>
          <w:color w:val="0000FF"/>
        </w:rPr>
      </w:pPr>
      <w:hyperlink r:id="rId146">
        <w:r>
          <w:rPr>
            <w:rFonts w:ascii="Arial" w:cs="Arial" w:eastAsia="Arial" w:hAnsi="Arial"/>
            <w:sz w:val="16"/>
            <w:szCs w:val="16"/>
            <w:u w:val="single" w:color="auto"/>
            <w:color w:val="0000FF"/>
          </w:rPr>
          <w:t>Additional Convertible Bond Hedge Confirmation, dated October 30, 2019,</w:t>
        </w:r>
      </w:hyperlink>
      <w:r>
        <w:rPr>
          <w:rFonts w:ascii="Arial" w:cs="Arial" w:eastAsia="Arial" w:hAnsi="Arial"/>
          <w:sz w:val="16"/>
          <w:szCs w:val="16"/>
          <w:u w:val="single" w:color="auto"/>
          <w:color w:val="0000FF"/>
        </w:rPr>
        <w:t xml:space="preserve"> </w:t>
      </w:r>
      <w:hyperlink r:id="rId146"/>
      <w:r>
        <w:rPr>
          <w:rFonts w:ascii="Arial" w:cs="Arial" w:eastAsia="Arial" w:hAnsi="Arial"/>
          <w:sz w:val="32"/>
          <w:szCs w:val="32"/>
          <w:color w:val="000000"/>
          <w:vertAlign w:val="superscript"/>
        </w:rPr>
        <w:t>10ak.</w:t>
      </w:r>
      <w:r>
        <w:rPr>
          <w:rFonts w:ascii="Arial" w:cs="Arial" w:eastAsia="Arial" w:hAnsi="Arial"/>
          <w:sz w:val="16"/>
          <w:szCs w:val="16"/>
          <w:color w:val="0000FF"/>
        </w:rPr>
        <w:t xml:space="preserve"> </w:t>
      </w:r>
      <w:hyperlink r:id="rId146">
        <w:r>
          <w:rPr>
            <w:rFonts w:ascii="Arial" w:cs="Arial" w:eastAsia="Arial" w:hAnsi="Arial"/>
            <w:sz w:val="16"/>
            <w:szCs w:val="16"/>
            <w:u w:val="single" w:color="auto"/>
            <w:color w:val="0000FF"/>
          </w:rPr>
          <w:t>between Winnebago Industries, Inc., and Bank of Montreal.</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50621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6506210" cy="274320"/>
                    </a:xfrm>
                    <a:prstGeom prst="rect">
                      <a:avLst/>
                    </a:prstGeom>
                    <a:noFill/>
                  </pic:spPr>
                </pic:pic>
              </a:graphicData>
            </a:graphic>
          </wp:anchor>
        </w:drawing>
      </w:r>
    </w:p>
    <w:p>
      <w:pPr>
        <w:ind w:left="900" w:right="160" w:firstLine="387"/>
        <w:spacing w:after="0" w:line="187" w:lineRule="auto"/>
        <w:rPr>
          <w:rFonts w:ascii="Arial" w:cs="Arial" w:eastAsia="Arial" w:hAnsi="Arial"/>
          <w:sz w:val="16"/>
          <w:szCs w:val="16"/>
          <w:color w:val="0000FF"/>
        </w:rPr>
      </w:pPr>
      <w:hyperlink r:id="rId148">
        <w:r>
          <w:rPr>
            <w:rFonts w:ascii="Arial" w:cs="Arial" w:eastAsia="Arial" w:hAnsi="Arial"/>
            <w:sz w:val="16"/>
            <w:szCs w:val="16"/>
            <w:u w:val="single" w:color="auto"/>
            <w:color w:val="0000FF"/>
          </w:rPr>
          <w:t>Base Warrant Confirmation, dated October 29, 2019, between Winnebago</w:t>
        </w:r>
      </w:hyperlink>
      <w:r>
        <w:rPr>
          <w:rFonts w:ascii="Arial" w:cs="Arial" w:eastAsia="Arial" w:hAnsi="Arial"/>
          <w:sz w:val="16"/>
          <w:szCs w:val="16"/>
          <w:u w:val="single" w:color="auto"/>
          <w:color w:val="0000FF"/>
        </w:rPr>
        <w:t xml:space="preserve"> </w:t>
      </w:r>
      <w:hyperlink r:id="rId148"/>
      <w:r>
        <w:rPr>
          <w:rFonts w:ascii="Arial" w:cs="Arial" w:eastAsia="Arial" w:hAnsi="Arial"/>
          <w:sz w:val="32"/>
          <w:szCs w:val="32"/>
          <w:color w:val="000000"/>
          <w:vertAlign w:val="superscript"/>
        </w:rPr>
        <w:t>10al.</w:t>
      </w:r>
      <w:r>
        <w:rPr>
          <w:rFonts w:ascii="Arial" w:cs="Arial" w:eastAsia="Arial" w:hAnsi="Arial"/>
          <w:sz w:val="16"/>
          <w:szCs w:val="16"/>
          <w:color w:val="0000FF"/>
        </w:rPr>
        <w:t xml:space="preserve"> </w:t>
      </w:r>
      <w:hyperlink r:id="rId148">
        <w:r>
          <w:rPr>
            <w:rFonts w:ascii="Arial" w:cs="Arial" w:eastAsia="Arial" w:hAnsi="Arial"/>
            <w:sz w:val="16"/>
            <w:szCs w:val="16"/>
            <w:u w:val="single" w:color="auto"/>
            <w:color w:val="0000FF"/>
          </w:rPr>
          <w:t>Industries, Inc., and Goldman Sachs &amp; Co. LLC.</w:t>
        </w:r>
      </w:hyperlink>
    </w:p>
    <w:p>
      <w:pPr>
        <w:spacing w:after="0" w:line="2" w:lineRule="exact"/>
        <w:rPr>
          <w:rFonts w:ascii="Arial" w:cs="Arial" w:eastAsia="Arial" w:hAnsi="Arial"/>
          <w:sz w:val="16"/>
          <w:szCs w:val="16"/>
          <w:u w:val="single" w:color="auto"/>
          <w:color w:val="0000FF"/>
        </w:rPr>
      </w:pPr>
    </w:p>
    <w:p>
      <w:pPr>
        <w:ind w:left="800" w:right="160" w:firstLine="486"/>
        <w:spacing w:after="0" w:line="187" w:lineRule="auto"/>
        <w:rPr>
          <w:rFonts w:ascii="Arial" w:cs="Arial" w:eastAsia="Arial" w:hAnsi="Arial"/>
          <w:sz w:val="16"/>
          <w:szCs w:val="16"/>
          <w:color w:val="0000FF"/>
        </w:rPr>
      </w:pPr>
      <w:hyperlink r:id="rId149">
        <w:r>
          <w:rPr>
            <w:rFonts w:ascii="Arial" w:cs="Arial" w:eastAsia="Arial" w:hAnsi="Arial"/>
            <w:sz w:val="16"/>
            <w:szCs w:val="16"/>
            <w:u w:val="single" w:color="auto"/>
            <w:color w:val="0000FF"/>
          </w:rPr>
          <w:t>Base Warrant Confirmation, dated October 29, 2019, between Winnebago</w:t>
        </w:r>
      </w:hyperlink>
      <w:r>
        <w:rPr>
          <w:rFonts w:ascii="Arial" w:cs="Arial" w:eastAsia="Arial" w:hAnsi="Arial"/>
          <w:sz w:val="16"/>
          <w:szCs w:val="16"/>
          <w:u w:val="single" w:color="auto"/>
          <w:color w:val="0000FF"/>
        </w:rPr>
        <w:t xml:space="preserve"> </w:t>
      </w:r>
      <w:hyperlink r:id="rId149"/>
      <w:r>
        <w:rPr>
          <w:rFonts w:ascii="Arial" w:cs="Arial" w:eastAsia="Arial" w:hAnsi="Arial"/>
          <w:sz w:val="32"/>
          <w:szCs w:val="32"/>
          <w:color w:val="000000"/>
          <w:vertAlign w:val="superscript"/>
        </w:rPr>
        <w:t>10am.</w:t>
      </w:r>
      <w:r>
        <w:rPr>
          <w:rFonts w:ascii="Arial" w:cs="Arial" w:eastAsia="Arial" w:hAnsi="Arial"/>
          <w:sz w:val="16"/>
          <w:szCs w:val="16"/>
          <w:color w:val="0000FF"/>
        </w:rPr>
        <w:t xml:space="preserve"> </w:t>
      </w:r>
      <w:hyperlink r:id="rId149">
        <w:r>
          <w:rPr>
            <w:rFonts w:ascii="Arial" w:cs="Arial" w:eastAsia="Arial" w:hAnsi="Arial"/>
            <w:sz w:val="16"/>
            <w:szCs w:val="16"/>
            <w:u w:val="single" w:color="auto"/>
            <w:color w:val="0000FF"/>
          </w:rPr>
          <w:t>Industries, Inc., and Bank of Montreal</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50621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6506210" cy="274320"/>
                    </a:xfrm>
                    <a:prstGeom prst="rect">
                      <a:avLst/>
                    </a:prstGeom>
                    <a:noFill/>
                  </pic:spPr>
                </pic:pic>
              </a:graphicData>
            </a:graphic>
          </wp:anchor>
        </w:drawing>
      </w:r>
    </w:p>
    <w:p>
      <w:pPr>
        <w:ind w:left="860" w:right="680" w:firstLine="441"/>
        <w:spacing w:after="0" w:line="187" w:lineRule="auto"/>
        <w:rPr>
          <w:rFonts w:ascii="Arial" w:cs="Arial" w:eastAsia="Arial" w:hAnsi="Arial"/>
          <w:sz w:val="16"/>
          <w:szCs w:val="16"/>
          <w:color w:val="0000FF"/>
        </w:rPr>
      </w:pPr>
      <w:hyperlink r:id="rId151">
        <w:r>
          <w:rPr>
            <w:rFonts w:ascii="Arial" w:cs="Arial" w:eastAsia="Arial" w:hAnsi="Arial"/>
            <w:sz w:val="16"/>
            <w:szCs w:val="16"/>
            <w:u w:val="single" w:color="auto"/>
            <w:color w:val="0000FF"/>
          </w:rPr>
          <w:t>Additional Warrant Confirmation, dated October 30, 2019, between</w:t>
        </w:r>
      </w:hyperlink>
      <w:r>
        <w:rPr>
          <w:rFonts w:ascii="Arial" w:cs="Arial" w:eastAsia="Arial" w:hAnsi="Arial"/>
          <w:sz w:val="16"/>
          <w:szCs w:val="16"/>
          <w:u w:val="single" w:color="auto"/>
          <w:color w:val="0000FF"/>
        </w:rPr>
        <w:t xml:space="preserve"> </w:t>
      </w:r>
      <w:hyperlink r:id="rId151"/>
      <w:r>
        <w:rPr>
          <w:rFonts w:ascii="Arial" w:cs="Arial" w:eastAsia="Arial" w:hAnsi="Arial"/>
          <w:sz w:val="32"/>
          <w:szCs w:val="32"/>
          <w:color w:val="000000"/>
          <w:vertAlign w:val="superscript"/>
        </w:rPr>
        <w:t>10an.</w:t>
      </w:r>
      <w:r>
        <w:rPr>
          <w:rFonts w:ascii="Arial" w:cs="Arial" w:eastAsia="Arial" w:hAnsi="Arial"/>
          <w:sz w:val="16"/>
          <w:szCs w:val="16"/>
          <w:color w:val="0000FF"/>
        </w:rPr>
        <w:t xml:space="preserve"> </w:t>
      </w:r>
      <w:hyperlink r:id="rId151">
        <w:r>
          <w:rPr>
            <w:rFonts w:ascii="Arial" w:cs="Arial" w:eastAsia="Arial" w:hAnsi="Arial"/>
            <w:sz w:val="16"/>
            <w:szCs w:val="16"/>
            <w:u w:val="single" w:color="auto"/>
            <w:color w:val="0000FF"/>
          </w:rPr>
          <w:t>Winnebago Industries, Inc., and Goldman Sachs &amp; Co. LLC.</w:t>
        </w:r>
      </w:hyperlink>
    </w:p>
    <w:p>
      <w:pPr>
        <w:spacing w:after="0" w:line="2" w:lineRule="exact"/>
        <w:rPr>
          <w:rFonts w:ascii="Arial" w:cs="Arial" w:eastAsia="Arial" w:hAnsi="Arial"/>
          <w:sz w:val="16"/>
          <w:szCs w:val="16"/>
          <w:u w:val="single" w:color="auto"/>
          <w:color w:val="0000FF"/>
        </w:rPr>
      </w:pPr>
    </w:p>
    <w:p>
      <w:pPr>
        <w:ind w:left="860" w:right="680" w:firstLine="441"/>
        <w:spacing w:after="0" w:line="187" w:lineRule="auto"/>
        <w:rPr>
          <w:rFonts w:ascii="Arial" w:cs="Arial" w:eastAsia="Arial" w:hAnsi="Arial"/>
          <w:sz w:val="16"/>
          <w:szCs w:val="16"/>
          <w:color w:val="0000FF"/>
        </w:rPr>
      </w:pPr>
      <w:hyperlink r:id="rId152">
        <w:r>
          <w:rPr>
            <w:rFonts w:ascii="Arial" w:cs="Arial" w:eastAsia="Arial" w:hAnsi="Arial"/>
            <w:sz w:val="16"/>
            <w:szCs w:val="16"/>
            <w:u w:val="single" w:color="auto"/>
            <w:color w:val="0000FF"/>
          </w:rPr>
          <w:t>Additional Warrant Confirmation, dated October 30, 2019, between</w:t>
        </w:r>
      </w:hyperlink>
      <w:r>
        <w:rPr>
          <w:rFonts w:ascii="Arial" w:cs="Arial" w:eastAsia="Arial" w:hAnsi="Arial"/>
          <w:sz w:val="16"/>
          <w:szCs w:val="16"/>
          <w:u w:val="single" w:color="auto"/>
          <w:color w:val="0000FF"/>
        </w:rPr>
        <w:t xml:space="preserve"> </w:t>
      </w:r>
      <w:hyperlink r:id="rId152"/>
      <w:r>
        <w:rPr>
          <w:rFonts w:ascii="Arial" w:cs="Arial" w:eastAsia="Arial" w:hAnsi="Arial"/>
          <w:sz w:val="32"/>
          <w:szCs w:val="32"/>
          <w:color w:val="000000"/>
          <w:vertAlign w:val="superscript"/>
        </w:rPr>
        <w:t>10ao.</w:t>
      </w:r>
      <w:r>
        <w:rPr>
          <w:rFonts w:ascii="Arial" w:cs="Arial" w:eastAsia="Arial" w:hAnsi="Arial"/>
          <w:sz w:val="16"/>
          <w:szCs w:val="16"/>
          <w:color w:val="0000FF"/>
        </w:rPr>
        <w:t xml:space="preserve"> </w:t>
      </w:r>
      <w:hyperlink r:id="rId152">
        <w:r>
          <w:rPr>
            <w:rFonts w:ascii="Arial" w:cs="Arial" w:eastAsia="Arial" w:hAnsi="Arial"/>
            <w:sz w:val="16"/>
            <w:szCs w:val="16"/>
            <w:u w:val="single" w:color="auto"/>
            <w:color w:val="0000FF"/>
          </w:rPr>
          <w:t>Winnebago Industries, Inc., and Bank of Montreal.</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506210" cy="6254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6506210" cy="625475"/>
                    </a:xfrm>
                    <a:prstGeom prst="rect">
                      <a:avLst/>
                    </a:prstGeom>
                    <a:noFill/>
                  </pic:spPr>
                </pic:pic>
              </a:graphicData>
            </a:graphic>
          </wp:anchor>
        </w:drawing>
      </w:r>
    </w:p>
    <w:p>
      <w:pPr>
        <w:ind w:left="1300" w:right="80"/>
        <w:spacing w:after="0" w:line="246" w:lineRule="auto"/>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Amendment No. 1 to Amended and Restated Credit Agreement dated as of</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November 15, 2019 among Winnebago Industries, Inc., Winnebago of</w:t>
        </w:r>
      </w:hyperlink>
    </w:p>
    <w:p>
      <w:pPr>
        <w:spacing w:after="0" w:line="1" w:lineRule="exact"/>
        <w:rPr>
          <w:sz w:val="20"/>
          <w:szCs w:val="20"/>
          <w:color w:val="auto"/>
        </w:rPr>
      </w:pPr>
    </w:p>
    <w:p>
      <w:pPr>
        <w:ind w:left="1300" w:right="80" w:hanging="44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10ap. </w:t>
      </w:r>
      <w:hyperlink r:id="rId154">
        <w:r>
          <w:rPr>
            <w:rFonts w:ascii="Arial" w:cs="Arial" w:eastAsia="Arial" w:hAnsi="Arial"/>
            <w:sz w:val="16"/>
            <w:szCs w:val="16"/>
            <w:u w:val="single" w:color="auto"/>
            <w:color w:val="0000FF"/>
          </w:rPr>
          <w:t>Indiana, LLC and Grand Design RV, LLC, Newmar Corporation, the other</w:t>
        </w:r>
      </w:hyperlink>
      <w:r>
        <w:rPr>
          <w:rFonts w:ascii="Arial" w:cs="Arial" w:eastAsia="Arial" w:hAnsi="Arial"/>
          <w:sz w:val="16"/>
          <w:szCs w:val="16"/>
          <w:color w:val="auto"/>
        </w:rPr>
        <w:t xml:space="preserve"> </w:t>
      </w:r>
      <w:hyperlink r:id="rId154">
        <w:r>
          <w:rPr>
            <w:rFonts w:ascii="Arial" w:cs="Arial" w:eastAsia="Arial" w:hAnsi="Arial"/>
            <w:sz w:val="16"/>
            <w:szCs w:val="16"/>
            <w:u w:val="single" w:color="auto"/>
            <w:color w:val="0000FF"/>
          </w:rPr>
          <w:t>loan parties thereto from time to time, the lenders party thereto from time to</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time and JPMorgan Chase Bank, N.A.</w:t>
        </w:r>
      </w:hyperlink>
    </w:p>
    <w:p>
      <w:pPr>
        <w:spacing w:after="0" w:line="23" w:lineRule="exact"/>
        <w:rPr>
          <w:rFonts w:ascii="Arial" w:cs="Arial" w:eastAsia="Arial" w:hAnsi="Arial"/>
          <w:sz w:val="16"/>
          <w:szCs w:val="16"/>
          <w:color w:val="auto"/>
        </w:rPr>
      </w:pPr>
    </w:p>
    <w:p>
      <w:pPr>
        <w:jc w:val="center"/>
        <w:ind w:left="720"/>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First Restated and Amended Lease Agreement (Main Facility) dated</w:t>
        </w:r>
      </w:hyperlink>
    </w:p>
    <w:p>
      <w:pPr>
        <w:spacing w:after="0" w:line="21" w:lineRule="exact"/>
        <w:rPr>
          <w:rFonts w:ascii="Arial" w:cs="Arial" w:eastAsia="Arial" w:hAnsi="Arial"/>
          <w:sz w:val="16"/>
          <w:szCs w:val="16"/>
          <w:color w:val="auto"/>
        </w:rPr>
      </w:pPr>
    </w:p>
    <w:p>
      <w:pPr>
        <w:jc w:val="center"/>
        <w:ind w:left="680"/>
        <w:spacing w:after="0"/>
        <w:rPr>
          <w:rFonts w:ascii="Arial" w:cs="Arial" w:eastAsia="Arial" w:hAnsi="Arial"/>
          <w:sz w:val="16"/>
          <w:szCs w:val="16"/>
          <w:color w:val="auto"/>
        </w:rPr>
      </w:pPr>
      <w:r>
        <w:rPr>
          <w:rFonts w:ascii="Arial" w:cs="Arial" w:eastAsia="Arial" w:hAnsi="Arial"/>
          <w:sz w:val="16"/>
          <w:szCs w:val="16"/>
          <w:color w:val="auto"/>
        </w:rPr>
        <w:t xml:space="preserve">10aq. </w:t>
      </w:r>
      <w:hyperlink r:id="rId155">
        <w:r>
          <w:rPr>
            <w:rFonts w:ascii="Arial" w:cs="Arial" w:eastAsia="Arial" w:hAnsi="Arial"/>
            <w:sz w:val="16"/>
            <w:szCs w:val="16"/>
            <w:u w:val="single" w:color="auto"/>
            <w:color w:val="0000FF"/>
          </w:rPr>
          <w:t>October 4, 2019 by and between Three Oaks, LLC and Grand Design RV,</w:t>
        </w:r>
      </w:hyperlink>
    </w:p>
    <w:p>
      <w:pPr>
        <w:spacing w:after="0" w:line="5" w:lineRule="exact"/>
        <w:rPr>
          <w:rFonts w:ascii="Arial" w:cs="Arial" w:eastAsia="Arial" w:hAnsi="Arial"/>
          <w:sz w:val="16"/>
          <w:szCs w:val="16"/>
          <w:color w:val="auto"/>
        </w:rPr>
      </w:pPr>
    </w:p>
    <w:p>
      <w:pPr>
        <w:ind w:left="1300"/>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LLC.</w:t>
        </w:r>
      </w:hyperlink>
    </w:p>
    <w:p>
      <w:pPr>
        <w:spacing w:after="0" w:line="30" w:lineRule="exact"/>
        <w:rPr>
          <w:rFonts w:ascii="Arial" w:cs="Arial" w:eastAsia="Arial" w:hAnsi="Arial"/>
          <w:sz w:val="16"/>
          <w:szCs w:val="16"/>
          <w:color w:val="auto"/>
        </w:rPr>
      </w:pPr>
    </w:p>
    <w:p>
      <w:pPr>
        <w:jc w:val="center"/>
        <w:ind w:left="900"/>
        <w:spacing w:after="0"/>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Second Restated and Amended Lease Agreement (Expansion Facility)</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6506210"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6506210" cy="386080"/>
                    </a:xfrm>
                    <a:prstGeom prst="rect">
                      <a:avLst/>
                    </a:prstGeom>
                    <a:noFill/>
                  </pic:spPr>
                </pic:pic>
              </a:graphicData>
            </a:graphic>
          </wp:anchor>
        </w:drawing>
      </w:r>
    </w:p>
    <w:p>
      <w:pPr>
        <w:spacing w:after="0" w:line="1" w:lineRule="exact"/>
        <w:rPr>
          <w:rFonts w:ascii="Arial" w:cs="Arial" w:eastAsia="Arial" w:hAnsi="Arial"/>
          <w:sz w:val="16"/>
          <w:szCs w:val="16"/>
          <w:color w:val="auto"/>
        </w:rPr>
      </w:pPr>
    </w:p>
    <w:p>
      <w:pPr>
        <w:jc w:val="center"/>
        <w:ind w:left="880"/>
        <w:spacing w:after="0"/>
        <w:rPr>
          <w:rFonts w:ascii="Arial" w:cs="Arial" w:eastAsia="Arial" w:hAnsi="Arial"/>
          <w:sz w:val="16"/>
          <w:szCs w:val="16"/>
          <w:color w:val="auto"/>
        </w:rPr>
      </w:pPr>
      <w:r>
        <w:rPr>
          <w:rFonts w:ascii="Arial" w:cs="Arial" w:eastAsia="Arial" w:hAnsi="Arial"/>
          <w:sz w:val="16"/>
          <w:szCs w:val="16"/>
          <w:color w:val="auto"/>
        </w:rPr>
        <w:t xml:space="preserve">10ar. </w:t>
      </w:r>
      <w:hyperlink r:id="rId156">
        <w:r>
          <w:rPr>
            <w:rFonts w:ascii="Arial" w:cs="Arial" w:eastAsia="Arial" w:hAnsi="Arial"/>
            <w:sz w:val="16"/>
            <w:szCs w:val="16"/>
            <w:u w:val="single" w:color="auto"/>
            <w:color w:val="0000FF"/>
          </w:rPr>
          <w:t>dated October 4, 2019 by and between Three Oaks, LLC and Grand Design</w:t>
        </w:r>
      </w:hyperlink>
    </w:p>
    <w:p>
      <w:pPr>
        <w:spacing w:after="0" w:line="5" w:lineRule="exact"/>
        <w:rPr>
          <w:rFonts w:ascii="Arial" w:cs="Arial" w:eastAsia="Arial" w:hAnsi="Arial"/>
          <w:sz w:val="16"/>
          <w:szCs w:val="16"/>
          <w:color w:val="auto"/>
        </w:rPr>
      </w:pPr>
    </w:p>
    <w:p>
      <w:pPr>
        <w:ind w:left="1300"/>
        <w:spacing w:after="0"/>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RV, LLC.</w:t>
        </w:r>
      </w:hyperlink>
    </w:p>
    <w:p>
      <w:pPr>
        <w:spacing w:after="0" w:line="30" w:lineRule="exact"/>
        <w:rPr>
          <w:rFonts w:ascii="Arial" w:cs="Arial" w:eastAsia="Arial" w:hAnsi="Arial"/>
          <w:sz w:val="16"/>
          <w:szCs w:val="16"/>
          <w:color w:val="auto"/>
        </w:rPr>
      </w:pPr>
    </w:p>
    <w:p>
      <w:pPr>
        <w:ind w:left="1300" w:right="20"/>
        <w:spacing w:after="0" w:line="256"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Amendment No. 2 to Amended and Restated Credit Agreement, dated as of</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July 8, 2020, among Winnebago Industries, Inc., Winnebago of Indiana,</w:t>
        </w:r>
      </w:hyperlink>
    </w:p>
    <w:p>
      <w:pPr>
        <w:spacing w:after="0" w:line="1" w:lineRule="exact"/>
        <w:rPr>
          <w:sz w:val="20"/>
          <w:szCs w:val="20"/>
          <w:color w:val="auto"/>
        </w:rPr>
      </w:pPr>
    </w:p>
    <w:p>
      <w:pPr>
        <w:jc w:val="both"/>
        <w:ind w:left="1300" w:right="240" w:hanging="431"/>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10as. </w:t>
      </w:r>
      <w:hyperlink r:id="rId158">
        <w:r>
          <w:rPr>
            <w:rFonts w:ascii="Arial" w:cs="Arial" w:eastAsia="Arial" w:hAnsi="Arial"/>
            <w:sz w:val="16"/>
            <w:szCs w:val="16"/>
            <w:u w:val="single" w:color="auto"/>
            <w:color w:val="0000FF"/>
          </w:rPr>
          <w:t>LLC, Grand Design RV, LLC, Newmar Corporation, the other loan parties</w:t>
        </w:r>
      </w:hyperlink>
      <w:r>
        <w:rPr>
          <w:rFonts w:ascii="Arial" w:cs="Arial" w:eastAsia="Arial" w:hAnsi="Arial"/>
          <w:sz w:val="16"/>
          <w:szCs w:val="16"/>
          <w:color w:val="auto"/>
        </w:rPr>
        <w:t xml:space="preserve"> </w:t>
      </w:r>
      <w:hyperlink r:id="rId158">
        <w:r>
          <w:rPr>
            <w:rFonts w:ascii="Arial" w:cs="Arial" w:eastAsia="Arial" w:hAnsi="Arial"/>
            <w:sz w:val="16"/>
            <w:szCs w:val="16"/>
            <w:u w:val="single" w:color="auto"/>
            <w:color w:val="0000FF"/>
          </w:rPr>
          <w:t>thereto from time to time, the lenders party thereto from time to time and</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JPMorgan Chase Bank, N.A., as administrative agent</w:t>
        </w:r>
      </w:hyperlink>
    </w:p>
    <w:p>
      <w:pPr>
        <w:spacing w:after="0" w:line="23" w:lineRule="exact"/>
        <w:rPr>
          <w:rFonts w:ascii="Arial" w:cs="Arial" w:eastAsia="Arial" w:hAnsi="Arial"/>
          <w:sz w:val="16"/>
          <w:szCs w:val="16"/>
          <w:color w:val="auto"/>
        </w:rPr>
      </w:pPr>
    </w:p>
    <w:p>
      <w:pPr>
        <w:ind w:left="900" w:right="80" w:firstLine="396"/>
        <w:spacing w:after="0" w:line="256" w:lineRule="auto"/>
        <w:rPr>
          <w:rFonts w:ascii="Arial" w:cs="Arial" w:eastAsia="Arial" w:hAnsi="Arial"/>
          <w:sz w:val="16"/>
          <w:szCs w:val="16"/>
          <w:color w:val="000000"/>
        </w:rPr>
      </w:pPr>
      <w:hyperlink r:id="rId159">
        <w:r>
          <w:rPr>
            <w:rFonts w:ascii="Arial" w:cs="Arial" w:eastAsia="Arial" w:hAnsi="Arial"/>
            <w:sz w:val="16"/>
            <w:szCs w:val="16"/>
            <w:u w:val="single" w:color="auto"/>
            <w:color w:val="0000FF"/>
          </w:rPr>
          <w:t>Intercreditor Agreement, dated as of July 8, 2020, among JPMorgan Chase</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 xml:space="preserve">10at. </w:t>
      </w:r>
      <w:hyperlink r:id="rId159">
        <w:r>
          <w:rPr>
            <w:rFonts w:ascii="Arial" w:cs="Arial" w:eastAsia="Arial" w:hAnsi="Arial"/>
            <w:sz w:val="16"/>
            <w:szCs w:val="16"/>
            <w:u w:val="single" w:color="auto"/>
            <w:color w:val="0000FF"/>
          </w:rPr>
          <w:t>Bank, N.A., U.S. Bank National Association, as collateral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-248285</wp:posOffset>
            </wp:positionV>
            <wp:extent cx="6506210" cy="386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6506210" cy="386080"/>
                    </a:xfrm>
                    <a:prstGeom prst="rect">
                      <a:avLst/>
                    </a:prstGeom>
                    <a:noFill/>
                  </pic:spPr>
                </pic:pic>
              </a:graphicData>
            </a:graphic>
          </wp:anchor>
        </w:drawing>
      </w:r>
    </w:p>
    <w:p>
      <w:pPr>
        <w:ind w:left="1300"/>
        <w:spacing w:after="0"/>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Winnebago Industries, Inc. and certain of its subsidiaries party thereto.</w:t>
        </w:r>
      </w:hyperlink>
    </w:p>
    <w:p>
      <w:pPr>
        <w:spacing w:after="0" w:line="30" w:lineRule="exact"/>
        <w:rPr>
          <w:sz w:val="20"/>
          <w:szCs w:val="20"/>
          <w:color w:val="auto"/>
        </w:rPr>
      </w:pPr>
    </w:p>
    <w:p>
      <w:pPr>
        <w:ind w:left="1300" w:right="460" w:hanging="440"/>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10au. </w:t>
      </w:r>
      <w:hyperlink r:id="rId161">
        <w:r>
          <w:rPr>
            <w:rFonts w:ascii="Arial" w:cs="Arial" w:eastAsia="Arial" w:hAnsi="Arial"/>
            <w:sz w:val="16"/>
            <w:szCs w:val="16"/>
            <w:u w:val="single" w:color="auto"/>
            <w:color w:val="0000FF"/>
          </w:rPr>
          <w:t>Amended and Restated Employment Agreement between Winnebago</w:t>
        </w:r>
      </w:hyperlink>
      <w:r>
        <w:rPr>
          <w:rFonts w:ascii="Arial" w:cs="Arial" w:eastAsia="Arial" w:hAnsi="Arial"/>
          <w:sz w:val="16"/>
          <w:szCs w:val="16"/>
          <w:color w:val="auto"/>
        </w:rPr>
        <w:t xml:space="preserve"> </w:t>
      </w:r>
      <w:hyperlink r:id="rId161">
        <w:r>
          <w:rPr>
            <w:rFonts w:ascii="Arial" w:cs="Arial" w:eastAsia="Arial" w:hAnsi="Arial"/>
            <w:sz w:val="16"/>
            <w:szCs w:val="16"/>
            <w:u w:val="single" w:color="auto"/>
            <w:color w:val="0000FF"/>
          </w:rPr>
          <w:t>Industries, Inc. and Michael Happe dated December 15, 2021*</w:t>
        </w:r>
      </w:hyperlink>
    </w:p>
    <w:p>
      <w:pPr>
        <w:spacing w:after="0" w:line="1" w:lineRule="exact"/>
        <w:rPr>
          <w:sz w:val="20"/>
          <w:szCs w:val="20"/>
          <w:color w:val="auto"/>
        </w:rPr>
      </w:pPr>
    </w:p>
    <w:p>
      <w:pPr>
        <w:ind w:left="1300" w:right="760" w:hanging="419"/>
        <w:spacing w:after="0" w:line="24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10av. </w:t>
      </w:r>
      <w:hyperlink r:id="rId162">
        <w:r>
          <w:rPr>
            <w:rFonts w:ascii="Arial" w:cs="Arial" w:eastAsia="Arial" w:hAnsi="Arial"/>
            <w:sz w:val="16"/>
            <w:szCs w:val="16"/>
            <w:u w:val="single" w:color="auto"/>
            <w:color w:val="0000FF"/>
          </w:rPr>
          <w:t>Winnebago Executive Officer Severance Plan and Summary Plan</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FF"/>
          </w:rPr>
          <w:t>Description*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-238760</wp:posOffset>
            </wp:positionV>
            <wp:extent cx="650621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1300"/>
        <w:spacing w:after="0" w:line="221" w:lineRule="auto"/>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Second Amended and Restated Credit Agreement dated as of July 15, 2022</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among Winnebago Industries, Inc., Winnebago of Indiana, LLC, Grand</w:t>
        </w:r>
      </w:hyperlink>
    </w:p>
    <w:p>
      <w:pPr>
        <w:spacing w:after="0" w:line="1" w:lineRule="exact"/>
        <w:rPr>
          <w:sz w:val="20"/>
          <w:szCs w:val="20"/>
          <w:color w:val="auto"/>
        </w:rPr>
      </w:pPr>
    </w:p>
    <w:p>
      <w:pPr>
        <w:ind w:left="1300" w:right="300" w:hanging="458"/>
        <w:spacing w:after="0" w:line="22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10aw. </w:t>
      </w:r>
      <w:hyperlink r:id="rId164">
        <w:r>
          <w:rPr>
            <w:rFonts w:ascii="Arial" w:cs="Arial" w:eastAsia="Arial" w:hAnsi="Arial"/>
            <w:sz w:val="16"/>
            <w:szCs w:val="16"/>
            <w:u w:val="single" w:color="auto"/>
            <w:color w:val="0000FF"/>
          </w:rPr>
          <w:t>Design RV, LLC and Newmar Corporation, the other loan parties party</w:t>
        </w:r>
      </w:hyperlink>
      <w:r>
        <w:rPr>
          <w:rFonts w:ascii="Arial" w:cs="Arial" w:eastAsia="Arial" w:hAnsi="Arial"/>
          <w:sz w:val="16"/>
          <w:szCs w:val="16"/>
          <w:color w:val="auto"/>
        </w:rPr>
        <w:t xml:space="preserve"> </w:t>
      </w:r>
      <w:hyperlink r:id="rId164">
        <w:r>
          <w:rPr>
            <w:rFonts w:ascii="Arial" w:cs="Arial" w:eastAsia="Arial" w:hAnsi="Arial"/>
            <w:sz w:val="16"/>
            <w:szCs w:val="16"/>
            <w:u w:val="single" w:color="auto"/>
            <w:color w:val="0000FF"/>
          </w:rPr>
          <w:t>thereto from time to time, the lenders party thereto from time to time and</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JPMorgan Chase Bank, N.A.</w:t>
        </w:r>
      </w:hyperlink>
    </w:p>
    <w:p>
      <w:pPr>
        <w:ind w:left="1080"/>
        <w:spacing w:after="0" w:line="194" w:lineRule="auto"/>
        <w:rPr>
          <w:sz w:val="20"/>
          <w:szCs w:val="20"/>
          <w:color w:val="auto"/>
        </w:rPr>
      </w:pPr>
      <w:r>
        <w:rPr>
          <w:rFonts w:ascii="Arial" w:cs="Arial" w:eastAsia="Arial" w:hAnsi="Arial"/>
          <w:sz w:val="32"/>
          <w:szCs w:val="32"/>
          <w:color w:val="000000"/>
          <w:vertAlign w:val="subscript"/>
        </w:rPr>
        <w:t>21</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List of Subsidiaries.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-186690</wp:posOffset>
            </wp:positionV>
            <wp:extent cx="650621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32"/>
          <w:szCs w:val="32"/>
          <w:color w:val="000000"/>
          <w:vertAlign w:val="subscript"/>
        </w:rPr>
        <w:t>23</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Consent of Independent Registered Public Accounting Firm.</w:t>
      </w:r>
    </w:p>
    <w:p>
      <w:pPr>
        <w:spacing w:after="0" w:line="92" w:lineRule="exact"/>
        <w:rPr>
          <w:rFonts w:ascii="Arial" w:cs="Arial" w:eastAsia="Arial" w:hAnsi="Arial"/>
          <w:sz w:val="16"/>
          <w:szCs w:val="16"/>
          <w:color w:val="auto"/>
        </w:rPr>
      </w:pPr>
    </w:p>
    <w:p>
      <w:pPr>
        <w:ind w:left="940" w:right="220" w:firstLine="351"/>
        <w:spacing w:after="0" w:line="251" w:lineRule="auto"/>
        <w:rPr>
          <w:sz w:val="20"/>
          <w:szCs w:val="20"/>
          <w:color w:val="auto"/>
        </w:rPr>
      </w:pPr>
      <w:r>
        <w:rPr>
          <w:rFonts w:ascii="Arial" w:cs="Arial" w:eastAsia="Arial" w:hAnsi="Arial"/>
          <w:sz w:val="16"/>
          <w:szCs w:val="16"/>
          <w:u w:val="single" w:color="auto"/>
          <w:color w:val="0000FF"/>
        </w:rPr>
        <w:t xml:space="preserve">Certification by the Chief Executive Officer pursuant to Section 302 of the </w:t>
      </w:r>
      <w:r>
        <w:rPr>
          <w:rFonts w:ascii="Arial" w:cs="Arial" w:eastAsia="Arial" w:hAnsi="Arial"/>
          <w:sz w:val="16"/>
          <w:szCs w:val="16"/>
          <w:color w:val="000000"/>
        </w:rPr>
        <w:t xml:space="preserve">31.1 </w:t>
      </w:r>
      <w:r>
        <w:rPr>
          <w:rFonts w:ascii="Arial" w:cs="Arial" w:eastAsia="Arial" w:hAnsi="Arial"/>
          <w:sz w:val="16"/>
          <w:szCs w:val="16"/>
          <w:u w:val="single" w:color="auto"/>
          <w:color w:val="0000FF"/>
        </w:rPr>
        <w:t>Sarbanes-Oxley Act of 2002.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-243205</wp:posOffset>
            </wp:positionV>
            <wp:extent cx="6506210"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35" w:lineRule="exact"/>
        <w:rPr>
          <w:rFonts w:ascii="Arial" w:cs="Arial" w:eastAsia="Arial" w:hAnsi="Arial"/>
          <w:sz w:val="16"/>
          <w:szCs w:val="16"/>
          <w:color w:val="auto"/>
        </w:rPr>
      </w:pPr>
    </w:p>
    <w:p>
      <w:pPr>
        <w:ind w:left="940" w:right="280" w:firstLine="351"/>
        <w:spacing w:after="0" w:line="251" w:lineRule="auto"/>
        <w:rPr>
          <w:sz w:val="20"/>
          <w:szCs w:val="20"/>
          <w:color w:val="auto"/>
        </w:rPr>
      </w:pPr>
      <w:r>
        <w:rPr>
          <w:rFonts w:ascii="Arial" w:cs="Arial" w:eastAsia="Arial" w:hAnsi="Arial"/>
          <w:sz w:val="16"/>
          <w:szCs w:val="16"/>
          <w:u w:val="single" w:color="auto"/>
          <w:color w:val="0000FF"/>
        </w:rPr>
        <w:t xml:space="preserve">Certification by the Chief Financial Officer pursuant to Section 302 of the </w:t>
      </w:r>
      <w:r>
        <w:rPr>
          <w:rFonts w:ascii="Arial" w:cs="Arial" w:eastAsia="Arial" w:hAnsi="Arial"/>
          <w:sz w:val="16"/>
          <w:szCs w:val="16"/>
          <w:color w:val="000000"/>
        </w:rPr>
        <w:t xml:space="preserve">31.2 </w:t>
      </w:r>
      <w:r>
        <w:rPr>
          <w:rFonts w:ascii="Arial" w:cs="Arial" w:eastAsia="Arial" w:hAnsi="Arial"/>
          <w:sz w:val="16"/>
          <w:szCs w:val="16"/>
          <w:u w:val="single" w:color="auto"/>
          <w:color w:val="0000FF"/>
        </w:rPr>
        <w:t>Sarbanes-Oxley Act of 2002.</w:t>
      </w:r>
    </w:p>
    <w:p>
      <w:pPr>
        <w:spacing w:after="0" w:line="155" w:lineRule="exact"/>
        <w:rPr>
          <w:rFonts w:ascii="Arial" w:cs="Arial" w:eastAsia="Arial" w:hAnsi="Arial"/>
          <w:sz w:val="16"/>
          <w:szCs w:val="16"/>
          <w:color w:val="auto"/>
        </w:rPr>
      </w:pPr>
    </w:p>
    <w:p>
      <w:pPr>
        <w:ind w:left="940" w:right="320" w:firstLine="351"/>
        <w:spacing w:after="0" w:line="251" w:lineRule="auto"/>
        <w:rPr>
          <w:sz w:val="20"/>
          <w:szCs w:val="20"/>
          <w:color w:val="auto"/>
        </w:rPr>
      </w:pPr>
      <w:r>
        <w:rPr>
          <w:rFonts w:ascii="Arial" w:cs="Arial" w:eastAsia="Arial" w:hAnsi="Arial"/>
          <w:sz w:val="16"/>
          <w:szCs w:val="16"/>
          <w:u w:val="single" w:color="auto"/>
          <w:color w:val="0000FF"/>
        </w:rPr>
        <w:t xml:space="preserve">Certification by the Chief Executive Officer pursuant to Section 1350, as </w:t>
      </w:r>
      <w:r>
        <w:rPr>
          <w:rFonts w:ascii="Arial" w:cs="Arial" w:eastAsia="Arial" w:hAnsi="Arial"/>
          <w:sz w:val="16"/>
          <w:szCs w:val="16"/>
          <w:color w:val="000000"/>
        </w:rPr>
        <w:t xml:space="preserve">32.1 </w:t>
      </w:r>
      <w:r>
        <w:rPr>
          <w:rFonts w:ascii="Arial" w:cs="Arial" w:eastAsia="Arial" w:hAnsi="Arial"/>
          <w:sz w:val="16"/>
          <w:szCs w:val="16"/>
          <w:u w:val="single" w:color="auto"/>
          <w:color w:val="0000FF"/>
        </w:rPr>
        <w:t>adopted pursuant to Section 906 of the Sarbanes-Oxley Act of 2002.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-243205</wp:posOffset>
            </wp:positionV>
            <wp:extent cx="650621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35" w:lineRule="exact"/>
        <w:rPr>
          <w:rFonts w:ascii="Arial" w:cs="Arial" w:eastAsia="Arial" w:hAnsi="Arial"/>
          <w:sz w:val="16"/>
          <w:szCs w:val="16"/>
          <w:color w:val="auto"/>
        </w:rPr>
      </w:pPr>
    </w:p>
    <w:p>
      <w:pPr>
        <w:ind w:left="940" w:right="380" w:firstLine="351"/>
        <w:spacing w:after="0" w:line="251" w:lineRule="auto"/>
        <w:rPr>
          <w:sz w:val="20"/>
          <w:szCs w:val="20"/>
          <w:color w:val="auto"/>
        </w:rPr>
      </w:pPr>
      <w:r>
        <w:rPr>
          <w:rFonts w:ascii="Arial" w:cs="Arial" w:eastAsia="Arial" w:hAnsi="Arial"/>
          <w:sz w:val="16"/>
          <w:szCs w:val="16"/>
          <w:u w:val="single" w:color="auto"/>
          <w:color w:val="0000FF"/>
        </w:rPr>
        <w:t xml:space="preserve">Certification by the Chief Financial Officer pursuant to Section 1350, as </w:t>
      </w:r>
      <w:r>
        <w:rPr>
          <w:rFonts w:ascii="Arial" w:cs="Arial" w:eastAsia="Arial" w:hAnsi="Arial"/>
          <w:sz w:val="16"/>
          <w:szCs w:val="16"/>
          <w:color w:val="000000"/>
        </w:rPr>
        <w:t xml:space="preserve">32.2 </w:t>
      </w:r>
      <w:r>
        <w:rPr>
          <w:rFonts w:ascii="Arial" w:cs="Arial" w:eastAsia="Arial" w:hAnsi="Arial"/>
          <w:sz w:val="16"/>
          <w:szCs w:val="16"/>
          <w:u w:val="single" w:color="auto"/>
          <w:color w:val="0000FF"/>
        </w:rPr>
        <w:t>adopted pursuant to Section 906 of the Sarbanes-Oxley Act of 2002.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5540"/>
        <w:spacing w:after="0"/>
        <w:rPr>
          <w:sz w:val="20"/>
          <w:szCs w:val="20"/>
          <w:color w:val="auto"/>
        </w:rPr>
      </w:pPr>
      <w:r>
        <w:rPr>
          <w:rFonts w:ascii="Arial" w:cs="Arial" w:eastAsia="Arial" w:hAnsi="Arial"/>
          <w:sz w:val="16"/>
          <w:szCs w:val="16"/>
          <w:color w:val="auto"/>
        </w:rPr>
        <w:t>66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17"/>
        </w:trPr>
        <w:tc>
          <w:tcPr>
            <w:tcW w:w="266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Form</w:t>
            </w:r>
          </w:p>
        </w:tc>
        <w:tc>
          <w:tcPr>
            <w:tcW w:w="120" w:type="dxa"/>
            <w:vAlign w:val="bottom"/>
            <w:vMerge w:val="restart"/>
          </w:tcPr>
          <w:p>
            <w:pPr>
              <w:spacing w:after="0" w:line="20" w:lineRule="exact"/>
              <w:rPr>
                <w:sz w:val="1"/>
                <w:szCs w:val="1"/>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Exhibit</w:t>
            </w:r>
          </w:p>
        </w:tc>
        <w:tc>
          <w:tcPr>
            <w:tcW w:w="100" w:type="dxa"/>
            <w:vAlign w:val="bottom"/>
            <w:vMerge w:val="restart"/>
          </w:tcPr>
          <w:p>
            <w:pPr>
              <w:spacing w:after="0" w:line="20" w:lineRule="exact"/>
              <w:rPr>
                <w:sz w:val="1"/>
                <w:szCs w:val="1"/>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315"/>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6"/>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72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10-Q</w:t>
            </w:r>
          </w:p>
        </w:tc>
        <w:tc>
          <w:tcPr>
            <w:tcW w:w="72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6"/>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12/17/2021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12/17/2021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8-K</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316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16"/>
          <w:szCs w:val="16"/>
          <w:color w:val="auto"/>
        </w:rPr>
      </w:pPr>
    </w:p>
    <w:p>
      <w:pPr>
        <w:ind w:left="3160"/>
        <w:spacing w:after="0"/>
        <w:rPr>
          <w:sz w:val="20"/>
          <w:szCs w:val="20"/>
          <w:color w:val="auto"/>
        </w:rPr>
      </w:pPr>
      <w:r>
        <w:rPr>
          <w:rFonts w:ascii="Arial" w:cs="Arial" w:eastAsia="Arial" w:hAnsi="Arial"/>
          <w:sz w:val="16"/>
          <w:szCs w:val="16"/>
          <w:color w:val="auto"/>
        </w:rPr>
        <w:t>X</w:t>
      </w:r>
    </w:p>
    <w:p>
      <w:pPr>
        <w:spacing w:after="0" w:line="275" w:lineRule="exact"/>
        <w:rPr>
          <w:rFonts w:ascii="Arial" w:cs="Arial" w:eastAsia="Arial" w:hAnsi="Arial"/>
          <w:sz w:val="16"/>
          <w:szCs w:val="16"/>
          <w:color w:val="auto"/>
        </w:rPr>
      </w:pPr>
    </w:p>
    <w:p>
      <w:pPr>
        <w:ind w:left="3160"/>
        <w:spacing w:after="0"/>
        <w:rPr>
          <w:sz w:val="20"/>
          <w:szCs w:val="20"/>
          <w:color w:val="auto"/>
        </w:rPr>
      </w:pPr>
      <w:r>
        <w:rPr>
          <w:rFonts w:ascii="Arial" w:cs="Arial" w:eastAsia="Arial" w:hAnsi="Arial"/>
          <w:sz w:val="16"/>
          <w:szCs w:val="16"/>
          <w:color w:val="auto"/>
        </w:rPr>
        <w:t>X</w:t>
      </w:r>
    </w:p>
    <w:p>
      <w:pPr>
        <w:spacing w:after="0" w:line="356" w:lineRule="exact"/>
        <w:rPr>
          <w:rFonts w:ascii="Arial" w:cs="Arial" w:eastAsia="Arial" w:hAnsi="Arial"/>
          <w:sz w:val="16"/>
          <w:szCs w:val="16"/>
          <w:color w:val="auto"/>
        </w:rPr>
      </w:pPr>
    </w:p>
    <w:p>
      <w:pPr>
        <w:ind w:left="3160"/>
        <w:spacing w:after="0"/>
        <w:rPr>
          <w:sz w:val="20"/>
          <w:szCs w:val="20"/>
          <w:color w:val="auto"/>
        </w:rPr>
      </w:pPr>
      <w:r>
        <w:rPr>
          <w:rFonts w:ascii="Arial" w:cs="Arial" w:eastAsia="Arial" w:hAnsi="Arial"/>
          <w:sz w:val="16"/>
          <w:szCs w:val="16"/>
          <w:color w:val="auto"/>
        </w:rPr>
        <w:t>X</w:t>
      </w:r>
    </w:p>
    <w:p>
      <w:pPr>
        <w:spacing w:after="0" w:line="356" w:lineRule="exact"/>
        <w:rPr>
          <w:rFonts w:ascii="Arial" w:cs="Arial" w:eastAsia="Arial" w:hAnsi="Arial"/>
          <w:sz w:val="16"/>
          <w:szCs w:val="16"/>
          <w:color w:val="auto"/>
        </w:rPr>
      </w:pPr>
    </w:p>
    <w:p>
      <w:pPr>
        <w:ind w:left="3160"/>
        <w:spacing w:after="0"/>
        <w:rPr>
          <w:sz w:val="20"/>
          <w:szCs w:val="20"/>
          <w:color w:val="auto"/>
        </w:rPr>
      </w:pPr>
      <w:r>
        <w:rPr>
          <w:rFonts w:ascii="Arial" w:cs="Arial" w:eastAsia="Arial" w:hAnsi="Arial"/>
          <w:sz w:val="16"/>
          <w:szCs w:val="16"/>
          <w:color w:val="auto"/>
        </w:rPr>
        <w:t>X</w:t>
      </w:r>
    </w:p>
    <w:p>
      <w:pPr>
        <w:spacing w:after="0" w:line="356" w:lineRule="exact"/>
        <w:rPr>
          <w:rFonts w:ascii="Arial" w:cs="Arial" w:eastAsia="Arial" w:hAnsi="Arial"/>
          <w:sz w:val="16"/>
          <w:szCs w:val="16"/>
          <w:color w:val="auto"/>
        </w:rPr>
      </w:pPr>
    </w:p>
    <w:p>
      <w:pPr>
        <w:ind w:left="316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760" w:space="140"/>
            <w:col w:w="3680"/>
          </w:cols>
          <w:pgMar w:left="320" w:top="125" w:right="99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69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1"/>
        </w:trPr>
        <w:tc>
          <w:tcPr>
            <w:tcW w:w="1260" w:type="dxa"/>
            <w:vAlign w:val="bottom"/>
            <w:tcBorders>
              <w:top w:val="single" w:sz="8" w:color="0000FF"/>
            </w:tcBorders>
          </w:tcPr>
          <w:p>
            <w:pPr>
              <w:spacing w:after="0"/>
              <w:rPr>
                <w:sz w:val="24"/>
                <w:szCs w:val="24"/>
                <w:color w:val="auto"/>
              </w:rPr>
            </w:pPr>
          </w:p>
        </w:tc>
        <w:tc>
          <w:tcPr>
            <w:tcW w:w="5640" w:type="dxa"/>
            <w:vAlign w:val="bottom"/>
          </w:tcPr>
          <w:p>
            <w:pPr>
              <w:spacing w:after="0"/>
              <w:rPr>
                <w:sz w:val="24"/>
                <w:szCs w:val="24"/>
                <w:color w:val="auto"/>
              </w:rPr>
            </w:pPr>
          </w:p>
        </w:tc>
        <w:tc>
          <w:tcPr>
            <w:tcW w:w="26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Incorporated by Reference</w:t>
            </w:r>
          </w:p>
        </w:tc>
        <w:tc>
          <w:tcPr>
            <w:tcW w:w="90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Exhibit No. Exhibit Description</w:t>
            </w:r>
          </w:p>
        </w:tc>
        <w:tc>
          <w:tcPr>
            <w:tcW w:w="7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Form</w:t>
            </w:r>
          </w:p>
        </w:tc>
        <w:tc>
          <w:tcPr>
            <w:tcW w:w="8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Exhibit</w:t>
            </w:r>
          </w:p>
        </w:tc>
        <w:tc>
          <w:tcPr>
            <w:tcW w:w="11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Filing Date</w:t>
            </w: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900" w:type="dxa"/>
            <w:vAlign w:val="bottom"/>
          </w:tcPr>
          <w:p>
            <w:pPr>
              <w:jc w:val="center"/>
              <w:ind w:left="139"/>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-3810</wp:posOffset>
            </wp:positionV>
            <wp:extent cx="6506210" cy="351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6506210" cy="351155"/>
                    </a:xfrm>
                    <a:prstGeom prst="rect">
                      <a:avLst/>
                    </a:prstGeom>
                    <a:noFill/>
                  </pic:spPr>
                </pic:pic>
              </a:graphicData>
            </a:graphic>
          </wp:anchor>
        </w:drawing>
      </w:r>
    </w:p>
    <w:p>
      <w:pPr>
        <w:ind w:left="680" w:right="3780" w:firstLine="621"/>
        <w:spacing w:after="0" w:line="221" w:lineRule="auto"/>
        <w:rPr>
          <w:sz w:val="20"/>
          <w:szCs w:val="20"/>
          <w:color w:val="auto"/>
        </w:rPr>
      </w:pPr>
      <w:r>
        <w:rPr>
          <w:rFonts w:ascii="Arial" w:cs="Arial" w:eastAsia="Arial" w:hAnsi="Arial"/>
          <w:sz w:val="16"/>
          <w:szCs w:val="16"/>
          <w:color w:val="auto"/>
        </w:rPr>
        <w:t>XBRL Instance Document - the instance document does not appear in the 101.INS Interactive Data File because its XBRL tags are embedded within the Inline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XBRL document (furnished herewith).</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101.SCH Inline XBRL Taxonomy Extension Schema Document</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650621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6506210" cy="137160"/>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101.DEF Inline XBRL Taxonomy Extension Definitions Linkbase Document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101.LAB 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650621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6506210" cy="137160"/>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6" w:lineRule="exact"/>
        <w:rPr>
          <w:sz w:val="20"/>
          <w:szCs w:val="20"/>
          <w:color w:val="auto"/>
        </w:rPr>
      </w:pPr>
    </w:p>
    <w:p>
      <w:pPr>
        <w:jc w:val="right"/>
        <w:ind w:right="3700"/>
        <w:spacing w:after="0"/>
        <w:rPr>
          <w:sz w:val="20"/>
          <w:szCs w:val="20"/>
          <w:color w:val="auto"/>
        </w:rPr>
      </w:pPr>
      <w:r>
        <w:rPr>
          <w:rFonts w:ascii="Arial" w:cs="Arial" w:eastAsia="Arial" w:hAnsi="Arial"/>
          <w:sz w:val="16"/>
          <w:szCs w:val="16"/>
          <w:color w:val="auto"/>
        </w:rPr>
        <w:t>The cover page from the Winnebago Industries, Inc. Annual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6506210" cy="342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ind w:left="1300" w:right="3980" w:hanging="305"/>
        <w:spacing w:after="0" w:line="235" w:lineRule="auto"/>
        <w:rPr>
          <w:sz w:val="20"/>
          <w:szCs w:val="20"/>
          <w:color w:val="auto"/>
        </w:rPr>
      </w:pPr>
      <w:r>
        <w:rPr>
          <w:rFonts w:ascii="Arial" w:cs="Arial" w:eastAsia="Arial" w:hAnsi="Arial"/>
          <w:sz w:val="16"/>
          <w:szCs w:val="16"/>
          <w:color w:val="auto"/>
        </w:rPr>
        <w:t>104 10-K for the fiscal year ended August 27, 2022, formatted in Inline XBRL (included as Exhibit 101).</w:t>
      </w:r>
    </w:p>
    <w:p>
      <w:pPr>
        <w:spacing w:after="0" w:line="83"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18" w:right="111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WINNEBAGO INDUSTRIES, INC.</w:t>
      </w:r>
    </w:p>
    <w:p>
      <w:pPr>
        <w:spacing w:after="0" w:line="248"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20955</wp:posOffset>
            </wp:positionV>
            <wp:extent cx="36175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Michael J. Happe</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President, Chief Executive Officer</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(Principal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Date: October 19, 2022</w:t>
      </w:r>
    </w:p>
    <w:p>
      <w:pPr>
        <w:spacing w:after="0" w:line="200" w:lineRule="exact"/>
        <w:rPr>
          <w:sz w:val="20"/>
          <w:szCs w:val="20"/>
          <w:color w:val="auto"/>
        </w:rPr>
      </w:pPr>
    </w:p>
    <w:p>
      <w:pPr>
        <w:spacing w:after="0" w:line="29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19, 2022, by the following persons on behalf of the Registrant and in the capacities indicated.</w:t>
      </w:r>
    </w:p>
    <w:p>
      <w:pPr>
        <w:spacing w:after="0" w:line="1" w:lineRule="exact"/>
        <w:rPr>
          <w:sz w:val="20"/>
          <w:szCs w:val="20"/>
          <w:color w:val="auto"/>
        </w:rPr>
      </w:pPr>
    </w:p>
    <w:p>
      <w:pPr>
        <w:ind w:left="1960"/>
        <w:spacing w:after="0"/>
        <w:tabs>
          <w:tab w:leader="none" w:pos="550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Capacity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c>
          <w:tcPr>
            <w:tcW w:w="4360" w:type="dxa"/>
            <w:vAlign w:val="bottom"/>
          </w:tcPr>
          <w:p>
            <w:pPr>
              <w:spacing w:after="0"/>
              <w:rPr>
                <w:sz w:val="18"/>
                <w:szCs w:val="18"/>
                <w:color w:val="auto"/>
              </w:rPr>
            </w:pPr>
          </w:p>
        </w:tc>
      </w:tr>
      <w:tr>
        <w:trPr>
          <w:trHeight w:val="158"/>
        </w:trPr>
        <w:tc>
          <w:tcPr>
            <w:tcW w:w="4660" w:type="dxa"/>
            <w:vAlign w:val="bottom"/>
          </w:tcPr>
          <w:p>
            <w:pPr>
              <w:ind w:left="20"/>
              <w:spacing w:after="0" w:line="158" w:lineRule="exact"/>
              <w:rPr>
                <w:sz w:val="20"/>
                <w:szCs w:val="20"/>
                <w:color w:val="auto"/>
              </w:rPr>
            </w:pPr>
            <w:r>
              <w:rPr>
                <w:rFonts w:ascii="Arial" w:cs="Arial" w:eastAsia="Arial" w:hAnsi="Arial"/>
                <w:sz w:val="16"/>
                <w:szCs w:val="16"/>
                <w:color w:val="auto"/>
              </w:rPr>
              <w:t>Michael J. Happe</w:t>
            </w:r>
          </w:p>
        </w:tc>
        <w:tc>
          <w:tcPr>
            <w:tcW w:w="4360" w:type="dxa"/>
            <w:vAlign w:val="bottom"/>
          </w:tcPr>
          <w:p>
            <w:pPr>
              <w:ind w:left="860"/>
              <w:spacing w:after="0" w:line="158" w:lineRule="exact"/>
              <w:rPr>
                <w:sz w:val="20"/>
                <w:szCs w:val="20"/>
                <w:color w:val="auto"/>
              </w:rPr>
            </w:pPr>
            <w:r>
              <w:rPr>
                <w:rFonts w:ascii="Arial" w:cs="Arial" w:eastAsia="Arial" w:hAnsi="Arial"/>
                <w:sz w:val="16"/>
                <w:szCs w:val="16"/>
                <w:color w:val="auto"/>
              </w:rPr>
              <w:t>Chief Executive Officer, President</w:t>
            </w:r>
          </w:p>
        </w:tc>
      </w:tr>
      <w:tr>
        <w:trPr>
          <w:trHeight w:val="215"/>
        </w:trPr>
        <w:tc>
          <w:tcPr>
            <w:tcW w:w="466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6"/>
                <w:szCs w:val="16"/>
                <w:color w:val="auto"/>
              </w:rPr>
              <w:t>(Principal Executive Officer)</w:t>
            </w:r>
          </w:p>
        </w:tc>
      </w:tr>
      <w:tr>
        <w:trPr>
          <w:trHeight w:val="418"/>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4360" w:type="dxa"/>
            <w:vAlign w:val="bottom"/>
          </w:tcPr>
          <w:p>
            <w:pPr>
              <w:spacing w:after="0"/>
              <w:rPr>
                <w:sz w:val="24"/>
                <w:szCs w:val="24"/>
                <w:color w:val="auto"/>
              </w:rPr>
            </w:pPr>
          </w:p>
        </w:tc>
      </w:tr>
      <w:tr>
        <w:trPr>
          <w:trHeight w:val="158"/>
        </w:trPr>
        <w:tc>
          <w:tcPr>
            <w:tcW w:w="4660" w:type="dxa"/>
            <w:vAlign w:val="bottom"/>
          </w:tcPr>
          <w:p>
            <w:pPr>
              <w:ind w:left="20"/>
              <w:spacing w:after="0" w:line="158" w:lineRule="exact"/>
              <w:rPr>
                <w:sz w:val="20"/>
                <w:szCs w:val="20"/>
                <w:color w:val="auto"/>
              </w:rPr>
            </w:pPr>
            <w:r>
              <w:rPr>
                <w:rFonts w:ascii="Arial" w:cs="Arial" w:eastAsia="Arial" w:hAnsi="Arial"/>
                <w:sz w:val="16"/>
                <w:szCs w:val="16"/>
                <w:color w:val="auto"/>
              </w:rPr>
              <w:t>Bryan L. Hughes</w:t>
            </w:r>
          </w:p>
        </w:tc>
        <w:tc>
          <w:tcPr>
            <w:tcW w:w="4360" w:type="dxa"/>
            <w:vAlign w:val="bottom"/>
          </w:tcPr>
          <w:p>
            <w:pPr>
              <w:ind w:left="860"/>
              <w:spacing w:after="0" w:line="158" w:lineRule="exact"/>
              <w:rPr>
                <w:sz w:val="20"/>
                <w:szCs w:val="20"/>
                <w:color w:val="auto"/>
              </w:rPr>
            </w:pPr>
            <w:r>
              <w:rPr>
                <w:rFonts w:ascii="Arial" w:cs="Arial" w:eastAsia="Arial" w:hAnsi="Arial"/>
                <w:sz w:val="16"/>
                <w:szCs w:val="16"/>
                <w:color w:val="auto"/>
              </w:rPr>
              <w:t>Chief Financial Officer and Senior Vice President</w:t>
            </w:r>
          </w:p>
        </w:tc>
      </w:tr>
      <w:tr>
        <w:trPr>
          <w:trHeight w:val="215"/>
        </w:trPr>
        <w:tc>
          <w:tcPr>
            <w:tcW w:w="466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6"/>
                <w:szCs w:val="16"/>
                <w:color w:val="auto"/>
              </w:rPr>
              <w:t>(Principal Financial and Accounting Officer)</w:t>
            </w:r>
          </w:p>
        </w:tc>
      </w:tr>
      <w:tr>
        <w:trPr>
          <w:trHeight w:val="418"/>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Sara E. Armbruster</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Sara E. Armbruster</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Christopher J. Braun</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Christopher J. Braun</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Kevin E. Bryant</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Kevin E. Bryant</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Robert M. Chiusano</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Robert M. Chiusano</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William C. Fisher</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William C. Fisher</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David W. Miles</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David W. Miles</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Richard D. Moss</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Richard D. Moss</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John M. Murabito</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John M. Murabito</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r>
        <w:trPr>
          <w:trHeight w:val="43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Jacqueline D. Woods</w:t>
            </w:r>
          </w:p>
        </w:tc>
        <w:tc>
          <w:tcPr>
            <w:tcW w:w="4360" w:type="dxa"/>
            <w:vAlign w:val="bottom"/>
          </w:tcPr>
          <w:p>
            <w:pPr>
              <w:spacing w:after="0"/>
              <w:rPr>
                <w:sz w:val="24"/>
                <w:szCs w:val="24"/>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Jacqueline D. Woods</w:t>
            </w:r>
          </w:p>
        </w:tc>
        <w:tc>
          <w:tcPr>
            <w:tcW w:w="4360" w:type="dxa"/>
            <w:vAlign w:val="bottom"/>
          </w:tcPr>
          <w:p>
            <w:pPr>
              <w:ind w:left="860"/>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020"/>
          </w:cols>
          <w:pgMar w:left="320" w:top="125" w:right="55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4a</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WINNEBAGO INDUSTRIES, INC.</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DESCRIPTION OF SECURITIES</w:t>
      </w:r>
    </w:p>
    <w:p>
      <w:pPr>
        <w:spacing w:after="0" w:line="174"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The summary of the general terms and provisions of the capital stock of Winnebago Industries, Inc. (the “Company”) set forth below does not purport to be complete and is subject to and qualified by reference to the Company’s Articles of Incorporation (the “Articles”) and Bylaws (“Bylaws,” and together with the Articles, the “Charter Documents”), each of which is incorporated herein by reference and attached as an exhibit to the Company’s most recent Annual Report on Form 10-K filed with the Securities and Exchange Commission. For additional information, please read the Company’s Charter Documents and the applicable provisions of the Minnesota Business Corporation Act (the “MBCA”).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Authorized Capital Stock. </w:t>
      </w:r>
      <w:r>
        <w:rPr>
          <w:rFonts w:ascii="Times New Roman" w:cs="Times New Roman" w:eastAsia="Times New Roman" w:hAnsi="Times New Roman"/>
          <w:sz w:val="18"/>
          <w:szCs w:val="18"/>
          <w:color w:val="auto"/>
        </w:rPr>
        <w:t>The Company is authorized to issue up to 130,000,000 shares of capital stock, including up to 120,000,000 shares of</w:t>
      </w:r>
    </w:p>
    <w:p>
      <w:pPr>
        <w:spacing w:after="0" w:line="4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common stock, par value $0.50 per share, and 10,000,000 shares of preferred stock, par value $0.01 per share. The Company’s Board of Directors (the “Board”) is authorized to establish one or more series of preferred stock, setting forth the designation of each such series and fixing the relative rights and preferences of each such series.</w:t>
      </w:r>
    </w:p>
    <w:p>
      <w:pPr>
        <w:spacing w:after="0" w:line="240" w:lineRule="exact"/>
        <w:rPr>
          <w:sz w:val="20"/>
          <w:szCs w:val="20"/>
          <w:color w:val="auto"/>
        </w:rPr>
      </w:pPr>
    </w:p>
    <w:p>
      <w:pPr>
        <w:jc w:val="both"/>
        <w:ind w:right="2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Holders of common stock may receive dividends if, when and as declared by the Company’s board of directors out of funds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can legally use to pay dividends. The Company may pay dividends in cash, stock or other property. In certain cases, holders of common stock may not receive dividends until the Company has satisfied its obligations to any holders of outstanding preferred stock.</w:t>
      </w:r>
    </w:p>
    <w:p>
      <w:pPr>
        <w:spacing w:after="0" w:line="239" w:lineRule="exact"/>
        <w:rPr>
          <w:sz w:val="20"/>
          <w:szCs w:val="20"/>
          <w:color w:val="auto"/>
        </w:rPr>
      </w:pPr>
    </w:p>
    <w:p>
      <w:pPr>
        <w:jc w:val="both"/>
        <w:ind w:right="180" w:firstLine="648"/>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Holders of common stock have the exclusive power to vote on all matters presented to our shareholders unless Minnesota law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certificate of designation for an outstanding series of preferred stock gives the holders of that preferred stock the right to vote on certain matters. Each holder of common stock is entitled to one vote per share. Holders of common stock may not cumulate their votes when voting for directors, which means that a holder cannot cast more than one vote per share for each director.</w:t>
      </w:r>
    </w:p>
    <w:p>
      <w:pPr>
        <w:spacing w:after="0" w:line="249" w:lineRule="exact"/>
        <w:rPr>
          <w:sz w:val="20"/>
          <w:szCs w:val="20"/>
          <w:color w:val="auto"/>
        </w:rPr>
      </w:pPr>
    </w:p>
    <w:p>
      <w:pPr>
        <w:jc w:val="both"/>
        <w:ind w:right="2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Rights. </w:t>
      </w:r>
      <w:r>
        <w:rPr>
          <w:rFonts w:ascii="Times New Roman" w:cs="Times New Roman" w:eastAsia="Times New Roman" w:hAnsi="Times New Roman"/>
          <w:sz w:val="18"/>
          <w:szCs w:val="18"/>
          <w:color w:val="auto"/>
        </w:rPr>
        <w:t>If the Company voluntarily or involuntarily liquidates, dissolves or winds up its business, holders of common stock will receive pro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rata, according to shares held by them, any remaining assets distributable to the Company’s shareholders after it has provided for any liquidation preference for outstanding shares of preferred stock. When the Company issues securities in the future, holders of common stock have no preemptive rights to buy any portion of those issued securities. Holders of the Company’s common stock have no rights to have their shares of common stock redeemed by the Company or to convert their shares of common stock into shares of any other class of the Company’s capital stock.</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Listing. </w:t>
      </w:r>
      <w:r>
        <w:rPr>
          <w:rFonts w:ascii="Times New Roman" w:cs="Times New Roman" w:eastAsia="Times New Roman" w:hAnsi="Times New Roman"/>
          <w:sz w:val="18"/>
          <w:szCs w:val="18"/>
          <w:color w:val="auto"/>
        </w:rPr>
        <w:t>The Company’s outstanding shares of common stock are listed on the New York Stock Exchange under the symbol “WGO.”</w:t>
      </w:r>
    </w:p>
    <w:p>
      <w:pPr>
        <w:spacing w:after="0" w:line="27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Fully Paid. </w:t>
      </w:r>
      <w:r>
        <w:rPr>
          <w:rFonts w:ascii="Times New Roman" w:cs="Times New Roman" w:eastAsia="Times New Roman" w:hAnsi="Times New Roman"/>
          <w:sz w:val="18"/>
          <w:szCs w:val="18"/>
          <w:color w:val="auto"/>
        </w:rPr>
        <w:t>The outstanding shares of common stock are fully paid and nonassessable. This means the full purchase price for the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has been paid and the holders of such shares will not be assessed any additional amounts for such shares. Any additional common stock that the Company may issue in the future pursuant to an offering under a prospectus or upon the conversion or exercise of other securities will also be fully paid and nonassessable.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Contained in Our Articles and Bylaws</w:t>
      </w:r>
    </w:p>
    <w:p>
      <w:pPr>
        <w:spacing w:after="0" w:line="2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Certain provisions of the Company’s Charter Documents may make it less likely that the Company’s management would be changed or someone would acquire voting control of the Company without the Board’s consent. These provisions may delay, deter or prevent tender offers or takeover attempts that shareholders may believe are in their best interests, including tender offers or attempts that might allow shareholders to receive premiums over the market price of their common stock.</w:t>
      </w:r>
    </w:p>
    <w:p>
      <w:pPr>
        <w:spacing w:after="0" w:line="24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Board can at any time, under the Articles, and without shareholder approval, issue one or more new series of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some cases, the issuance of preferred stock without shareholder approval could discourage or make more difficult attempts to take control of the Company through a merger, tender offer, proxy contest or otherwise. Preferred stock with special voting rights or other features issued to persons favoring the Company’s management could stop a takeover by preventing the person trying to take control of the Company from acquiring enough voting shares necessary to take control.</w:t>
      </w:r>
    </w:p>
    <w:p>
      <w:pPr>
        <w:spacing w:after="0" w:line="20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 Procedures. </w:t>
      </w:r>
      <w:r>
        <w:rPr>
          <w:rFonts w:ascii="Times New Roman" w:cs="Times New Roman" w:eastAsia="Times New Roman" w:hAnsi="Times New Roman"/>
          <w:sz w:val="18"/>
          <w:szCs w:val="18"/>
          <w:color w:val="auto"/>
        </w:rPr>
        <w:t>In addition to the Board, shareholders can nominate candidates for director. However, a shareholder must follow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advance-notice procedures described in Section 1.7 of the Bylaws. In general, a shareholder must submit a written notice of the nomination to the Secretary of the Company not later than the close of business on the 90th day nor earlier than the close of business on the 120th day prior to the first anniversary of the preceding year’s annual meeting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70" w:name="page71"/>
    <w:bookmarkEnd w:id="70"/>
    <w:p>
      <w:pPr>
        <w:ind w:right="200"/>
        <w:spacing w:after="0" w:line="266" w:lineRule="auto"/>
        <w:rPr>
          <w:sz w:val="20"/>
          <w:szCs w:val="20"/>
          <w:color w:val="auto"/>
        </w:rPr>
      </w:pPr>
      <w:r>
        <w:rPr>
          <w:rFonts w:ascii="Times New Roman" w:cs="Times New Roman" w:eastAsia="Times New Roman" w:hAnsi="Times New Roman"/>
          <w:sz w:val="18"/>
          <w:szCs w:val="18"/>
          <w:color w:val="auto"/>
        </w:rPr>
        <w:t>shareholders, together with required information regarding the shareholder proponent and the nominee and the written consent of the nominee to serve as director.</w:t>
      </w:r>
    </w:p>
    <w:p>
      <w:pPr>
        <w:spacing w:after="0" w:line="18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Procedures. </w:t>
      </w:r>
      <w:r>
        <w:rPr>
          <w:rFonts w:ascii="Times New Roman" w:cs="Times New Roman" w:eastAsia="Times New Roman" w:hAnsi="Times New Roman"/>
          <w:sz w:val="18"/>
          <w:szCs w:val="18"/>
          <w:color w:val="auto"/>
        </w:rPr>
        <w:t>Shareholders can propose that business other than director nominations be considered at an annual meeting of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if a shareholder follows the advance-notice procedures described in the Bylaws. In general, a shareholder must submit a written notice of the proposal, together with required information regarding the shareholder and the shareholder's interest in the proposal, to the Secretary of the Company not later than the close of business on the 90th day nor earlier than the close of business on the 120th day prior to the first anniversary of the preceding year’s annual meeting of shareholders. Shareholders seeking to have a proposal, other than director nominations, considered for inclusion in the Company’s annual proxy statement must comply with the requirements of Rule 14a-8 of the proxy rules under the federal securities laws.</w:t>
      </w:r>
    </w:p>
    <w:p>
      <w:pPr>
        <w:spacing w:after="0" w:line="208"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Board; Removal of Directors; Amendment of Director Provisions. </w:t>
      </w:r>
      <w:r>
        <w:rPr>
          <w:rFonts w:ascii="Times New Roman" w:cs="Times New Roman" w:eastAsia="Times New Roman" w:hAnsi="Times New Roman"/>
          <w:sz w:val="18"/>
          <w:szCs w:val="18"/>
          <w:color w:val="auto"/>
        </w:rPr>
        <w:t>Under the Articles, the Board is classified into three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This means that only approximately one-third of the Company’s directors are elected at each annual meeting of shareholders and that it would take two years to replace a majority of the directors unless they are removed. Directors may be removed by shareholders only for cause. Any amendment to these provisions of the Articles requires the affirmative vote of the holders of 75% of all issued and outstanding shares of the Company entitled to vote thereon.</w:t>
      </w:r>
    </w:p>
    <w:p>
      <w:pPr>
        <w:spacing w:after="0" w:line="248"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Meetings of Shareholders. </w:t>
      </w:r>
      <w:r>
        <w:rPr>
          <w:rFonts w:ascii="Times New Roman" w:cs="Times New Roman" w:eastAsia="Times New Roman" w:hAnsi="Times New Roman"/>
          <w:sz w:val="18"/>
          <w:szCs w:val="18"/>
          <w:color w:val="auto"/>
        </w:rPr>
        <w:t>The Bylaws provide that special meetings of the shareholders may be called by the Company’s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by the Company’s chief financial officer; by the Board or any two or more members thereof; or by one or more shareholders holding not less than 10% of the voting power of all shares of the Company entitled to vote, except that a special meeting for the purpose of considering any action to facilitate or effect a business combination, including any action to change or otherwise affect the composition of the Board for that purpose, must be called by 25% or more of the voting power of all shares of the Company entitled to vote.</w:t>
      </w:r>
    </w:p>
    <w:p>
      <w:pPr>
        <w:spacing w:after="0" w:line="208"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Bylaws. </w:t>
      </w:r>
      <w:r>
        <w:rPr>
          <w:rFonts w:ascii="Times New Roman" w:cs="Times New Roman" w:eastAsia="Times New Roman" w:hAnsi="Times New Roman"/>
          <w:sz w:val="18"/>
          <w:szCs w:val="18"/>
          <w:color w:val="auto"/>
        </w:rPr>
        <w:t>Under the Bylaws, the Board can adopt, amend or repeal the Bylaws, subject to limitations under the MBCA.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MBCA, the Company’s shareholders also have the power to change or repeal the Bylaws.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MBCA</w:t>
      </w:r>
    </w:p>
    <w:p>
      <w:pPr>
        <w:spacing w:after="0" w:line="225"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Unanimous Written Consent. </w:t>
      </w:r>
      <w:r>
        <w:rPr>
          <w:rFonts w:ascii="Times New Roman" w:cs="Times New Roman" w:eastAsia="Times New Roman" w:hAnsi="Times New Roman"/>
          <w:sz w:val="18"/>
          <w:szCs w:val="18"/>
          <w:color w:val="auto"/>
        </w:rPr>
        <w:t>Section 302A.441 of the MBCA provides that action may be taken by shareholders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meeting only by unanimous written consent.</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 Provisions Not Applicable. </w:t>
      </w:r>
      <w:r>
        <w:rPr>
          <w:rFonts w:ascii="Times New Roman" w:cs="Times New Roman" w:eastAsia="Times New Roman" w:hAnsi="Times New Roman"/>
          <w:sz w:val="18"/>
          <w:szCs w:val="18"/>
          <w:color w:val="auto"/>
        </w:rPr>
        <w:t>Section 302A.671 of the MBCA (the “Control Share Statute”) applies, with certain</w:t>
      </w:r>
    </w:p>
    <w:p>
      <w:pPr>
        <w:spacing w:after="0" w:line="6"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exceptions, to any acquisition of a company’s voting stock (from a person other than the company and other than in connection with certain mergers and exchanges to which the company is a party) resulting in the acquiring person owning 20% or more of the voting stock then outstanding. Section 302A.671 requires approval of any such acquisitions by both (i) the affirmative vote of the holders of a majority of the shares entitled to vote, including shares held by</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the acquiring person, and (ii) the affirmative vote of the holders of a majority of the shares entitled to vote, excluding all interested shares. The Company’s Articles provide that the Control Share Statute does not apply to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 Provisions. </w:t>
      </w:r>
      <w:r>
        <w:rPr>
          <w:rFonts w:ascii="Times New Roman" w:cs="Times New Roman" w:eastAsia="Times New Roman" w:hAnsi="Times New Roman"/>
          <w:sz w:val="18"/>
          <w:szCs w:val="18"/>
          <w:color w:val="auto"/>
        </w:rPr>
        <w:t>Section 302A.673 of the MBCA generally prohibits the Company or any of its subsidiaries from entering into</w:t>
      </w:r>
    </w:p>
    <w:p>
      <w:pPr>
        <w:spacing w:after="0" w:line="6"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any merger, share exchange, sale of material assets or similar transaction with a 10% shareholder within four years following the date the person became a 10% shareholder, unless either the transaction or the person’s acquisition of shares is approved prior to the person becoming a 10% shareholder by a committee composed solely of disinterested members of the Board.</w:t>
      </w:r>
    </w:p>
    <w:p>
      <w:pPr>
        <w:spacing w:after="0" w:line="195" w:lineRule="exact"/>
        <w:rPr>
          <w:sz w:val="20"/>
          <w:szCs w:val="20"/>
          <w:color w:val="auto"/>
        </w:rPr>
      </w:pPr>
    </w:p>
    <w:p>
      <w:pPr>
        <w:ind w:right="180" w:firstLine="648"/>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Takeover Offer; Fair Price. </w:t>
      </w:r>
      <w:r>
        <w:rPr>
          <w:rFonts w:ascii="Times New Roman" w:cs="Times New Roman" w:eastAsia="Times New Roman" w:hAnsi="Times New Roman"/>
          <w:sz w:val="18"/>
          <w:szCs w:val="18"/>
          <w:color w:val="auto"/>
        </w:rPr>
        <w:t>Under Section 302A.675 of the MBCA, an offeror may not acquire shares of a publicly held corporation within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following the last purchase of shares pursuant to a takeover offer with respect to that class, including acquisitions made by purchase, exchange, merger, consolidation, partial or complete liquidation, redemption, reverse stock split, recapitalization, reorganization, or any other similar transaction,</w:t>
      </w:r>
    </w:p>
    <w:p>
      <w:pPr>
        <w:spacing w:after="0" w:line="3"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unless (i) the acquisition is approved by a committee of disinterested directors before the purchase of any shares by the offeror pursuant to the earlier takeover offer, or (ii) shareholders are afforded, at the time of the proposed acquisition, a reasonable opportunity to dispose of the shares to the offeror upon substantially equivalent terms as those provided in the earlier takeover offer.</w:t>
      </w:r>
    </w:p>
    <w:p>
      <w:pPr>
        <w:spacing w:after="0" w:line="195" w:lineRule="exact"/>
        <w:rPr>
          <w:sz w:val="20"/>
          <w:szCs w:val="20"/>
          <w:color w:val="auto"/>
        </w:rPr>
      </w:pPr>
    </w:p>
    <w:p>
      <w:pPr>
        <w:jc w:val="both"/>
        <w:ind w:right="100" w:firstLine="648"/>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Greenmail Restrictions. </w:t>
      </w:r>
      <w:r>
        <w:rPr>
          <w:rFonts w:ascii="Times New Roman" w:cs="Times New Roman" w:eastAsia="Times New Roman" w:hAnsi="Times New Roman"/>
          <w:sz w:val="17"/>
          <w:szCs w:val="17"/>
          <w:color w:val="auto"/>
        </w:rPr>
        <w:t>Under Section 302A.553 of the MBCA, a corporation is prohibited from buying shares at an above-market price from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greater than 5% shareholder who has held the shares for less than two years unless (i) the purchase is approved by holders of a majority of the outstanding shares entitled to vote, or (ii) the corporation makes an equal or better offer to all shareholders for all other shares of that class or series and any other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series into which they may be converted.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10j.</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INCENTIVE PLAN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Non-Qualified Stock Option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Winnebago Industries, Inc. (the “Company”), pursuant to its 2019 Omnibus Incentive Plan (the “Plan”), hereby grants a stock option award (the “Option”) to you, the Participant named below. The terms and conditions of this Option Award are set forth in this Agreement (the “Agreement”), consisting of this cover page, the Option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93980</wp:posOffset>
            </wp:positionV>
            <wp:extent cx="7089140" cy="18605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089140" cy="1860550"/>
                    </a:xfrm>
                    <a:prstGeom prst="rect">
                      <a:avLst/>
                    </a:prstGeom>
                    <a:noFill/>
                  </pic:spPr>
                </pic:pic>
              </a:graphicData>
            </a:graphic>
          </wp:anchor>
        </w:drawing>
      </w:r>
    </w:p>
    <w:p>
      <w:pPr>
        <w:spacing w:after="0" w:line="187" w:lineRule="exact"/>
        <w:rPr>
          <w:sz w:val="20"/>
          <w:szCs w:val="20"/>
          <w:color w:val="auto"/>
        </w:rPr>
      </w:pPr>
    </w:p>
    <w:p>
      <w:pPr>
        <w:ind w:left="160"/>
        <w:spacing w:after="0"/>
        <w:tabs>
          <w:tab w:leader="none" w:pos="19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29" w:lineRule="exact"/>
        <w:rPr>
          <w:sz w:val="20"/>
          <w:szCs w:val="20"/>
          <w:color w:val="auto"/>
        </w:rPr>
      </w:pPr>
    </w:p>
    <w:tbl>
      <w:tblPr>
        <w:tblLayout w:type="fixed"/>
        <w:tblInd w:w="80" w:type="dxa"/>
        <w:tblCellMar>
          <w:top w:w="0" w:type="dxa"/>
          <w:left w:w="0" w:type="dxa"/>
          <w:bottom w:w="0" w:type="dxa"/>
          <w:right w:w="0" w:type="dxa"/>
        </w:tblCellMar>
      </w:tblPr>
      <w:tr>
        <w:trPr>
          <w:trHeight w:val="290"/>
        </w:trPr>
        <w:tc>
          <w:tcPr>
            <w:tcW w:w="40" w:type="dxa"/>
            <w:vAlign w:val="bottom"/>
          </w:tcPr>
          <w:p>
            <w:pPr>
              <w:spacing w:after="0"/>
              <w:rPr>
                <w:sz w:val="24"/>
                <w:szCs w:val="24"/>
                <w:color w:val="auto"/>
              </w:rPr>
            </w:pPr>
          </w:p>
        </w:tc>
        <w:tc>
          <w:tcPr>
            <w:tcW w:w="2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No. of Shares Covered:</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_______</w:t>
            </w:r>
          </w:p>
        </w:tc>
        <w:tc>
          <w:tcPr>
            <w:tcW w:w="2640" w:type="dxa"/>
            <w:vAlign w:val="bottom"/>
            <w:tcBorders>
              <w:top w:val="single" w:sz="8" w:color="auto"/>
              <w:right w:val="single" w:sz="8" w:color="auto"/>
            </w:tcBorders>
          </w:tcPr>
          <w:p>
            <w:pPr>
              <w:spacing w:after="0"/>
              <w:rPr>
                <w:sz w:val="24"/>
                <w:szCs w:val="24"/>
                <w:color w:val="auto"/>
              </w:rPr>
            </w:pPr>
          </w:p>
        </w:tc>
        <w:tc>
          <w:tcPr>
            <w:tcW w:w="55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Grant Date:   October 12,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Exercise Price Per Share:</w:t>
            </w:r>
          </w:p>
        </w:tc>
        <w:tc>
          <w:tcPr>
            <w:tcW w:w="3380" w:type="dxa"/>
            <w:vAlign w:val="bottom"/>
            <w:tcBorders>
              <w:right w:val="single" w:sz="8" w:color="auto"/>
            </w:tcBorders>
            <w:gridSpan w:val="3"/>
          </w:tcPr>
          <w:p>
            <w:pPr>
              <w:jc w:val="center"/>
              <w:ind w:right="2320"/>
              <w:spacing w:after="0"/>
              <w:rPr>
                <w:sz w:val="20"/>
                <w:szCs w:val="20"/>
                <w:color w:val="auto"/>
              </w:rPr>
            </w:pPr>
            <w:r>
              <w:rPr>
                <w:rFonts w:ascii="Times New Roman" w:cs="Times New Roman" w:eastAsia="Times New Roman" w:hAnsi="Times New Roman"/>
                <w:sz w:val="20"/>
                <w:szCs w:val="20"/>
                <w:color w:val="auto"/>
                <w:w w:val="98"/>
              </w:rPr>
              <w:t>$ ______</w:t>
            </w:r>
          </w:p>
        </w:tc>
        <w:tc>
          <w:tcPr>
            <w:tcW w:w="56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Expiration Date:   October 12, 2031</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54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Vesting and Exercise Schedule:</w:t>
            </w:r>
          </w:p>
        </w:tc>
        <w:tc>
          <w:tcPr>
            <w:tcW w:w="10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2"/>
            <w:vMerge w:val="restart"/>
          </w:tcPr>
          <w:p>
            <w:pPr>
              <w:jc w:val="center"/>
              <w:ind w:right="2640"/>
              <w:spacing w:after="0"/>
              <w:rPr>
                <w:sz w:val="20"/>
                <w:szCs w:val="20"/>
                <w:color w:val="auto"/>
              </w:rPr>
            </w:pPr>
            <w:r>
              <w:rPr>
                <w:rFonts w:ascii="Times New Roman" w:cs="Times New Roman" w:eastAsia="Times New Roman" w:hAnsi="Times New Roman"/>
                <w:sz w:val="20"/>
                <w:szCs w:val="20"/>
                <w:color w:val="auto"/>
                <w:w w:val="96"/>
              </w:rPr>
              <w:t>Dates</w:t>
            </w:r>
          </w:p>
        </w:tc>
        <w:tc>
          <w:tcPr>
            <w:tcW w:w="1080" w:type="dxa"/>
            <w:vAlign w:val="bottom"/>
          </w:tcPr>
          <w:p>
            <w:pPr>
              <w:spacing w:after="0"/>
              <w:rPr>
                <w:sz w:val="24"/>
                <w:szCs w:val="24"/>
                <w:color w:val="auto"/>
              </w:rPr>
            </w:pPr>
          </w:p>
        </w:tc>
        <w:tc>
          <w:tcPr>
            <w:tcW w:w="4520" w:type="dxa"/>
            <w:vAlign w:val="bottom"/>
            <w:gridSpan w:val="3"/>
          </w:tcPr>
          <w:p>
            <w:pPr>
              <w:jc w:val="center"/>
              <w:ind w:right="1300"/>
              <w:spacing w:after="0"/>
              <w:rPr>
                <w:sz w:val="20"/>
                <w:szCs w:val="20"/>
                <w:color w:val="auto"/>
              </w:rPr>
            </w:pPr>
            <w:r>
              <w:rPr>
                <w:rFonts w:ascii="Times New Roman" w:cs="Times New Roman" w:eastAsia="Times New Roman" w:hAnsi="Times New Roman"/>
                <w:sz w:val="20"/>
                <w:szCs w:val="20"/>
                <w:color w:val="auto"/>
                <w:w w:val="99"/>
              </w:rPr>
              <w:t>Portion of Shares as to Which</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4520" w:type="dxa"/>
            <w:vAlign w:val="bottom"/>
            <w:gridSpan w:val="3"/>
          </w:tcPr>
          <w:p>
            <w:pPr>
              <w:jc w:val="center"/>
              <w:ind w:right="1300"/>
              <w:spacing w:after="0" w:line="179" w:lineRule="exact"/>
              <w:rPr>
                <w:sz w:val="20"/>
                <w:szCs w:val="20"/>
                <w:color w:val="auto"/>
              </w:rPr>
            </w:pPr>
            <w:r>
              <w:rPr>
                <w:rFonts w:ascii="Times New Roman" w:cs="Times New Roman" w:eastAsia="Times New Roman" w:hAnsi="Times New Roman"/>
                <w:sz w:val="20"/>
                <w:szCs w:val="20"/>
                <w:color w:val="auto"/>
                <w:w w:val="98"/>
              </w:rPr>
              <w:t>Option Becomes Vested and Exercisable</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54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October 12, 2022</w:t>
            </w:r>
          </w:p>
        </w:tc>
        <w:tc>
          <w:tcPr>
            <w:tcW w:w="1080" w:type="dxa"/>
            <w:vAlign w:val="bottom"/>
          </w:tcPr>
          <w:p>
            <w:pPr>
              <w:spacing w:after="0"/>
              <w:rPr>
                <w:sz w:val="24"/>
                <w:szCs w:val="24"/>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 1/3%</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4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October 12, 2023</w:t>
            </w:r>
          </w:p>
        </w:tc>
        <w:tc>
          <w:tcPr>
            <w:tcW w:w="4280" w:type="dxa"/>
            <w:vAlign w:val="bottom"/>
            <w:gridSpan w:val="2"/>
          </w:tcPr>
          <w:p>
            <w:pPr>
              <w:jc w:val="center"/>
              <w:ind w:left="1001"/>
              <w:spacing w:after="0"/>
              <w:rPr>
                <w:sz w:val="20"/>
                <w:szCs w:val="20"/>
                <w:color w:val="auto"/>
              </w:rPr>
            </w:pPr>
            <w:r>
              <w:rPr>
                <w:rFonts w:ascii="Times New Roman" w:cs="Times New Roman" w:eastAsia="Times New Roman" w:hAnsi="Times New Roman"/>
                <w:sz w:val="20"/>
                <w:szCs w:val="20"/>
                <w:color w:val="auto"/>
                <w:w w:val="98"/>
              </w:rPr>
              <w:t>33 1/3%</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54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October 12, 2024</w:t>
            </w:r>
          </w:p>
        </w:tc>
        <w:tc>
          <w:tcPr>
            <w:tcW w:w="4280" w:type="dxa"/>
            <w:vAlign w:val="bottom"/>
            <w:gridSpan w:val="2"/>
          </w:tcPr>
          <w:p>
            <w:pPr>
              <w:jc w:val="center"/>
              <w:ind w:left="1001"/>
              <w:spacing w:after="0"/>
              <w:rPr>
                <w:sz w:val="20"/>
                <w:szCs w:val="20"/>
                <w:color w:val="auto"/>
              </w:rPr>
            </w:pPr>
            <w:r>
              <w:rPr>
                <w:rFonts w:ascii="Times New Roman" w:cs="Times New Roman" w:eastAsia="Times New Roman" w:hAnsi="Times New Roman"/>
                <w:sz w:val="20"/>
                <w:szCs w:val="20"/>
                <w:color w:val="auto"/>
                <w:w w:val="98"/>
              </w:rPr>
              <w:t>33 1/3%</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your right to purchase shares of the Company’s common stock pursuant to this Option.</w:t>
      </w:r>
    </w:p>
    <w:p>
      <w:pPr>
        <w:spacing w:after="0" w:line="200" w:lineRule="exact"/>
        <w:rPr>
          <w:sz w:val="20"/>
          <w:szCs w:val="20"/>
          <w:color w:val="auto"/>
        </w:rPr>
      </w:pPr>
    </w:p>
    <w:p>
      <w:pPr>
        <w:spacing w:after="0" w:line="286"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PARTICIPANT:</w:t>
      </w:r>
      <w:r>
        <w:rPr>
          <w:sz w:val="20"/>
          <w:szCs w:val="20"/>
          <w:color w:val="auto"/>
        </w:rPr>
        <w:tab/>
      </w:r>
      <w:r>
        <w:rPr>
          <w:rFonts w:ascii="Times New Roman" w:cs="Times New Roman" w:eastAsia="Times New Roman" w:hAnsi="Times New Roman"/>
          <w:sz w:val="22"/>
          <w:szCs w:val="22"/>
          <w:color w:val="auto"/>
        </w:rPr>
        <w:t>WINNEBAGO INDUSTRIES, INC.</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By:________________________________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Title:_______________________________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858" w:right="339" w:bottom="1440" w:gutter="0" w:footer="0" w:header="0"/>
        </w:sectPr>
      </w:pPr>
    </w:p>
    <w:bookmarkStart w:id="72" w:name="page73"/>
    <w:bookmarkEnd w:id="72"/>
    <w:p>
      <w:pPr>
        <w:spacing w:after="0" w:line="2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00" w:lineRule="exact"/>
        <w:rPr>
          <w:sz w:val="20"/>
          <w:szCs w:val="20"/>
          <w:color w:val="auto"/>
        </w:rPr>
      </w:pPr>
    </w:p>
    <w:p>
      <w:pPr>
        <w:spacing w:after="0" w:line="205" w:lineRule="exact"/>
        <w:rPr>
          <w:sz w:val="20"/>
          <w:szCs w:val="20"/>
          <w:color w:val="auto"/>
        </w:rPr>
      </w:pPr>
    </w:p>
    <w:p>
      <w:pPr>
        <w:ind w:right="20" w:firstLine="8"/>
        <w:spacing w:after="0" w:line="287" w:lineRule="auto"/>
        <w:tabs>
          <w:tab w:leader="none" w:pos="4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For purposes of this Agreement, the definitions of terms contained in the Plan hereby are incorporated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any such term is specifically defined in this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forth in your change in control agreement, if applicable.</w:t>
      </w:r>
    </w:p>
    <w:p>
      <w:pPr>
        <w:spacing w:after="0" w:line="229"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AND EXERCISABILITY OF OPTION</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firstLine="656"/>
        <w:spacing w:after="0" w:line="265" w:lineRule="auto"/>
        <w:tabs>
          <w:tab w:leader="none" w:pos="1092"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This Option will vest and become exercisable as to the number of Shares and on the dates specified in the Vesting and Exercise Schedule on the cover page to this Agreement, so long as your Service to the Company does not end. The Vesting and Exercise Schedule is cumulative, meaning that to the extent the Option has not already been exercised and has not expired or been terminated or cancelled, you or the person otherwise entitled to exercise the Option as provided in this Agreement may at any time purchase all or any portion of the Shares subject to the vested portion of the Option. This Option shall not be exercisable under any circumstances after the expiration of ten (10) years from the date this Option is granted.</w:t>
      </w:r>
    </w:p>
    <w:p>
      <w:pPr>
        <w:spacing w:after="0" w:line="17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1960" w:hanging="656"/>
        <w:spacing w:after="0" w:line="268" w:lineRule="auto"/>
        <w:tabs>
          <w:tab w:leader="none" w:pos="1632"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prior to the final scheduled vesting date specified in the Vesting and Exercise Schedule on the cover page to this Agreement and your Service continues to the date of the Change in Control, the provisions of Section 12 of the Plan shall apply, including those providing for benefits upon termination of Service for Good Reason.</w:t>
      </w:r>
    </w:p>
    <w:p>
      <w:pPr>
        <w:spacing w:after="0" w:line="174" w:lineRule="exact"/>
        <w:rPr>
          <w:rFonts w:ascii="Times New Roman" w:cs="Times New Roman" w:eastAsia="Times New Roman" w:hAnsi="Times New Roman"/>
          <w:sz w:val="20"/>
          <w:szCs w:val="20"/>
          <w:color w:val="auto"/>
        </w:rPr>
      </w:pPr>
    </w:p>
    <w:p>
      <w:pPr>
        <w:ind w:left="1960" w:hanging="656"/>
        <w:spacing w:after="0" w:line="275" w:lineRule="auto"/>
        <w:tabs>
          <w:tab w:leader="none" w:pos="1679"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Service terminates prior to the final scheduled vesting date specified in the Vesting and Exercise Schedule on the cover page to this Agreement due to your death or Disability, then any unvested portion of the Option subject to this Agreement shall vest as of such termination date.</w:t>
      </w:r>
    </w:p>
    <w:p>
      <w:pPr>
        <w:spacing w:after="0" w:line="167" w:lineRule="exact"/>
        <w:rPr>
          <w:rFonts w:ascii="Times New Roman" w:cs="Times New Roman" w:eastAsia="Times New Roman" w:hAnsi="Times New Roman"/>
          <w:sz w:val="20"/>
          <w:szCs w:val="20"/>
          <w:color w:val="auto"/>
        </w:rPr>
      </w:pPr>
    </w:p>
    <w:p>
      <w:pPr>
        <w:ind w:left="1960" w:hanging="656"/>
        <w:spacing w:after="0" w:line="265" w:lineRule="auto"/>
        <w:tabs>
          <w:tab w:leader="none" w:pos="1789"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due to Retirement, your Service terminates at least twelve (12) months after the Grant Date and prior to the final scheduled vesting date specified in the Vesting and Exercise Schedule on the cover page to this Agreement, then any unvested portion of the Option subject to this Agreement shall vest as of such termination date. For this purpose,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83" w:lineRule="auto"/>
        <w:rPr>
          <w:sz w:val="20"/>
          <w:szCs w:val="20"/>
          <w:color w:val="auto"/>
        </w:rPr>
      </w:pPr>
      <w:r>
        <w:rPr>
          <w:rFonts w:ascii="Times New Roman" w:cs="Times New Roman" w:eastAsia="Times New Roman" w:hAnsi="Times New Roman"/>
          <w:sz w:val="20"/>
          <w:szCs w:val="20"/>
          <w:color w:val="auto"/>
        </w:rPr>
        <w:t>Notwithstanding the vesting and exercise of any part of this Option, this Option and any Share issued pursuant to an exercise of this Option shall remain subject to the provisions of Section 16(i) of the Plan.</w:t>
      </w:r>
    </w:p>
    <w:p>
      <w:pPr>
        <w:spacing w:after="0" w:line="169"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EXPIRATION</w:t>
      </w:r>
      <w:r>
        <w:rPr>
          <w:rFonts w:ascii="Times New Roman" w:cs="Times New Roman" w:eastAsia="Times New Roman" w:hAnsi="Times New Roman"/>
          <w:sz w:val="20"/>
          <w:szCs w:val="20"/>
          <w:color w:val="auto"/>
        </w:rPr>
        <w:t>. This Option, including the vested and exercisable portions hereof, will expire and will no longer be exercisable at</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p.m. Central Time on the earliest of:</w:t>
      </w:r>
    </w:p>
    <w:p>
      <w:pPr>
        <w:spacing w:after="0" w:line="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 (10) year anniversary of the date this option is granted;</w:t>
      </w:r>
    </w:p>
    <w:p>
      <w:pPr>
        <w:spacing w:after="0" w:line="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your termination of Service for Cause;</w:t>
      </w:r>
    </w:p>
    <w:p>
      <w:pPr>
        <w:spacing w:after="0" w:line="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one year anniversary of the date of your termination of Service due to death or Disability or a Retirement;</w:t>
      </w:r>
    </w:p>
    <w:p>
      <w:pPr>
        <w:spacing w:after="0" w:line="67"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three month anniversary of the date of your termination of Service due to any reason other than Cause, Retirement, death or Disability; or</w:t>
      </w:r>
    </w:p>
    <w:p>
      <w:pPr>
        <w:spacing w:after="0" w:line="80"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(if any) fixed for termination or cancellation of this Option pursuant to Section 12 of the Plan.</w:t>
      </w:r>
    </w:p>
    <w:p>
      <w:pPr>
        <w:spacing w:after="0" w:line="22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EXERCISING THE OPTION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firstLine="233"/>
        <w:spacing w:after="0" w:line="301" w:lineRule="auto"/>
        <w:tabs>
          <w:tab w:leader="none" w:pos="669"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Minimum Shares</w:t>
      </w:r>
      <w:r>
        <w:rPr>
          <w:rFonts w:ascii="Times New Roman" w:cs="Times New Roman" w:eastAsia="Times New Roman" w:hAnsi="Times New Roman"/>
          <w:sz w:val="20"/>
          <w:szCs w:val="20"/>
          <w:color w:val="auto"/>
        </w:rPr>
        <w:t>. This Option may be exercised in whole or in part, but not for less than 100 shares at any one time, unless fewer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100 Shares are then purchasable under the Option and the Option is then being exercised as to all such Shares.</w:t>
      </w:r>
    </w:p>
    <w:p>
      <w:pPr>
        <w:spacing w:after="0" w:line="173" w:lineRule="exact"/>
        <w:rPr>
          <w:rFonts w:ascii="Times New Roman" w:cs="Times New Roman" w:eastAsia="Times New Roman" w:hAnsi="Times New Roman"/>
          <w:sz w:val="20"/>
          <w:szCs w:val="20"/>
          <w:color w:val="auto"/>
        </w:rPr>
      </w:pPr>
    </w:p>
    <w:p>
      <w:pPr>
        <w:jc w:val="both"/>
        <w:ind w:firstLine="273"/>
        <w:spacing w:after="0" w:line="262" w:lineRule="auto"/>
        <w:tabs>
          <w:tab w:leader="none" w:pos="761" w:val="left"/>
        </w:tabs>
        <w:numPr>
          <w:ilvl w:val="3"/>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Written Notice</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and exercisable portion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may be exercised by giving written notice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addressed to the attention of the Secretary of the Company. Such notice shall be in such form as may be approved by the Company and shall state, among other things, the number of shares of Common Stock to be purchased, and must be signed or otherwise authenticated by the person entitled to exercise the Option and, if being exercised by any person other you, be accompanied by proof, satisfactory to counsel for the Company, of the right of such person to exercise the Option. After the person exercising this Option has obtained approval from the Secretary of the Company to exercise some or all of the Option, he or she is required to deliver an electronic notice of exercise to the third-party stock plan administrator retained by the Company (which electronic notice will be in such form as may be approved by the Company, including (but not limited to) the following information: the number of shares of Common Stock to be purchased, the person(s) in whose name the stock certificate for the Shares is to be registered together with other identifying information relating to such holder, and the manner in which the exercise price will be paid). The electronic notice must be authenticated by the person exercising this Option.</w:t>
      </w:r>
    </w:p>
    <w:p>
      <w:pPr>
        <w:spacing w:after="0" w:line="208" w:lineRule="exact"/>
        <w:rPr>
          <w:rFonts w:ascii="Times New Roman" w:cs="Times New Roman" w:eastAsia="Times New Roman" w:hAnsi="Times New Roman"/>
          <w:sz w:val="20"/>
          <w:szCs w:val="20"/>
          <w:color w:val="auto"/>
        </w:rPr>
      </w:pPr>
    </w:p>
    <w:p>
      <w:pPr>
        <w:jc w:val="both"/>
        <w:ind w:firstLine="219"/>
        <w:spacing w:after="0" w:line="257" w:lineRule="auto"/>
        <w:tabs>
          <w:tab w:leader="none" w:pos="64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of Exercise Price</w:t>
      </w:r>
      <w:r>
        <w:rPr>
          <w:rFonts w:ascii="Times New Roman" w:cs="Times New Roman" w:eastAsia="Times New Roman" w:hAnsi="Times New Roman"/>
          <w:sz w:val="20"/>
          <w:szCs w:val="20"/>
          <w:color w:val="auto"/>
        </w:rPr>
        <w:t>. The Exercise Price plus any applicable withholding or other compensation taxes, commissions and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upon exercise of all or any portion of the Shares subject to this Option shall be payable to the Company in full through one or a combination of the following methods or other methods that may be approved by the Committee in writing from time to time:</w:t>
      </w:r>
    </w:p>
    <w:p>
      <w:pPr>
        <w:spacing w:after="0" w:line="2" w:lineRule="exact"/>
        <w:rPr>
          <w:rFonts w:ascii="Times New Roman" w:cs="Times New Roman" w:eastAsia="Times New Roman" w:hAnsi="Times New Roman"/>
          <w:sz w:val="20"/>
          <w:szCs w:val="20"/>
          <w:color w:val="auto"/>
        </w:rPr>
      </w:pPr>
    </w:p>
    <w:p>
      <w:pPr>
        <w:jc w:val="both"/>
        <w:ind w:left="1960" w:hanging="332"/>
        <w:spacing w:after="0" w:line="223" w:lineRule="auto"/>
        <w:tabs>
          <w:tab w:leader="none" w:pos="1956" w:val="left"/>
        </w:tabs>
        <w:numPr>
          <w:ilvl w:val="5"/>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Transfer” from your stock brokerage account at least 2 days prior to settlement, you shall submit payment of the aggregate amount of the Exercise Price as well as all applicable withholding or other compensation taxes, commissions and fees to your brokerage account to cover costs; and/or</w:t>
      </w:r>
    </w:p>
    <w:p>
      <w:pPr>
        <w:spacing w:after="0" w:line="38" w:lineRule="exact"/>
        <w:rPr>
          <w:rFonts w:ascii="Times New Roman" w:cs="Times New Roman" w:eastAsia="Times New Roman" w:hAnsi="Times New Roman"/>
          <w:sz w:val="20"/>
          <w:szCs w:val="20"/>
          <w:color w:val="auto"/>
        </w:rPr>
      </w:pPr>
    </w:p>
    <w:p>
      <w:pPr>
        <w:jc w:val="both"/>
        <w:ind w:left="1960" w:hanging="332"/>
        <w:spacing w:after="0" w:line="230" w:lineRule="auto"/>
        <w:tabs>
          <w:tab w:leader="none" w:pos="1957" w:val="left"/>
        </w:tabs>
        <w:numPr>
          <w:ilvl w:val="5"/>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Withholding” whereby you authorize the Company to retain, from the total number of Shares as to which the Option is being exercised, that number of Shares having a Fair Market Value on the date of exercise equal to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426" w:right="339" w:bottom="1440" w:gutter="0" w:footer="0" w:header="0"/>
        </w:sectPr>
      </w:pPr>
    </w:p>
    <w:bookmarkStart w:id="74" w:name="page75"/>
    <w:bookmarkEnd w:id="74"/>
    <w:p>
      <w:pPr>
        <w:ind w:left="1960"/>
        <w:spacing w:after="0"/>
        <w:rPr>
          <w:sz w:val="20"/>
          <w:szCs w:val="20"/>
          <w:color w:val="auto"/>
        </w:rPr>
      </w:pPr>
      <w:r>
        <w:rPr>
          <w:rFonts w:ascii="Times New Roman" w:cs="Times New Roman" w:eastAsia="Times New Roman" w:hAnsi="Times New Roman"/>
          <w:sz w:val="20"/>
          <w:szCs w:val="20"/>
          <w:color w:val="auto"/>
        </w:rPr>
        <w:t>exercise price and the amount of any compensation taxes, commissions and fees due relating to such exercise.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event you do not elect a payment method, the “Share Withholding” method shall apply automatically.</w:t>
      </w:r>
    </w:p>
    <w:p>
      <w:pPr>
        <w:spacing w:after="0" w:line="198" w:lineRule="exact"/>
        <w:rPr>
          <w:sz w:val="20"/>
          <w:szCs w:val="20"/>
          <w:color w:val="auto"/>
        </w:rPr>
      </w:pPr>
    </w:p>
    <w:p>
      <w:pPr>
        <w:jc w:val="both"/>
        <w:ind w:firstLine="213"/>
        <w:spacing w:after="0" w:line="269" w:lineRule="auto"/>
        <w:tabs>
          <w:tab w:leader="none" w:pos="6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color w:val="auto"/>
        </w:rPr>
        <w:t>. You may not exercise this Option in whole or in part unless you make arrangements acceptable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payment of any federal, state, local or foreign withholding taxes that may be due as a result of the exercise of this Option. Withholding taxes shall be payable by you in accordance with the election(s) you make pursuant to Section 4(c) above. Delivery of Shares upon exercise of this Option is subject to the satisfaction of applicable withholding tax obligations.</w:t>
      </w:r>
    </w:p>
    <w:p>
      <w:pPr>
        <w:spacing w:after="0" w:line="210"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6"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Delivery of Shares</w:t>
      </w:r>
      <w:r>
        <w:rPr>
          <w:rFonts w:ascii="Times New Roman" w:cs="Times New Roman" w:eastAsia="Times New Roman" w:hAnsi="Times New Roman"/>
          <w:sz w:val="20"/>
          <w:szCs w:val="20"/>
          <w:color w:val="auto"/>
        </w:rPr>
        <w:t>. As promptly as practicable after receipt of such written notice, required representations, and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cause to be issued and delivered to you or the person permitted to exercise this Option under the Plan cause to be issued and delivered to you (or to your personal representative or your designated beneficiary or estate in the event of your death, as applicable) delivery of the Shares so purchased, which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4(d) above and compliance with all applicable legal requirements as provided in Section 16 of the Plan.</w:t>
      </w:r>
    </w:p>
    <w:p>
      <w:pPr>
        <w:spacing w:after="0" w:line="206" w:lineRule="exact"/>
        <w:rPr>
          <w:rFonts w:ascii="Times New Roman" w:cs="Times New Roman" w:eastAsia="Times New Roman" w:hAnsi="Times New Roman"/>
          <w:sz w:val="20"/>
          <w:szCs w:val="20"/>
          <w:color w:val="auto"/>
        </w:rPr>
      </w:pPr>
    </w:p>
    <w:p>
      <w:pPr>
        <w:jc w:val="both"/>
        <w:ind w:firstLine="8"/>
        <w:spacing w:after="0" w:line="265" w:lineRule="auto"/>
        <w:tabs>
          <w:tab w:leader="none" w:pos="54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TRANSFERABILITY OF OPTION</w:t>
      </w:r>
      <w:r>
        <w:rPr>
          <w:rFonts w:ascii="Times New Roman" w:cs="Times New Roman" w:eastAsia="Times New Roman" w:hAnsi="Times New Roman"/>
          <w:sz w:val="20"/>
          <w:szCs w:val="20"/>
          <w:color w:val="auto"/>
        </w:rPr>
        <w:t>. This Option may not be sold, transferred, pledged, assigned or otherwise alienated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hypothecated, other than by will or by the laws of descent and distribution. In the event of your death, the Company shall deliver this Option and/or amounts payable to your designated beneficiary, or if no beneficiary is named, to the executor or administrator of your estate. This Option shall not be subject to any levy, attachment execution or similar process. In the event of any transfer or levy of process upon the rights or interests hereby conferred, the Company may terminate this Option by written notice to you and it shall thereupon become null and void. This Agreement shall be binding upon your beneficiaries and legal representatives, as applicable.</w:t>
      </w:r>
    </w:p>
    <w:p>
      <w:pPr>
        <w:spacing w:after="0" w:line="209" w:lineRule="exact"/>
        <w:rPr>
          <w:rFonts w:ascii="Times New Roman" w:cs="Times New Roman" w:eastAsia="Times New Roman" w:hAnsi="Times New Roman"/>
          <w:sz w:val="20"/>
          <w:szCs w:val="20"/>
          <w:color w:val="auto"/>
        </w:rPr>
      </w:pPr>
    </w:p>
    <w:p>
      <w:pPr>
        <w:jc w:val="both"/>
        <w:ind w:firstLine="8"/>
        <w:spacing w:after="0" w:line="262" w:lineRule="auto"/>
        <w:tabs>
          <w:tab w:leader="none" w:pos="37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u w:val="single" w:color="auto"/>
          <w:color w:val="auto"/>
        </w:rPr>
        <w:t>NO STOCKHOLDER RIGHTS BEFORE EXERCISE</w:t>
      </w:r>
      <w:r>
        <w:rPr>
          <w:rFonts w:ascii="Times New Roman" w:cs="Times New Roman" w:eastAsia="Times New Roman" w:hAnsi="Times New Roman"/>
          <w:sz w:val="21"/>
          <w:szCs w:val="21"/>
          <w:color w:val="auto"/>
        </w:rPr>
        <w:t>. Neither you nor any permitted transferee of this Option will have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rights of a stockholder of the Company with respect to any Shares subject to this Option until a certificate evidencing such Shares has been issued, electronic delivery of such Shares has been made to you or your permitted transferee’s designated brokerage account, or an appropriate book entry in the Company's stock register has been made. No adjustments shall be made for dividends or other rights if the applicable record date occurs before the related stock certificate has been issued, electronic delivery of the Shares has been made to you or your permitted transferee’s designated brokerage account, or an appropriate book entry in the Company's stock register has been made, except as otherwise described in the Plan.</w:t>
      </w:r>
    </w:p>
    <w:p>
      <w:pPr>
        <w:spacing w:after="0" w:line="201" w:lineRule="exact"/>
        <w:rPr>
          <w:rFonts w:ascii="Times New Roman" w:cs="Times New Roman" w:eastAsia="Times New Roman" w:hAnsi="Times New Roman"/>
          <w:sz w:val="20"/>
          <w:szCs w:val="20"/>
          <w:color w:val="auto"/>
        </w:rPr>
      </w:pPr>
    </w:p>
    <w:p>
      <w:pPr>
        <w:jc w:val="both"/>
        <w:ind w:firstLine="8"/>
        <w:spacing w:after="0" w:line="265" w:lineRule="auto"/>
        <w:tabs>
          <w:tab w:leader="none" w:pos="45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the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399" w:right="339" w:bottom="1440" w:gutter="0" w:footer="0" w:header="0"/>
        </w:sectPr>
      </w:pPr>
    </w:p>
    <w:bookmarkStart w:id="75" w:name="page76"/>
    <w:bookmarkEnd w:id="75"/>
    <w:p>
      <w:pPr>
        <w:spacing w:after="0" w:line="283" w:lineRule="auto"/>
        <w:rPr>
          <w:sz w:val="20"/>
          <w:szCs w:val="20"/>
          <w:color w:val="auto"/>
        </w:rPr>
      </w:pPr>
      <w:r>
        <w:rPr>
          <w:rFonts w:ascii="Times New Roman" w:cs="Times New Roman" w:eastAsia="Times New Roman" w:hAnsi="Times New Roman"/>
          <w:sz w:val="20"/>
          <w:szCs w:val="20"/>
          <w:color w:val="auto"/>
        </w:rPr>
        <w:t>be given to you personally or may be mailed or, if you are still a Service Provider, emailed to you at the address indicated in the Company's records as your most recent mailing or email address.</w:t>
      </w:r>
    </w:p>
    <w:p>
      <w:pPr>
        <w:spacing w:after="0" w:line="196"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firstLine="656"/>
        <w:spacing w:after="0" w:line="275" w:lineRule="auto"/>
        <w:tabs>
          <w:tab w:leader="none" w:pos="11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00" w:lineRule="exact"/>
        <w:rPr>
          <w:rFonts w:ascii="Times New Roman" w:cs="Times New Roman" w:eastAsia="Times New Roman" w:hAnsi="Times New Roman"/>
          <w:sz w:val="20"/>
          <w:szCs w:val="20"/>
          <w:color w:val="auto"/>
        </w:rPr>
      </w:pPr>
    </w:p>
    <w:p>
      <w:pPr>
        <w:jc w:val="both"/>
        <w:ind w:firstLine="656"/>
        <w:spacing w:after="0" w:line="268" w:lineRule="auto"/>
        <w:tabs>
          <w:tab w:leader="none" w:pos="1279"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07" w:lineRule="exact"/>
        <w:rPr>
          <w:rFonts w:ascii="Times New Roman" w:cs="Times New Roman" w:eastAsia="Times New Roman" w:hAnsi="Times New Roman"/>
          <w:sz w:val="20"/>
          <w:szCs w:val="20"/>
          <w:color w:val="auto"/>
        </w:rPr>
      </w:pPr>
    </w:p>
    <w:p>
      <w:pPr>
        <w:ind w:firstLine="656"/>
        <w:spacing w:after="0" w:line="297" w:lineRule="auto"/>
        <w:tabs>
          <w:tab w:leader="none" w:pos="1079"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78" w:lineRule="exact"/>
        <w:rPr>
          <w:rFonts w:ascii="Times New Roman" w:cs="Times New Roman" w:eastAsia="Times New Roman" w:hAnsi="Times New Roman"/>
          <w:sz w:val="20"/>
          <w:szCs w:val="20"/>
          <w:color w:val="auto"/>
        </w:rPr>
      </w:pPr>
    </w:p>
    <w:p>
      <w:pPr>
        <w:jc w:val="both"/>
        <w:ind w:firstLine="656"/>
        <w:spacing w:after="0" w:line="268" w:lineRule="auto"/>
        <w:tabs>
          <w:tab w:leader="none" w:pos="109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06" w:lineRule="exact"/>
        <w:rPr>
          <w:rFonts w:ascii="Times New Roman" w:cs="Times New Roman" w:eastAsia="Times New Roman" w:hAnsi="Times New Roman"/>
          <w:sz w:val="20"/>
          <w:szCs w:val="20"/>
          <w:color w:val="auto"/>
        </w:rPr>
      </w:pPr>
    </w:p>
    <w:p>
      <w:pPr>
        <w:ind w:firstLine="656"/>
        <w:spacing w:after="0" w:line="283" w:lineRule="auto"/>
        <w:tabs>
          <w:tab w:leader="none" w:pos="106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92" w:lineRule="exact"/>
        <w:rPr>
          <w:rFonts w:ascii="Times New Roman" w:cs="Times New Roman" w:eastAsia="Times New Roman" w:hAnsi="Times New Roman"/>
          <w:sz w:val="20"/>
          <w:szCs w:val="20"/>
          <w:color w:val="auto"/>
        </w:rPr>
      </w:pPr>
    </w:p>
    <w:p>
      <w:pPr>
        <w:jc w:val="both"/>
        <w:ind w:firstLine="656"/>
        <w:spacing w:after="0" w:line="268" w:lineRule="auto"/>
        <w:tabs>
          <w:tab w:leader="none" w:pos="107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Option by electronic means and request you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42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10k.</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INCENTIVE PLAN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Non-Qualified Stock Option Agreement</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0"/>
          <w:szCs w:val="20"/>
          <w:color w:val="auto"/>
        </w:rPr>
        <w:t>Winnebago Industries, Inc. (the “Company”), pursuant to its 2019 Omnibus Incentive Plan (the “Plan”), hereby grants a stock option award (the “Option”) to you, the Participant named below. The terms and conditions of this Option Award are set forth in this Agreement (the “Agreement”), consisting of this cover page, the Option Terms and Conditions on the following pages, the Confidentiality, Intellectual Property Assignment, Non-Competition and Non-Solicitation Agreement, attached hereto as Exhibit 1,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92710</wp:posOffset>
            </wp:positionV>
            <wp:extent cx="7089140" cy="1860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7089140" cy="1860550"/>
                    </a:xfrm>
                    <a:prstGeom prst="rect">
                      <a:avLst/>
                    </a:prstGeom>
                    <a:noFill/>
                  </pic:spPr>
                </pic:pic>
              </a:graphicData>
            </a:graphic>
          </wp:anchor>
        </w:drawing>
      </w:r>
    </w:p>
    <w:p>
      <w:pPr>
        <w:spacing w:after="0" w:line="184" w:lineRule="exact"/>
        <w:rPr>
          <w:sz w:val="20"/>
          <w:szCs w:val="20"/>
          <w:color w:val="auto"/>
        </w:rPr>
      </w:pPr>
    </w:p>
    <w:p>
      <w:pPr>
        <w:ind w:left="160"/>
        <w:spacing w:after="0"/>
        <w:tabs>
          <w:tab w:leader="none" w:pos="19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29" w:lineRule="exact"/>
        <w:rPr>
          <w:sz w:val="20"/>
          <w:szCs w:val="20"/>
          <w:color w:val="auto"/>
        </w:rPr>
      </w:pPr>
    </w:p>
    <w:tbl>
      <w:tblPr>
        <w:tblLayout w:type="fixed"/>
        <w:tblInd w:w="80" w:type="dxa"/>
        <w:tblCellMar>
          <w:top w:w="0" w:type="dxa"/>
          <w:left w:w="0" w:type="dxa"/>
          <w:bottom w:w="0" w:type="dxa"/>
          <w:right w:w="0" w:type="dxa"/>
        </w:tblCellMar>
      </w:tblPr>
      <w:tr>
        <w:trPr>
          <w:trHeight w:val="290"/>
        </w:trPr>
        <w:tc>
          <w:tcPr>
            <w:tcW w:w="40" w:type="dxa"/>
            <w:vAlign w:val="bottom"/>
          </w:tcPr>
          <w:p>
            <w:pPr>
              <w:spacing w:after="0"/>
              <w:rPr>
                <w:sz w:val="24"/>
                <w:szCs w:val="24"/>
                <w:color w:val="auto"/>
              </w:rPr>
            </w:pPr>
          </w:p>
        </w:tc>
        <w:tc>
          <w:tcPr>
            <w:tcW w:w="2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No. of Shares Covered:</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_______</w:t>
            </w:r>
          </w:p>
        </w:tc>
        <w:tc>
          <w:tcPr>
            <w:tcW w:w="2640" w:type="dxa"/>
            <w:vAlign w:val="bottom"/>
            <w:tcBorders>
              <w:top w:val="single" w:sz="8" w:color="auto"/>
              <w:right w:val="single" w:sz="8" w:color="auto"/>
            </w:tcBorders>
          </w:tcPr>
          <w:p>
            <w:pPr>
              <w:spacing w:after="0"/>
              <w:rPr>
                <w:sz w:val="24"/>
                <w:szCs w:val="24"/>
                <w:color w:val="auto"/>
              </w:rPr>
            </w:pPr>
          </w:p>
        </w:tc>
        <w:tc>
          <w:tcPr>
            <w:tcW w:w="55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Grant Date:   October 11, 2022</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40" w:type="dxa"/>
            <w:vAlign w:val="bottom"/>
          </w:tcPr>
          <w:p>
            <w:pPr>
              <w:spacing w:after="0"/>
              <w:rPr>
                <w:sz w:val="23"/>
                <w:szCs w:val="23"/>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Exercise Price Per Share:</w:t>
            </w:r>
          </w:p>
        </w:tc>
        <w:tc>
          <w:tcPr>
            <w:tcW w:w="3380" w:type="dxa"/>
            <w:vAlign w:val="bottom"/>
            <w:tcBorders>
              <w:right w:val="single" w:sz="8" w:color="auto"/>
            </w:tcBorders>
            <w:gridSpan w:val="3"/>
          </w:tcPr>
          <w:p>
            <w:pPr>
              <w:jc w:val="center"/>
              <w:ind w:right="2320"/>
              <w:spacing w:after="0"/>
              <w:rPr>
                <w:sz w:val="20"/>
                <w:szCs w:val="20"/>
                <w:color w:val="auto"/>
              </w:rPr>
            </w:pPr>
            <w:r>
              <w:rPr>
                <w:rFonts w:ascii="Times New Roman" w:cs="Times New Roman" w:eastAsia="Times New Roman" w:hAnsi="Times New Roman"/>
                <w:sz w:val="20"/>
                <w:szCs w:val="20"/>
                <w:color w:val="auto"/>
                <w:w w:val="98"/>
              </w:rPr>
              <w:t>$ ______</w:t>
            </w:r>
          </w:p>
        </w:tc>
        <w:tc>
          <w:tcPr>
            <w:tcW w:w="56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Expiration Date:   October 11, 2032</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54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Vesting and Exercise Schedule:</w:t>
            </w:r>
          </w:p>
        </w:tc>
        <w:tc>
          <w:tcPr>
            <w:tcW w:w="10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gridSpan w:val="3"/>
          </w:tcPr>
          <w:p>
            <w:pPr>
              <w:jc w:val="center"/>
              <w:ind w:right="1300"/>
              <w:spacing w:after="0"/>
              <w:rPr>
                <w:sz w:val="20"/>
                <w:szCs w:val="20"/>
                <w:color w:val="auto"/>
              </w:rPr>
            </w:pPr>
            <w:r>
              <w:rPr>
                <w:rFonts w:ascii="Times New Roman" w:cs="Times New Roman" w:eastAsia="Times New Roman" w:hAnsi="Times New Roman"/>
                <w:sz w:val="20"/>
                <w:szCs w:val="20"/>
                <w:color w:val="auto"/>
                <w:w w:val="99"/>
              </w:rPr>
              <w:t>Portion of Shares as to Which</w:t>
            </w:r>
          </w:p>
        </w:tc>
      </w:tr>
      <w:tr>
        <w:trPr>
          <w:trHeight w:val="212"/>
        </w:trPr>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jc w:val="center"/>
              <w:ind w:right="2640"/>
              <w:spacing w:after="0" w:line="212" w:lineRule="exact"/>
              <w:rPr>
                <w:sz w:val="20"/>
                <w:szCs w:val="20"/>
                <w:color w:val="auto"/>
              </w:rPr>
            </w:pPr>
            <w:r>
              <w:rPr>
                <w:rFonts w:ascii="Times New Roman" w:cs="Times New Roman" w:eastAsia="Times New Roman" w:hAnsi="Times New Roman"/>
                <w:sz w:val="20"/>
                <w:szCs w:val="20"/>
                <w:color w:val="auto"/>
                <w:w w:val="96"/>
              </w:rPr>
              <w:t>Dates</w:t>
            </w:r>
          </w:p>
        </w:tc>
        <w:tc>
          <w:tcPr>
            <w:tcW w:w="1080" w:type="dxa"/>
            <w:vAlign w:val="bottom"/>
          </w:tcPr>
          <w:p>
            <w:pPr>
              <w:spacing w:after="0"/>
              <w:rPr>
                <w:sz w:val="18"/>
                <w:szCs w:val="18"/>
                <w:color w:val="auto"/>
              </w:rPr>
            </w:pPr>
          </w:p>
        </w:tc>
        <w:tc>
          <w:tcPr>
            <w:tcW w:w="4520" w:type="dxa"/>
            <w:vAlign w:val="bottom"/>
            <w:gridSpan w:val="3"/>
          </w:tcPr>
          <w:p>
            <w:pPr>
              <w:jc w:val="center"/>
              <w:ind w:right="1300"/>
              <w:spacing w:after="0" w:line="212" w:lineRule="exact"/>
              <w:rPr>
                <w:sz w:val="20"/>
                <w:szCs w:val="20"/>
                <w:color w:val="auto"/>
              </w:rPr>
            </w:pPr>
            <w:r>
              <w:rPr>
                <w:rFonts w:ascii="Times New Roman" w:cs="Times New Roman" w:eastAsia="Times New Roman" w:hAnsi="Times New Roman"/>
                <w:sz w:val="20"/>
                <w:szCs w:val="20"/>
                <w:color w:val="auto"/>
                <w:w w:val="98"/>
              </w:rPr>
              <w:t>Option Becomes Vested and Exercisable</w:t>
            </w:r>
          </w:p>
        </w:tc>
      </w:tr>
      <w:tr>
        <w:trPr>
          <w:trHeight w:val="20"/>
        </w:trPr>
        <w:tc>
          <w:tcPr>
            <w:tcW w:w="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40" w:type="dxa"/>
            <w:vAlign w:val="bottom"/>
          </w:tcPr>
          <w:p>
            <w:pPr>
              <w:spacing w:after="0"/>
              <w:rPr>
                <w:sz w:val="24"/>
                <w:szCs w:val="24"/>
                <w:color w:val="auto"/>
              </w:rPr>
            </w:pPr>
          </w:p>
        </w:tc>
        <w:tc>
          <w:tcPr>
            <w:tcW w:w="54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October 11, 2023</w:t>
            </w:r>
          </w:p>
        </w:tc>
        <w:tc>
          <w:tcPr>
            <w:tcW w:w="4280" w:type="dxa"/>
            <w:vAlign w:val="bottom"/>
            <w:gridSpan w:val="2"/>
          </w:tcPr>
          <w:p>
            <w:pPr>
              <w:jc w:val="center"/>
              <w:ind w:left="1001"/>
              <w:spacing w:after="0"/>
              <w:rPr>
                <w:sz w:val="20"/>
                <w:szCs w:val="20"/>
                <w:color w:val="auto"/>
              </w:rPr>
            </w:pPr>
            <w:r>
              <w:rPr>
                <w:rFonts w:ascii="Times New Roman" w:cs="Times New Roman" w:eastAsia="Times New Roman" w:hAnsi="Times New Roman"/>
                <w:sz w:val="20"/>
                <w:szCs w:val="20"/>
                <w:color w:val="auto"/>
                <w:w w:val="98"/>
              </w:rPr>
              <w:t>33 1/3%</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54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October 11, 2024</w:t>
            </w:r>
          </w:p>
        </w:tc>
        <w:tc>
          <w:tcPr>
            <w:tcW w:w="4280" w:type="dxa"/>
            <w:vAlign w:val="bottom"/>
            <w:gridSpan w:val="2"/>
          </w:tcPr>
          <w:p>
            <w:pPr>
              <w:jc w:val="center"/>
              <w:ind w:left="1001"/>
              <w:spacing w:after="0"/>
              <w:rPr>
                <w:sz w:val="20"/>
                <w:szCs w:val="20"/>
                <w:color w:val="auto"/>
              </w:rPr>
            </w:pPr>
            <w:r>
              <w:rPr>
                <w:rFonts w:ascii="Times New Roman" w:cs="Times New Roman" w:eastAsia="Times New Roman" w:hAnsi="Times New Roman"/>
                <w:sz w:val="20"/>
                <w:szCs w:val="20"/>
                <w:color w:val="auto"/>
                <w:w w:val="98"/>
              </w:rPr>
              <w:t>33 1/3%</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4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October 11, 2025</w:t>
            </w:r>
          </w:p>
        </w:tc>
        <w:tc>
          <w:tcPr>
            <w:tcW w:w="4280" w:type="dxa"/>
            <w:vAlign w:val="bottom"/>
            <w:gridSpan w:val="2"/>
          </w:tcPr>
          <w:p>
            <w:pPr>
              <w:jc w:val="center"/>
              <w:ind w:left="1001"/>
              <w:spacing w:after="0"/>
              <w:rPr>
                <w:sz w:val="20"/>
                <w:szCs w:val="20"/>
                <w:color w:val="auto"/>
              </w:rPr>
            </w:pPr>
            <w:r>
              <w:rPr>
                <w:rFonts w:ascii="Times New Roman" w:cs="Times New Roman" w:eastAsia="Times New Roman" w:hAnsi="Times New Roman"/>
                <w:sz w:val="20"/>
                <w:szCs w:val="20"/>
                <w:color w:val="auto"/>
                <w:w w:val="98"/>
              </w:rPr>
              <w:t>33 1/3%</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By logging into and accepting this Agreement through your account with E*TRADE, you acknowledge and agree (A) to be bound by all of the terms and conditions of this Agreement (including Exhibit 1) and in the Plan document and (B) that you have received and reviewed these documents and that they set forth the entire agreement between you and the Company regarding your right to purchase shares of the Company’s common stock pursuant to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858" w:right="339" w:bottom="1440" w:gutter="0" w:footer="0" w:header="0"/>
        </w:sectPr>
      </w:pPr>
    </w:p>
    <w:bookmarkStart w:id="77" w:name="page78"/>
    <w:bookmarkEnd w:id="77"/>
    <w:p>
      <w:pPr>
        <w:spacing w:after="0" w:line="2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00" w:lineRule="exact"/>
        <w:rPr>
          <w:sz w:val="20"/>
          <w:szCs w:val="20"/>
          <w:color w:val="auto"/>
        </w:rPr>
      </w:pPr>
    </w:p>
    <w:p>
      <w:pPr>
        <w:spacing w:after="0" w:line="205" w:lineRule="exact"/>
        <w:rPr>
          <w:sz w:val="20"/>
          <w:szCs w:val="20"/>
          <w:color w:val="auto"/>
        </w:rPr>
      </w:pPr>
    </w:p>
    <w:p>
      <w:pPr>
        <w:ind w:right="20" w:firstLine="8"/>
        <w:spacing w:after="0" w:line="287" w:lineRule="auto"/>
        <w:tabs>
          <w:tab w:leader="none" w:pos="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For purposes of this Agreement, the definitions of terms contained in the Plan hereby are incorporated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any such term is specifically defined in this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forth in your change in control agreement, if applicable.</w:t>
      </w:r>
    </w:p>
    <w:p>
      <w:pPr>
        <w:spacing w:after="0" w:line="229"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AND EXERCISABILITY OF OPTION</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firstLine="656"/>
        <w:spacing w:after="0" w:line="265" w:lineRule="auto"/>
        <w:tabs>
          <w:tab w:leader="none" w:pos="109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This Option will vest and become exercisable as to the number of Shares and on the dates specified in the Vesting and Exercise Schedule on the cover page to this Agreement and in compliance with the terms of Exhibit 1, so long as your Service to the Company does not end. The Vesting and Exercise Schedule is cumulative, meaning that to the extent the Option has not already been exercised and has not expired or been terminated or cancelled, you or the person otherwise entitled to exercise the Option as provided in this Agreement may at any time purchase all or any portion of the Shares subject to the vested portion of the Option. This Option shall not be exercisable under any circumstances after the expiration of ten (10) years from the date this Option is granted.</w:t>
      </w:r>
    </w:p>
    <w:p>
      <w:pPr>
        <w:spacing w:after="0" w:line="17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1960" w:hanging="656"/>
        <w:spacing w:after="0" w:line="268" w:lineRule="auto"/>
        <w:tabs>
          <w:tab w:leader="none" w:pos="1632"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prior to the final scheduled vesting date specified in the Vesting and Exercise Schedule on the cover page to this Agreement and your Service continues to the date of the Change in Control, the provisions of Section 12 of the Plan shall apply, including those providing for benefits upon termination of Service for Good Reason, subject to your continued compliance with Exhibit 1.</w:t>
      </w:r>
    </w:p>
    <w:p>
      <w:pPr>
        <w:spacing w:after="0" w:line="174" w:lineRule="exact"/>
        <w:rPr>
          <w:rFonts w:ascii="Times New Roman" w:cs="Times New Roman" w:eastAsia="Times New Roman" w:hAnsi="Times New Roman"/>
          <w:sz w:val="20"/>
          <w:szCs w:val="20"/>
          <w:color w:val="auto"/>
        </w:rPr>
      </w:pPr>
    </w:p>
    <w:p>
      <w:pPr>
        <w:ind w:left="1960" w:hanging="656"/>
        <w:spacing w:after="0" w:line="275" w:lineRule="auto"/>
        <w:tabs>
          <w:tab w:leader="none" w:pos="1679"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Service terminates prior to the final scheduled vesting date specified in the Vesting and Exercise Schedule on the cover page to this Agreement due to your death or Disability, then any unvested portion of the Option subject to this Agreement shall vest as of such termination date.</w:t>
      </w:r>
    </w:p>
    <w:p>
      <w:pPr>
        <w:spacing w:after="0" w:line="167" w:lineRule="exact"/>
        <w:rPr>
          <w:rFonts w:ascii="Times New Roman" w:cs="Times New Roman" w:eastAsia="Times New Roman" w:hAnsi="Times New Roman"/>
          <w:sz w:val="20"/>
          <w:szCs w:val="20"/>
          <w:color w:val="auto"/>
        </w:rPr>
      </w:pPr>
    </w:p>
    <w:p>
      <w:pPr>
        <w:ind w:left="1960" w:hanging="656"/>
        <w:spacing w:after="0" w:line="265" w:lineRule="auto"/>
        <w:tabs>
          <w:tab w:leader="none" w:pos="1789"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due to Retirement, your Service terminates at least twelve (12) months after the Grant Date and prior to the final scheduled vesting date specified in the Vesting and Exercise Schedule on the cover page to this Agreement, then any unvested portion of the Option subject to this Agreement shall vest as of such termination date, subject to your continued compliance with Exhibit 1. For this purpose, (i) Retirement means any termination of employment (other than by the Company for Cause or due to death or Disability) at or after age sixty-five (65) or at or after age fifty-five (55) with ten (10) or more years of continuous Service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440" w:right="339" w:bottom="1440" w:gutter="0" w:footer="0" w:header="0"/>
        </w:sectPr>
      </w:pPr>
    </w:p>
    <w:bookmarkStart w:id="78" w:name="page79"/>
    <w:bookmarkEnd w:id="78"/>
    <w:p>
      <w:pPr>
        <w:ind w:left="1960"/>
        <w:spacing w:after="0" w:line="283" w:lineRule="auto"/>
        <w:rPr>
          <w:sz w:val="20"/>
          <w:szCs w:val="20"/>
          <w:color w:val="auto"/>
        </w:rPr>
      </w:pPr>
      <w:r>
        <w:rPr>
          <w:rFonts w:ascii="Times New Roman" w:cs="Times New Roman" w:eastAsia="Times New Roman" w:hAnsi="Times New Roman"/>
          <w:sz w:val="20"/>
          <w:szCs w:val="20"/>
          <w:color w:val="auto"/>
        </w:rPr>
        <w:t>the Company and its Affiliates, with Service measured from your most recent date of hire and (ii) any period of service to an entity prior to such entity becoming an Affiliate will not count towards your Service measurement.</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Notwithstanding the vesting and exercise of any part of this Option, this Option and any Share issued pursuant to an exercise of this Option shall remain subject to the provisions of Section 16(i) of the Plan and subject to your continued compliance with Exhibit 1.</w:t>
      </w:r>
    </w:p>
    <w:p>
      <w:pPr>
        <w:spacing w:after="0" w:line="156"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EXPIRATION</w:t>
      </w:r>
      <w:r>
        <w:rPr>
          <w:rFonts w:ascii="Times New Roman" w:cs="Times New Roman" w:eastAsia="Times New Roman" w:hAnsi="Times New Roman"/>
          <w:sz w:val="20"/>
          <w:szCs w:val="20"/>
          <w:color w:val="auto"/>
        </w:rPr>
        <w:t>. This Option, including the vested and exercisable portions hereof, will expire and will no longer be exercisable at</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p.m. Central Time on the earliest of:</w:t>
      </w:r>
    </w:p>
    <w:p>
      <w:pPr>
        <w:spacing w:after="0" w:line="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4"/>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 (10) year anniversary of the date this option is granted;</w:t>
      </w:r>
    </w:p>
    <w:p>
      <w:pPr>
        <w:spacing w:after="0" w:line="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4"/>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your termination of Service for Cause;</w:t>
      </w:r>
    </w:p>
    <w:p>
      <w:pPr>
        <w:spacing w:after="0" w:line="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4"/>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one year anniversary of the date of your termination of Service due to death or Disability or a Retirement;</w:t>
      </w:r>
    </w:p>
    <w:p>
      <w:pPr>
        <w:spacing w:after="0" w:line="80"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4"/>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three month anniversary of the date of your termination of Service due to any reason other than Cause, Retirement, death or Disability; or</w:t>
      </w:r>
    </w:p>
    <w:p>
      <w:pPr>
        <w:spacing w:after="0" w:line="6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4"/>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(if any) fixed for termination or cancellation of this Option pursuant to Section 12 of the Plan.</w:t>
      </w:r>
    </w:p>
    <w:p>
      <w:pPr>
        <w:spacing w:after="0" w:line="23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EXERCISING THE OPTION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firstLine="233"/>
        <w:spacing w:after="0" w:line="287" w:lineRule="auto"/>
        <w:tabs>
          <w:tab w:leader="none" w:pos="669"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Minimum Shares</w:t>
      </w:r>
      <w:r>
        <w:rPr>
          <w:rFonts w:ascii="Times New Roman" w:cs="Times New Roman" w:eastAsia="Times New Roman" w:hAnsi="Times New Roman"/>
          <w:sz w:val="20"/>
          <w:szCs w:val="20"/>
          <w:color w:val="auto"/>
        </w:rPr>
        <w:t>. This Option may be exercised in whole or in part, but not for less than 100 shares at any one time, unless fewer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100 Shares are then purchasable under the Option and the Option is then being exercised as to all such Shares.</w:t>
      </w:r>
    </w:p>
    <w:p>
      <w:pPr>
        <w:spacing w:after="0" w:line="199" w:lineRule="exact"/>
        <w:rPr>
          <w:rFonts w:ascii="Times New Roman" w:cs="Times New Roman" w:eastAsia="Times New Roman" w:hAnsi="Times New Roman"/>
          <w:sz w:val="20"/>
          <w:szCs w:val="20"/>
          <w:color w:val="auto"/>
        </w:rPr>
      </w:pPr>
    </w:p>
    <w:p>
      <w:pPr>
        <w:jc w:val="both"/>
        <w:ind w:firstLine="273"/>
        <w:spacing w:after="0" w:line="262" w:lineRule="auto"/>
        <w:tabs>
          <w:tab w:leader="none" w:pos="761"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Written Notice</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and exercisable portion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may be exercised by giving written notice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addressed to the attention of the Secretary of the Company. Such notice shall be in such form as may be approved by the Company and shall state, among other things, the number of shares of Common Stock to be purchased, and must be signed or otherwise authenticated by the person entitled to exercise the Option and, if being exercised by any person other you, be accompanied by proof, satisfactory to counsel for the Company, of the right of such person to exercise the Option. After the person exercising this Option has obtained approval from the Secretary of the Company to exercise some or all of the Option, he or she is required to deliver an electronic notice of exercise to the third-party stock plan administrator retained by the Company (which electronic notice will be in such form as may be approved by the Company, including (but not limited to) the following information: the number of shares of Common Stock to be purchased, the person(s) in whose name the stock certificate for the Shares is to be registered together with other identifying information relating to such holder, and the manner in which the exercise price will be paid). The electronic notice must be authenticated by the person exercising this Option.</w:t>
      </w:r>
    </w:p>
    <w:p>
      <w:pPr>
        <w:spacing w:after="0" w:line="208" w:lineRule="exact"/>
        <w:rPr>
          <w:rFonts w:ascii="Times New Roman" w:cs="Times New Roman" w:eastAsia="Times New Roman" w:hAnsi="Times New Roman"/>
          <w:sz w:val="20"/>
          <w:szCs w:val="20"/>
          <w:color w:val="auto"/>
        </w:rPr>
      </w:pPr>
    </w:p>
    <w:p>
      <w:pPr>
        <w:jc w:val="both"/>
        <w:ind w:firstLine="219"/>
        <w:spacing w:after="0" w:line="277" w:lineRule="auto"/>
        <w:tabs>
          <w:tab w:leader="none" w:pos="64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of Exercise Price</w:t>
      </w:r>
      <w:r>
        <w:rPr>
          <w:rFonts w:ascii="Times New Roman" w:cs="Times New Roman" w:eastAsia="Times New Roman" w:hAnsi="Times New Roman"/>
          <w:sz w:val="20"/>
          <w:szCs w:val="20"/>
          <w:color w:val="auto"/>
        </w:rPr>
        <w:t>. The Exercise Price plus any applicable withholding or other compensation taxes, commissions and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upon exercise of all or any portion of the Shares subject to this Option shall be payable to the Company in full through one or a combination of the following methods or other methods that may be approved by the Committee in writing from time to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426" w:right="339" w:bottom="1440" w:gutter="0" w:footer="0" w:header="0"/>
        </w:sectPr>
      </w:pPr>
    </w:p>
    <w:bookmarkStart w:id="79" w:name="page80"/>
    <w:bookmarkEnd w:id="79"/>
    <w:p>
      <w:pPr>
        <w:jc w:val="both"/>
        <w:ind w:left="1960" w:hanging="332"/>
        <w:spacing w:after="0" w:line="226" w:lineRule="auto"/>
        <w:tabs>
          <w:tab w:leader="none" w:pos="195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Transfer” from your stock brokerage account at least 2 days prior to settlement, you shall submit payment of the aggregate amount of the Exercise Price as well as all applicable withholding or other compensation taxes, commissions and fees to your brokerage account to cover costs; and/or</w:t>
      </w:r>
    </w:p>
    <w:p>
      <w:pPr>
        <w:spacing w:after="0" w:line="52" w:lineRule="exact"/>
        <w:rPr>
          <w:rFonts w:ascii="Times New Roman" w:cs="Times New Roman" w:eastAsia="Times New Roman" w:hAnsi="Times New Roman"/>
          <w:sz w:val="20"/>
          <w:szCs w:val="20"/>
          <w:color w:val="auto"/>
        </w:rPr>
      </w:pPr>
    </w:p>
    <w:p>
      <w:pPr>
        <w:jc w:val="both"/>
        <w:ind w:left="1960" w:hanging="332"/>
        <w:spacing w:after="0" w:line="222" w:lineRule="auto"/>
        <w:tabs>
          <w:tab w:leader="none" w:pos="195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Withholding” whereby you authorize the Company to retain, from the total number of Shares as to which the Option is being exercised, that number of Shares having a Fair Market Value on the date of exercise equal to the aggregate exercise price and the amount of any compensation taxes, commissions and fees due relating to such exercise.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event you do not elect a payment method, the “Share Withholding” method shall apply automatically.</w:t>
      </w:r>
    </w:p>
    <w:p>
      <w:pPr>
        <w:spacing w:after="0" w:line="198" w:lineRule="exact"/>
        <w:rPr>
          <w:sz w:val="20"/>
          <w:szCs w:val="20"/>
          <w:color w:val="auto"/>
        </w:rPr>
      </w:pPr>
    </w:p>
    <w:p>
      <w:pPr>
        <w:jc w:val="both"/>
        <w:ind w:firstLine="213"/>
        <w:spacing w:after="0" w:line="269" w:lineRule="auto"/>
        <w:tabs>
          <w:tab w:leader="none" w:pos="6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color w:val="auto"/>
        </w:rPr>
        <w:t>. You may not exercise this Option in whole or in part unless you make arrangements acceptable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payment of any federal, state, local or foreign withholding taxes that may be due as a result of the exercise of this Option. Withholding taxes shall be payable by you in accordance with the election(s) you make pursuant to Section 4(c) above. Delivery of Shares upon exercise of this Option is subject to the satisfaction of applicable withholding tax obligations.</w:t>
      </w:r>
    </w:p>
    <w:p>
      <w:pPr>
        <w:spacing w:after="0" w:line="210"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6"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Delivery of Shares</w:t>
      </w:r>
      <w:r>
        <w:rPr>
          <w:rFonts w:ascii="Times New Roman" w:cs="Times New Roman" w:eastAsia="Times New Roman" w:hAnsi="Times New Roman"/>
          <w:sz w:val="20"/>
          <w:szCs w:val="20"/>
          <w:color w:val="auto"/>
        </w:rPr>
        <w:t>. As promptly as practicable after receipt of such written notice, required representations, and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cause to be issued and delivered to you or the person permitted to exercise this Option under the Plan cause to be issued and delivered to you (or to your personal representative or your designated beneficiary or estate in the event of your death, as applicable) delivery of the Shares so purchased, which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4(d) above and compliance with all applicable legal requirements as provided in Section 16 of the Plan.</w:t>
      </w:r>
    </w:p>
    <w:p>
      <w:pPr>
        <w:spacing w:after="0" w:line="206" w:lineRule="exact"/>
        <w:rPr>
          <w:rFonts w:ascii="Times New Roman" w:cs="Times New Roman" w:eastAsia="Times New Roman" w:hAnsi="Times New Roman"/>
          <w:sz w:val="20"/>
          <w:szCs w:val="20"/>
          <w:color w:val="auto"/>
        </w:rPr>
      </w:pPr>
    </w:p>
    <w:p>
      <w:pPr>
        <w:jc w:val="both"/>
        <w:ind w:firstLine="8"/>
        <w:spacing w:after="0" w:line="265" w:lineRule="auto"/>
        <w:tabs>
          <w:tab w:leader="none" w:pos="54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TRANSFERABILITY OF OPTION</w:t>
      </w:r>
      <w:r>
        <w:rPr>
          <w:rFonts w:ascii="Times New Roman" w:cs="Times New Roman" w:eastAsia="Times New Roman" w:hAnsi="Times New Roman"/>
          <w:sz w:val="20"/>
          <w:szCs w:val="20"/>
          <w:color w:val="auto"/>
        </w:rPr>
        <w:t>. This Option may not be sold, transferred, pledged, assigned or otherwise alienated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hypothecated, other than by will or by the laws of descent and distribution. In the event of your death, the Company shall deliver this Option and/or amounts payable to your designated beneficiary, or if no beneficiary is named, to the executor or administrator of your estate. This Option shall not be subject to any levy, attachment execution or similar process. In the event of any transfer or levy of process upon the rights or interests hereby conferred, the Company may terminate this Option by written notice to you and it shall thereupon become null and void. This Agreement shall be binding upon your beneficiaries and legal representatives, as applicable.</w:t>
      </w:r>
    </w:p>
    <w:p>
      <w:pPr>
        <w:spacing w:after="0" w:line="209" w:lineRule="exact"/>
        <w:rPr>
          <w:rFonts w:ascii="Times New Roman" w:cs="Times New Roman" w:eastAsia="Times New Roman" w:hAnsi="Times New Roman"/>
          <w:sz w:val="20"/>
          <w:szCs w:val="20"/>
          <w:color w:val="auto"/>
        </w:rPr>
      </w:pPr>
    </w:p>
    <w:p>
      <w:pPr>
        <w:jc w:val="both"/>
        <w:ind w:firstLine="8"/>
        <w:spacing w:after="0" w:line="262" w:lineRule="auto"/>
        <w:tabs>
          <w:tab w:leader="none" w:pos="37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u w:val="single" w:color="auto"/>
          <w:color w:val="auto"/>
        </w:rPr>
        <w:t>NO STOCKHOLDER RIGHTS BEFORE EXERCISE</w:t>
      </w:r>
      <w:r>
        <w:rPr>
          <w:rFonts w:ascii="Times New Roman" w:cs="Times New Roman" w:eastAsia="Times New Roman" w:hAnsi="Times New Roman"/>
          <w:sz w:val="21"/>
          <w:szCs w:val="21"/>
          <w:color w:val="auto"/>
        </w:rPr>
        <w:t>. Neither you nor any permitted transferee of this Option will have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rights of a stockholder of the Company with respect to any Shares subject to this Option until a certificate evidencing such Shares has been issued, electronic delivery of such Shares has been made to you or your permitted transferee’s designated brokerage account, or an appropriate book entry in the Company's stock register has been made. No adjustments shall be made for dividends or other rights if the applicable record date occurs before the related stock certificate has been issued, electronic delivery of the Shares has been made to you or your permitted transferee’s designated brokerage account, or an appropriate book entry in the Company's stock register has been made, except as otherwise described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399" w:right="339" w:bottom="1440" w:gutter="0" w:footer="0" w:header="0"/>
        </w:sectPr>
      </w:pPr>
    </w:p>
    <w:bookmarkStart w:id="80" w:name="page81"/>
    <w:bookmarkEnd w:id="80"/>
    <w:p>
      <w:pPr>
        <w:jc w:val="both"/>
        <w:ind w:firstLine="8"/>
        <w:spacing w:after="0" w:line="263" w:lineRule="auto"/>
        <w:tabs>
          <w:tab w:leader="none" w:pos="45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20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1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07" w:lineRule="exact"/>
        <w:rPr>
          <w:rFonts w:ascii="Times New Roman" w:cs="Times New Roman" w:eastAsia="Times New Roman" w:hAnsi="Times New Roman"/>
          <w:sz w:val="20"/>
          <w:szCs w:val="20"/>
          <w:color w:val="auto"/>
        </w:rPr>
      </w:pPr>
    </w:p>
    <w:p>
      <w:pPr>
        <w:jc w:val="both"/>
        <w:ind w:firstLine="656"/>
        <w:spacing w:after="0" w:line="275" w:lineRule="auto"/>
        <w:tabs>
          <w:tab w:leader="none" w:pos="127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00" w:lineRule="exact"/>
        <w:rPr>
          <w:rFonts w:ascii="Times New Roman" w:cs="Times New Roman" w:eastAsia="Times New Roman" w:hAnsi="Times New Roman"/>
          <w:sz w:val="20"/>
          <w:szCs w:val="20"/>
          <w:color w:val="auto"/>
        </w:rPr>
      </w:pPr>
    </w:p>
    <w:p>
      <w:pPr>
        <w:jc w:val="both"/>
        <w:ind w:firstLine="656"/>
        <w:spacing w:after="0" w:line="275" w:lineRule="auto"/>
        <w:tabs>
          <w:tab w:leader="none" w:pos="107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 provided, however, Exhibit 1 shall be subject to the governing law provision identified in Exhibit 1.</w:t>
      </w:r>
    </w:p>
    <w:p>
      <w:pPr>
        <w:spacing w:after="0" w:line="100" w:lineRule="exact"/>
        <w:rPr>
          <w:rFonts w:ascii="Times New Roman" w:cs="Times New Roman" w:eastAsia="Times New Roman" w:hAnsi="Times New Roman"/>
          <w:sz w:val="20"/>
          <w:szCs w:val="20"/>
          <w:color w:val="auto"/>
        </w:rPr>
      </w:pPr>
    </w:p>
    <w:p>
      <w:pPr>
        <w:jc w:val="both"/>
        <w:ind w:firstLine="656"/>
        <w:spacing w:after="0" w:line="268" w:lineRule="auto"/>
        <w:tabs>
          <w:tab w:leader="none" w:pos="110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(including Exhibit 1) shall be severable and if any provision of this Agreement (including Exhibit 1) is found by any court to be unenforceable, in whole or in part, the remainder of this Agreement (including Exhibit 1)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06" w:lineRule="exact"/>
        <w:rPr>
          <w:rFonts w:ascii="Times New Roman" w:cs="Times New Roman" w:eastAsia="Times New Roman" w:hAnsi="Times New Roman"/>
          <w:sz w:val="20"/>
          <w:szCs w:val="20"/>
          <w:color w:val="auto"/>
        </w:rPr>
      </w:pPr>
    </w:p>
    <w:p>
      <w:pPr>
        <w:ind w:firstLine="656"/>
        <w:spacing w:after="0" w:line="283" w:lineRule="auto"/>
        <w:tabs>
          <w:tab w:leader="none" w:pos="106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92" w:lineRule="exact"/>
        <w:rPr>
          <w:rFonts w:ascii="Times New Roman" w:cs="Times New Roman" w:eastAsia="Times New Roman" w:hAnsi="Times New Roman"/>
          <w:sz w:val="20"/>
          <w:szCs w:val="20"/>
          <w:color w:val="auto"/>
        </w:rPr>
      </w:pPr>
    </w:p>
    <w:p>
      <w:pPr>
        <w:jc w:val="both"/>
        <w:ind w:firstLine="656"/>
        <w:spacing w:after="0" w:line="268" w:lineRule="auto"/>
        <w:tabs>
          <w:tab w:leader="none" w:pos="107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Option by electronic means and request you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422"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0119"/>
          </w:cols>
          <w:pgMar w:left="340" w:top="1440"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0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Confidentiality, Intellectual Property Assignment,</w:t>
      </w:r>
    </w:p>
    <w:p>
      <w:pPr>
        <w:ind w:left="3500"/>
        <w:spacing w:after="0"/>
        <w:rPr>
          <w:sz w:val="20"/>
          <w:szCs w:val="20"/>
          <w:color w:val="auto"/>
        </w:rPr>
      </w:pPr>
      <w:r>
        <w:rPr>
          <w:rFonts w:ascii="Times New Roman" w:cs="Times New Roman" w:eastAsia="Times New Roman" w:hAnsi="Times New Roman"/>
          <w:sz w:val="20"/>
          <w:szCs w:val="20"/>
          <w:b w:val="1"/>
          <w:bCs w:val="1"/>
          <w:color w:val="auto"/>
        </w:rPr>
        <w:t>Non-Competition and Non-Solicitation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Confidentiality, Intellectual Property Assignment, Non-Competition and Non-Solicitation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between</w:t>
      </w:r>
    </w:p>
    <w:p>
      <w:pPr>
        <w:ind w:right="440"/>
        <w:spacing w:after="0" w:line="215" w:lineRule="auto"/>
        <w:rPr>
          <w:sz w:val="20"/>
          <w:szCs w:val="20"/>
          <w:color w:val="auto"/>
        </w:rPr>
      </w:pPr>
      <w:r>
        <w:rPr>
          <w:rFonts w:ascii="Times New Roman" w:cs="Times New Roman" w:eastAsia="Times New Roman" w:hAnsi="Times New Roman"/>
          <w:sz w:val="19"/>
          <w:szCs w:val="19"/>
          <w:color w:val="auto"/>
        </w:rPr>
        <w:t>Winnebago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together with the Company’s Affiliates (as defined below), assignees or successors in interests, the “</w:t>
      </w:r>
      <w:r>
        <w:rPr>
          <w:rFonts w:ascii="Times New Roman" w:cs="Times New Roman" w:eastAsia="Times New Roman" w:hAnsi="Times New Roman"/>
          <w:sz w:val="19"/>
          <w:szCs w:val="19"/>
          <w:u w:val="single" w:color="auto"/>
          <w:color w:val="auto"/>
        </w:rPr>
        <w:t>Company Group</w:t>
      </w:r>
      <w:r>
        <w:rPr>
          <w:rFonts w:ascii="Times New Roman" w:cs="Times New Roman" w:eastAsia="Times New Roman" w:hAnsi="Times New Roman"/>
          <w:sz w:val="19"/>
          <w:szCs w:val="19"/>
          <w:color w:val="auto"/>
        </w:rPr>
        <w:t>”), and the service provider who signs the Agreement below (“</w:t>
      </w:r>
      <w:r>
        <w:rPr>
          <w:rFonts w:ascii="Times New Roman" w:cs="Times New Roman" w:eastAsia="Times New Roman" w:hAnsi="Times New Roman"/>
          <w:sz w:val="19"/>
          <w:szCs w:val="19"/>
          <w:u w:val="single" w:color="auto"/>
          <w:color w:val="auto"/>
        </w:rPr>
        <w:t>Service Provider</w:t>
      </w:r>
      <w:r>
        <w:rPr>
          <w:rFonts w:ascii="Times New Roman" w:cs="Times New Roman" w:eastAsia="Times New Roman" w:hAnsi="Times New Roman"/>
          <w:sz w:val="19"/>
          <w:szCs w:val="19"/>
          <w:color w:val="auto"/>
        </w:rPr>
        <w:t>”), effective as of the date</w:t>
      </w:r>
    </w:p>
    <w:p>
      <w:pPr>
        <w:spacing w:after="0" w:line="211" w:lineRule="auto"/>
        <w:rPr>
          <w:sz w:val="20"/>
          <w:szCs w:val="20"/>
          <w:color w:val="auto"/>
        </w:rPr>
      </w:pPr>
      <w:r>
        <w:rPr>
          <w:rFonts w:ascii="Times New Roman" w:cs="Times New Roman" w:eastAsia="Times New Roman" w:hAnsi="Times New Roman"/>
          <w:sz w:val="20"/>
          <w:szCs w:val="20"/>
          <w:color w:val="auto"/>
        </w:rPr>
        <w:t>signed by Service Provider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Each of Company and Service Provider hereinafter may be referred to individually as a</w:t>
      </w:r>
    </w:p>
    <w:p>
      <w:pPr>
        <w:ind w:right="20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or, collectively, as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In consideration of the Company’s providing Service Provider with a grant of Stock Options (the “</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pursuant to the Company’s 2019 Omnibus Incentive Plan, and other good and valuable consideration, the sufficiency and receipt</w:t>
      </w:r>
    </w:p>
    <w:p>
      <w:pPr>
        <w:spacing w:after="0"/>
        <w:rPr>
          <w:sz w:val="20"/>
          <w:szCs w:val="20"/>
          <w:color w:val="auto"/>
        </w:rPr>
      </w:pPr>
      <w:r>
        <w:rPr>
          <w:rFonts w:ascii="Times New Roman" w:cs="Times New Roman" w:eastAsia="Times New Roman" w:hAnsi="Times New Roman"/>
          <w:sz w:val="20"/>
          <w:szCs w:val="20"/>
          <w:color w:val="auto"/>
        </w:rPr>
        <w:t>of which Service Provider acknowledges, Service Provider and the Company agree as follows:</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Non-Competition and Non-Solicitation</w:t>
      </w:r>
    </w:p>
    <w:p>
      <w:pPr>
        <w:spacing w:after="0" w:line="206" w:lineRule="exact"/>
        <w:rPr>
          <w:sz w:val="20"/>
          <w:szCs w:val="20"/>
          <w:color w:val="auto"/>
        </w:rPr>
      </w:pPr>
    </w:p>
    <w:p>
      <w:pPr>
        <w:ind w:left="460" w:right="4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No Existing Restrictions</w:t>
      </w:r>
      <w:r>
        <w:rPr>
          <w:rFonts w:ascii="Times New Roman" w:cs="Times New Roman" w:eastAsia="Times New Roman" w:hAnsi="Times New Roman"/>
          <w:sz w:val="19"/>
          <w:szCs w:val="19"/>
          <w:color w:val="auto"/>
        </w:rPr>
        <w:t>. Service Provider represents and warrants that Service Provider is not a party to any confidentiality agreement,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non-competition agreement, non-solicitation agreement, intellectual property rights agreement, or any other agreement with any</w:t>
      </w:r>
    </w:p>
    <w:p>
      <w:pPr>
        <w:spacing w:after="0" w:line="1" w:lineRule="exact"/>
        <w:rPr>
          <w:sz w:val="20"/>
          <w:szCs w:val="20"/>
          <w:color w:val="auto"/>
        </w:rPr>
      </w:pP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former employer or other entity that in any way prohibits or inhibits Service Provider’s ability to: (i) be employed by the Company Group; (i) perform services for the Company Group; (iii) enter into this Agreement; or (iv) comply with Service Provider’s</w:t>
      </w:r>
    </w:p>
    <w:p>
      <w:pPr>
        <w:ind w:left="660"/>
        <w:spacing w:after="0"/>
        <w:rPr>
          <w:sz w:val="20"/>
          <w:szCs w:val="20"/>
          <w:color w:val="auto"/>
        </w:rPr>
      </w:pPr>
      <w:r>
        <w:rPr>
          <w:rFonts w:ascii="Times New Roman" w:cs="Times New Roman" w:eastAsia="Times New Roman" w:hAnsi="Times New Roman"/>
          <w:sz w:val="20"/>
          <w:szCs w:val="20"/>
          <w:color w:val="auto"/>
        </w:rPr>
        <w:t>obligations under this Agreement or under any Company Group policy.</w:t>
      </w:r>
    </w:p>
    <w:p>
      <w:pPr>
        <w:spacing w:after="0" w:line="194" w:lineRule="exact"/>
        <w:rPr>
          <w:sz w:val="20"/>
          <w:szCs w:val="20"/>
          <w:color w:val="auto"/>
        </w:rPr>
      </w:pPr>
    </w:p>
    <w:p>
      <w:pPr>
        <w:ind w:left="46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Acknowledgement</w:t>
      </w:r>
      <w:r>
        <w:rPr>
          <w:rFonts w:ascii="Times New Roman" w:cs="Times New Roman" w:eastAsia="Times New Roman" w:hAnsi="Times New Roman"/>
          <w:sz w:val="19"/>
          <w:szCs w:val="19"/>
          <w:color w:val="auto"/>
        </w:rPr>
        <w:t>. Service Provider acknowledges that the Company Group has spent significant time, effort and resources protecting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its Confidential Information, including its trade secrets, customer goodwill, and employee, supplier, and vendor relationships. Service</w:t>
      </w:r>
    </w:p>
    <w:p>
      <w:pPr>
        <w:ind w:left="660"/>
        <w:spacing w:after="0" w:line="222" w:lineRule="auto"/>
        <w:rPr>
          <w:sz w:val="20"/>
          <w:szCs w:val="20"/>
          <w:color w:val="auto"/>
        </w:rPr>
      </w:pPr>
      <w:r>
        <w:rPr>
          <w:rFonts w:ascii="Times New Roman" w:cs="Times New Roman" w:eastAsia="Times New Roman" w:hAnsi="Times New Roman"/>
          <w:sz w:val="19"/>
          <w:szCs w:val="19"/>
          <w:color w:val="auto"/>
        </w:rPr>
        <w:t>Provider has had or will have access to Confidential Information. In order to protect the Company Group’s Confidential Information,</w:t>
      </w:r>
    </w:p>
    <w:p>
      <w:pPr>
        <w:spacing w:after="0" w:line="1" w:lineRule="exact"/>
        <w:rPr>
          <w:sz w:val="20"/>
          <w:szCs w:val="20"/>
          <w:color w:val="auto"/>
        </w:rPr>
      </w:pPr>
    </w:p>
    <w:p>
      <w:pPr>
        <w:ind w:left="660" w:right="380"/>
        <w:spacing w:after="0" w:line="215" w:lineRule="auto"/>
        <w:rPr>
          <w:sz w:val="20"/>
          <w:szCs w:val="20"/>
          <w:color w:val="auto"/>
        </w:rPr>
      </w:pPr>
      <w:r>
        <w:rPr>
          <w:rFonts w:ascii="Times New Roman" w:cs="Times New Roman" w:eastAsia="Times New Roman" w:hAnsi="Times New Roman"/>
          <w:sz w:val="19"/>
          <w:szCs w:val="19"/>
          <w:color w:val="auto"/>
        </w:rPr>
        <w:t>customer goodwill and the stability of the Company Group’s workforce, and other legitimate business interests, Service Provider agrees to the covenants set forth in Subsections 1.3 through 1.6 during Service Provider’s employment or engagement with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Company Group and ending one (1) year following Service Provider’s separation of employment or engagement with the Company</w:t>
      </w:r>
    </w:p>
    <w:p>
      <w:pPr>
        <w:ind w:left="660" w:right="260"/>
        <w:spacing w:after="0" w:line="221" w:lineRule="auto"/>
        <w:rPr>
          <w:sz w:val="20"/>
          <w:szCs w:val="20"/>
          <w:color w:val="auto"/>
        </w:rPr>
      </w:pPr>
      <w:r>
        <w:rPr>
          <w:rFonts w:ascii="Times New Roman" w:cs="Times New Roman" w:eastAsia="Times New Roman" w:hAnsi="Times New Roman"/>
          <w:sz w:val="20"/>
          <w:szCs w:val="20"/>
          <w:color w:val="auto"/>
        </w:rPr>
        <w:t>Group for any reason, whether such separation of employment or engagement is at the initiative of the Company Group or Service Provider (the “</w:t>
      </w:r>
      <w:r>
        <w:rPr>
          <w:rFonts w:ascii="Times New Roman" w:cs="Times New Roman" w:eastAsia="Times New Roman" w:hAnsi="Times New Roman"/>
          <w:sz w:val="20"/>
          <w:szCs w:val="20"/>
          <w:u w:val="single" w:color="auto"/>
          <w:color w:val="auto"/>
        </w:rPr>
        <w:t>Restriction Period</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During the Restriction Period, Service Provider shall not within the Restricted Territory (or for the benefit of any</w:t>
      </w: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Competing Business located within the Restricted Territory) engage in (including, without limitation, being employed by, working for, or rendering services to) any Competing Business in any Prohibited Capacity if in such Prohibited Capacity for the Competing</w:t>
      </w:r>
    </w:p>
    <w:p>
      <w:pPr>
        <w:ind w:left="660"/>
        <w:spacing w:after="0" w:line="215" w:lineRule="auto"/>
        <w:rPr>
          <w:sz w:val="20"/>
          <w:szCs w:val="20"/>
          <w:color w:val="auto"/>
        </w:rPr>
      </w:pPr>
      <w:r>
        <w:rPr>
          <w:rFonts w:ascii="Times New Roman" w:cs="Times New Roman" w:eastAsia="Times New Roman" w:hAnsi="Times New Roman"/>
          <w:sz w:val="19"/>
          <w:szCs w:val="19"/>
          <w:color w:val="auto"/>
        </w:rPr>
        <w:t>Business, Service Provider is working on, involved in, assisting in, or managing with respect to, the design, development, production, improvement, engineering, manufacture, provision or sale of any Competing Product. For the avoidance of doubt, if the Competing</w:t>
      </w:r>
    </w:p>
    <w:p>
      <w:pPr>
        <w:ind w:left="660"/>
        <w:spacing w:after="0" w:line="222" w:lineRule="auto"/>
        <w:rPr>
          <w:sz w:val="20"/>
          <w:szCs w:val="20"/>
          <w:color w:val="auto"/>
        </w:rPr>
      </w:pPr>
      <w:r>
        <w:rPr>
          <w:rFonts w:ascii="Times New Roman" w:cs="Times New Roman" w:eastAsia="Times New Roman" w:hAnsi="Times New Roman"/>
          <w:sz w:val="19"/>
          <w:szCs w:val="19"/>
          <w:color w:val="auto"/>
        </w:rPr>
        <w:t>Business has multiple divisions or business units, one or more of which is not competitive with the business of the Company Group,</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nothing herein will prohibit Service Provider from being employed or engaged by, working for or assisting in a Prohibited Capacity only that division or business unit of such Competing Business that is not competitive with the business of the Company Group. As</w:t>
      </w:r>
    </w:p>
    <w:p>
      <w:pPr>
        <w:ind w:left="660"/>
        <w:spacing w:after="0" w:line="222" w:lineRule="auto"/>
        <w:rPr>
          <w:sz w:val="20"/>
          <w:szCs w:val="20"/>
          <w:color w:val="auto"/>
        </w:rPr>
      </w:pPr>
      <w:r>
        <w:rPr>
          <w:rFonts w:ascii="Times New Roman" w:cs="Times New Roman" w:eastAsia="Times New Roman" w:hAnsi="Times New Roman"/>
          <w:sz w:val="19"/>
          <w:szCs w:val="19"/>
          <w:color w:val="auto"/>
        </w:rPr>
        <w:t>used herein,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means any Person that develops, manufactures, produces, sells, or provides Competing Products</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and is competitive with the business of the Company Group. As used herein,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or entity (including, without limitation, a corporation, partnership, limited liability company, trust, joint venture, association or other business operation).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Competing Product</w:t>
      </w:r>
      <w:r>
        <w:rPr>
          <w:rFonts w:ascii="Times New Roman" w:cs="Times New Roman" w:eastAsia="Times New Roman" w:hAnsi="Times New Roman"/>
          <w:sz w:val="20"/>
          <w:szCs w:val="20"/>
          <w:color w:val="auto"/>
        </w:rPr>
        <w:t>” means (i) any recreational vehicle or boat that is (or once developed would be) competitive</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with any of the types of recreational vehicles or boats manufactured, produced or sold by (A) the Company Group entity with which Service Provider has an employment or other relationship or (B) any other member of the Company Group, in either case during</w:t>
      </w:r>
    </w:p>
    <w:p>
      <w:pPr>
        <w:ind w:left="660" w:right="940"/>
        <w:spacing w:after="0" w:line="228" w:lineRule="auto"/>
        <w:rPr>
          <w:sz w:val="20"/>
          <w:szCs w:val="20"/>
          <w:color w:val="auto"/>
        </w:rPr>
      </w:pPr>
      <w:r>
        <w:rPr>
          <w:rFonts w:ascii="Times New Roman" w:cs="Times New Roman" w:eastAsia="Times New Roman" w:hAnsi="Times New Roman"/>
          <w:sz w:val="20"/>
          <w:szCs w:val="20"/>
          <w:color w:val="auto"/>
        </w:rPr>
        <w:t>Service Provider’s employment or engagement with the Company Group and/or as of the separation of Service Provider’s relationship with the Company Group; (ii) any product or service that is (or once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395"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20"/>
          <w:szCs w:val="20"/>
          <w:color w:val="auto"/>
        </w:rPr>
        <w:t>would be) competitive with any of the types of products or services manufactured, produced, sold or provided by (A) the Company</w:t>
      </w: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Group entity with which Service Provider has an employment or other relationship or (B) any other member of the Company Group, in either case during Service Provider’s employment or engagement with the Company Group and/or as of the separation of Service</w:t>
      </w:r>
    </w:p>
    <w:p>
      <w:pPr>
        <w:ind w:left="660"/>
        <w:spacing w:after="0" w:line="211" w:lineRule="auto"/>
        <w:rPr>
          <w:sz w:val="20"/>
          <w:szCs w:val="20"/>
          <w:color w:val="auto"/>
        </w:rPr>
      </w:pPr>
      <w:r>
        <w:rPr>
          <w:rFonts w:ascii="Times New Roman" w:cs="Times New Roman" w:eastAsia="Times New Roman" w:hAnsi="Times New Roman"/>
          <w:sz w:val="20"/>
          <w:szCs w:val="20"/>
          <w:color w:val="auto"/>
        </w:rPr>
        <w:t>Provider’s relationship with the Company Group; (iii) any product or service that is (or once developed would be) competitive with</w:t>
      </w:r>
    </w:p>
    <w:p>
      <w:pPr>
        <w:ind w:left="660" w:right="440"/>
        <w:spacing w:after="0" w:line="215" w:lineRule="auto"/>
        <w:rPr>
          <w:sz w:val="20"/>
          <w:szCs w:val="20"/>
          <w:color w:val="auto"/>
        </w:rPr>
      </w:pPr>
      <w:r>
        <w:rPr>
          <w:rFonts w:ascii="Times New Roman" w:cs="Times New Roman" w:eastAsia="Times New Roman" w:hAnsi="Times New Roman"/>
          <w:sz w:val="19"/>
          <w:szCs w:val="19"/>
          <w:color w:val="auto"/>
        </w:rPr>
        <w:t>any of the types of products or services manufactured, produced, sold or provided by (A) the Company Group entity with which Service Provider has an employment or other relationship or (B) any other member of the Company Group and with respect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which, at any time during the one-year period immediately preceding the separation of Service Provider’s relationship with the</w:t>
      </w:r>
    </w:p>
    <w:p>
      <w:pPr>
        <w:ind w:left="660" w:right="500"/>
        <w:spacing w:after="0" w:line="215" w:lineRule="auto"/>
        <w:rPr>
          <w:sz w:val="20"/>
          <w:szCs w:val="20"/>
          <w:color w:val="auto"/>
        </w:rPr>
      </w:pPr>
      <w:r>
        <w:rPr>
          <w:rFonts w:ascii="Times New Roman" w:cs="Times New Roman" w:eastAsia="Times New Roman" w:hAnsi="Times New Roman"/>
          <w:sz w:val="19"/>
          <w:szCs w:val="19"/>
          <w:color w:val="auto"/>
        </w:rPr>
        <w:t>Company Group, Service Provider had any responsibility for (including, without limitation, any managerial or other oversight responsibility) the design, development, manufacture, production, sales or provision, or acquired any Confidential Information;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and/or (iv) any product or service that is (or once developed would be) competitive with any of the products that (A) the Company</w:t>
      </w: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Group entity with which Service Provider has an employment or other relationship or (B) any other member of the Company Group had under development and with respect to which, at any time during the one-year period immediately preceding the separation of</w:t>
      </w: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Service Provider’s relationship with the Company Group, Service Provider had any responsibility for (including, without limitation, any managerial or other oversight responsibility) the development or acquired any Confidential Information. As used herein,</w:t>
      </w:r>
    </w:p>
    <w:p>
      <w:pPr>
        <w:ind w:left="660" w:right="100"/>
        <w:spacing w:after="0" w:line="22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Prohibited Capacity</w:t>
      </w:r>
      <w:r>
        <w:rPr>
          <w:rFonts w:ascii="Times New Roman" w:cs="Times New Roman" w:eastAsia="Times New Roman" w:hAnsi="Times New Roman"/>
          <w:sz w:val="19"/>
          <w:szCs w:val="19"/>
          <w:color w:val="auto"/>
        </w:rPr>
        <w:t>” means: (i) the same or similar capacity or function to that in which Service Provider worked for the Company Group at any time during the one-year period immediately preceding the separation of Service Provider’s relationship with the</w:t>
      </w:r>
    </w:p>
    <w:p>
      <w:pPr>
        <w:spacing w:after="0" w:line="1" w:lineRule="exact"/>
        <w:rPr>
          <w:sz w:val="20"/>
          <w:szCs w:val="20"/>
          <w:color w:val="auto"/>
        </w:rPr>
      </w:pP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Company Group; (ii) any officer, executive or managerial capacity or function; (iii) any product design, product development or product improvement capacity or function; (iv) any engineering capacity or function; (v) any sales or business development capacity</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function; (vi) any ownership capacity (except Service Provider may own as a passive investment up to 2% of any class of</w:t>
      </w: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securities that is listed or admitted to trading on a national securities exchange or otherwise publicly traded); (vii) any capacity or function in which there is a material risk that Service Provider may inevitably use or disclose the Company Group’s trade secrets or</w:t>
      </w:r>
    </w:p>
    <w:p>
      <w:pPr>
        <w:ind w:left="660"/>
        <w:spacing w:after="0" w:line="211" w:lineRule="auto"/>
        <w:rPr>
          <w:sz w:val="20"/>
          <w:szCs w:val="20"/>
          <w:color w:val="auto"/>
        </w:rPr>
      </w:pPr>
      <w:r>
        <w:rPr>
          <w:rFonts w:ascii="Times New Roman" w:cs="Times New Roman" w:eastAsia="Times New Roman" w:hAnsi="Times New Roman"/>
          <w:sz w:val="20"/>
          <w:szCs w:val="20"/>
          <w:color w:val="auto"/>
        </w:rPr>
        <w:t>other Confidential Information; or (viii) any other capacity or function in which Service Provider’s knowledge of the Confidential</w:t>
      </w:r>
    </w:p>
    <w:p>
      <w:pPr>
        <w:ind w:left="660" w:right="360"/>
        <w:spacing w:after="0" w:line="215" w:lineRule="auto"/>
        <w:rPr>
          <w:sz w:val="20"/>
          <w:szCs w:val="20"/>
          <w:color w:val="auto"/>
        </w:rPr>
      </w:pPr>
      <w:r>
        <w:rPr>
          <w:rFonts w:ascii="Times New Roman" w:cs="Times New Roman" w:eastAsia="Times New Roman" w:hAnsi="Times New Roman"/>
          <w:sz w:val="19"/>
          <w:szCs w:val="19"/>
          <w:color w:val="auto"/>
        </w:rPr>
        <w:t>Information would facilitate or assist Service Provider’s work for a Competing Business. Service Provider acknowledges that the Company Group conducts its business throughout the United States and internationally, and, therefore, that the term “</w:t>
      </w:r>
      <w:r>
        <w:rPr>
          <w:rFonts w:ascii="Times New Roman" w:cs="Times New Roman" w:eastAsia="Times New Roman" w:hAnsi="Times New Roman"/>
          <w:sz w:val="19"/>
          <w:szCs w:val="19"/>
          <w:u w:val="single" w:color="auto"/>
          <w:color w:val="auto"/>
        </w:rPr>
        <w:t>Restricted</w:t>
      </w:r>
    </w:p>
    <w:p>
      <w:pPr>
        <w:ind w:left="660"/>
        <w:spacing w:after="0" w:line="222" w:lineRule="auto"/>
        <w:rPr>
          <w:sz w:val="20"/>
          <w:szCs w:val="20"/>
          <w:color w:val="auto"/>
        </w:rPr>
      </w:pPr>
      <w:r>
        <w:rPr>
          <w:rFonts w:ascii="Times New Roman" w:cs="Times New Roman" w:eastAsia="Times New Roman" w:hAnsi="Times New Roman"/>
          <w:sz w:val="19"/>
          <w:szCs w:val="19"/>
          <w:u w:val="single" w:color="auto"/>
          <w:color w:val="auto"/>
        </w:rPr>
        <w:t>Territory</w:t>
      </w:r>
      <w:r>
        <w:rPr>
          <w:rFonts w:ascii="Times New Roman" w:cs="Times New Roman" w:eastAsia="Times New Roman" w:hAnsi="Times New Roman"/>
          <w:sz w:val="19"/>
          <w:szCs w:val="19"/>
          <w:color w:val="auto"/>
        </w:rPr>
        <w:t>” as used herein shall mean the area(s) lying within a 50-mile radius of any Company Group facility or office with respect to</w:t>
      </w: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which, at any time during the one-year period immediately preceding the separation of Service Provider’s relationship with the Company Group, Service Provider was assigned, regularly worked or was responsible, in whole or in part, for managing; provided,</w:t>
      </w: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further, if Service Provider regularly worked out of his or her residence or other remote location at any time during the one-year period immediately preceding the separation of Service Provider’s relationship with the Company Group, such residence or remote</w:t>
      </w:r>
    </w:p>
    <w:p>
      <w:pPr>
        <w:ind w:left="660"/>
        <w:spacing w:after="0" w:line="222" w:lineRule="auto"/>
        <w:rPr>
          <w:sz w:val="20"/>
          <w:szCs w:val="20"/>
          <w:color w:val="auto"/>
        </w:rPr>
      </w:pPr>
      <w:r>
        <w:rPr>
          <w:rFonts w:ascii="Times New Roman" w:cs="Times New Roman" w:eastAsia="Times New Roman" w:hAnsi="Times New Roman"/>
          <w:sz w:val="19"/>
          <w:szCs w:val="19"/>
          <w:color w:val="auto"/>
        </w:rPr>
        <w:t>location shall be considered a Company Group office to which Service Provider was assigned for purposes of this subpart (vi); and/or</w:t>
      </w:r>
    </w:p>
    <w:p>
      <w:pPr>
        <w:jc w:val="both"/>
        <w:ind w:left="660" w:right="260" w:hanging="4"/>
        <w:spacing w:after="0" w:line="218" w:lineRule="auto"/>
        <w:tabs>
          <w:tab w:leader="none" w:pos="105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States of the United States. For the avoidance of doubt, nothing herein shall prohibit Service Provider from engaging in or working for a business that is engaged primarily in the retail sale of recreational vehicles or boats and not the design, development and/or manufacture of recreational vehicles or boats.</w:t>
      </w:r>
    </w:p>
    <w:p>
      <w:pPr>
        <w:spacing w:after="0" w:line="161" w:lineRule="exact"/>
        <w:rPr>
          <w:sz w:val="20"/>
          <w:szCs w:val="20"/>
          <w:color w:val="auto"/>
        </w:rPr>
      </w:pPr>
    </w:p>
    <w:p>
      <w:pPr>
        <w:jc w:val="right"/>
        <w:ind w:right="220"/>
        <w:spacing w:after="0" w:line="21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Non-Solicitation of Employees</w:t>
      </w:r>
      <w:r>
        <w:rPr>
          <w:rFonts w:ascii="Times New Roman" w:cs="Times New Roman" w:eastAsia="Times New Roman" w:hAnsi="Times New Roman"/>
          <w:sz w:val="20"/>
          <w:szCs w:val="20"/>
          <w:color w:val="auto"/>
        </w:rPr>
        <w:t>. During the Restriction Period, Service Provider shall not: (i) solicit, recruit, hire, employ, engage the services of, or attempt to hire, employ or engage the services of any Restricted Employee; (ii) assist any Person in the recruitment,</w:t>
      </w:r>
    </w:p>
    <w:p>
      <w:pPr>
        <w:ind w:left="660"/>
        <w:spacing w:after="0" w:line="212" w:lineRule="auto"/>
        <w:rPr>
          <w:sz w:val="20"/>
          <w:szCs w:val="20"/>
          <w:color w:val="auto"/>
        </w:rPr>
      </w:pPr>
      <w:r>
        <w:rPr>
          <w:rFonts w:ascii="Times New Roman" w:cs="Times New Roman" w:eastAsia="Times New Roman" w:hAnsi="Times New Roman"/>
          <w:sz w:val="20"/>
          <w:szCs w:val="20"/>
          <w:color w:val="auto"/>
        </w:rPr>
        <w:t>hiring or engagement of the services of any Restricted Employee; (iii) urge, induce or seek to induce any individual to terminate</w:t>
      </w:r>
    </w:p>
    <w:p>
      <w:pPr>
        <w:spacing w:after="0" w:line="1" w:lineRule="exact"/>
        <w:rPr>
          <w:sz w:val="20"/>
          <w:szCs w:val="20"/>
          <w:color w:val="auto"/>
        </w:rPr>
      </w:pP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his/her employment or engagement with the Company Group; or (iv) advise, suggest to or recommend to any Competing Business that it employ, engage the services of or seek to employ or engage the services of any Restricted Employee. Anonymous job postings</w:t>
      </w:r>
    </w:p>
    <w:p>
      <w:pPr>
        <w:ind w:left="660"/>
        <w:spacing w:after="0" w:line="211" w:lineRule="auto"/>
        <w:rPr>
          <w:sz w:val="20"/>
          <w:szCs w:val="20"/>
          <w:color w:val="auto"/>
        </w:rPr>
      </w:pPr>
      <w:r>
        <w:rPr>
          <w:rFonts w:ascii="Times New Roman" w:cs="Times New Roman" w:eastAsia="Times New Roman" w:hAnsi="Times New Roman"/>
          <w:sz w:val="20"/>
          <w:szCs w:val="20"/>
          <w:color w:val="auto"/>
        </w:rPr>
        <w:t>in a general publication or website to which a Restricted Employee responds shall not violate this Subsection 1.4, provided that</w:t>
      </w:r>
    </w:p>
    <w:p>
      <w:pPr>
        <w:ind w:left="660" w:right="480"/>
        <w:spacing w:after="0" w:line="215" w:lineRule="auto"/>
        <w:rPr>
          <w:sz w:val="20"/>
          <w:szCs w:val="20"/>
          <w:color w:val="auto"/>
        </w:rPr>
      </w:pPr>
      <w:r>
        <w:rPr>
          <w:rFonts w:ascii="Times New Roman" w:cs="Times New Roman" w:eastAsia="Times New Roman" w:hAnsi="Times New Roman"/>
          <w:sz w:val="19"/>
          <w:szCs w:val="19"/>
          <w:color w:val="auto"/>
        </w:rPr>
        <w:t>Service Provider does not engage in any other action in violation of this Subsection 1.4. As used herein, “</w:t>
      </w:r>
      <w:r>
        <w:rPr>
          <w:rFonts w:ascii="Times New Roman" w:cs="Times New Roman" w:eastAsia="Times New Roman" w:hAnsi="Times New Roman"/>
          <w:sz w:val="19"/>
          <w:szCs w:val="19"/>
          <w:u w:val="single" w:color="auto"/>
          <w:color w:val="auto"/>
        </w:rPr>
        <w:t>Restricted Employee</w:t>
      </w:r>
      <w:r>
        <w:rPr>
          <w:rFonts w:ascii="Times New Roman" w:cs="Times New Roman" w:eastAsia="Times New Roman" w:hAnsi="Times New Roman"/>
          <w:sz w:val="19"/>
          <w:szCs w:val="19"/>
          <w:color w:val="auto"/>
        </w:rPr>
        <w:t>” means any individual employed with (A) the Company Group entity with which Service Provider has an employment or other</w:t>
      </w:r>
    </w:p>
    <w:p>
      <w:pPr>
        <w:ind w:left="660"/>
        <w:spacing w:after="0"/>
        <w:rPr>
          <w:sz w:val="20"/>
          <w:szCs w:val="20"/>
          <w:color w:val="auto"/>
        </w:rPr>
      </w:pPr>
      <w:r>
        <w:rPr>
          <w:rFonts w:ascii="Times New Roman" w:cs="Times New Roman" w:eastAsia="Times New Roman" w:hAnsi="Times New Roman"/>
          <w:sz w:val="20"/>
          <w:szCs w:val="20"/>
          <w:color w:val="auto"/>
        </w:rPr>
        <w:t>relationship or (B) any other member of the Company Group, in either case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394"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20"/>
          <w:szCs w:val="20"/>
          <w:color w:val="auto"/>
        </w:rPr>
        <w:t>Service Provider’s employment or engagement with the Company Group and/or as of the separation of Service Provider’s</w:t>
      </w:r>
    </w:p>
    <w:p>
      <w:pPr>
        <w:ind w:left="660"/>
        <w:spacing w:after="0" w:line="215" w:lineRule="auto"/>
        <w:rPr>
          <w:sz w:val="20"/>
          <w:szCs w:val="20"/>
          <w:color w:val="auto"/>
        </w:rPr>
      </w:pPr>
      <w:r>
        <w:rPr>
          <w:rFonts w:ascii="Times New Roman" w:cs="Times New Roman" w:eastAsia="Times New Roman" w:hAnsi="Times New Roman"/>
          <w:sz w:val="19"/>
          <w:szCs w:val="19"/>
          <w:color w:val="auto"/>
        </w:rPr>
        <w:t>relationship with the Company Group provided the following two conditions are satisfied with respect to such individual: (i) as of the time of the activity in question, such individual is then, or within the immediately preceding three-month period was, employed by</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Company Group; and (ii) such individual (A) regularly received, helped create or had access to any of the Company Group’s</w:t>
      </w:r>
    </w:p>
    <w:p>
      <w:pPr>
        <w:ind w:left="660" w:right="280"/>
        <w:spacing w:after="0" w:line="221" w:lineRule="auto"/>
        <w:rPr>
          <w:sz w:val="20"/>
          <w:szCs w:val="20"/>
          <w:color w:val="auto"/>
        </w:rPr>
      </w:pPr>
      <w:r>
        <w:rPr>
          <w:rFonts w:ascii="Times New Roman" w:cs="Times New Roman" w:eastAsia="Times New Roman" w:hAnsi="Times New Roman"/>
          <w:sz w:val="20"/>
          <w:szCs w:val="20"/>
          <w:color w:val="auto"/>
        </w:rPr>
        <w:t>trade secrets or other Confidential Information, and/or (B) is or was employed in engineering role, product design or development role, or executive or managerial role for the Company Group.</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Non-Interference with Business Relationships</w:t>
      </w:r>
      <w:r>
        <w:rPr>
          <w:rFonts w:ascii="Times New Roman" w:cs="Times New Roman" w:eastAsia="Times New Roman" w:hAnsi="Times New Roman"/>
          <w:sz w:val="19"/>
          <w:szCs w:val="19"/>
          <w:color w:val="auto"/>
        </w:rPr>
        <w:t>. During the Restriction Period, Service Provider shall not, directly or indirectly, urge,</w:t>
      </w:r>
    </w:p>
    <w:p>
      <w:pPr>
        <w:ind w:left="660" w:right="440"/>
        <w:spacing w:after="0" w:line="215" w:lineRule="auto"/>
        <w:rPr>
          <w:sz w:val="20"/>
          <w:szCs w:val="20"/>
          <w:color w:val="auto"/>
        </w:rPr>
      </w:pPr>
      <w:r>
        <w:rPr>
          <w:rFonts w:ascii="Times New Roman" w:cs="Times New Roman" w:eastAsia="Times New Roman" w:hAnsi="Times New Roman"/>
          <w:sz w:val="19"/>
          <w:szCs w:val="19"/>
          <w:color w:val="auto"/>
        </w:rPr>
        <w:t>induce or seek to induce any of the Company Group’s customers, independent contractors, subcontractors, consultants, business partners, vendors, suppliers or any other Person with whom the Company Group has a business relationship to terminate their</w:t>
      </w:r>
    </w:p>
    <w:p>
      <w:pPr>
        <w:ind w:left="660" w:right="440"/>
        <w:spacing w:after="0" w:line="242" w:lineRule="auto"/>
        <w:rPr>
          <w:sz w:val="20"/>
          <w:szCs w:val="20"/>
          <w:color w:val="auto"/>
        </w:rPr>
      </w:pPr>
      <w:r>
        <w:rPr>
          <w:rFonts w:ascii="Times New Roman" w:cs="Times New Roman" w:eastAsia="Times New Roman" w:hAnsi="Times New Roman"/>
          <w:sz w:val="19"/>
          <w:szCs w:val="19"/>
          <w:color w:val="auto"/>
        </w:rPr>
        <w:t>relationship with, or representation of, the Company Group or to cancel, withdraw, reduce, limit or modify (in a manner that is adverse to the best interests of the Company Group) any such Person’s business with, or representation of, the Company Group.</w:t>
      </w:r>
    </w:p>
    <w:p>
      <w:pPr>
        <w:spacing w:after="0" w:line="145" w:lineRule="exact"/>
        <w:rPr>
          <w:sz w:val="20"/>
          <w:szCs w:val="20"/>
          <w:color w:val="auto"/>
        </w:rPr>
      </w:pPr>
    </w:p>
    <w:p>
      <w:pPr>
        <w:ind w:left="460" w:right="34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Covered Affiliates</w:t>
      </w:r>
      <w:r>
        <w:rPr>
          <w:rFonts w:ascii="Times New Roman" w:cs="Times New Roman" w:eastAsia="Times New Roman" w:hAnsi="Times New Roman"/>
          <w:sz w:val="19"/>
          <w:szCs w:val="19"/>
          <w:color w:val="auto"/>
        </w:rPr>
        <w:t>. Service Provider may from time to time provide services to certain of the Company’s Affiliates. As used herein,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any entity that directly, or indirectly through one or more intermediaries, is owned or controlled by, owns or</w:t>
      </w:r>
    </w:p>
    <w:p>
      <w:pPr>
        <w:spacing w:after="0" w:line="1" w:lineRule="exact"/>
        <w:rPr>
          <w:sz w:val="20"/>
          <w:szCs w:val="20"/>
          <w:color w:val="auto"/>
        </w:rPr>
      </w:pP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controls, or is under common ownership or control with, the Company; for this purpose, “control” of an entity means the possession, direct or indirect, of the power to direct or cause the direction of the management and policies of the entity, whether through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ownership of voting securities, by contract or otherwise. For purposes of the covenants set forth in Subsections 1.3 through 1.5, each</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and every reference to “Company” in Section 1 (and any related procedural and/or remedial provisions relating to the enforcement of this Agreement) means Winnebago Industries, Inc. and/or any Affiliate with respect to which, at any time during the one-year period</w:t>
      </w:r>
    </w:p>
    <w:p>
      <w:pPr>
        <w:ind w:left="660"/>
        <w:spacing w:after="0" w:line="222" w:lineRule="auto"/>
        <w:rPr>
          <w:sz w:val="20"/>
          <w:szCs w:val="20"/>
          <w:color w:val="auto"/>
        </w:rPr>
      </w:pPr>
      <w:r>
        <w:rPr>
          <w:rFonts w:ascii="Times New Roman" w:cs="Times New Roman" w:eastAsia="Times New Roman" w:hAnsi="Times New Roman"/>
          <w:sz w:val="19"/>
          <w:szCs w:val="19"/>
          <w:color w:val="auto"/>
        </w:rPr>
        <w:t>immediately preceding the separation of Service Provider’s relationship with the Company Group, Service Provider has provided any</w:t>
      </w:r>
    </w:p>
    <w:p>
      <w:pPr>
        <w:jc w:val="both"/>
        <w:ind w:left="660" w:right="80"/>
        <w:spacing w:after="0" w:line="215" w:lineRule="auto"/>
        <w:rPr>
          <w:sz w:val="20"/>
          <w:szCs w:val="20"/>
          <w:color w:val="auto"/>
        </w:rPr>
      </w:pPr>
      <w:r>
        <w:rPr>
          <w:rFonts w:ascii="Times New Roman" w:cs="Times New Roman" w:eastAsia="Times New Roman" w:hAnsi="Times New Roman"/>
          <w:sz w:val="19"/>
          <w:szCs w:val="19"/>
          <w:color w:val="auto"/>
        </w:rPr>
        <w:t>services for, on behalf of, or for the benefit of, such Affiliate, has been responsible for managing, in whole or in part, or has received or has had access to any trade secrets or other Confidential Information concerning such Affiliate’s business (a “</w:t>
      </w:r>
      <w:r>
        <w:rPr>
          <w:rFonts w:ascii="Times New Roman" w:cs="Times New Roman" w:eastAsia="Times New Roman" w:hAnsi="Times New Roman"/>
          <w:sz w:val="19"/>
          <w:szCs w:val="19"/>
          <w:u w:val="single" w:color="auto"/>
          <w:color w:val="auto"/>
        </w:rPr>
        <w:t>Covered Affiliate</w:t>
      </w:r>
      <w:r>
        <w:rPr>
          <w:rFonts w:ascii="Times New Roman" w:cs="Times New Roman" w:eastAsia="Times New Roman" w:hAnsi="Times New Roman"/>
          <w:sz w:val="19"/>
          <w:szCs w:val="19"/>
          <w:color w:val="auto"/>
        </w:rPr>
        <w:t>”).</w:t>
      </w:r>
    </w:p>
    <w:p>
      <w:pPr>
        <w:ind w:left="660" w:right="260"/>
        <w:spacing w:after="0" w:line="228" w:lineRule="auto"/>
        <w:rPr>
          <w:sz w:val="20"/>
          <w:szCs w:val="20"/>
          <w:color w:val="auto"/>
        </w:rPr>
      </w:pPr>
      <w:r>
        <w:rPr>
          <w:rFonts w:ascii="Times New Roman" w:cs="Times New Roman" w:eastAsia="Times New Roman" w:hAnsi="Times New Roman"/>
          <w:sz w:val="20"/>
          <w:szCs w:val="20"/>
          <w:color w:val="auto"/>
        </w:rPr>
        <w:t>Service Provider acknowledges and agrees that any Covered Affiliate is an intended third-party beneficiary of this Agreement and this Agreement may be enforced by the Company and/or the Covered Affiliate, either singularly or jointly.</w:t>
      </w:r>
    </w:p>
    <w:p>
      <w:pPr>
        <w:spacing w:after="0" w:line="149" w:lineRule="exact"/>
        <w:rPr>
          <w:sz w:val="20"/>
          <w:szCs w:val="20"/>
          <w:color w:val="auto"/>
        </w:rPr>
      </w:pPr>
    </w:p>
    <w:p>
      <w:pPr>
        <w:ind w:left="460" w:right="140" w:hanging="647"/>
        <w:spacing w:after="0"/>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u w:val="single" w:color="auto"/>
          <w:color w:val="auto"/>
        </w:rPr>
        <w:t>Reasonableness of Covenants</w:t>
      </w:r>
      <w:r>
        <w:rPr>
          <w:rFonts w:ascii="Times New Roman" w:cs="Times New Roman" w:eastAsia="Times New Roman" w:hAnsi="Times New Roman"/>
          <w:sz w:val="20"/>
          <w:szCs w:val="20"/>
          <w:color w:val="auto"/>
        </w:rPr>
        <w:t>. Service Provider agrees that the scope and duration of each Subsection in this Section 1 are reasonable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necessary to protect the Company Group’s legitimate business interests.</w:t>
      </w:r>
    </w:p>
    <w:p>
      <w:pPr>
        <w:spacing w:after="0" w:line="161" w:lineRule="exact"/>
        <w:rPr>
          <w:sz w:val="20"/>
          <w:szCs w:val="20"/>
          <w:color w:val="auto"/>
        </w:rPr>
      </w:pPr>
    </w:p>
    <w:p>
      <w:pPr>
        <w:ind w:left="460" w:right="38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u w:val="single" w:color="auto"/>
          <w:color w:val="auto"/>
        </w:rPr>
        <w:t>Tolling</w:t>
      </w:r>
      <w:r>
        <w:rPr>
          <w:rFonts w:ascii="Times New Roman" w:cs="Times New Roman" w:eastAsia="Times New Roman" w:hAnsi="Times New Roman"/>
          <w:sz w:val="20"/>
          <w:szCs w:val="20"/>
          <w:color w:val="auto"/>
        </w:rPr>
        <w:t>. In the event Service Provider violates any restrictive covenant contained in Section 1 of this Agreement, the duration of all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restrictive covenants (and the Restriction Period) shall automatically be extended by the length of time during which Service</w:t>
      </w:r>
    </w:p>
    <w:p>
      <w:pPr>
        <w:spacing w:after="0" w:line="1" w:lineRule="exact"/>
        <w:rPr>
          <w:sz w:val="20"/>
          <w:szCs w:val="20"/>
          <w:color w:val="auto"/>
        </w:rPr>
      </w:pPr>
    </w:p>
    <w:p>
      <w:pPr>
        <w:ind w:left="660" w:right="180"/>
        <w:spacing w:after="0" w:line="221" w:lineRule="auto"/>
        <w:rPr>
          <w:sz w:val="20"/>
          <w:szCs w:val="20"/>
          <w:color w:val="auto"/>
        </w:rPr>
      </w:pPr>
      <w:r>
        <w:rPr>
          <w:rFonts w:ascii="Times New Roman" w:cs="Times New Roman" w:eastAsia="Times New Roman" w:hAnsi="Times New Roman"/>
          <w:sz w:val="20"/>
          <w:szCs w:val="20"/>
          <w:color w:val="auto"/>
        </w:rPr>
        <w:t>Provider was in violation of any such covenant, including, but not limited to, an extension equal to the time period from the date of Service Provider’s first violation until an injunction is entered enjoining such violation.</w:t>
      </w:r>
    </w:p>
    <w:p>
      <w:pPr>
        <w:spacing w:after="0" w:line="158"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20" w:lineRule="exact"/>
        <w:rPr>
          <w:sz w:val="20"/>
          <w:szCs w:val="20"/>
          <w:color w:val="auto"/>
        </w:rPr>
      </w:pPr>
    </w:p>
    <w:p>
      <w:pPr>
        <w:jc w:val="right"/>
        <w:spacing w:after="0" w:line="227"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Use &amp; Restrictions of Confidential Information</w:t>
      </w:r>
      <w:r>
        <w:rPr>
          <w:rFonts w:ascii="Times New Roman" w:cs="Times New Roman" w:eastAsia="Times New Roman" w:hAnsi="Times New Roman"/>
          <w:sz w:val="19"/>
          <w:szCs w:val="19"/>
          <w:color w:val="auto"/>
        </w:rPr>
        <w:t>. Except as expressly permitted by the Company’s President in writing, Service Provider agrees at all times to: (i) keep confidential and not disclose, divulge, furnish or make accessible to anyone or (ii) use in any way other</w:t>
      </w:r>
    </w:p>
    <w:p>
      <w:pPr>
        <w:ind w:left="660"/>
        <w:spacing w:after="0" w:line="211" w:lineRule="auto"/>
        <w:rPr>
          <w:sz w:val="20"/>
          <w:szCs w:val="20"/>
          <w:color w:val="auto"/>
        </w:rPr>
      </w:pPr>
      <w:r>
        <w:rPr>
          <w:rFonts w:ascii="Times New Roman" w:cs="Times New Roman" w:eastAsia="Times New Roman" w:hAnsi="Times New Roman"/>
          <w:sz w:val="20"/>
          <w:szCs w:val="20"/>
          <w:color w:val="auto"/>
        </w:rPr>
        <w:t>than in the ordinary course of the business of the Company Group: any confidential, proprietary, nonpublic or secret knowledge or</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information of the Company Group that Service Provider acquires during Service Provider’s employment or engagement with any member of the Company Group, whether developed by Service Provider or by others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with Confidential</w:t>
      </w:r>
    </w:p>
    <w:p>
      <w:pPr>
        <w:ind w:left="660"/>
        <w:spacing w:after="0" w:line="211" w:lineRule="auto"/>
        <w:rPr>
          <w:sz w:val="20"/>
          <w:szCs w:val="20"/>
          <w:color w:val="auto"/>
        </w:rPr>
      </w:pPr>
      <w:r>
        <w:rPr>
          <w:rFonts w:ascii="Times New Roman" w:cs="Times New Roman" w:eastAsia="Times New Roman" w:hAnsi="Times New Roman"/>
          <w:sz w:val="20"/>
          <w:szCs w:val="20"/>
          <w:color w:val="auto"/>
        </w:rPr>
        <w:t>Information including, but not limited to: (i) any trade secrets, (ii) any confidential, proprietary, nonpublic or secret design, process,</w:t>
      </w:r>
    </w:p>
    <w:p>
      <w:pPr>
        <w:ind w:left="660" w:right="320"/>
        <w:spacing w:after="0" w:line="221" w:lineRule="auto"/>
        <w:rPr>
          <w:sz w:val="20"/>
          <w:szCs w:val="20"/>
          <w:color w:val="auto"/>
        </w:rPr>
      </w:pPr>
      <w:r>
        <w:rPr>
          <w:rFonts w:ascii="Times New Roman" w:cs="Times New Roman" w:eastAsia="Times New Roman" w:hAnsi="Times New Roman"/>
          <w:sz w:val="20"/>
          <w:szCs w:val="20"/>
          <w:color w:val="auto"/>
        </w:rPr>
        <w:t>formula, plan, model, specifications, device or material (whether or not patented or patentable) directly or indirectly useful in any aspect of the business of the Company Group, (iii) any customer or supplier list of the Company Group, or any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20"/>
          </w:cols>
          <w:pgMar w:left="320" w:top="1394" w:right="359"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19"/>
          <w:szCs w:val="19"/>
          <w:color w:val="auto"/>
        </w:rPr>
        <w:t>requirements. specifications or other confidential information about or received from any customer or supplier, (iv) any confidential,</w:t>
      </w:r>
    </w:p>
    <w:p>
      <w:pPr>
        <w:spacing w:after="0" w:line="6" w:lineRule="exact"/>
        <w:rPr>
          <w:sz w:val="20"/>
          <w:szCs w:val="20"/>
          <w:color w:val="auto"/>
        </w:rPr>
      </w:pPr>
    </w:p>
    <w:p>
      <w:pPr>
        <w:ind w:left="640" w:right="80"/>
        <w:spacing w:after="0" w:line="215" w:lineRule="auto"/>
        <w:rPr>
          <w:sz w:val="20"/>
          <w:szCs w:val="20"/>
          <w:color w:val="auto"/>
        </w:rPr>
      </w:pPr>
      <w:r>
        <w:rPr>
          <w:rFonts w:ascii="Times New Roman" w:cs="Times New Roman" w:eastAsia="Times New Roman" w:hAnsi="Times New Roman"/>
          <w:sz w:val="19"/>
          <w:szCs w:val="19"/>
          <w:color w:val="auto"/>
        </w:rPr>
        <w:t>proprietary, nonpublic or secret development or research work of the Company Group, (v) any strategic or other business, marketing or sales plan of the Company Group, (vi) any financial data or plan respecting the Company Group, or (vii) any other confidential,</w:t>
      </w:r>
    </w:p>
    <w:p>
      <w:pPr>
        <w:ind w:left="640"/>
        <w:spacing w:after="0" w:line="211" w:lineRule="auto"/>
        <w:rPr>
          <w:sz w:val="20"/>
          <w:szCs w:val="20"/>
          <w:color w:val="auto"/>
        </w:rPr>
      </w:pPr>
      <w:r>
        <w:rPr>
          <w:rFonts w:ascii="Times New Roman" w:cs="Times New Roman" w:eastAsia="Times New Roman" w:hAnsi="Times New Roman"/>
          <w:sz w:val="20"/>
          <w:szCs w:val="20"/>
          <w:color w:val="auto"/>
        </w:rPr>
        <w:t>nonpublic or proprietary information or secret aspects of the business of the Company Group. Service Provider acknowledges that</w:t>
      </w:r>
    </w:p>
    <w:p>
      <w:pPr>
        <w:ind w:left="640"/>
        <w:spacing w:after="0" w:line="215" w:lineRule="auto"/>
        <w:rPr>
          <w:sz w:val="20"/>
          <w:szCs w:val="20"/>
          <w:color w:val="auto"/>
        </w:rPr>
      </w:pPr>
      <w:r>
        <w:rPr>
          <w:rFonts w:ascii="Times New Roman" w:cs="Times New Roman" w:eastAsia="Times New Roman" w:hAnsi="Times New Roman"/>
          <w:sz w:val="19"/>
          <w:szCs w:val="19"/>
          <w:color w:val="auto"/>
        </w:rPr>
        <w:t>Service Provider will have access to and be provided with Confidential Information in connection with performing services for the Company Group. Service Provider expressly recognizes that the efficacy and profitability of the Company Group is dependent in part</w:t>
      </w:r>
    </w:p>
    <w:p>
      <w:pPr>
        <w:ind w:left="640"/>
        <w:spacing w:after="0" w:line="222" w:lineRule="auto"/>
        <w:rPr>
          <w:sz w:val="20"/>
          <w:szCs w:val="20"/>
          <w:color w:val="auto"/>
        </w:rPr>
      </w:pPr>
      <w:r>
        <w:rPr>
          <w:rFonts w:ascii="Times New Roman" w:cs="Times New Roman" w:eastAsia="Times New Roman" w:hAnsi="Times New Roman"/>
          <w:sz w:val="19"/>
          <w:szCs w:val="19"/>
          <w:color w:val="auto"/>
        </w:rPr>
        <w:t>upon Service Provider’s protection of the Confidential Information. Service Provider may use the Confidential Information solely in</w:t>
      </w:r>
    </w:p>
    <w:p>
      <w:pPr>
        <w:ind w:left="640" w:right="120"/>
        <w:spacing w:after="0" w:line="215" w:lineRule="auto"/>
        <w:rPr>
          <w:sz w:val="20"/>
          <w:szCs w:val="20"/>
          <w:color w:val="auto"/>
        </w:rPr>
      </w:pPr>
      <w:r>
        <w:rPr>
          <w:rFonts w:ascii="Times New Roman" w:cs="Times New Roman" w:eastAsia="Times New Roman" w:hAnsi="Times New Roman"/>
          <w:sz w:val="19"/>
          <w:szCs w:val="19"/>
          <w:color w:val="auto"/>
        </w:rPr>
        <w:t>connection with performing services for the Company Group. Service Provider shall not, either during Service Provider’s relationship with the Company Group or thereafter, disclose or use for Service Provider’s own benefit or for the benefit of any other</w:t>
      </w:r>
    </w:p>
    <w:p>
      <w:pPr>
        <w:ind w:left="640"/>
        <w:spacing w:after="0" w:line="211" w:lineRule="auto"/>
        <w:rPr>
          <w:sz w:val="20"/>
          <w:szCs w:val="20"/>
          <w:color w:val="auto"/>
        </w:rPr>
      </w:pPr>
      <w:r>
        <w:rPr>
          <w:rFonts w:ascii="Times New Roman" w:cs="Times New Roman" w:eastAsia="Times New Roman" w:hAnsi="Times New Roman"/>
          <w:sz w:val="20"/>
          <w:szCs w:val="20"/>
          <w:color w:val="auto"/>
        </w:rPr>
        <w:t>individual or third party, directly or indirectly, any of the Confidential Information, except as such disclosure or use is expressly</w:t>
      </w:r>
    </w:p>
    <w:p>
      <w:pPr>
        <w:ind w:left="640" w:right="20"/>
        <w:spacing w:after="0" w:line="215" w:lineRule="auto"/>
        <w:rPr>
          <w:sz w:val="20"/>
          <w:szCs w:val="20"/>
          <w:color w:val="auto"/>
        </w:rPr>
      </w:pPr>
      <w:r>
        <w:rPr>
          <w:rFonts w:ascii="Times New Roman" w:cs="Times New Roman" w:eastAsia="Times New Roman" w:hAnsi="Times New Roman"/>
          <w:sz w:val="19"/>
          <w:szCs w:val="19"/>
          <w:color w:val="auto"/>
        </w:rPr>
        <w:t>authorized by the Company in writing. Service Provider shall not communicate any Confidential Information, even in furtherance of the Company Group’s business, to any individual or third party not privy to the Confidential Information, without express consent by</w:t>
      </w:r>
    </w:p>
    <w:p>
      <w:pPr>
        <w:ind w:left="640"/>
        <w:spacing w:after="0" w:line="211" w:lineRule="auto"/>
        <w:rPr>
          <w:sz w:val="20"/>
          <w:szCs w:val="20"/>
          <w:color w:val="auto"/>
        </w:rPr>
      </w:pPr>
      <w:r>
        <w:rPr>
          <w:rFonts w:ascii="Times New Roman" w:cs="Times New Roman" w:eastAsia="Times New Roman" w:hAnsi="Times New Roman"/>
          <w:sz w:val="20"/>
          <w:szCs w:val="20"/>
          <w:color w:val="auto"/>
        </w:rPr>
        <w:t>the Company Group and the individual or third party’s agreement to be bound by confidentiality terms that adequately protect</w:t>
      </w:r>
    </w:p>
    <w:p>
      <w:pPr>
        <w:ind w:left="640" w:right="40"/>
        <w:spacing w:after="0" w:line="215" w:lineRule="auto"/>
        <w:rPr>
          <w:sz w:val="20"/>
          <w:szCs w:val="20"/>
          <w:color w:val="auto"/>
        </w:rPr>
      </w:pPr>
      <w:r>
        <w:rPr>
          <w:rFonts w:ascii="Times New Roman" w:cs="Times New Roman" w:eastAsia="Times New Roman" w:hAnsi="Times New Roman"/>
          <w:sz w:val="19"/>
          <w:szCs w:val="19"/>
          <w:color w:val="auto"/>
        </w:rPr>
        <w:t>Confidential Information. Service Provider’s confidentiality/non-disclosure obligations under this Agreement shall continue after the separation of Service Provider’s relationship with the Company Group. With respect to any particular Confidential Information,</w:t>
      </w:r>
    </w:p>
    <w:p>
      <w:pPr>
        <w:ind w:left="640" w:right="140"/>
        <w:spacing w:after="0" w:line="228" w:lineRule="auto"/>
        <w:rPr>
          <w:sz w:val="20"/>
          <w:szCs w:val="20"/>
          <w:color w:val="auto"/>
        </w:rPr>
      </w:pPr>
      <w:r>
        <w:rPr>
          <w:rFonts w:ascii="Times New Roman" w:cs="Times New Roman" w:eastAsia="Times New Roman" w:hAnsi="Times New Roman"/>
          <w:sz w:val="20"/>
          <w:szCs w:val="20"/>
          <w:color w:val="auto"/>
        </w:rPr>
        <w:t>Service Provider’s confidentiality/non-disclosure obligations shall continue as long as such information is confidential and shall not apply to any information that is generally publicly available through no fault of Service Provider.</w:t>
      </w:r>
    </w:p>
    <w:p>
      <w:pPr>
        <w:spacing w:after="0" w:line="176" w:lineRule="exact"/>
        <w:rPr>
          <w:sz w:val="20"/>
          <w:szCs w:val="20"/>
          <w:color w:val="auto"/>
        </w:rPr>
      </w:pPr>
    </w:p>
    <w:p>
      <w:pPr>
        <w:jc w:val="right"/>
        <w:ind w:left="60" w:right="380"/>
        <w:spacing w:after="0" w:line="222"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Property of Company</w:t>
      </w:r>
      <w:r>
        <w:rPr>
          <w:rFonts w:ascii="Times New Roman" w:cs="Times New Roman" w:eastAsia="Times New Roman" w:hAnsi="Times New Roman"/>
          <w:sz w:val="20"/>
          <w:szCs w:val="20"/>
          <w:color w:val="auto"/>
        </w:rPr>
        <w:t>. Service Provider specifically acknowledges and understands that all Confidential Information and all of the Company Group’s strategies and files, including, but not limited to, computer data, reports, materials, records, documents, notes,</w:t>
      </w:r>
    </w:p>
    <w:p>
      <w:pPr>
        <w:spacing w:after="0" w:line="2" w:lineRule="exact"/>
        <w:rPr>
          <w:sz w:val="20"/>
          <w:szCs w:val="20"/>
          <w:color w:val="auto"/>
        </w:rPr>
      </w:pPr>
    </w:p>
    <w:p>
      <w:pPr>
        <w:ind w:left="640" w:right="240"/>
        <w:spacing w:after="0" w:line="215" w:lineRule="auto"/>
        <w:rPr>
          <w:sz w:val="20"/>
          <w:szCs w:val="20"/>
          <w:color w:val="auto"/>
        </w:rPr>
      </w:pPr>
      <w:r>
        <w:rPr>
          <w:rFonts w:ascii="Times New Roman" w:cs="Times New Roman" w:eastAsia="Times New Roman" w:hAnsi="Times New Roman"/>
          <w:sz w:val="19"/>
          <w:szCs w:val="19"/>
          <w:color w:val="auto"/>
        </w:rPr>
        <w:t>memoranda, and other items, and any originals or copies thereof, related to the business of the Company Group, which Service Provider either is provided, prepares, uses, or simply acquires during the term of this Agreement, are and shall remain the sole and</w:t>
      </w:r>
    </w:p>
    <w:p>
      <w:pPr>
        <w:ind w:left="640" w:right="200"/>
        <w:spacing w:after="0" w:line="228" w:lineRule="auto"/>
        <w:rPr>
          <w:sz w:val="20"/>
          <w:szCs w:val="20"/>
          <w:color w:val="auto"/>
        </w:rPr>
      </w:pPr>
      <w:r>
        <w:rPr>
          <w:rFonts w:ascii="Times New Roman" w:cs="Times New Roman" w:eastAsia="Times New Roman" w:hAnsi="Times New Roman"/>
          <w:sz w:val="20"/>
          <w:szCs w:val="20"/>
          <w:color w:val="auto"/>
        </w:rPr>
        <w:t>exclusive property of the Company Group and, to the extent applicable, shall not be removed from the Company Group’s premises without the prior consent of the Company Group.</w:t>
      </w:r>
    </w:p>
    <w:p>
      <w:pPr>
        <w:spacing w:after="0" w:line="176" w:lineRule="exact"/>
        <w:rPr>
          <w:sz w:val="20"/>
          <w:szCs w:val="20"/>
          <w:color w:val="auto"/>
        </w:rPr>
      </w:pPr>
    </w:p>
    <w:p>
      <w:pPr>
        <w:ind w:left="440" w:right="40" w:hanging="647"/>
        <w:spacing w:after="0" w:line="222" w:lineRule="auto"/>
        <w:tabs>
          <w:tab w:leader="none" w:pos="4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The foregoing obligations of confidentiality shall not apply to any Confidential Information to the extent that it (i) is now</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 subsequently becomes generally publicly known or generally known in any industry in which the Company Group operates, (ii) is</w:t>
      </w:r>
    </w:p>
    <w:p>
      <w:pPr>
        <w:spacing w:after="0" w:line="2" w:lineRule="exact"/>
        <w:rPr>
          <w:sz w:val="20"/>
          <w:szCs w:val="20"/>
          <w:color w:val="auto"/>
        </w:rPr>
      </w:pPr>
    </w:p>
    <w:p>
      <w:pPr>
        <w:ind w:left="640" w:right="320"/>
        <w:spacing w:after="0" w:line="221" w:lineRule="auto"/>
        <w:rPr>
          <w:sz w:val="20"/>
          <w:szCs w:val="20"/>
          <w:color w:val="auto"/>
        </w:rPr>
      </w:pPr>
      <w:r>
        <w:rPr>
          <w:rFonts w:ascii="Times New Roman" w:cs="Times New Roman" w:eastAsia="Times New Roman" w:hAnsi="Times New Roman"/>
          <w:sz w:val="20"/>
          <w:szCs w:val="20"/>
          <w:color w:val="auto"/>
        </w:rPr>
        <w:t>independently made available to Service Provider in good faith by a third party who Service Provider reasonably believes has not violated an obligation of confidentiality to the Company Group, or (iii) is required to be disclosed by legal process.</w:t>
      </w:r>
    </w:p>
    <w:p>
      <w:pPr>
        <w:spacing w:after="0" w:line="189" w:lineRule="exact"/>
        <w:rPr>
          <w:sz w:val="20"/>
          <w:szCs w:val="20"/>
          <w:color w:val="auto"/>
        </w:rPr>
      </w:pPr>
    </w:p>
    <w:p>
      <w:pPr>
        <w:ind w:left="440" w:right="220" w:hanging="647"/>
        <w:spacing w:after="0" w:line="215" w:lineRule="auto"/>
        <w:tabs>
          <w:tab w:leader="none" w:pos="4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u w:val="single" w:color="auto"/>
          <w:color w:val="auto"/>
        </w:rPr>
        <w:t>Permitted Communications</w:t>
      </w:r>
      <w:r>
        <w:rPr>
          <w:rFonts w:ascii="Times New Roman" w:cs="Times New Roman" w:eastAsia="Times New Roman" w:hAnsi="Times New Roman"/>
          <w:sz w:val="20"/>
          <w:szCs w:val="20"/>
          <w:color w:val="auto"/>
        </w:rPr>
        <w:t>. Notwithstanding any other language in this Agreement to the contrary, Service Provider is advised that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Service Provider may not be held criminally or civilly liable under any federal or state trade secret law for the disclosure of a trade</w:t>
      </w:r>
    </w:p>
    <w:p>
      <w:pPr>
        <w:ind w:left="640"/>
        <w:spacing w:after="0" w:line="212" w:lineRule="auto"/>
        <w:rPr>
          <w:sz w:val="20"/>
          <w:szCs w:val="20"/>
          <w:color w:val="auto"/>
        </w:rPr>
      </w:pPr>
      <w:r>
        <w:rPr>
          <w:rFonts w:ascii="Times New Roman" w:cs="Times New Roman" w:eastAsia="Times New Roman" w:hAnsi="Times New Roman"/>
          <w:sz w:val="20"/>
          <w:szCs w:val="20"/>
          <w:color w:val="auto"/>
        </w:rPr>
        <w:t>secret that is made (i) in confidence to a federal, state or local government official, either directly or indirectly, or to an attorney if</w:t>
      </w:r>
    </w:p>
    <w:p>
      <w:pPr>
        <w:spacing w:after="0" w:line="1" w:lineRule="exact"/>
        <w:rPr>
          <w:sz w:val="20"/>
          <w:szCs w:val="20"/>
          <w:color w:val="auto"/>
        </w:rPr>
      </w:pPr>
    </w:p>
    <w:p>
      <w:pPr>
        <w:ind w:left="640" w:right="240"/>
        <w:spacing w:after="0" w:line="215" w:lineRule="auto"/>
        <w:rPr>
          <w:sz w:val="20"/>
          <w:szCs w:val="20"/>
          <w:color w:val="auto"/>
        </w:rPr>
      </w:pPr>
      <w:r>
        <w:rPr>
          <w:rFonts w:ascii="Times New Roman" w:cs="Times New Roman" w:eastAsia="Times New Roman" w:hAnsi="Times New Roman"/>
          <w:sz w:val="19"/>
          <w:szCs w:val="19"/>
          <w:color w:val="auto"/>
        </w:rPr>
        <w:t>such disclosure is made solely for the purpose of reporting or investigating a suspected violation of law or for pursuing an anti-retaliation lawsuit; or (iii) in a complaint or other document filed in a lawsuit or other proceeding, if such filing is made under seal</w:t>
      </w:r>
    </w:p>
    <w:p>
      <w:pPr>
        <w:ind w:left="640"/>
        <w:spacing w:after="0"/>
        <w:rPr>
          <w:sz w:val="20"/>
          <w:szCs w:val="20"/>
          <w:color w:val="auto"/>
        </w:rPr>
      </w:pPr>
      <w:r>
        <w:rPr>
          <w:rFonts w:ascii="Times New Roman" w:cs="Times New Roman" w:eastAsia="Times New Roman" w:hAnsi="Times New Roman"/>
          <w:sz w:val="20"/>
          <w:szCs w:val="20"/>
          <w:color w:val="auto"/>
        </w:rPr>
        <w:t>and Service Provider does not disclose the trade secret except pursuant to a court order.</w:t>
      </w:r>
    </w:p>
    <w:p>
      <w:pPr>
        <w:spacing w:after="0" w:line="194" w:lineRule="exact"/>
        <w:rPr>
          <w:sz w:val="20"/>
          <w:szCs w:val="20"/>
          <w:color w:val="auto"/>
        </w:rPr>
      </w:pPr>
    </w:p>
    <w:p>
      <w:pPr>
        <w:ind w:left="520" w:hanging="566"/>
        <w:spacing w:after="0" w:line="227" w:lineRule="auto"/>
        <w:tabs>
          <w:tab w:leader="none" w:pos="50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Return or Destroy Confidential Information</w:t>
      </w:r>
      <w:r>
        <w:rPr>
          <w:rFonts w:ascii="Times New Roman" w:cs="Times New Roman" w:eastAsia="Times New Roman" w:hAnsi="Times New Roman"/>
          <w:sz w:val="19"/>
          <w:szCs w:val="19"/>
          <w:color w:val="auto"/>
        </w:rPr>
        <w:t>. Service Provider agrees, immediately upon the separation of the \ relationship between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Service Provider and the Company Group for any reason or upon an earlier request by the Company Group, to make a diligent search</w:t>
      </w:r>
    </w:p>
    <w:p>
      <w:pPr>
        <w:ind w:left="640"/>
        <w:spacing w:after="0" w:line="211" w:lineRule="auto"/>
        <w:rPr>
          <w:sz w:val="20"/>
          <w:szCs w:val="20"/>
          <w:color w:val="auto"/>
        </w:rPr>
      </w:pPr>
      <w:r>
        <w:rPr>
          <w:rFonts w:ascii="Times New Roman" w:cs="Times New Roman" w:eastAsia="Times New Roman" w:hAnsi="Times New Roman"/>
          <w:sz w:val="20"/>
          <w:szCs w:val="20"/>
          <w:color w:val="auto"/>
        </w:rPr>
        <w:t>for any and all documents, computer discs, electronic files, software, tapes, computer printouts, or any other material constituting</w:t>
      </w:r>
    </w:p>
    <w:p>
      <w:pPr>
        <w:spacing w:after="0" w:line="1" w:lineRule="exact"/>
        <w:rPr>
          <w:sz w:val="20"/>
          <w:szCs w:val="20"/>
          <w:color w:val="auto"/>
        </w:rPr>
      </w:pPr>
    </w:p>
    <w:p>
      <w:pPr>
        <w:ind w:left="640" w:right="80"/>
        <w:spacing w:after="0" w:line="215" w:lineRule="auto"/>
        <w:rPr>
          <w:sz w:val="20"/>
          <w:szCs w:val="20"/>
          <w:color w:val="auto"/>
        </w:rPr>
      </w:pPr>
      <w:r>
        <w:rPr>
          <w:rFonts w:ascii="Times New Roman" w:cs="Times New Roman" w:eastAsia="Times New Roman" w:hAnsi="Times New Roman"/>
          <w:sz w:val="19"/>
          <w:szCs w:val="19"/>
          <w:color w:val="auto"/>
        </w:rPr>
        <w:t>Confidential Information, and shall: cease using the Confidential Information; promptly return to the Company Group or destroy all Confidential Information and any copies thereof; and upon Company’s request, certify in writing that Service Provider has complied</w:t>
      </w:r>
    </w:p>
    <w:p>
      <w:pPr>
        <w:ind w:left="640"/>
        <w:spacing w:after="0"/>
        <w:rPr>
          <w:sz w:val="20"/>
          <w:szCs w:val="20"/>
          <w:color w:val="auto"/>
        </w:rPr>
      </w:pPr>
      <w:r>
        <w:rPr>
          <w:rFonts w:ascii="Times New Roman" w:cs="Times New Roman" w:eastAsia="Times New Roman" w:hAnsi="Times New Roman"/>
          <w:sz w:val="20"/>
          <w:szCs w:val="20"/>
          <w:color w:val="auto"/>
        </w:rPr>
        <w:t>with the obligations of this Subsection 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00"/>
          </w:cols>
          <w:pgMar w:left="340" w:top="1399" w:right="359" w:bottom="1440" w:gutter="0" w:footer="0" w:header="0"/>
        </w:sectPr>
      </w:pPr>
    </w:p>
    <w:bookmarkStart w:id="86" w:name="page87"/>
    <w:bookmarkEnd w:id="86"/>
    <w:p>
      <w:pPr>
        <w:spacing w:after="0" w:line="1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220" w:lineRule="exact"/>
        <w:rPr>
          <w:sz w:val="20"/>
          <w:szCs w:val="20"/>
          <w:color w:val="auto"/>
        </w:rPr>
      </w:pPr>
    </w:p>
    <w:p>
      <w:pPr>
        <w:ind w:left="500" w:right="380" w:hanging="647"/>
        <w:spacing w:after="0" w:line="227" w:lineRule="auto"/>
        <w:tabs>
          <w:tab w:leader="none" w:pos="4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Prior Inventions</w:t>
      </w:r>
      <w:r>
        <w:rPr>
          <w:rFonts w:ascii="Times New Roman" w:cs="Times New Roman" w:eastAsia="Times New Roman" w:hAnsi="Times New Roman"/>
          <w:sz w:val="19"/>
          <w:szCs w:val="19"/>
          <w:color w:val="auto"/>
        </w:rPr>
        <w:t>. Any intellectual property, including, but not limited to, any ideas, inventions, patents, trademarks, service marks,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copyrights, creations, know how, work product, and other developments or improvements, if any, patented or unpatented, that</w:t>
      </w:r>
    </w:p>
    <w:p>
      <w:pPr>
        <w:ind w:left="660"/>
        <w:spacing w:after="0" w:line="211" w:lineRule="auto"/>
        <w:rPr>
          <w:sz w:val="20"/>
          <w:szCs w:val="20"/>
          <w:color w:val="auto"/>
        </w:rPr>
      </w:pPr>
      <w:r>
        <w:rPr>
          <w:rFonts w:ascii="Times New Roman" w:cs="Times New Roman" w:eastAsia="Times New Roman" w:hAnsi="Times New Roman"/>
          <w:sz w:val="20"/>
          <w:szCs w:val="20"/>
          <w:color w:val="auto"/>
        </w:rPr>
        <w:t>Service Provider, alone or with others, conceived, created, invented, developed, reduced to practice, or caused to be conceived,</w:t>
      </w:r>
    </w:p>
    <w:p>
      <w:pPr>
        <w:spacing w:after="0" w:line="1" w:lineRule="exact"/>
        <w:rPr>
          <w:sz w:val="20"/>
          <w:szCs w:val="20"/>
          <w:color w:val="auto"/>
        </w:rPr>
      </w:pP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and/or caused to be reduced to practice prior to the earlier of (i) commencement of Service Provider’s employment or engagement with the Company Group or (ii) when Service Provider first provided services to the Company Group, is listed on Schedule 1</w:t>
      </w:r>
    </w:p>
    <w:p>
      <w:pPr>
        <w:ind w:left="660"/>
        <w:spacing w:after="0"/>
        <w:rPr>
          <w:sz w:val="20"/>
          <w:szCs w:val="20"/>
          <w:color w:val="auto"/>
        </w:rPr>
      </w:pPr>
      <w:r>
        <w:rPr>
          <w:rFonts w:ascii="Times New Roman" w:cs="Times New Roman" w:eastAsia="Times New Roman" w:hAnsi="Times New Roman"/>
          <w:sz w:val="20"/>
          <w:szCs w:val="20"/>
          <w:color w:val="auto"/>
        </w:rPr>
        <w:t>attached hereto (“</w:t>
      </w:r>
      <w:r>
        <w:rPr>
          <w:rFonts w:ascii="Times New Roman" w:cs="Times New Roman" w:eastAsia="Times New Roman" w:hAnsi="Times New Roman"/>
          <w:sz w:val="20"/>
          <w:szCs w:val="20"/>
          <w:u w:val="single" w:color="auto"/>
          <w:color w:val="auto"/>
        </w:rPr>
        <w:t>Prior Inventions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460" w:right="8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Except with respect to Prior Inventions, all right, title, and interest of every kind and nature, whether now known 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unknown, in and to any and all intellectual property, including, but not limited to, any ideas, inventions, patents, trademarks, service</w:t>
      </w:r>
    </w:p>
    <w:p>
      <w:pPr>
        <w:ind w:left="660"/>
        <w:spacing w:after="0" w:line="224" w:lineRule="auto"/>
        <w:rPr>
          <w:sz w:val="20"/>
          <w:szCs w:val="20"/>
          <w:color w:val="auto"/>
        </w:rPr>
      </w:pPr>
      <w:r>
        <w:rPr>
          <w:rFonts w:ascii="Times New Roman" w:cs="Times New Roman" w:eastAsia="Times New Roman" w:hAnsi="Times New Roman"/>
          <w:sz w:val="19"/>
          <w:szCs w:val="19"/>
          <w:color w:val="auto"/>
        </w:rPr>
        <w:t>marks, copyrights, creations, know how, work product, properties, and other developments or improvements, patented or unpatented,</w:t>
      </w:r>
    </w:p>
    <w:p>
      <w:pPr>
        <w:ind w:left="660" w:right="320"/>
        <w:spacing w:after="0" w:line="215" w:lineRule="auto"/>
        <w:rPr>
          <w:sz w:val="20"/>
          <w:szCs w:val="20"/>
          <w:color w:val="auto"/>
        </w:rPr>
      </w:pPr>
      <w:r>
        <w:rPr>
          <w:rFonts w:ascii="Times New Roman" w:cs="Times New Roman" w:eastAsia="Times New Roman" w:hAnsi="Times New Roman"/>
          <w:sz w:val="19"/>
          <w:szCs w:val="19"/>
          <w:color w:val="auto"/>
        </w:rPr>
        <w:t>conceived, created, invented, written, developed, furnished, produced, disclosed, reduced to practice, or caused to be conceived and/or caused to be reduced to practice in whole or in part, alone or with others, whether or not during working hours, by Service</w:t>
      </w:r>
    </w:p>
    <w:p>
      <w:pPr>
        <w:ind w:left="660"/>
        <w:spacing w:after="0" w:line="211" w:lineRule="auto"/>
        <w:rPr>
          <w:sz w:val="20"/>
          <w:szCs w:val="20"/>
          <w:color w:val="auto"/>
        </w:rPr>
      </w:pPr>
      <w:r>
        <w:rPr>
          <w:rFonts w:ascii="Times New Roman" w:cs="Times New Roman" w:eastAsia="Times New Roman" w:hAnsi="Times New Roman"/>
          <w:sz w:val="20"/>
          <w:szCs w:val="20"/>
          <w:color w:val="auto"/>
        </w:rPr>
        <w:t>Provider during the term of Service Provider’s employment or engagement with the Company Group and for six (6) months</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thereafter, that are within the scope of the Company Group’s business operations or that relate to any of the Company Group’s work or projects, will, as between the Company and Service Provider, be and remain the sole and exclusive property of the Company for</w:t>
      </w:r>
    </w:p>
    <w:p>
      <w:pPr>
        <w:ind w:left="660"/>
        <w:spacing w:after="0" w:line="211" w:lineRule="auto"/>
        <w:rPr>
          <w:sz w:val="20"/>
          <w:szCs w:val="20"/>
          <w:color w:val="auto"/>
        </w:rPr>
      </w:pPr>
      <w:r>
        <w:rPr>
          <w:rFonts w:ascii="Times New Roman" w:cs="Times New Roman" w:eastAsia="Times New Roman" w:hAnsi="Times New Roman"/>
          <w:sz w:val="20"/>
          <w:szCs w:val="20"/>
          <w:color w:val="auto"/>
        </w:rPr>
        <w:t>any and all purposes and uses, and Service Provider agrees to assign and hereby does assign all rights thereto to the Company.</w:t>
      </w:r>
    </w:p>
    <w:p>
      <w:pPr>
        <w:ind w:left="660"/>
        <w:spacing w:after="0"/>
        <w:rPr>
          <w:sz w:val="20"/>
          <w:szCs w:val="20"/>
          <w:color w:val="auto"/>
        </w:rPr>
      </w:pPr>
      <w:r>
        <w:rPr>
          <w:rFonts w:ascii="Times New Roman" w:cs="Times New Roman" w:eastAsia="Times New Roman" w:hAnsi="Times New Roman"/>
          <w:sz w:val="20"/>
          <w:szCs w:val="20"/>
          <w:color w:val="auto"/>
        </w:rPr>
        <w:t>Intellectual property may be in any form including, but not limited to, written, oral, electronic, digital, or other form.</w:t>
      </w:r>
    </w:p>
    <w:p>
      <w:pPr>
        <w:spacing w:after="0" w:line="180" w:lineRule="exact"/>
        <w:rPr>
          <w:sz w:val="20"/>
          <w:szCs w:val="20"/>
          <w:color w:val="auto"/>
        </w:rPr>
      </w:pPr>
    </w:p>
    <w:p>
      <w:pPr>
        <w:ind w:left="460" w:right="10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auto"/>
        </w:rPr>
        <w:t>Work Made for Hire</w:t>
      </w:r>
      <w:r>
        <w:rPr>
          <w:rFonts w:ascii="Times New Roman" w:cs="Times New Roman" w:eastAsia="Times New Roman" w:hAnsi="Times New Roman"/>
          <w:sz w:val="20"/>
          <w:szCs w:val="20"/>
          <w:color w:val="auto"/>
        </w:rPr>
        <w:t>. Any work of Service Provider for which a copyright could be claimed developed in the course of employment 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engagement with the Company will be deemed “work made for hire” under federal copyright law and all ownership rights to such</w:t>
      </w:r>
    </w:p>
    <w:p>
      <w:pPr>
        <w:spacing w:after="0" w:line="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work belong exclusively to the Company. To the extent any invention does not qualify as a work for hire under applicable law, and to the extent any invention is subject to copyright, patent, trade secret, or other proprietary right protection, Service Provider agrees to</w:t>
      </w:r>
    </w:p>
    <w:p>
      <w:pPr>
        <w:ind w:left="660"/>
        <w:spacing w:after="0"/>
        <w:rPr>
          <w:sz w:val="20"/>
          <w:szCs w:val="20"/>
          <w:color w:val="auto"/>
        </w:rPr>
      </w:pPr>
      <w:r>
        <w:rPr>
          <w:rFonts w:ascii="Times New Roman" w:cs="Times New Roman" w:eastAsia="Times New Roman" w:hAnsi="Times New Roman"/>
          <w:sz w:val="20"/>
          <w:szCs w:val="20"/>
          <w:color w:val="auto"/>
        </w:rPr>
        <w:t>assign and hereby does assign all rights therein to the Company.</w:t>
      </w:r>
    </w:p>
    <w:p>
      <w:pPr>
        <w:spacing w:after="0" w:line="194" w:lineRule="exact"/>
        <w:rPr>
          <w:sz w:val="20"/>
          <w:szCs w:val="20"/>
          <w:color w:val="auto"/>
        </w:rPr>
      </w:pPr>
    </w:p>
    <w:p>
      <w:pPr>
        <w:ind w:left="460" w:right="12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u w:val="single" w:color="auto"/>
          <w:color w:val="auto"/>
        </w:rPr>
        <w:t>Pre-Existing Work</w:t>
      </w:r>
      <w:r>
        <w:rPr>
          <w:rFonts w:ascii="Times New Roman" w:cs="Times New Roman" w:eastAsia="Times New Roman" w:hAnsi="Times New Roman"/>
          <w:sz w:val="20"/>
          <w:szCs w:val="20"/>
          <w:color w:val="auto"/>
        </w:rPr>
        <w:t>. If, in the course of Service Provider’s relationship with the Company Group, Service Provider uses, relies upon,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provides, or incorporates any Prior Invention or any other intellectual property Service Provider owns, or in which Service Provider</w:t>
      </w:r>
    </w:p>
    <w:p>
      <w:pPr>
        <w:ind w:left="660"/>
        <w:spacing w:after="0" w:line="212" w:lineRule="auto"/>
        <w:rPr>
          <w:sz w:val="20"/>
          <w:szCs w:val="20"/>
          <w:color w:val="auto"/>
        </w:rPr>
      </w:pPr>
      <w:r>
        <w:rPr>
          <w:rFonts w:ascii="Times New Roman" w:cs="Times New Roman" w:eastAsia="Times New Roman" w:hAnsi="Times New Roman"/>
          <w:sz w:val="20"/>
          <w:szCs w:val="20"/>
          <w:color w:val="auto"/>
        </w:rPr>
        <w:t>has an interest, into any idea, invention, patent, trademark, service mark, copyright, creation, know how, work product, and other</w:t>
      </w:r>
    </w:p>
    <w:p>
      <w:pPr>
        <w:spacing w:after="0" w:line="1" w:lineRule="exact"/>
        <w:rPr>
          <w:sz w:val="20"/>
          <w:szCs w:val="20"/>
          <w:color w:val="auto"/>
        </w:rPr>
      </w:pP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development or improvement conceived, created, invented, written, developed, furnished, produced, or disclosed in whole or in part, alone or with others, whether or not during working hours, by Service Provider during the term of Service Provider’s employment or</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engagement with the Company Group, Service Provider hereby grants the Company, under all of Service Provider’s intellectual property and proprietary rights, the following worldwide, non-exclusive, perpetual, irrevocable, royalty free, fully paid up rights: (i)</w:t>
      </w:r>
    </w:p>
    <w:p>
      <w:pPr>
        <w:ind w:left="660"/>
        <w:spacing w:after="0" w:line="211" w:lineRule="auto"/>
        <w:rPr>
          <w:sz w:val="20"/>
          <w:szCs w:val="20"/>
          <w:color w:val="auto"/>
        </w:rPr>
      </w:pPr>
      <w:r>
        <w:rPr>
          <w:rFonts w:ascii="Times New Roman" w:cs="Times New Roman" w:eastAsia="Times New Roman" w:hAnsi="Times New Roman"/>
          <w:sz w:val="20"/>
          <w:szCs w:val="20"/>
          <w:color w:val="auto"/>
        </w:rPr>
        <w:t>to make, use, copy, modify, and create derivative works of such intellectual property; (ii) to publicly perform or display, import,</w:t>
      </w:r>
    </w:p>
    <w:p>
      <w:pPr>
        <w:ind w:left="660" w:right="400"/>
        <w:spacing w:after="0" w:line="221" w:lineRule="auto"/>
        <w:rPr>
          <w:sz w:val="20"/>
          <w:szCs w:val="20"/>
          <w:color w:val="auto"/>
        </w:rPr>
      </w:pPr>
      <w:r>
        <w:rPr>
          <w:rFonts w:ascii="Times New Roman" w:cs="Times New Roman" w:eastAsia="Times New Roman" w:hAnsi="Times New Roman"/>
          <w:sz w:val="20"/>
          <w:szCs w:val="20"/>
          <w:color w:val="auto"/>
        </w:rPr>
        <w:t>broadcast, transmit, distribute, license, offer to sell, and sell, rent, lease or lend copies of the intellectual property, and derivative works of the intellectual property; and (iii) to sublicense the rights in this Subsection 3.4 to third parties.</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Required Undertakings</w:t>
      </w:r>
      <w:r>
        <w:rPr>
          <w:rFonts w:ascii="Times New Roman" w:cs="Times New Roman" w:eastAsia="Times New Roman" w:hAnsi="Times New Roman"/>
          <w:sz w:val="19"/>
          <w:szCs w:val="19"/>
          <w:color w:val="auto"/>
        </w:rPr>
        <w:t>. Service Provider agrees, both while an employee or service provider of the Company Group and thereafter, to</w:t>
      </w:r>
    </w:p>
    <w:p>
      <w:pPr>
        <w:ind w:left="660" w:right="340"/>
        <w:spacing w:after="0" w:line="215" w:lineRule="auto"/>
        <w:rPr>
          <w:sz w:val="20"/>
          <w:szCs w:val="20"/>
          <w:color w:val="auto"/>
        </w:rPr>
      </w:pPr>
      <w:r>
        <w:rPr>
          <w:rFonts w:ascii="Times New Roman" w:cs="Times New Roman" w:eastAsia="Times New Roman" w:hAnsi="Times New Roman"/>
          <w:sz w:val="19"/>
          <w:szCs w:val="19"/>
          <w:color w:val="auto"/>
        </w:rPr>
        <w:t>assist the Company Group in any and all attempts to obtain patents, copyrights, and/or trademarks or other intellectual property protection on any work Service Provider participated in developing and agrees to execute all documents necessary to obtain such</w:t>
      </w:r>
    </w:p>
    <w:p>
      <w:pPr>
        <w:ind w:left="660"/>
        <w:spacing w:after="0" w:line="222" w:lineRule="auto"/>
        <w:rPr>
          <w:sz w:val="20"/>
          <w:szCs w:val="20"/>
          <w:color w:val="auto"/>
        </w:rPr>
      </w:pPr>
      <w:r>
        <w:rPr>
          <w:rFonts w:ascii="Times New Roman" w:cs="Times New Roman" w:eastAsia="Times New Roman" w:hAnsi="Times New Roman"/>
          <w:sz w:val="19"/>
          <w:szCs w:val="19"/>
          <w:color w:val="auto"/>
        </w:rPr>
        <w:t>rights in the name of or to transfer such rights to the Company. If, because of Service Provider’s mental or physical incapacity or for</w:t>
      </w:r>
    </w:p>
    <w:p>
      <w:pPr>
        <w:ind w:left="660" w:right="460"/>
        <w:spacing w:after="0" w:line="215" w:lineRule="auto"/>
        <w:rPr>
          <w:sz w:val="20"/>
          <w:szCs w:val="20"/>
          <w:color w:val="auto"/>
        </w:rPr>
      </w:pPr>
      <w:r>
        <w:rPr>
          <w:rFonts w:ascii="Times New Roman" w:cs="Times New Roman" w:eastAsia="Times New Roman" w:hAnsi="Times New Roman"/>
          <w:sz w:val="19"/>
          <w:szCs w:val="19"/>
          <w:color w:val="auto"/>
        </w:rPr>
        <w:t>any other reason whatsoever, the Company is unable to secure Service Provider’s signature to apply for or pursue any patents, copyrights, or other protection for any invention assigned to the Company under this Agreement or otherwise, Service Provider</w:t>
      </w:r>
    </w:p>
    <w:p>
      <w:pPr>
        <w:ind w:left="660"/>
        <w:spacing w:after="0"/>
        <w:rPr>
          <w:sz w:val="20"/>
          <w:szCs w:val="20"/>
          <w:color w:val="auto"/>
        </w:rPr>
      </w:pPr>
      <w:r>
        <w:rPr>
          <w:rFonts w:ascii="Times New Roman" w:cs="Times New Roman" w:eastAsia="Times New Roman" w:hAnsi="Times New Roman"/>
          <w:sz w:val="20"/>
          <w:szCs w:val="20"/>
          <w:color w:val="auto"/>
        </w:rPr>
        <w:t>irrevocably designates and appoints the Company and its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00"/>
          </w:cols>
          <w:pgMar w:left="320" w:top="1440" w:right="37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20"/>
          <w:szCs w:val="20"/>
          <w:color w:val="auto"/>
        </w:rPr>
        <w:t>officers and agents as Service Provider’s agent and attorney-in-fact to act for Service Provider and on Service Provider’s behalf and</w:t>
      </w:r>
    </w:p>
    <w:p>
      <w:pPr>
        <w:ind w:left="660" w:right="620"/>
        <w:spacing w:after="0" w:line="221" w:lineRule="auto"/>
        <w:rPr>
          <w:sz w:val="20"/>
          <w:szCs w:val="20"/>
          <w:color w:val="auto"/>
        </w:rPr>
      </w:pPr>
      <w:r>
        <w:rPr>
          <w:rFonts w:ascii="Times New Roman" w:cs="Times New Roman" w:eastAsia="Times New Roman" w:hAnsi="Times New Roman"/>
          <w:sz w:val="20"/>
          <w:szCs w:val="20"/>
          <w:color w:val="auto"/>
        </w:rPr>
        <w:t>stead to file any applications and to do all other lawfully-permitted acts to further the prosecution and issuance of any patents, copyrights, or other protections with the same legal force and effect as if executed by Service Provider.</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Limited Exclusion</w:t>
      </w:r>
      <w:r>
        <w:rPr>
          <w:rFonts w:ascii="Times New Roman" w:cs="Times New Roman" w:eastAsia="Times New Roman" w:hAnsi="Times New Roman"/>
          <w:sz w:val="19"/>
          <w:szCs w:val="19"/>
          <w:color w:val="auto"/>
        </w:rPr>
        <w:t>. This Section 3 does not apply to any inventions or intellectual property for which no equipment, supplies, facility,</w:t>
      </w:r>
    </w:p>
    <w:p>
      <w:pPr>
        <w:ind w:left="660" w:right="340"/>
        <w:spacing w:after="0" w:line="215" w:lineRule="auto"/>
        <w:rPr>
          <w:sz w:val="20"/>
          <w:szCs w:val="20"/>
          <w:color w:val="auto"/>
        </w:rPr>
      </w:pPr>
      <w:r>
        <w:rPr>
          <w:rFonts w:ascii="Times New Roman" w:cs="Times New Roman" w:eastAsia="Times New Roman" w:hAnsi="Times New Roman"/>
          <w:sz w:val="19"/>
          <w:szCs w:val="19"/>
          <w:color w:val="auto"/>
        </w:rPr>
        <w:t>or Confidential Information of the Company Group was used, and which was developed entirely on Service Provider’s own time, unless (i) the invention or intellectual property relates (A) directly to the business of the Company Group, or (B) to the Company</w:t>
      </w:r>
    </w:p>
    <w:p>
      <w:pPr>
        <w:ind w:left="660" w:right="340"/>
        <w:spacing w:after="0" w:line="228" w:lineRule="auto"/>
        <w:rPr>
          <w:sz w:val="20"/>
          <w:szCs w:val="20"/>
          <w:color w:val="auto"/>
        </w:rPr>
      </w:pPr>
      <w:r>
        <w:rPr>
          <w:rFonts w:ascii="Times New Roman" w:cs="Times New Roman" w:eastAsia="Times New Roman" w:hAnsi="Times New Roman"/>
          <w:sz w:val="20"/>
          <w:szCs w:val="20"/>
          <w:color w:val="auto"/>
        </w:rPr>
        <w:t>Group’s actual or demonstrably anticipated research or development, or (ii) the invention or intellectual property results from any work performed by Service Provider for the Company Group.</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Non-Disparagement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Section 6, Service Provider agrees that, during the Restriction Period, Service Provider will not make or publish any statement or</w:t>
      </w:r>
    </w:p>
    <w:p>
      <w:pPr>
        <w:ind w:right="100"/>
        <w:spacing w:after="0" w:line="221" w:lineRule="auto"/>
        <w:rPr>
          <w:sz w:val="20"/>
          <w:szCs w:val="20"/>
          <w:color w:val="auto"/>
        </w:rPr>
      </w:pPr>
      <w:r>
        <w:rPr>
          <w:rFonts w:ascii="Times New Roman" w:cs="Times New Roman" w:eastAsia="Times New Roman" w:hAnsi="Times New Roman"/>
          <w:sz w:val="20"/>
          <w:szCs w:val="20"/>
          <w:color w:val="auto"/>
        </w:rPr>
        <w:t>comment that defames, disparages or in any way injures the reputation and/or goodwill of the Company, the Company Group or any of its or their officers, directors, employees, agents or representatives.</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Injunctive and Other Remedies</w:t>
      </w:r>
    </w:p>
    <w:p>
      <w:pPr>
        <w:spacing w:after="0" w:line="22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Service Provider agrees that a breach or threatened breach by Service Provider of this Agreement will give rise to irreparable injury to the Company and that money damages will not be adequate relief for such injury, and, accordingly, agrees that the Company or any member of</w:t>
      </w:r>
    </w:p>
    <w:p>
      <w:pPr>
        <w:spacing w:after="0" w:line="211" w:lineRule="auto"/>
        <w:rPr>
          <w:sz w:val="20"/>
          <w:szCs w:val="20"/>
          <w:color w:val="auto"/>
        </w:rPr>
      </w:pPr>
      <w:r>
        <w:rPr>
          <w:rFonts w:ascii="Times New Roman" w:cs="Times New Roman" w:eastAsia="Times New Roman" w:hAnsi="Times New Roman"/>
          <w:sz w:val="20"/>
          <w:szCs w:val="20"/>
          <w:color w:val="auto"/>
        </w:rPr>
        <w:t>the Company Group shall be entitled to obtain equitable relief, including, but not limited to, temporary restraining orders, preliminary</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injunctions and/or permanent injunctions, without having to post any bond or other security, to restrain or prohibit such breach or threatened breach, in addition to any other remedies which may be available, including the recovery of damages. In addition, if Service Provider</w:t>
      </w:r>
    </w:p>
    <w:p>
      <w:pPr>
        <w:spacing w:after="0" w:line="211" w:lineRule="auto"/>
        <w:rPr>
          <w:sz w:val="20"/>
          <w:szCs w:val="20"/>
          <w:color w:val="auto"/>
        </w:rPr>
      </w:pPr>
      <w:r>
        <w:rPr>
          <w:rFonts w:ascii="Times New Roman" w:cs="Times New Roman" w:eastAsia="Times New Roman" w:hAnsi="Times New Roman"/>
          <w:sz w:val="20"/>
          <w:szCs w:val="20"/>
          <w:color w:val="auto"/>
        </w:rPr>
        <w:t>breaches this Agreement then Service Provider will forfeit the Award and any equity granted thereunder. In addition to all other relief to</w:t>
      </w:r>
    </w:p>
    <w:p>
      <w:pPr>
        <w:ind w:right="280"/>
        <w:spacing w:after="0" w:line="215" w:lineRule="auto"/>
        <w:rPr>
          <w:sz w:val="20"/>
          <w:szCs w:val="20"/>
          <w:color w:val="auto"/>
        </w:rPr>
      </w:pPr>
      <w:r>
        <w:rPr>
          <w:rFonts w:ascii="Times New Roman" w:cs="Times New Roman" w:eastAsia="Times New Roman" w:hAnsi="Times New Roman"/>
          <w:sz w:val="19"/>
          <w:szCs w:val="19"/>
          <w:color w:val="auto"/>
        </w:rPr>
        <w:t>which it shall be entitled, the Company shall be entitled to recover from Service Provider all reasonable litigation costs and attorneys’ fees incurred by the Company in any action or proceeding arising out of or relating to this Agreement in which the Company prevails in any</w:t>
      </w:r>
    </w:p>
    <w:p>
      <w:pPr>
        <w:spacing w:after="0"/>
        <w:rPr>
          <w:sz w:val="20"/>
          <w:szCs w:val="20"/>
          <w:color w:val="auto"/>
        </w:rPr>
      </w:pPr>
      <w:r>
        <w:rPr>
          <w:rFonts w:ascii="Times New Roman" w:cs="Times New Roman" w:eastAsia="Times New Roman" w:hAnsi="Times New Roman"/>
          <w:sz w:val="20"/>
          <w:szCs w:val="20"/>
          <w:color w:val="auto"/>
        </w:rPr>
        <w:t>respect. Remedies are cumulative and not exclusive.</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No Unlawful Restriction</w:t>
      </w:r>
    </w:p>
    <w:p>
      <w:pPr>
        <w:spacing w:after="0" w:line="206" w:lineRule="exact"/>
        <w:rPr>
          <w:sz w:val="20"/>
          <w:szCs w:val="20"/>
          <w:color w:val="auto"/>
        </w:rPr>
      </w:pPr>
    </w:p>
    <w:p>
      <w:pPr>
        <w:ind w:right="380"/>
        <w:spacing w:after="0" w:line="234" w:lineRule="auto"/>
        <w:rPr>
          <w:sz w:val="20"/>
          <w:szCs w:val="20"/>
          <w:color w:val="auto"/>
        </w:rPr>
      </w:pPr>
      <w:r>
        <w:rPr>
          <w:rFonts w:ascii="Times New Roman" w:cs="Times New Roman" w:eastAsia="Times New Roman" w:hAnsi="Times New Roman"/>
          <w:sz w:val="19"/>
          <w:szCs w:val="19"/>
          <w:color w:val="auto"/>
        </w:rPr>
        <w:t>Service Provider understands and agrees that nothing in this Agreement is intended to or will prevent or interfere with Service Provider’s ability or right to: (i) provide truthful testimony if under subpoena to do so, (ii) file any charge with or participate in any investigation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proceeding before the U.S. Equal Employment Opportunity Commission or any other federal, state or local governmental agency, (iii) engage in any conduct protected under the National Labor Relations Act, or (iv) report possible violations of law or regulations to any governmental</w:t>
      </w:r>
    </w:p>
    <w:p>
      <w:pPr>
        <w:ind w:right="180"/>
        <w:spacing w:after="0" w:line="221" w:lineRule="auto"/>
        <w:rPr>
          <w:sz w:val="20"/>
          <w:szCs w:val="20"/>
          <w:color w:val="auto"/>
        </w:rPr>
      </w:pPr>
      <w:r>
        <w:rPr>
          <w:rFonts w:ascii="Times New Roman" w:cs="Times New Roman" w:eastAsia="Times New Roman" w:hAnsi="Times New Roman"/>
          <w:sz w:val="20"/>
          <w:szCs w:val="20"/>
          <w:color w:val="auto"/>
        </w:rPr>
        <w:t>agency or from making other disclosures protected under any applicable whistleblower laws, or (v) respond to a subpoena, court order or as otherwise provided by law.</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193" w:lineRule="exact"/>
        <w:rPr>
          <w:sz w:val="20"/>
          <w:szCs w:val="20"/>
          <w:color w:val="auto"/>
        </w:rPr>
      </w:pPr>
    </w:p>
    <w:p>
      <w:pPr>
        <w:ind w:left="460" w:right="8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All of the terms and provisions of this Agreement shall be binding upon and inure to the benefit of and be enforceable by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respective heirs, executors, administrators, legal representatives, successors, and assigns of the Parties (including, with respect to</w:t>
      </w:r>
    </w:p>
    <w:p>
      <w:pPr>
        <w:ind w:left="660" w:right="720"/>
        <w:spacing w:after="0" w:line="228" w:lineRule="auto"/>
        <w:rPr>
          <w:sz w:val="20"/>
          <w:szCs w:val="20"/>
          <w:color w:val="auto"/>
        </w:rPr>
      </w:pPr>
      <w:r>
        <w:rPr>
          <w:rFonts w:ascii="Times New Roman" w:cs="Times New Roman" w:eastAsia="Times New Roman" w:hAnsi="Times New Roman"/>
          <w:sz w:val="20"/>
          <w:szCs w:val="20"/>
          <w:color w:val="auto"/>
        </w:rPr>
        <w:t>the Company, any member of the Company Group), except that the duties and responsibilities of Service Provider under this Agreement are of a personal nature and shall not be assignable or delegable in whole or in part by Service Provider.</w:t>
      </w:r>
    </w:p>
    <w:p>
      <w:pPr>
        <w:spacing w:after="0" w:line="149" w:lineRule="exact"/>
        <w:rPr>
          <w:sz w:val="20"/>
          <w:szCs w:val="20"/>
          <w:color w:val="auto"/>
        </w:rPr>
      </w:pPr>
    </w:p>
    <w:p>
      <w:pPr>
        <w:jc w:val="both"/>
        <w:ind w:left="460" w:right="240" w:hanging="647"/>
        <w:spacing w:after="0" w:line="230" w:lineRule="auto"/>
        <w:tabs>
          <w:tab w:leader="none" w:pos="4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covenants, provisions and restrictions in this Agreement are separate and divisible to the maximum extent possible,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to the extent any covenant, provision or portion of this Agreement is determined to be unenforceable or invalid for any reason, the Company and Service Provider acknowledge and agree that such unenforceability or invalidity shall not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39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9"/>
          <w:szCs w:val="19"/>
          <w:color w:val="auto"/>
        </w:rPr>
        <w:t>the enforceability or validity of the remainder of this Agreement. If any particular covenant, provision or portion of this Agreement is</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determined to be unreasonable or unenforceable for any reason, including, without limitation, the time period, geographical area, and/or scope of activity covered by any restrictive covenant or non-disclosure provision, or portion thereof, the Company and Service</w:t>
      </w:r>
    </w:p>
    <w:p>
      <w:pPr>
        <w:ind w:left="660"/>
        <w:spacing w:after="0" w:line="211" w:lineRule="auto"/>
        <w:rPr>
          <w:sz w:val="20"/>
          <w:szCs w:val="20"/>
          <w:color w:val="auto"/>
        </w:rPr>
      </w:pPr>
      <w:r>
        <w:rPr>
          <w:rFonts w:ascii="Times New Roman" w:cs="Times New Roman" w:eastAsia="Times New Roman" w:hAnsi="Times New Roman"/>
          <w:sz w:val="20"/>
          <w:szCs w:val="20"/>
          <w:color w:val="auto"/>
        </w:rPr>
        <w:t>Provider acknowledge and agree that such covenant, provision or portion shall automatically be deemed reformed such that the</w:t>
      </w:r>
    </w:p>
    <w:p>
      <w:pPr>
        <w:ind w:left="660" w:right="400"/>
        <w:spacing w:after="0" w:line="204" w:lineRule="auto"/>
        <w:rPr>
          <w:sz w:val="20"/>
          <w:szCs w:val="20"/>
          <w:color w:val="auto"/>
        </w:rPr>
      </w:pPr>
      <w:r>
        <w:rPr>
          <w:rFonts w:ascii="Times New Roman" w:cs="Times New Roman" w:eastAsia="Times New Roman" w:hAnsi="Times New Roman"/>
          <w:sz w:val="20"/>
          <w:szCs w:val="20"/>
          <w:color w:val="auto"/>
        </w:rPr>
        <w:t>contested covenant, provision or portion will have the closest effect permitted by applicable law to the original form and shall be given effect and enforced as so reformed to whatever extent would be reasonable and enforceable under applicable law.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Company and Service Provider agree that any court interpreting any restrictive covenant or non-disclosure provision of this</w:t>
      </w:r>
    </w:p>
    <w:p>
      <w:pPr>
        <w:spacing w:after="0" w:line="1" w:lineRule="exact"/>
        <w:rPr>
          <w:sz w:val="20"/>
          <w:szCs w:val="20"/>
          <w:color w:val="auto"/>
        </w:rPr>
      </w:pPr>
    </w:p>
    <w:p>
      <w:pPr>
        <w:ind w:left="660" w:right="40"/>
        <w:spacing w:after="0" w:line="221" w:lineRule="auto"/>
        <w:rPr>
          <w:sz w:val="20"/>
          <w:szCs w:val="20"/>
          <w:color w:val="auto"/>
        </w:rPr>
      </w:pPr>
      <w:r>
        <w:rPr>
          <w:rFonts w:ascii="Times New Roman" w:cs="Times New Roman" w:eastAsia="Times New Roman" w:hAnsi="Times New Roman"/>
          <w:sz w:val="20"/>
          <w:szCs w:val="20"/>
          <w:color w:val="auto"/>
        </w:rPr>
        <w:t>Agreement shall interpret such provision in a manner that would make the provision valid under applicable law to the extent possible and, if necessary, reform any such provision to make it enforceable under applicable law.</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Service Provider acknowledges and agrees that certain of Service Provider’s obligations under this Agreement, including,</w:t>
      </w: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without limitation, Service Provider’s non-disclosure and restrictive covenant obligations, shall survive the termination of Service Provider’s employment or engagement with the Company Group for any reason. Service Provider further acknowledges and agrees</w:t>
      </w:r>
    </w:p>
    <w:p>
      <w:pPr>
        <w:ind w:left="660"/>
        <w:spacing w:after="0" w:line="222" w:lineRule="auto"/>
        <w:rPr>
          <w:sz w:val="20"/>
          <w:szCs w:val="20"/>
          <w:color w:val="auto"/>
        </w:rPr>
      </w:pPr>
      <w:r>
        <w:rPr>
          <w:rFonts w:ascii="Times New Roman" w:cs="Times New Roman" w:eastAsia="Times New Roman" w:hAnsi="Times New Roman"/>
          <w:sz w:val="19"/>
          <w:szCs w:val="19"/>
          <w:color w:val="auto"/>
        </w:rPr>
        <w:t>that: (A) the confidentiality, intellectual property, and restrictive covenants provisions set forth in Section 1, Section 2, and Section 3</w:t>
      </w:r>
    </w:p>
    <w:p>
      <w:pPr>
        <w:ind w:left="660"/>
        <w:spacing w:after="0" w:line="215" w:lineRule="auto"/>
        <w:rPr>
          <w:sz w:val="20"/>
          <w:szCs w:val="20"/>
          <w:color w:val="auto"/>
        </w:rPr>
      </w:pPr>
      <w:r>
        <w:rPr>
          <w:rFonts w:ascii="Times New Roman" w:cs="Times New Roman" w:eastAsia="Times New Roman" w:hAnsi="Times New Roman"/>
          <w:sz w:val="19"/>
          <w:szCs w:val="19"/>
          <w:color w:val="auto"/>
        </w:rPr>
        <w:t>of this Agreement shall be construed as independent covenants and that no breach of any contractual or legal duty by the Company or any other member of the Company Group shall be held sufficient to excuse or terminate Service Provider’s covenants or obligations</w:t>
      </w:r>
    </w:p>
    <w:p>
      <w:pPr>
        <w:ind w:left="660"/>
        <w:spacing w:after="0" w:line="211" w:lineRule="auto"/>
        <w:rPr>
          <w:sz w:val="20"/>
          <w:szCs w:val="20"/>
          <w:color w:val="auto"/>
        </w:rPr>
      </w:pPr>
      <w:r>
        <w:rPr>
          <w:rFonts w:ascii="Times New Roman" w:cs="Times New Roman" w:eastAsia="Times New Roman" w:hAnsi="Times New Roman"/>
          <w:sz w:val="20"/>
          <w:szCs w:val="20"/>
          <w:color w:val="auto"/>
        </w:rPr>
        <w:t>under Section 1 , Section 2, and Section 3 or preclude the Company or any other member of the Company Group from obtaining</w:t>
      </w: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injunctive relief for Service Provider’s violation or threatened violation of such provisions; and (B) the existence of any claim or cause of action by Service Provider against the Company, whether predicated on this Agreement or otherwise, shall not constitute a</w:t>
      </w:r>
    </w:p>
    <w:p>
      <w:pPr>
        <w:ind w:left="660" w:right="880"/>
        <w:spacing w:after="0" w:line="228" w:lineRule="auto"/>
        <w:rPr>
          <w:sz w:val="20"/>
          <w:szCs w:val="20"/>
          <w:color w:val="auto"/>
        </w:rPr>
      </w:pPr>
      <w:r>
        <w:rPr>
          <w:rFonts w:ascii="Times New Roman" w:cs="Times New Roman" w:eastAsia="Times New Roman" w:hAnsi="Times New Roman"/>
          <w:sz w:val="20"/>
          <w:szCs w:val="20"/>
          <w:color w:val="auto"/>
        </w:rPr>
        <w:t>defense to the Company’s or any other member of the Company Group’s enforcement of Service Provider’s covenants and obligations under this Agreement.</w:t>
      </w:r>
    </w:p>
    <w:p>
      <w:pPr>
        <w:spacing w:after="0" w:line="149" w:lineRule="exact"/>
        <w:rPr>
          <w:sz w:val="20"/>
          <w:szCs w:val="20"/>
          <w:color w:val="auto"/>
        </w:rPr>
      </w:pPr>
    </w:p>
    <w:p>
      <w:pPr>
        <w:jc w:val="both"/>
        <w:ind w:left="480" w:hanging="647"/>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u w:val="single" w:color="auto"/>
          <w:color w:val="auto"/>
        </w:rPr>
        <w:t>The Company Does Not Waive Its Rights by Non-Enforcement</w:t>
      </w:r>
      <w:r>
        <w:rPr>
          <w:rFonts w:ascii="Times New Roman" w:cs="Times New Roman" w:eastAsia="Times New Roman" w:hAnsi="Times New Roman"/>
          <w:sz w:val="20"/>
          <w:szCs w:val="20"/>
          <w:color w:val="auto"/>
        </w:rPr>
        <w:t>. Service Provider acknowledges that the Company’s failure to demand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rigid adherence to one or more terms of this Agreement, on one or more occasions, will not be construed as a waiver nor deprive the Company of the right thereafter to insist upon strict compliance with any such term or terms.</w:t>
      </w:r>
    </w:p>
    <w:p>
      <w:pPr>
        <w:spacing w:after="0" w:line="14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Disclosure of Existence of Agreement and Subsequent Employment</w:t>
      </w:r>
      <w:r>
        <w:rPr>
          <w:rFonts w:ascii="Times New Roman" w:cs="Times New Roman" w:eastAsia="Times New Roman" w:hAnsi="Times New Roman"/>
          <w:sz w:val="19"/>
          <w:szCs w:val="19"/>
          <w:color w:val="auto"/>
        </w:rPr>
        <w:t>. Service Provider agrees that</w:t>
      </w:r>
      <w:r>
        <w:rPr>
          <w:rFonts w:ascii="Times New Roman" w:cs="Times New Roman" w:eastAsia="Times New Roman" w:hAnsi="Times New Roman"/>
          <w:sz w:val="19"/>
          <w:szCs w:val="19"/>
          <w:u w:val="single" w:color="auto"/>
          <w:color w:val="auto"/>
        </w:rPr>
        <w:t xml:space="preserve"> </w:t>
      </w:r>
      <w:r>
        <w:rPr>
          <w:rFonts w:ascii="Calibri" w:cs="Calibri" w:eastAsia="Calibri" w:hAnsi="Calibri"/>
          <w:sz w:val="19"/>
          <w:szCs w:val="19"/>
          <w:color w:val="auto"/>
        </w:rPr>
        <w:t>(i)</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if Service Provider should decide</w:t>
      </w:r>
    </w:p>
    <w:p>
      <w:pPr>
        <w:spacing w:after="0" w:line="20" w:lineRule="exact"/>
        <w:rPr>
          <w:sz w:val="20"/>
          <w:szCs w:val="20"/>
          <w:color w:val="auto"/>
        </w:rPr>
      </w:pPr>
    </w:p>
    <w:p>
      <w:pPr>
        <w:ind w:left="660" w:right="40"/>
        <w:spacing w:after="0" w:line="222" w:lineRule="auto"/>
        <w:rPr>
          <w:sz w:val="20"/>
          <w:szCs w:val="20"/>
          <w:color w:val="auto"/>
        </w:rPr>
      </w:pPr>
      <w:r>
        <w:rPr>
          <w:rFonts w:ascii="Times New Roman" w:cs="Times New Roman" w:eastAsia="Times New Roman" w:hAnsi="Times New Roman"/>
          <w:sz w:val="19"/>
          <w:szCs w:val="19"/>
          <w:color w:val="auto"/>
        </w:rPr>
        <w:t xml:space="preserve">to seek other employment, Service Provider will fully disclose the contents of this Agreement to prospective employers before accepting any offer of employment; </w:t>
      </w:r>
      <w:r>
        <w:rPr>
          <w:rFonts w:ascii="Calibri" w:cs="Calibri" w:eastAsia="Calibri" w:hAnsi="Calibri"/>
          <w:sz w:val="19"/>
          <w:szCs w:val="19"/>
          <w:color w:val="auto"/>
        </w:rPr>
        <w:t>(ii)</w:t>
      </w:r>
      <w:r>
        <w:rPr>
          <w:rFonts w:ascii="Times New Roman" w:cs="Times New Roman" w:eastAsia="Times New Roman" w:hAnsi="Times New Roman"/>
          <w:sz w:val="19"/>
          <w:szCs w:val="19"/>
          <w:color w:val="auto"/>
        </w:rPr>
        <w:t xml:space="preserve"> if Service Provider accepts other employment, Service Provider will confirm to the Company</w:t>
      </w:r>
    </w:p>
    <w:p>
      <w:pPr>
        <w:ind w:left="660"/>
        <w:spacing w:after="0"/>
        <w:rPr>
          <w:sz w:val="20"/>
          <w:szCs w:val="20"/>
          <w:color w:val="auto"/>
        </w:rPr>
      </w:pPr>
      <w:r>
        <w:rPr>
          <w:rFonts w:ascii="Times New Roman" w:cs="Times New Roman" w:eastAsia="Times New Roman" w:hAnsi="Times New Roman"/>
          <w:sz w:val="19"/>
          <w:szCs w:val="19"/>
          <w:color w:val="auto"/>
        </w:rPr>
        <w:t xml:space="preserve">in writing that Service Provider has properly notified Service Provider’s new employer of the contents of this Agreement; and </w:t>
      </w:r>
      <w:r>
        <w:rPr>
          <w:rFonts w:ascii="Calibri" w:cs="Calibri" w:eastAsia="Calibri" w:hAnsi="Calibri"/>
          <w:sz w:val="19"/>
          <w:szCs w:val="19"/>
          <w:color w:val="auto"/>
        </w:rPr>
        <w:t>(iii)</w:t>
      </w:r>
      <w:r>
        <w:rPr>
          <w:rFonts w:ascii="Times New Roman" w:cs="Times New Roman" w:eastAsia="Times New Roman" w:hAnsi="Times New Roman"/>
          <w:sz w:val="19"/>
          <w:szCs w:val="19"/>
          <w:color w:val="auto"/>
        </w:rPr>
        <w:t xml:space="preserve"> the</w:t>
      </w:r>
    </w:p>
    <w:p>
      <w:pPr>
        <w:ind w:left="660" w:right="200"/>
        <w:spacing w:after="0" w:line="221" w:lineRule="auto"/>
        <w:rPr>
          <w:sz w:val="20"/>
          <w:szCs w:val="20"/>
          <w:color w:val="auto"/>
        </w:rPr>
      </w:pPr>
      <w:r>
        <w:rPr>
          <w:rFonts w:ascii="Times New Roman" w:cs="Times New Roman" w:eastAsia="Times New Roman" w:hAnsi="Times New Roman"/>
          <w:sz w:val="20"/>
          <w:szCs w:val="20"/>
          <w:color w:val="auto"/>
        </w:rPr>
        <w:t>Company may advise any third party of the existence of this Agreement and of its terms and may provide copies of this Agreement to such third party, and the Company shall have no liability for so doing.</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sets forth the entire agreement of the Parties and supersede any and all prior agreements and</w:t>
      </w:r>
    </w:p>
    <w:p>
      <w:pPr>
        <w:ind w:left="660"/>
        <w:spacing w:after="0" w:line="215" w:lineRule="auto"/>
        <w:rPr>
          <w:sz w:val="20"/>
          <w:szCs w:val="20"/>
          <w:color w:val="auto"/>
        </w:rPr>
      </w:pPr>
      <w:r>
        <w:rPr>
          <w:rFonts w:ascii="Times New Roman" w:cs="Times New Roman" w:eastAsia="Times New Roman" w:hAnsi="Times New Roman"/>
          <w:sz w:val="19"/>
          <w:szCs w:val="19"/>
          <w:color w:val="auto"/>
        </w:rPr>
        <w:t>understandings concerning the subject matter of this Agreement; provided, that this Agreement shall supplement and not supersede any written restrictive covenant agreement or any other agreement between Service Provider and any member of the Company Group</w:t>
      </w:r>
    </w:p>
    <w:p>
      <w:pPr>
        <w:ind w:left="660"/>
        <w:spacing w:after="0" w:line="222" w:lineRule="auto"/>
        <w:rPr>
          <w:sz w:val="20"/>
          <w:szCs w:val="20"/>
          <w:color w:val="auto"/>
        </w:rPr>
      </w:pPr>
      <w:r>
        <w:rPr>
          <w:rFonts w:ascii="Times New Roman" w:cs="Times New Roman" w:eastAsia="Times New Roman" w:hAnsi="Times New Roman"/>
          <w:sz w:val="19"/>
          <w:szCs w:val="19"/>
          <w:color w:val="auto"/>
        </w:rPr>
        <w:t>addressing non-disclosure of confidential information, assignment of inventions or other terms for the benefit of the Company Group</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previously entered into between the Parties or between Service Provider and any other member of the Company Group (the “</w:t>
      </w:r>
      <w:r>
        <w:rPr>
          <w:rFonts w:ascii="Times New Roman" w:cs="Times New Roman" w:eastAsia="Times New Roman" w:hAnsi="Times New Roman"/>
          <w:sz w:val="19"/>
          <w:szCs w:val="19"/>
          <w:u w:val="single" w:color="auto"/>
          <w:color w:val="auto"/>
        </w:rPr>
        <w:t>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Protective Agreements</w:t>
      </w:r>
      <w:r>
        <w:rPr>
          <w:rFonts w:ascii="Times New Roman" w:cs="Times New Roman" w:eastAsia="Times New Roman" w:hAnsi="Times New Roman"/>
          <w:sz w:val="19"/>
          <w:szCs w:val="19"/>
          <w:color w:val="auto"/>
        </w:rPr>
        <w:t>”). This Agreement and the Other Protective Agreements shall be read and interpreted together to provide the</w:t>
      </w:r>
    </w:p>
    <w:p>
      <w:pPr>
        <w:ind w:left="660" w:right="240"/>
        <w:spacing w:after="0" w:line="228" w:lineRule="auto"/>
        <w:rPr>
          <w:sz w:val="20"/>
          <w:szCs w:val="20"/>
          <w:color w:val="auto"/>
        </w:rPr>
      </w:pPr>
      <w:r>
        <w:rPr>
          <w:rFonts w:ascii="Times New Roman" w:cs="Times New Roman" w:eastAsia="Times New Roman" w:hAnsi="Times New Roman"/>
          <w:sz w:val="20"/>
          <w:szCs w:val="20"/>
          <w:color w:val="auto"/>
        </w:rPr>
        <w:t>maximum protection to the Company. The terms of this Agreement may be changed only by a written document signed by Service Provider and an authorized representative of the Company.</w:t>
      </w:r>
    </w:p>
    <w:p>
      <w:pPr>
        <w:spacing w:after="0" w:line="149" w:lineRule="exact"/>
        <w:rPr>
          <w:sz w:val="20"/>
          <w:szCs w:val="20"/>
          <w:color w:val="auto"/>
        </w:rPr>
      </w:pPr>
    </w:p>
    <w:p>
      <w:pPr>
        <w:ind w:left="460" w:right="60" w:hanging="647"/>
        <w:spacing w:after="0" w:line="230" w:lineRule="auto"/>
        <w:tabs>
          <w:tab w:leader="none" w:pos="4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enforcement, interpretation, and any other aspect of this Agreement shall be governed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laws of the State of Minnesota, notwithstanding the choice of law provisions of any jurisdiction; provided, however, to the extent an Other Protective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40"/>
          </w:cols>
          <w:pgMar w:left="320" w:top="1399"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color w:val="auto"/>
        </w:rPr>
        <w:t>Agreement addresses the same subject matter as addressed in this Agreement and such Other Protective Agreement identifies a</w:t>
      </w:r>
    </w:p>
    <w:p>
      <w:pPr>
        <w:ind w:left="660" w:right="280"/>
        <w:spacing w:after="0" w:line="221" w:lineRule="auto"/>
        <w:rPr>
          <w:sz w:val="20"/>
          <w:szCs w:val="20"/>
          <w:color w:val="auto"/>
        </w:rPr>
      </w:pPr>
      <w:r>
        <w:rPr>
          <w:rFonts w:ascii="Times New Roman" w:cs="Times New Roman" w:eastAsia="Times New Roman" w:hAnsi="Times New Roman"/>
          <w:sz w:val="20"/>
          <w:szCs w:val="20"/>
          <w:color w:val="auto"/>
        </w:rPr>
        <w:t>governing law other than Minnesota law, then the governing law identified in such Other Protective Agreement shall control with respect to such subject matter.</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Venue; Jury Trial Waiver</w:t>
      </w:r>
      <w:r>
        <w:rPr>
          <w:rFonts w:ascii="Times New Roman" w:cs="Times New Roman" w:eastAsia="Times New Roman" w:hAnsi="Times New Roman"/>
          <w:sz w:val="19"/>
          <w:szCs w:val="19"/>
          <w:color w:val="auto"/>
        </w:rPr>
        <w:t>. Company and Service Provider agree that any legal action arising out of or relating to this Agreement,</w:t>
      </w:r>
    </w:p>
    <w:p>
      <w:pPr>
        <w:ind w:left="660" w:right="420"/>
        <w:spacing w:after="0" w:line="215" w:lineRule="auto"/>
        <w:rPr>
          <w:sz w:val="20"/>
          <w:szCs w:val="20"/>
          <w:color w:val="auto"/>
        </w:rPr>
      </w:pPr>
      <w:r>
        <w:rPr>
          <w:rFonts w:ascii="Times New Roman" w:cs="Times New Roman" w:eastAsia="Times New Roman" w:hAnsi="Times New Roman"/>
          <w:sz w:val="19"/>
          <w:szCs w:val="19"/>
          <w:color w:val="auto"/>
        </w:rPr>
        <w:t>Service Provider’s employment or engagement with the Company or the separation of Service Provider’s employment or engagement shall be commenced and maintained exclusively before any state or federal court having appropriate subject matter</w:t>
      </w:r>
    </w:p>
    <w:p>
      <w:pPr>
        <w:ind w:left="660"/>
        <w:spacing w:after="0" w:line="211" w:lineRule="auto"/>
        <w:rPr>
          <w:sz w:val="20"/>
          <w:szCs w:val="20"/>
          <w:color w:val="auto"/>
        </w:rPr>
      </w:pPr>
      <w:r>
        <w:rPr>
          <w:rFonts w:ascii="Times New Roman" w:cs="Times New Roman" w:eastAsia="Times New Roman" w:hAnsi="Times New Roman"/>
          <w:sz w:val="20"/>
          <w:szCs w:val="20"/>
          <w:color w:val="auto"/>
        </w:rPr>
        <w:t>jurisdiction located in, or whose judicial district encompasses or serves, Hennepin County, Minnesota; provided, however, to the</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extent an Other Protective Agreement addresses the same subject matter as addressed in this Agreement and such Other Protective Agreement identifies a venue other than Hennepin County, Minnesota, then the venue identified in such Other Protective Agreement</w:t>
      </w:r>
    </w:p>
    <w:p>
      <w:pPr>
        <w:ind w:left="660"/>
        <w:spacing w:after="0" w:line="222" w:lineRule="auto"/>
        <w:rPr>
          <w:sz w:val="20"/>
          <w:szCs w:val="20"/>
          <w:color w:val="auto"/>
        </w:rPr>
      </w:pPr>
      <w:r>
        <w:rPr>
          <w:rFonts w:ascii="Times New Roman" w:cs="Times New Roman" w:eastAsia="Times New Roman" w:hAnsi="Times New Roman"/>
          <w:sz w:val="19"/>
          <w:szCs w:val="19"/>
          <w:color w:val="auto"/>
        </w:rPr>
        <w:t>shall control with respect to such subject matter. SERVICE PROVIDER AND THE COMPANY EACH HEREBY VOLUNTARILY</w:t>
      </w:r>
    </w:p>
    <w:p>
      <w:pPr>
        <w:ind w:left="660" w:right="400"/>
        <w:spacing w:after="0" w:line="215" w:lineRule="auto"/>
        <w:rPr>
          <w:sz w:val="20"/>
          <w:szCs w:val="20"/>
          <w:color w:val="auto"/>
        </w:rPr>
      </w:pPr>
      <w:r>
        <w:rPr>
          <w:rFonts w:ascii="Times New Roman" w:cs="Times New Roman" w:eastAsia="Times New Roman" w:hAnsi="Times New Roman"/>
          <w:sz w:val="19"/>
          <w:szCs w:val="19"/>
          <w:color w:val="auto"/>
        </w:rPr>
        <w:t>AND IRREVOCABLY WAIVES TRIAL BY JURY IN ANY LEGAL ACTION ARISING OUT OF OR RELATING TO THIS AGREEMENT OR SERVICE PROVIDER’S EMPLOYMENT OR ENGAGEMENT WITH THE COMPANY TO THE FULL</w:t>
      </w:r>
    </w:p>
    <w:p>
      <w:pPr>
        <w:ind w:left="660"/>
        <w:spacing w:after="0"/>
        <w:rPr>
          <w:sz w:val="20"/>
          <w:szCs w:val="20"/>
          <w:color w:val="auto"/>
        </w:rPr>
      </w:pPr>
      <w:r>
        <w:rPr>
          <w:rFonts w:ascii="Times New Roman" w:cs="Times New Roman" w:eastAsia="Times New Roman" w:hAnsi="Times New Roman"/>
          <w:sz w:val="20"/>
          <w:szCs w:val="20"/>
          <w:color w:val="auto"/>
        </w:rPr>
        <w:t>EXTENT PERMITTED BY LAW.</w:t>
      </w:r>
    </w:p>
    <w:p>
      <w:pPr>
        <w:spacing w:after="0" w:line="167" w:lineRule="exact"/>
        <w:rPr>
          <w:sz w:val="20"/>
          <w:szCs w:val="20"/>
          <w:color w:val="auto"/>
        </w:rPr>
      </w:pPr>
    </w:p>
    <w:p>
      <w:pPr>
        <w:ind w:left="46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Acknowledgment; Headings</w:t>
      </w:r>
      <w:r>
        <w:rPr>
          <w:rFonts w:ascii="Times New Roman" w:cs="Times New Roman" w:eastAsia="Times New Roman" w:hAnsi="Times New Roman"/>
          <w:sz w:val="19"/>
          <w:szCs w:val="19"/>
          <w:color w:val="auto"/>
        </w:rPr>
        <w:t>. By accepting the terms of this Agreement online, Service Provider agrees to be bound by this Agreement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agrees such acceptance shall evidence Service Provider’s signature by electronic means. Section headings are inserted for</w:t>
      </w:r>
    </w:p>
    <w:p>
      <w:pPr>
        <w:ind w:left="660"/>
        <w:spacing w:after="0"/>
        <w:rPr>
          <w:sz w:val="20"/>
          <w:szCs w:val="20"/>
          <w:color w:val="auto"/>
        </w:rPr>
      </w:pPr>
      <w:r>
        <w:rPr>
          <w:rFonts w:ascii="Times New Roman" w:cs="Times New Roman" w:eastAsia="Times New Roman" w:hAnsi="Times New Roman"/>
          <w:sz w:val="20"/>
          <w:szCs w:val="20"/>
          <w:color w:val="auto"/>
        </w:rPr>
        <w:t>convenience only and shall not be deemed to constitute part of this Agreement or to affect its interpretation.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180"/>
          </w:cols>
          <w:pgMar w:left="320" w:top="1394" w:right="399" w:bottom="1440" w:gutter="0" w:footer="0" w:header="0"/>
        </w:sectPr>
      </w:pPr>
    </w:p>
    <w:bookmarkStart w:id="90" w:name="page91"/>
    <w:bookmarkEnd w:id="90"/>
    <w:p>
      <w:pPr>
        <w:jc w:val="center"/>
        <w:ind w:right="-31"/>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1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b w:val="1"/>
          <w:bCs w:val="1"/>
          <w:color w:val="auto"/>
        </w:rPr>
        <w:t>PRIOR INVENTIONS</w:t>
      </w:r>
    </w:p>
    <w:p>
      <w:pPr>
        <w:spacing w:after="0" w:line="200" w:lineRule="exact"/>
        <w:rPr>
          <w:sz w:val="20"/>
          <w:szCs w:val="20"/>
          <w:color w:val="auto"/>
        </w:rPr>
      </w:pPr>
    </w:p>
    <w:p>
      <w:pPr>
        <w:spacing w:after="0" w:line="330"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31115</wp:posOffset>
            </wp:positionV>
            <wp:extent cx="40462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8" w:firstLine="8"/>
        <w:spacing w:after="0" w:line="216" w:lineRule="auto"/>
        <w:tabs>
          <w:tab w:leader="none" w:pos="19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Prior Inventions listed in Section 2 below, the following is a reasonably detailed, complete, and accurate list of all intellectual property, including, but not limited to, any ideas, inventions, patents, trademarks, service marks, copyrights, creations, know how, work product, and other developments or improvements, if any, patented or unpatented, which I, alone or with others, conceived, created, invented, developed, reduced to practice, or caused to be conceived and or caused to be reduced to practice prior to the earlier of commencement of my employment with Winnebago Industries, Inc. or any of its subsidiaries, parents, affiliates, or divisions, or when I first provided services to Winnebago Industries, Inc. or any of its subsidiaries, affiliates, or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13232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50"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20"/>
          <w:szCs w:val="20"/>
          <w:color w:val="auto"/>
        </w:rPr>
        <w:t>I have no Prior Inventions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2320"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71"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20"/>
          <w:szCs w:val="20"/>
          <w:color w:val="auto"/>
        </w:rPr>
        <w:t>List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1214120</wp:posOffset>
            </wp:positionV>
            <wp:extent cx="7132320"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1017270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819785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622935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20"/>
          <w:szCs w:val="20"/>
          <w:color w:val="auto"/>
        </w:rPr>
        <w:t>Check box and attach additional sheet(s), as needed.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 w:right="60" w:firstLine="8"/>
        <w:spacing w:after="0"/>
        <w:tabs>
          <w:tab w:leader="none" w:pos="19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a prior confidentiality agreement, I can only provide a general reference to Prior Inventions and the name and relationship status of the party(ies) to whom I owe a duty of confientiatlity with respect to such proprietary rights:</w:t>
      </w:r>
    </w:p>
    <w:p>
      <w:pPr>
        <w:spacing w:after="0" w:line="256" w:lineRule="exact"/>
        <w:rPr>
          <w:sz w:val="20"/>
          <w:szCs w:val="20"/>
          <w:color w:val="auto"/>
        </w:rPr>
      </w:pPr>
    </w:p>
    <w:p>
      <w:pPr>
        <w:ind w:left="572"/>
        <w:spacing w:after="0"/>
        <w:tabs>
          <w:tab w:leader="none" w:pos="4892" w:val="left"/>
          <w:tab w:leader="none" w:pos="8252" w:val="left"/>
        </w:tabs>
        <w:rPr>
          <w:sz w:val="20"/>
          <w:szCs w:val="20"/>
          <w:color w:val="auto"/>
        </w:rPr>
      </w:pPr>
      <w:r>
        <w:rPr>
          <w:rFonts w:ascii="Times New Roman" w:cs="Times New Roman" w:eastAsia="Times New Roman" w:hAnsi="Times New Roman"/>
          <w:sz w:val="20"/>
          <w:szCs w:val="20"/>
          <w:color w:val="auto"/>
        </w:rPr>
        <w:t>Prior Invention</w:t>
      </w:r>
      <w:r>
        <w:rPr>
          <w:sz w:val="20"/>
          <w:szCs w:val="20"/>
          <w:color w:val="auto"/>
        </w:rPr>
        <w:tab/>
      </w:r>
      <w:r>
        <w:rPr>
          <w:rFonts w:ascii="Times New Roman" w:cs="Times New Roman" w:eastAsia="Times New Roman" w:hAnsi="Times New Roman"/>
          <w:sz w:val="20"/>
          <w:szCs w:val="20"/>
          <w:color w:val="auto"/>
        </w:rPr>
        <w:t>Party(ies)</w:t>
      </w:r>
      <w:r>
        <w:rPr>
          <w:sz w:val="20"/>
          <w:szCs w:val="20"/>
          <w:color w:val="auto"/>
        </w:rPr>
        <w:tab/>
      </w:r>
      <w:r>
        <w:rPr>
          <w:rFonts w:ascii="Times New Roman" w:cs="Times New Roman" w:eastAsia="Times New Roman" w:hAnsi="Times New Roman"/>
          <w:sz w:val="19"/>
          <w:szCs w:val="19"/>
          <w:color w:val="auto"/>
        </w:rPr>
        <w:t>Relationship</w:t>
      </w:r>
    </w:p>
    <w:p>
      <w:pPr>
        <w:spacing w:after="0" w:line="67"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31115</wp:posOffset>
            </wp:positionV>
            <wp:extent cx="68148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47"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31115</wp:posOffset>
            </wp:positionV>
            <wp:extent cx="68148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47"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132320"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31115</wp:posOffset>
            </wp:positionV>
            <wp:extent cx="6814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6814820" cy="8890"/>
                    </a:xfrm>
                    <a:prstGeom prst="rect">
                      <a:avLst/>
                    </a:prstGeom>
                    <a:noFill/>
                  </pic:spPr>
                </pic:pic>
              </a:graphicData>
            </a:graphic>
          </wp:anchor>
        </w:drawing>
      </w:r>
    </w:p>
    <w:p>
      <w:pPr>
        <w:spacing w:after="0" w:line="358"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20"/>
          <w:szCs w:val="20"/>
          <w:color w:val="auto"/>
        </w:rPr>
        <w:t>Check box and attach additional sheet(s),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
        <w:spacing w:after="0"/>
        <w:rPr>
          <w:sz w:val="20"/>
          <w:szCs w:val="20"/>
          <w:color w:val="auto"/>
        </w:rPr>
      </w:pPr>
      <w:r>
        <w:rPr>
          <w:rFonts w:ascii="Arial" w:cs="Arial" w:eastAsia="Arial" w:hAnsi="Arial"/>
          <w:sz w:val="14"/>
          <w:szCs w:val="14"/>
          <w:color w:val="auto"/>
        </w:rPr>
        <w:t>US.134719709.02</w:t>
      </w:r>
    </w:p>
    <w:p>
      <w:pPr>
        <w:sectPr>
          <w:pgSz w:w="11900" w:h="16838" w:orient="portrait"/>
          <w:cols w:equalWidth="0" w:num="1">
            <w:col w:w="11212"/>
          </w:cols>
          <w:pgMar w:left="328" w:top="1395"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(Executives)</w:t>
      </w:r>
    </w:p>
    <w:p>
      <w:pPr>
        <w:spacing w:after="0" w:line="260" w:lineRule="exact"/>
        <w:rPr>
          <w:sz w:val="20"/>
          <w:szCs w:val="20"/>
          <w:color w:val="auto"/>
        </w:rPr>
      </w:pPr>
    </w:p>
    <w:p>
      <w:pPr>
        <w:ind w:firstLine="322"/>
        <w:spacing w:after="0" w:line="227" w:lineRule="auto"/>
        <w:rPr>
          <w:sz w:val="20"/>
          <w:szCs w:val="20"/>
          <w:color w:val="auto"/>
        </w:rPr>
      </w:pPr>
      <w:r>
        <w:rPr>
          <w:rFonts w:ascii="Times New Roman" w:cs="Times New Roman" w:eastAsia="Times New Roman" w:hAnsi="Times New Roman"/>
          <w:sz w:val="19"/>
          <w:szCs w:val="19"/>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w:t>
      </w:r>
    </w:p>
    <w:p>
      <w:pPr>
        <w:spacing w:after="0" w:line="211" w:lineRule="auto"/>
        <w:rPr>
          <w:sz w:val="20"/>
          <w:szCs w:val="20"/>
          <w:color w:val="auto"/>
        </w:rPr>
      </w:pPr>
      <w:r>
        <w:rPr>
          <w:rFonts w:ascii="Times New Roman" w:cs="Times New Roman" w:eastAsia="Times New Roman" w:hAnsi="Times New Roman"/>
          <w:sz w:val="20"/>
          <w:szCs w:val="20"/>
          <w:color w:val="auto"/>
        </w:rPr>
        <w:t>Award Agreement (the “Agreement”), consisting of this cover page and the Terms and Conditions on the following pages, and in the Plan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157720" cy="12172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157720" cy="1217295"/>
                    </a:xfrm>
                    <a:prstGeom prst="rect">
                      <a:avLst/>
                    </a:prstGeom>
                    <a:noFill/>
                  </pic:spPr>
                </pic:pic>
              </a:graphicData>
            </a:graphic>
          </wp:anchor>
        </w:drawing>
      </w:r>
    </w:p>
    <w:p>
      <w:pPr>
        <w:spacing w:after="0" w:line="263" w:lineRule="exact"/>
        <w:rPr>
          <w:sz w:val="20"/>
          <w:szCs w:val="20"/>
          <w:color w:val="auto"/>
        </w:rPr>
      </w:pPr>
    </w:p>
    <w:p>
      <w:pPr>
        <w:ind w:left="60"/>
        <w:spacing w:after="0"/>
        <w:tabs>
          <w:tab w:leader="none" w:pos="18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Borders>
              <w:bottom w:val="single" w:sz="8" w:color="auto"/>
            </w:tcBorders>
          </w:tcPr>
          <w:p>
            <w:pPr>
              <w:spacing w:after="0"/>
              <w:rPr>
                <w:sz w:val="22"/>
                <w:szCs w:val="22"/>
                <w:color w:val="auto"/>
              </w:rPr>
            </w:pPr>
          </w:p>
        </w:tc>
        <w:tc>
          <w:tcPr>
            <w:tcW w:w="558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Number of Restricted Stock Units: _______</w:t>
            </w:r>
          </w:p>
        </w:tc>
        <w:tc>
          <w:tcPr>
            <w:tcW w:w="55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Grant Date:  October 12, 2021</w:t>
            </w:r>
          </w:p>
        </w:tc>
        <w:tc>
          <w:tcPr>
            <w:tcW w:w="20" w:type="dxa"/>
            <w:vAlign w:val="bottom"/>
            <w:tcBorders>
              <w:bottom w:val="single" w:sz="8" w:color="auto"/>
            </w:tcBorders>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Vesting Schedule:</w:t>
            </w:r>
          </w:p>
        </w:tc>
        <w:tc>
          <w:tcPr>
            <w:tcW w:w="9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900" w:type="dxa"/>
            <w:vAlign w:val="bottom"/>
            <w:gridSpan w:val="2"/>
          </w:tcPr>
          <w:p>
            <w:pPr>
              <w:jc w:val="center"/>
              <w:ind w:right="1940"/>
              <w:spacing w:after="0"/>
              <w:rPr>
                <w:sz w:val="20"/>
                <w:szCs w:val="20"/>
                <w:color w:val="auto"/>
              </w:rPr>
            </w:pPr>
            <w:r>
              <w:rPr>
                <w:rFonts w:ascii="Times New Roman" w:cs="Times New Roman" w:eastAsia="Times New Roman" w:hAnsi="Times New Roman"/>
                <w:sz w:val="20"/>
                <w:szCs w:val="20"/>
                <w:color w:val="auto"/>
                <w:w w:val="97"/>
              </w:rPr>
              <w:t>Scheduled Vesting Dates</w:t>
            </w:r>
          </w:p>
        </w:tc>
        <w:tc>
          <w:tcPr>
            <w:tcW w:w="558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8"/>
              </w:rPr>
              <w:t>Number of Restricted Stock Units that Vest</w:t>
            </w:r>
          </w:p>
        </w:tc>
      </w:tr>
      <w:tr>
        <w:trPr>
          <w:trHeight w:val="169"/>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rPr>
              <w:t>October 12, 2022</w:t>
            </w: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rPr>
              <w:t>33 1/3%</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900" w:type="dxa"/>
            <w:vAlign w:val="bottom"/>
            <w:gridSpan w:val="2"/>
          </w:tcPr>
          <w:p>
            <w:pPr>
              <w:jc w:val="center"/>
              <w:ind w:right="1920"/>
              <w:spacing w:after="0" w:line="193" w:lineRule="exact"/>
              <w:rPr>
                <w:sz w:val="20"/>
                <w:szCs w:val="20"/>
                <w:color w:val="auto"/>
              </w:rPr>
            </w:pPr>
            <w:r>
              <w:rPr>
                <w:rFonts w:ascii="Times New Roman" w:cs="Times New Roman" w:eastAsia="Times New Roman" w:hAnsi="Times New Roman"/>
                <w:sz w:val="20"/>
                <w:szCs w:val="20"/>
                <w:color w:val="auto"/>
                <w:w w:val="98"/>
              </w:rPr>
              <w:t>October 12, 2023</w:t>
            </w:r>
          </w:p>
        </w:tc>
        <w:tc>
          <w:tcPr>
            <w:tcW w:w="4400" w:type="dxa"/>
            <w:vAlign w:val="bottom"/>
            <w:gridSpan w:val="2"/>
          </w:tcPr>
          <w:p>
            <w:pPr>
              <w:jc w:val="center"/>
              <w:ind w:left="841"/>
              <w:spacing w:after="0" w:line="193" w:lineRule="exact"/>
              <w:rPr>
                <w:sz w:val="20"/>
                <w:szCs w:val="20"/>
                <w:color w:val="auto"/>
              </w:rPr>
            </w:pPr>
            <w:r>
              <w:rPr>
                <w:rFonts w:ascii="Times New Roman" w:cs="Times New Roman" w:eastAsia="Times New Roman" w:hAnsi="Times New Roman"/>
                <w:sz w:val="20"/>
                <w:szCs w:val="20"/>
                <w:color w:val="auto"/>
                <w:w w:val="98"/>
              </w:rPr>
              <w:t>33 1/3%</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900" w:type="dxa"/>
            <w:vAlign w:val="bottom"/>
            <w:gridSpan w:val="2"/>
          </w:tcPr>
          <w:p>
            <w:pPr>
              <w:jc w:val="center"/>
              <w:ind w:right="1920"/>
              <w:spacing w:after="0"/>
              <w:rPr>
                <w:sz w:val="20"/>
                <w:szCs w:val="20"/>
                <w:color w:val="auto"/>
              </w:rPr>
            </w:pPr>
            <w:r>
              <w:rPr>
                <w:rFonts w:ascii="Times New Roman" w:cs="Times New Roman" w:eastAsia="Times New Roman" w:hAnsi="Times New Roman"/>
                <w:sz w:val="20"/>
                <w:szCs w:val="20"/>
                <w:color w:val="auto"/>
                <w:w w:val="98"/>
              </w:rPr>
              <w:t>October 12, 2024</w:t>
            </w:r>
          </w:p>
        </w:tc>
        <w:tc>
          <w:tcPr>
            <w:tcW w:w="4400" w:type="dxa"/>
            <w:vAlign w:val="bottom"/>
            <w:gridSpan w:val="2"/>
          </w:tcPr>
          <w:p>
            <w:pPr>
              <w:jc w:val="center"/>
              <w:ind w:left="841"/>
              <w:spacing w:after="0"/>
              <w:rPr>
                <w:sz w:val="20"/>
                <w:szCs w:val="20"/>
                <w:color w:val="auto"/>
              </w:rPr>
            </w:pPr>
            <w:r>
              <w:rPr>
                <w:rFonts w:ascii="Times New Roman" w:cs="Times New Roman" w:eastAsia="Times New Roman" w:hAnsi="Times New Roman"/>
                <w:sz w:val="20"/>
                <w:szCs w:val="20"/>
                <w:color w:val="auto"/>
                <w:w w:val="98"/>
              </w:rPr>
              <w:t>33 1/3%</w:t>
            </w: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34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w:t>
      </w:r>
    </w:p>
    <w:p>
      <w:pPr>
        <w:spacing w:after="0"/>
        <w:rPr>
          <w:sz w:val="20"/>
          <w:szCs w:val="20"/>
          <w:color w:val="auto"/>
        </w:rPr>
      </w:pPr>
      <w:r>
        <w:rPr>
          <w:rFonts w:ascii="Times New Roman" w:cs="Times New Roman" w:eastAsia="Times New Roman" w:hAnsi="Times New Roman"/>
          <w:sz w:val="20"/>
          <w:szCs w:val="20"/>
          <w:color w:val="auto"/>
        </w:rPr>
        <w:t>these documents.</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PARTICIPANT:</w:t>
      </w:r>
      <w:r>
        <w:rPr>
          <w:sz w:val="20"/>
          <w:szCs w:val="20"/>
          <w:color w:val="auto"/>
        </w:rPr>
        <w:tab/>
      </w:r>
      <w:r>
        <w:rPr>
          <w:rFonts w:ascii="Times New Roman" w:cs="Times New Roman" w:eastAsia="Times New Roman" w:hAnsi="Times New Roman"/>
          <w:sz w:val="19"/>
          <w:szCs w:val="19"/>
          <w:color w:val="auto"/>
        </w:rPr>
        <w:t>WINNEBAGO INDUSTRIES, INC.</w:t>
      </w:r>
    </w:p>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57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US.134780092.02</w:t>
      </w:r>
    </w:p>
    <w:p>
      <w:pPr>
        <w:sectPr>
          <w:pgSz w:w="11900" w:h="16838" w:orient="portrait"/>
          <w:cols w:equalWidth="0" w:num="1">
            <w:col w:w="11240"/>
          </w:cols>
          <w:pgMar w:left="320" w:top="10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 (Executives)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83" w:lineRule="exact"/>
        <w:rPr>
          <w:sz w:val="20"/>
          <w:szCs w:val="20"/>
          <w:color w:val="auto"/>
        </w:rPr>
      </w:pPr>
    </w:p>
    <w:p>
      <w:pPr>
        <w:ind w:right="380" w:firstLine="8"/>
        <w:spacing w:after="0" w:line="287" w:lineRule="auto"/>
        <w:tabs>
          <w:tab w:leader="none" w:pos="34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For purposes of this Agreement, the definitions of terms contained in the Plan hereby are incorporated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any such term is specifically defined in this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forth in your change in control agreement, if applicable.</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17"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this Agreement and the 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83" w:lineRule="exact"/>
        <w:rPr>
          <w:rFonts w:ascii="Times New Roman" w:cs="Times New Roman" w:eastAsia="Times New Roman" w:hAnsi="Times New Roman"/>
          <w:sz w:val="20"/>
          <w:szCs w:val="20"/>
          <w:color w:val="auto"/>
        </w:rPr>
      </w:pPr>
    </w:p>
    <w:p>
      <w:pPr>
        <w:jc w:val="both"/>
        <w:ind w:firstLine="8"/>
        <w:spacing w:after="0" w:line="228" w:lineRule="auto"/>
        <w:tabs>
          <w:tab w:leader="none" w:pos="3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Applicable to Units</w:t>
      </w:r>
      <w:r>
        <w:rPr>
          <w:rFonts w:ascii="Times New Roman" w:cs="Times New Roman" w:eastAsia="Times New Roman" w:hAnsi="Times New Roman"/>
          <w:sz w:val="19"/>
          <w:szCs w:val="19"/>
          <w:color w:val="auto"/>
        </w:rPr>
        <w:t>. Neither this Award nor the Units subject to this Award may be sold, assigned, transferred, exchanged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spacing w:after="0" w:line="185" w:lineRule="exact"/>
        <w:rPr>
          <w:rFonts w:ascii="Times New Roman" w:cs="Times New Roman" w:eastAsia="Times New Roman" w:hAnsi="Times New Roman"/>
          <w:sz w:val="19"/>
          <w:szCs w:val="19"/>
          <w:color w:val="auto"/>
        </w:rPr>
      </w:pPr>
    </w:p>
    <w:p>
      <w:pPr>
        <w:jc w:val="both"/>
        <w:ind w:firstLine="8"/>
        <w:spacing w:after="0" w:line="227" w:lineRule="auto"/>
        <w:tabs>
          <w:tab w:leader="none" w:pos="37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the grant of Units subject to this Agreement unless and until Shares are issued to you upon settlement of the Units as provided in Section 7.</w:t>
      </w:r>
    </w:p>
    <w:p>
      <w:pPr>
        <w:spacing w:after="0" w:line="157" w:lineRule="exact"/>
        <w:rPr>
          <w:rFonts w:ascii="Times New Roman" w:cs="Times New Roman" w:eastAsia="Times New Roman" w:hAnsi="Times New Roman"/>
          <w:sz w:val="20"/>
          <w:szCs w:val="20"/>
          <w:color w:val="auto"/>
        </w:rPr>
      </w:pPr>
    </w:p>
    <w:p>
      <w:pPr>
        <w:jc w:val="both"/>
        <w:ind w:firstLine="8"/>
        <w:spacing w:after="0" w:line="223" w:lineRule="auto"/>
        <w:tabs>
          <w:tab w:leader="none" w:pos="38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color w:val="auto"/>
        </w:rPr>
        <w:t>. For purposes of this Agreement, “Vesting Date” means any date, including the Scheduled Vesting Dates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Vesting Schedule on the cover page of this Agreement, on which Units subject to this Agreement vest as provided in this Section 5. Notwithstanding the vesting and subsequent settlement of this Award, the Award and any Share issuances or payments made hereunder shall remain subject to the provisions of Section 16(i) of the Plan.</w:t>
      </w:r>
    </w:p>
    <w:p>
      <w:pPr>
        <w:spacing w:after="0" w:line="188" w:lineRule="exact"/>
        <w:rPr>
          <w:rFonts w:ascii="Times New Roman" w:cs="Times New Roman" w:eastAsia="Times New Roman" w:hAnsi="Times New Roman"/>
          <w:sz w:val="20"/>
          <w:szCs w:val="20"/>
          <w:color w:val="auto"/>
        </w:rPr>
      </w:pPr>
    </w:p>
    <w:p>
      <w:pPr>
        <w:ind w:right="20" w:firstLine="656"/>
        <w:spacing w:after="0" w:line="233" w:lineRule="auto"/>
        <w:tabs>
          <w:tab w:leader="none" w:pos="128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If you remain a Service Provider continuously from the Grant Date specified on the cover page of this Agreement, then the Units will vest in the amounts and on the Scheduled Vesting Dates specified in the Vesting Schedule.</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The vesting of outstanding Units will be accelerated under the circumstances provided below:</w:t>
      </w:r>
    </w:p>
    <w:p>
      <w:pPr>
        <w:spacing w:after="0" w:line="211" w:lineRule="exact"/>
        <w:rPr>
          <w:rFonts w:ascii="Times New Roman" w:cs="Times New Roman" w:eastAsia="Times New Roman" w:hAnsi="Times New Roman"/>
          <w:sz w:val="20"/>
          <w:szCs w:val="20"/>
          <w:color w:val="auto"/>
        </w:rPr>
      </w:pPr>
    </w:p>
    <w:p>
      <w:pPr>
        <w:ind w:left="660" w:firstLine="644"/>
        <w:spacing w:after="0" w:line="235" w:lineRule="auto"/>
        <w:tabs>
          <w:tab w:leader="none" w:pos="1944"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 or Disability</w:t>
      </w:r>
      <w:r>
        <w:rPr>
          <w:rFonts w:ascii="Times New Roman" w:cs="Times New Roman" w:eastAsia="Times New Roman" w:hAnsi="Times New Roman"/>
          <w:sz w:val="20"/>
          <w:szCs w:val="20"/>
          <w:color w:val="auto"/>
        </w:rPr>
        <w:t>. If your Service terminates prior to the final Scheduled Vesting Date due to your death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then all of the unvested Units shall vest as of such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12, 2021 Grant)</w:t>
        <w:tab/>
        <w:t>Page 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US.134780092.02</w:t>
      </w:r>
    </w:p>
    <w:p>
      <w:pPr>
        <w:sectPr>
          <w:pgSz w:w="11900" w:h="16838" w:orient="portrait"/>
          <w:cols w:equalWidth="0" w:num="1">
            <w:col w:w="11240"/>
          </w:cols>
          <w:pgMar w:left="320" w:top="1166" w:right="339" w:bottom="1440" w:gutter="0" w:footer="0" w:header="0"/>
        </w:sectPr>
      </w:pPr>
    </w:p>
    <w:bookmarkStart w:id="93" w:name="page94"/>
    <w:bookmarkEnd w:id="93"/>
    <w:p>
      <w:pPr>
        <w:jc w:val="both"/>
        <w:ind w:left="660" w:firstLine="644"/>
        <w:spacing w:after="0" w:line="227" w:lineRule="auto"/>
        <w:tabs>
          <w:tab w:leader="none" w:pos="1944"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If a Change in Control occurs while you continue to be an Service Provider and prior to the final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Scheduled Vesting Date, the provisions of Section 12 of the Plan shall apply, including those providing for benefits upon termination of Service for Good Reason.</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44" w:val="left"/>
        </w:tabs>
        <w:numPr>
          <w:ilvl w:val="2"/>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Retirement</w:t>
      </w:r>
      <w:r>
        <w:rPr>
          <w:rFonts w:ascii="Times New Roman" w:cs="Times New Roman" w:eastAsia="Times New Roman" w:hAnsi="Times New Roman"/>
          <w:sz w:val="19"/>
          <w:szCs w:val="19"/>
          <w:color w:val="auto"/>
        </w:rPr>
        <w:t>. If, due to Retirement, your Service terminates at least twelve (12) months after the Grant Date and prior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final Scheduled Vesting Date, then all of the unvested Units shall vest as of such termination date. For this purpose, Retirement means any termination of employment (other than by the Company for Cause or due to death or Disability) at or after age sixty-five</w:t>
      </w:r>
    </w:p>
    <w:p>
      <w:pPr>
        <w:ind w:left="660" w:hanging="4"/>
        <w:spacing w:after="0" w:line="221" w:lineRule="auto"/>
        <w:tabs>
          <w:tab w:leader="none" w:pos="103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at or after age fifty-five (55) with ten (10) or more years of continuous Service to the Company and its Affiliates, with Service measured from your most recent date of hire.</w:t>
      </w:r>
    </w:p>
    <w:p>
      <w:pPr>
        <w:spacing w:after="0" w:line="184" w:lineRule="exact"/>
        <w:rPr>
          <w:rFonts w:ascii="Times New Roman" w:cs="Times New Roman" w:eastAsia="Times New Roman" w:hAnsi="Times New Roman"/>
          <w:sz w:val="20"/>
          <w:szCs w:val="20"/>
          <w:color w:val="auto"/>
        </w:rPr>
      </w:pPr>
    </w:p>
    <w:p>
      <w:pPr>
        <w:ind w:firstLine="8"/>
        <w:spacing w:after="0" w:line="245" w:lineRule="auto"/>
        <w:tabs>
          <w:tab w:leader="none" w:pos="4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Termination of Service</w:t>
      </w:r>
      <w:r>
        <w:rPr>
          <w:rFonts w:ascii="Times New Roman" w:cs="Times New Roman" w:eastAsia="Times New Roman" w:hAnsi="Times New Roman"/>
          <w:sz w:val="20"/>
          <w:szCs w:val="20"/>
          <w:color w:val="auto"/>
        </w:rPr>
        <w:t>. Except as otherwise provided in accordance with Section 5(b) above, if you cease to be a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Provider, you will forfeit all unvested Units.</w:t>
      </w:r>
    </w:p>
    <w:p>
      <w:pPr>
        <w:spacing w:after="0" w:line="164" w:lineRule="exact"/>
        <w:rPr>
          <w:rFonts w:ascii="Times New Roman" w:cs="Times New Roman" w:eastAsia="Times New Roman" w:hAnsi="Times New Roman"/>
          <w:sz w:val="20"/>
          <w:szCs w:val="20"/>
          <w:color w:val="auto"/>
        </w:rPr>
      </w:pPr>
    </w:p>
    <w:p>
      <w:pPr>
        <w:jc w:val="both"/>
        <w:ind w:firstLine="8"/>
        <w:spacing w:after="0" w:line="219" w:lineRule="auto"/>
        <w:tabs>
          <w:tab w:leader="none" w:pos="34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Units</w:t>
      </w:r>
      <w:r>
        <w:rPr>
          <w:rFonts w:ascii="Times New Roman" w:cs="Times New Roman" w:eastAsia="Times New Roman" w:hAnsi="Times New Roman"/>
          <w:sz w:val="19"/>
          <w:szCs w:val="19"/>
          <w:color w:val="auto"/>
        </w:rPr>
        <w:t>. After any Units vest pursuant to Section 5, the Company shall, as soon as practicable (but no later than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9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88" w:lineRule="exact"/>
        <w:rPr>
          <w:rFonts w:ascii="Times New Roman" w:cs="Times New Roman" w:eastAsia="Times New Roman" w:hAnsi="Times New Roman"/>
          <w:sz w:val="19"/>
          <w:szCs w:val="19"/>
          <w:color w:val="auto"/>
        </w:rPr>
      </w:pPr>
    </w:p>
    <w:p>
      <w:pPr>
        <w:jc w:val="both"/>
        <w:ind w:firstLine="8"/>
        <w:spacing w:after="0" w:line="213" w:lineRule="auto"/>
        <w:tabs>
          <w:tab w:leader="none" w:pos="4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If the Company pays cash dividends on its Shares while any Units subject to this Agreement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the Company shall credit, as of each 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spacing w:after="0" w:line="189" w:lineRule="exact"/>
        <w:rPr>
          <w:rFonts w:ascii="Times New Roman" w:cs="Times New Roman" w:eastAsia="Times New Roman" w:hAnsi="Times New Roman"/>
          <w:sz w:val="20"/>
          <w:szCs w:val="20"/>
          <w:color w:val="auto"/>
        </w:rPr>
      </w:pPr>
    </w:p>
    <w:p>
      <w:pPr>
        <w:jc w:val="both"/>
        <w:ind w:firstLine="8"/>
        <w:spacing w:after="0" w:line="213"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 and Withholding</w:t>
      </w:r>
      <w:r>
        <w:rPr>
          <w:rFonts w:ascii="Times New Roman" w:cs="Times New Roman" w:eastAsia="Times New Roman" w:hAnsi="Times New Roman"/>
          <w:sz w:val="20"/>
          <w:szCs w:val="20"/>
          <w:color w:val="auto"/>
        </w:rPr>
        <w:t>. No Shares will be delivered to you in settlement of vested Units, and no payment of any accrued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aggregated accrued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45" w:lineRule="exact"/>
        <w:rPr>
          <w:rFonts w:ascii="Times New Roman" w:cs="Times New Roman" w:eastAsia="Times New Roman" w:hAnsi="Times New Roman"/>
          <w:sz w:val="20"/>
          <w:szCs w:val="20"/>
          <w:color w:val="auto"/>
        </w:rPr>
      </w:pPr>
    </w:p>
    <w:p>
      <w:pPr>
        <w:jc w:val="both"/>
        <w:ind w:firstLine="8"/>
        <w:spacing w:after="0" w:line="219" w:lineRule="auto"/>
        <w:tabs>
          <w:tab w:leader="none" w:pos="55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12, 2021 Grant)</w:t>
        <w:tab/>
        <w:t>Page 3</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US.134780092.02</w:t>
      </w:r>
    </w:p>
    <w:p>
      <w:pPr>
        <w:sectPr>
          <w:pgSz w:w="11900" w:h="16838" w:orient="portrait"/>
          <w:cols w:equalWidth="0" w:num="1">
            <w:col w:w="11240"/>
          </w:cols>
          <w:pgMar w:left="320" w:top="1139" w:right="339" w:bottom="1440" w:gutter="0" w:footer="0" w:header="0"/>
        </w:sectPr>
      </w:pPr>
    </w:p>
    <w:bookmarkStart w:id="94" w:name="page95"/>
    <w:bookmarkEnd w:id="94"/>
    <w:p>
      <w:pPr>
        <w:spacing w:after="0" w:line="233" w:lineRule="auto"/>
        <w:rPr>
          <w:sz w:val="20"/>
          <w:szCs w:val="20"/>
          <w:color w:val="auto"/>
        </w:rPr>
      </w:pPr>
      <w:r>
        <w:rPr>
          <w:rFonts w:ascii="Times New Roman" w:cs="Times New Roman" w:eastAsia="Times New Roman" w:hAnsi="Times New Roman"/>
          <w:sz w:val="20"/>
          <w:szCs w:val="20"/>
          <w:color w:val="auto"/>
        </w:rPr>
        <w:t>be given to you personally or may be mailed or, if you are still a Service Provider, emailed to you at the address indicated in the Company's records as your most recent mailing or email address.</w:t>
      </w:r>
    </w:p>
    <w:p>
      <w:pPr>
        <w:spacing w:after="0" w:line="157"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1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87" w:lineRule="exact"/>
        <w:rPr>
          <w:rFonts w:ascii="Times New Roman" w:cs="Times New Roman" w:eastAsia="Times New Roman" w:hAnsi="Times New Roman"/>
          <w:sz w:val="20"/>
          <w:szCs w:val="20"/>
          <w:color w:val="auto"/>
        </w:rPr>
      </w:pPr>
    </w:p>
    <w:p>
      <w:pPr>
        <w:ind w:firstLine="656"/>
        <w:spacing w:after="0" w:line="233" w:lineRule="auto"/>
        <w:tabs>
          <w:tab w:leader="none" w:pos="1079"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22" w:lineRule="auto"/>
        <w:tabs>
          <w:tab w:leader="none" w:pos="109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065"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87" w:lineRule="exact"/>
        <w:rPr>
          <w:rFonts w:ascii="Times New Roman" w:cs="Times New Roman" w:eastAsia="Times New Roman" w:hAnsi="Times New Roman"/>
          <w:sz w:val="20"/>
          <w:szCs w:val="20"/>
          <w:color w:val="auto"/>
        </w:rPr>
      </w:pPr>
    </w:p>
    <w:p>
      <w:pPr>
        <w:jc w:val="both"/>
        <w:ind w:firstLine="656"/>
        <w:spacing w:after="0" w:line="220" w:lineRule="auto"/>
        <w:tabs>
          <w:tab w:leader="none" w:pos="104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74" w:lineRule="exact"/>
        <w:rPr>
          <w:rFonts w:ascii="Times New Roman" w:cs="Times New Roman" w:eastAsia="Times New Roman" w:hAnsi="Times New Roman"/>
          <w:sz w:val="20"/>
          <w:szCs w:val="20"/>
          <w:color w:val="auto"/>
        </w:rPr>
      </w:pPr>
    </w:p>
    <w:p>
      <w:pPr>
        <w:jc w:val="both"/>
        <w:ind w:firstLine="656"/>
        <w:spacing w:after="0" w:line="222" w:lineRule="auto"/>
        <w:tabs>
          <w:tab w:leader="none" w:pos="109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9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12, 2021 Grant)</w:t>
        <w:tab/>
        <w:t>Page 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US.134780092.02</w:t>
      </w:r>
    </w:p>
    <w:p>
      <w:pPr>
        <w:sectPr>
          <w:pgSz w:w="11900" w:h="16838" w:orient="portrait"/>
          <w:cols w:equalWidth="0" w:num="1">
            <w:col w:w="11240"/>
          </w:cols>
          <w:pgMar w:left="320" w:top="1143"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10n.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(Executives)</w:t>
      </w:r>
    </w:p>
    <w:p>
      <w:pPr>
        <w:spacing w:after="0" w:line="260" w:lineRule="exact"/>
        <w:rPr>
          <w:sz w:val="20"/>
          <w:szCs w:val="20"/>
          <w:color w:val="auto"/>
        </w:rPr>
      </w:pPr>
    </w:p>
    <w:p>
      <w:pPr>
        <w:jc w:val="both"/>
        <w:ind w:firstLine="322"/>
        <w:spacing w:after="0" w:line="227" w:lineRule="auto"/>
        <w:rPr>
          <w:sz w:val="20"/>
          <w:szCs w:val="20"/>
          <w:color w:val="auto"/>
        </w:rPr>
      </w:pPr>
      <w:r>
        <w:rPr>
          <w:rFonts w:ascii="Times New Roman" w:cs="Times New Roman" w:eastAsia="Times New Roman" w:hAnsi="Times New Roman"/>
          <w:sz w:val="19"/>
          <w:szCs w:val="19"/>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w:t>
      </w:r>
    </w:p>
    <w:p>
      <w:pPr>
        <w:spacing w:after="0" w:line="211" w:lineRule="auto"/>
        <w:rPr>
          <w:sz w:val="20"/>
          <w:szCs w:val="20"/>
          <w:color w:val="auto"/>
        </w:rPr>
      </w:pPr>
      <w:r>
        <w:rPr>
          <w:rFonts w:ascii="Times New Roman" w:cs="Times New Roman" w:eastAsia="Times New Roman" w:hAnsi="Times New Roman"/>
          <w:sz w:val="20"/>
          <w:szCs w:val="20"/>
          <w:color w:val="auto"/>
        </w:rPr>
        <w:t>Award Agreement (the “Agreement”), consisting of this cover page and the Terms and Conditions on the following pages,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Confidentiality, Intellectual Property Assignment, Non-Competition and Non-Solicitation Agreement, attached hereto as Exhibit 1, and in the Plan document, a copy of which has been provided to you. Any capitalized term that is used but not defined in this Agreement shall have the</w:t>
      </w:r>
    </w:p>
    <w:p>
      <w:pPr>
        <w:spacing w:after="0"/>
        <w:rPr>
          <w:sz w:val="20"/>
          <w:szCs w:val="20"/>
          <w:color w:val="auto"/>
        </w:rPr>
      </w:pPr>
      <w:r>
        <w:rPr>
          <w:rFonts w:ascii="Times New Roman" w:cs="Times New Roman" w:eastAsia="Times New Roman" w:hAnsi="Times New Roman"/>
          <w:sz w:val="20"/>
          <w:szCs w:val="20"/>
          <w:color w:val="auto"/>
        </w:rPr>
        <w:t>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157720" cy="1217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7157720" cy="1217295"/>
                    </a:xfrm>
                    <a:prstGeom prst="rect">
                      <a:avLst/>
                    </a:prstGeom>
                    <a:noFill/>
                  </pic:spPr>
                </pic:pic>
              </a:graphicData>
            </a:graphic>
          </wp:anchor>
        </w:drawing>
      </w:r>
    </w:p>
    <w:p>
      <w:pPr>
        <w:spacing w:after="0" w:line="268" w:lineRule="exact"/>
        <w:rPr>
          <w:sz w:val="20"/>
          <w:szCs w:val="20"/>
          <w:color w:val="auto"/>
        </w:rPr>
      </w:pPr>
    </w:p>
    <w:p>
      <w:pPr>
        <w:ind w:left="60"/>
        <w:spacing w:after="0"/>
        <w:tabs>
          <w:tab w:leader="none" w:pos="18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Borders>
              <w:bottom w:val="single" w:sz="8" w:color="auto"/>
            </w:tcBorders>
          </w:tcPr>
          <w:p>
            <w:pPr>
              <w:spacing w:after="0"/>
              <w:rPr>
                <w:sz w:val="22"/>
                <w:szCs w:val="22"/>
                <w:color w:val="auto"/>
              </w:rPr>
            </w:pPr>
          </w:p>
        </w:tc>
        <w:tc>
          <w:tcPr>
            <w:tcW w:w="558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Number of Restricted Stock Units: _______</w:t>
            </w:r>
          </w:p>
        </w:tc>
        <w:tc>
          <w:tcPr>
            <w:tcW w:w="55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Grant Date:  October 11, 2022</w:t>
            </w:r>
          </w:p>
        </w:tc>
        <w:tc>
          <w:tcPr>
            <w:tcW w:w="20" w:type="dxa"/>
            <w:vAlign w:val="bottom"/>
            <w:tcBorders>
              <w:bottom w:val="single" w:sz="8" w:color="auto"/>
            </w:tcBorders>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Vesting Schedule:</w:t>
            </w:r>
          </w:p>
        </w:tc>
        <w:tc>
          <w:tcPr>
            <w:tcW w:w="9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900" w:type="dxa"/>
            <w:vAlign w:val="bottom"/>
            <w:gridSpan w:val="2"/>
          </w:tcPr>
          <w:p>
            <w:pPr>
              <w:jc w:val="center"/>
              <w:ind w:right="1940"/>
              <w:spacing w:after="0"/>
              <w:rPr>
                <w:sz w:val="20"/>
                <w:szCs w:val="20"/>
                <w:color w:val="auto"/>
              </w:rPr>
            </w:pPr>
            <w:r>
              <w:rPr>
                <w:rFonts w:ascii="Times New Roman" w:cs="Times New Roman" w:eastAsia="Times New Roman" w:hAnsi="Times New Roman"/>
                <w:sz w:val="20"/>
                <w:szCs w:val="20"/>
                <w:color w:val="auto"/>
                <w:w w:val="97"/>
              </w:rPr>
              <w:t>Scheduled Vesting Dates</w:t>
            </w:r>
          </w:p>
        </w:tc>
        <w:tc>
          <w:tcPr>
            <w:tcW w:w="558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8"/>
              </w:rPr>
              <w:t>Number of Restricted Stock Units that Vest</w:t>
            </w:r>
          </w:p>
        </w:tc>
      </w:tr>
      <w:tr>
        <w:trPr>
          <w:trHeight w:val="160"/>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rPr>
              <w:t>October 11, 2023</w:t>
            </w:r>
          </w:p>
        </w:tc>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4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rPr>
              <w:t>33 1/3%</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900" w:type="dxa"/>
            <w:vAlign w:val="bottom"/>
            <w:gridSpan w:val="2"/>
          </w:tcPr>
          <w:p>
            <w:pPr>
              <w:jc w:val="center"/>
              <w:ind w:right="1940"/>
              <w:spacing w:after="0" w:line="203" w:lineRule="exact"/>
              <w:rPr>
                <w:sz w:val="20"/>
                <w:szCs w:val="20"/>
                <w:color w:val="auto"/>
              </w:rPr>
            </w:pPr>
            <w:r>
              <w:rPr>
                <w:rFonts w:ascii="Times New Roman" w:cs="Times New Roman" w:eastAsia="Times New Roman" w:hAnsi="Times New Roman"/>
                <w:sz w:val="20"/>
                <w:szCs w:val="20"/>
                <w:color w:val="auto"/>
                <w:w w:val="97"/>
              </w:rPr>
              <w:t>October 11, 2024</w:t>
            </w:r>
          </w:p>
        </w:tc>
        <w:tc>
          <w:tcPr>
            <w:tcW w:w="4400" w:type="dxa"/>
            <w:vAlign w:val="bottom"/>
            <w:gridSpan w:val="2"/>
          </w:tcPr>
          <w:p>
            <w:pPr>
              <w:jc w:val="center"/>
              <w:ind w:left="841"/>
              <w:spacing w:after="0" w:line="203" w:lineRule="exact"/>
              <w:rPr>
                <w:sz w:val="20"/>
                <w:szCs w:val="20"/>
                <w:color w:val="auto"/>
              </w:rPr>
            </w:pPr>
            <w:r>
              <w:rPr>
                <w:rFonts w:ascii="Times New Roman" w:cs="Times New Roman" w:eastAsia="Times New Roman" w:hAnsi="Times New Roman"/>
                <w:sz w:val="20"/>
                <w:szCs w:val="20"/>
                <w:color w:val="auto"/>
                <w:w w:val="98"/>
              </w:rPr>
              <w:t>33 1/3%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900" w:type="dxa"/>
            <w:vAlign w:val="bottom"/>
            <w:gridSpan w:val="2"/>
          </w:tcPr>
          <w:p>
            <w:pPr>
              <w:jc w:val="center"/>
              <w:ind w:right="1940"/>
              <w:spacing w:after="0"/>
              <w:rPr>
                <w:sz w:val="20"/>
                <w:szCs w:val="20"/>
                <w:color w:val="auto"/>
              </w:rPr>
            </w:pPr>
            <w:r>
              <w:rPr>
                <w:rFonts w:ascii="Times New Roman" w:cs="Times New Roman" w:eastAsia="Times New Roman" w:hAnsi="Times New Roman"/>
                <w:sz w:val="20"/>
                <w:szCs w:val="20"/>
                <w:color w:val="auto"/>
                <w:w w:val="97"/>
              </w:rPr>
              <w:t>October 11, 2025</w:t>
            </w:r>
          </w:p>
        </w:tc>
        <w:tc>
          <w:tcPr>
            <w:tcW w:w="4400" w:type="dxa"/>
            <w:vAlign w:val="bottom"/>
            <w:gridSpan w:val="2"/>
          </w:tcPr>
          <w:p>
            <w:pPr>
              <w:jc w:val="center"/>
              <w:ind w:left="841"/>
              <w:spacing w:after="0"/>
              <w:rPr>
                <w:sz w:val="20"/>
                <w:szCs w:val="20"/>
                <w:color w:val="auto"/>
              </w:rPr>
            </w:pPr>
            <w:r>
              <w:rPr>
                <w:rFonts w:ascii="Times New Roman" w:cs="Times New Roman" w:eastAsia="Times New Roman" w:hAnsi="Times New Roman"/>
                <w:sz w:val="20"/>
                <w:szCs w:val="20"/>
                <w:color w:val="auto"/>
                <w:w w:val="98"/>
              </w:rPr>
              <w:t>33 1/3%</w:t>
            </w: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33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By logging into and accepting this Agreement through your account with E*TRADE, you acknowledge and agree (A) to be bound by all of the terms and conditions of this Agreement (including Exhibit 1) and in the Plan document and (B) that you have received and reviewed these documents.</w:t>
      </w:r>
    </w:p>
    <w:p>
      <w:pPr>
        <w:sectPr>
          <w:pgSz w:w="11900" w:h="16838" w:orient="portrait"/>
          <w:cols w:equalWidth="0" w:num="1">
            <w:col w:w="11240"/>
          </w:cols>
          <w:pgMar w:left="320" w:top="10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 (Executives)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83" w:lineRule="exact"/>
        <w:rPr>
          <w:sz w:val="20"/>
          <w:szCs w:val="20"/>
          <w:color w:val="auto"/>
        </w:rPr>
      </w:pPr>
    </w:p>
    <w:p>
      <w:pPr>
        <w:ind w:right="380" w:firstLine="8"/>
        <w:spacing w:after="0" w:line="287" w:lineRule="auto"/>
        <w:tabs>
          <w:tab w:leader="none" w:pos="34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For purposes of this Agreement, the definitions of terms contained in the Plan hereby are incorporated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any such term is specifically defined in this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forth in your change in control agreement, if applicable.</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17"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this Agreement (including Exhibit 1) and the 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83" w:lineRule="exact"/>
        <w:rPr>
          <w:rFonts w:ascii="Times New Roman" w:cs="Times New Roman" w:eastAsia="Times New Roman" w:hAnsi="Times New Roman"/>
          <w:sz w:val="20"/>
          <w:szCs w:val="20"/>
          <w:color w:val="auto"/>
        </w:rPr>
      </w:pPr>
    </w:p>
    <w:p>
      <w:pPr>
        <w:jc w:val="both"/>
        <w:ind w:firstLine="8"/>
        <w:spacing w:after="0" w:line="228" w:lineRule="auto"/>
        <w:tabs>
          <w:tab w:leader="none" w:pos="3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Applicable to Units</w:t>
      </w:r>
      <w:r>
        <w:rPr>
          <w:rFonts w:ascii="Times New Roman" w:cs="Times New Roman" w:eastAsia="Times New Roman" w:hAnsi="Times New Roman"/>
          <w:sz w:val="19"/>
          <w:szCs w:val="19"/>
          <w:color w:val="auto"/>
        </w:rPr>
        <w:t>. Neither this Award nor the Units subject to this Award may be sold, assigned, transferred, exchanged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spacing w:after="0" w:line="185" w:lineRule="exact"/>
        <w:rPr>
          <w:rFonts w:ascii="Times New Roman" w:cs="Times New Roman" w:eastAsia="Times New Roman" w:hAnsi="Times New Roman"/>
          <w:sz w:val="19"/>
          <w:szCs w:val="19"/>
          <w:color w:val="auto"/>
        </w:rPr>
      </w:pPr>
    </w:p>
    <w:p>
      <w:pPr>
        <w:jc w:val="both"/>
        <w:ind w:firstLine="8"/>
        <w:spacing w:after="0" w:line="227" w:lineRule="auto"/>
        <w:tabs>
          <w:tab w:leader="none" w:pos="37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the grant of Units subject to this Agreement unless and until Shares are issued to you upon settlement of the Units as provided in Section 7.</w:t>
      </w:r>
    </w:p>
    <w:p>
      <w:pPr>
        <w:spacing w:after="0" w:line="157" w:lineRule="exact"/>
        <w:rPr>
          <w:rFonts w:ascii="Times New Roman" w:cs="Times New Roman" w:eastAsia="Times New Roman" w:hAnsi="Times New Roman"/>
          <w:sz w:val="20"/>
          <w:szCs w:val="20"/>
          <w:color w:val="auto"/>
        </w:rPr>
      </w:pPr>
    </w:p>
    <w:p>
      <w:pPr>
        <w:jc w:val="both"/>
        <w:ind w:firstLine="8"/>
        <w:spacing w:after="0" w:line="223" w:lineRule="auto"/>
        <w:tabs>
          <w:tab w:leader="none" w:pos="3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color w:val="auto"/>
        </w:rPr>
        <w:t>. For purposes of this Agreement, “Vesting Date” means any date, including the Scheduled Vesting Dates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Vesting Schedule on the cover page of this Agreement, on which Units subject to this Agreement vest as provided in this Section 5. Notwithstanding the vesting and subsequent settlement of this Award, the Award and any Share issuances or payments made hereunder shall remain subject to the provisions of Section 16(i) of the Plan.</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If you remain a Service Provider continuously from the Grant Date specified on the cover page of this Agreement and in compliance with the terms of Exhibit 1, then the Units will vest in the amounts and on the Scheduled Vesting Dates specified in the Vesting Schedule.</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The vesting of outstanding Units will be accelerated under the circumstances provided below:</w:t>
      </w:r>
    </w:p>
    <w:p>
      <w:pPr>
        <w:spacing w:after="0" w:line="198" w:lineRule="exact"/>
        <w:rPr>
          <w:rFonts w:ascii="Times New Roman" w:cs="Times New Roman" w:eastAsia="Times New Roman" w:hAnsi="Times New Roman"/>
          <w:sz w:val="20"/>
          <w:szCs w:val="20"/>
          <w:color w:val="auto"/>
        </w:rPr>
      </w:pPr>
    </w:p>
    <w:p>
      <w:pPr>
        <w:ind w:left="660" w:firstLine="644"/>
        <w:spacing w:after="0" w:line="245" w:lineRule="auto"/>
        <w:tabs>
          <w:tab w:leader="none" w:pos="1944"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 or Disability</w:t>
      </w:r>
      <w:r>
        <w:rPr>
          <w:rFonts w:ascii="Times New Roman" w:cs="Times New Roman" w:eastAsia="Times New Roman" w:hAnsi="Times New Roman"/>
          <w:sz w:val="20"/>
          <w:szCs w:val="20"/>
          <w:color w:val="auto"/>
        </w:rPr>
        <w:t>. If your Service terminates prior to the final Scheduled Vesting Date due to your death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then all of the unvested Units shall vest as of such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2</w:t>
      </w:r>
    </w:p>
    <w:p>
      <w:pPr>
        <w:sectPr>
          <w:pgSz w:w="11900" w:h="16838" w:orient="portrait"/>
          <w:cols w:equalWidth="0" w:num="1">
            <w:col w:w="11240"/>
          </w:cols>
          <w:pgMar w:left="320" w:top="1166" w:right="339" w:bottom="1440" w:gutter="0" w:footer="0" w:header="0"/>
        </w:sectPr>
      </w:pPr>
    </w:p>
    <w:bookmarkStart w:id="97" w:name="page98"/>
    <w:bookmarkEnd w:id="97"/>
    <w:p>
      <w:pPr>
        <w:jc w:val="both"/>
        <w:ind w:left="660" w:firstLine="644"/>
        <w:spacing w:after="0" w:line="227" w:lineRule="auto"/>
        <w:tabs>
          <w:tab w:leader="none" w:pos="194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If a Change in Control occurs while you continue to be a Service Provider and prior to the final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Scheduled Vesting Date, the provisions of Section 12 of the Plan shall apply, including those providing for benefits upon termination of Service for Good Reason, subject to your continued compliance with Exhibit 1.</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Retirement</w:t>
      </w:r>
      <w:r>
        <w:rPr>
          <w:rFonts w:ascii="Times New Roman" w:cs="Times New Roman" w:eastAsia="Times New Roman" w:hAnsi="Times New Roman"/>
          <w:sz w:val="20"/>
          <w:szCs w:val="20"/>
          <w:color w:val="auto"/>
        </w:rPr>
        <w:t>. If, due to Retirement, your Service terminates at least twelve (12) months after the Grant Date and prior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final Scheduled Vesting Date, then all of the unvested Units shall vest as of such termination date, subject to your continued compliance with Exhibit 1.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 entity prior to such entity becoming an Affiliate will not count towards your Service measurement.</w:t>
      </w:r>
    </w:p>
    <w:p>
      <w:pPr>
        <w:spacing w:after="0" w:line="183" w:lineRule="exact"/>
        <w:rPr>
          <w:rFonts w:ascii="Times New Roman" w:cs="Times New Roman" w:eastAsia="Times New Roman" w:hAnsi="Times New Roman"/>
          <w:sz w:val="20"/>
          <w:szCs w:val="20"/>
          <w:color w:val="auto"/>
        </w:rPr>
      </w:pPr>
    </w:p>
    <w:p>
      <w:pPr>
        <w:jc w:val="both"/>
        <w:ind w:firstLine="8"/>
        <w:spacing w:after="0" w:line="227" w:lineRule="auto"/>
        <w:tabs>
          <w:tab w:leader="none" w:pos="4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Termination of Service</w:t>
      </w:r>
      <w:r>
        <w:rPr>
          <w:rFonts w:ascii="Times New Roman" w:cs="Times New Roman" w:eastAsia="Times New Roman" w:hAnsi="Times New Roman"/>
          <w:sz w:val="20"/>
          <w:szCs w:val="20"/>
          <w:color w:val="auto"/>
        </w:rPr>
        <w:t>. Except as otherwise provided in accordance with Section 5(b) above, if you cease to be a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Provider, you will forfeit all unvested Units. Notwithstanding this forfeiture, you will continue to be subject to the terms and conditions of this Agreement, including Exhibit 1.</w:t>
      </w:r>
    </w:p>
    <w:p>
      <w:pPr>
        <w:spacing w:after="0" w:line="184" w:lineRule="exact"/>
        <w:rPr>
          <w:rFonts w:ascii="Times New Roman" w:cs="Times New Roman" w:eastAsia="Times New Roman" w:hAnsi="Times New Roman"/>
          <w:sz w:val="20"/>
          <w:szCs w:val="20"/>
          <w:color w:val="auto"/>
        </w:rPr>
      </w:pPr>
    </w:p>
    <w:p>
      <w:pPr>
        <w:jc w:val="both"/>
        <w:ind w:firstLine="8"/>
        <w:spacing w:after="0" w:line="217" w:lineRule="auto"/>
        <w:tabs>
          <w:tab w:leader="none" w:pos="34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Units</w:t>
      </w:r>
      <w:r>
        <w:rPr>
          <w:rFonts w:ascii="Times New Roman" w:cs="Times New Roman" w:eastAsia="Times New Roman" w:hAnsi="Times New Roman"/>
          <w:sz w:val="19"/>
          <w:szCs w:val="19"/>
          <w:color w:val="auto"/>
        </w:rPr>
        <w:t>. After any Units vest pursuant to Section 5, the Company shall, as soon as practicable (but no later than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9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90" w:lineRule="exact"/>
        <w:rPr>
          <w:rFonts w:ascii="Times New Roman" w:cs="Times New Roman" w:eastAsia="Times New Roman" w:hAnsi="Times New Roman"/>
          <w:sz w:val="19"/>
          <w:szCs w:val="19"/>
          <w:color w:val="auto"/>
        </w:rPr>
      </w:pPr>
    </w:p>
    <w:p>
      <w:pPr>
        <w:jc w:val="both"/>
        <w:ind w:firstLine="8"/>
        <w:spacing w:after="0" w:line="215" w:lineRule="auto"/>
        <w:tabs>
          <w:tab w:leader="none" w:pos="4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If the Company pays cash dividends on its Shares while any Units subject to this Agreement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the Company shall credit, as of each 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spacing w:after="0" w:line="174" w:lineRule="exact"/>
        <w:rPr>
          <w:rFonts w:ascii="Times New Roman" w:cs="Times New Roman" w:eastAsia="Times New Roman" w:hAnsi="Times New Roman"/>
          <w:sz w:val="20"/>
          <w:szCs w:val="20"/>
          <w:color w:val="auto"/>
        </w:rPr>
      </w:pPr>
    </w:p>
    <w:p>
      <w:pPr>
        <w:jc w:val="both"/>
        <w:ind w:firstLine="8"/>
        <w:spacing w:after="0" w:line="213" w:lineRule="auto"/>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 and Withholding</w:t>
      </w:r>
      <w:r>
        <w:rPr>
          <w:rFonts w:ascii="Times New Roman" w:cs="Times New Roman" w:eastAsia="Times New Roman" w:hAnsi="Times New Roman"/>
          <w:sz w:val="20"/>
          <w:szCs w:val="20"/>
          <w:color w:val="auto"/>
        </w:rPr>
        <w:t>. No Shares will be delivered to you in settlement of vested Units, and no payment of any accrued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aggregated accrued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59" w:lineRule="exact"/>
        <w:rPr>
          <w:rFonts w:ascii="Times New Roman" w:cs="Times New Roman" w:eastAsia="Times New Roman" w:hAnsi="Times New Roman"/>
          <w:sz w:val="20"/>
          <w:szCs w:val="20"/>
          <w:color w:val="auto"/>
        </w:rPr>
      </w:pPr>
    </w:p>
    <w:p>
      <w:pPr>
        <w:jc w:val="both"/>
        <w:ind w:firstLine="8"/>
        <w:spacing w:after="0" w:line="227" w:lineRule="auto"/>
        <w:tabs>
          <w:tab w:leader="none" w:pos="55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3</w:t>
      </w:r>
    </w:p>
    <w:p>
      <w:pPr>
        <w:sectPr>
          <w:pgSz w:w="11900" w:h="16838" w:orient="portrait"/>
          <w:cols w:equalWidth="0" w:num="1">
            <w:col w:w="11240"/>
          </w:cols>
          <w:pgMar w:left="320" w:top="1139" w:right="339" w:bottom="1440" w:gutter="0" w:footer="0" w:header="0"/>
        </w:sectPr>
      </w:pPr>
    </w:p>
    <w:bookmarkStart w:id="98" w:name="page99"/>
    <w:bookmarkEnd w:id="98"/>
    <w:p>
      <w:pPr>
        <w:jc w:val="both"/>
        <w:spacing w:after="0" w:line="227" w:lineRule="auto"/>
        <w:rPr>
          <w:sz w:val="20"/>
          <w:szCs w:val="20"/>
          <w:color w:val="auto"/>
        </w:rPr>
      </w:pPr>
      <w:r>
        <w:rPr>
          <w:rFonts w:ascii="Times New Roman" w:cs="Times New Roman" w:eastAsia="Times New Roman" w:hAnsi="Times New Roman"/>
          <w:sz w:val="19"/>
          <w:szCs w:val="19"/>
          <w:color w:val="auto"/>
        </w:rPr>
        <w:t>herein provided. Unless and until some other address is so designated, all notices or communications by you to the Company shall be mailed or delivered to the Company, to the attention of its Senior Vice President, General Counsel and Secretary, at its office at 13200 Pioneer Trail,</w:t>
      </w:r>
    </w:p>
    <w:p>
      <w:pPr>
        <w:spacing w:after="0" w:line="211" w:lineRule="auto"/>
        <w:rPr>
          <w:sz w:val="20"/>
          <w:szCs w:val="20"/>
          <w:color w:val="auto"/>
        </w:rPr>
      </w:pPr>
      <w:r>
        <w:rPr>
          <w:rFonts w:ascii="Times New Roman" w:cs="Times New Roman" w:eastAsia="Times New Roman" w:hAnsi="Times New Roman"/>
          <w:sz w:val="20"/>
          <w:szCs w:val="20"/>
          <w:color w:val="auto"/>
        </w:rPr>
        <w:t>Suite 150, Eden Prairie, MN 55347, slbogart@winnebagoind.com, and all notices or communications by the Company to you may be given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you personally or may be mailed or, if you are still a Service Provider, emailed to you at the address indicated in the Company's records as your most recent mailing or email address.</w:t>
      </w:r>
    </w:p>
    <w:p>
      <w:pPr>
        <w:spacing w:after="0" w:line="158"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1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07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 provided, however, Exhibit 1 shall be subject to the governing law provision identified in Exhibit 1.</w:t>
      </w:r>
    </w:p>
    <w:p>
      <w:pPr>
        <w:spacing w:after="0" w:line="187" w:lineRule="exact"/>
        <w:rPr>
          <w:rFonts w:ascii="Times New Roman" w:cs="Times New Roman" w:eastAsia="Times New Roman" w:hAnsi="Times New Roman"/>
          <w:sz w:val="20"/>
          <w:szCs w:val="20"/>
          <w:color w:val="auto"/>
        </w:rPr>
      </w:pPr>
    </w:p>
    <w:p>
      <w:pPr>
        <w:jc w:val="both"/>
        <w:ind w:firstLine="656"/>
        <w:spacing w:after="0" w:line="222" w:lineRule="auto"/>
        <w:tabs>
          <w:tab w:leader="none" w:pos="1103"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(including Exhibit 1) shall be severable and if any provision of this Agreement (including Exhibit 1) is found by any court to be unenforceable, in whole or in part, the remainder of this Agreement (including Exhibit 1)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06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04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09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7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4</w:t>
      </w:r>
    </w:p>
    <w:p>
      <w:pPr>
        <w:sectPr>
          <w:pgSz w:w="11900" w:h="16838" w:orient="portrait"/>
          <w:cols w:equalWidth="0" w:num="1">
            <w:col w:w="11240"/>
          </w:cols>
          <w:pgMar w:left="320" w:top="1143" w:right="339" w:bottom="1440" w:gutter="0" w:footer="0" w:header="0"/>
        </w:sectPr>
      </w:pPr>
    </w:p>
    <w:bookmarkStart w:id="99" w:name="page100"/>
    <w:bookmarkEnd w:id="99"/>
    <w:p>
      <w:pPr>
        <w:ind w:left="5120"/>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0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Confidentiality, Intellectual Property Assignment,</w:t>
      </w:r>
    </w:p>
    <w:p>
      <w:pPr>
        <w:jc w:val="center"/>
        <w:spacing w:after="0"/>
        <w:rPr>
          <w:sz w:val="20"/>
          <w:szCs w:val="20"/>
          <w:color w:val="auto"/>
        </w:rPr>
      </w:pPr>
      <w:r>
        <w:rPr>
          <w:rFonts w:ascii="Times New Roman" w:cs="Times New Roman" w:eastAsia="Times New Roman" w:hAnsi="Times New Roman"/>
          <w:sz w:val="20"/>
          <w:szCs w:val="20"/>
          <w:b w:val="1"/>
          <w:bCs w:val="1"/>
          <w:color w:val="auto"/>
        </w:rPr>
        <w:t>Non-Competition and Non-Solicitation Agreement</w:t>
      </w:r>
    </w:p>
    <w:p>
      <w:pPr>
        <w:spacing w:after="0" w:line="194"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This Confidentiality, Intellectual Property Assignment, Non-Competition and Non-Solicitation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between Winnebago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together with the Company’s Affiliates (as defined below), assignees or successors in</w:t>
      </w:r>
    </w:p>
    <w:p>
      <w:pPr>
        <w:ind w:right="300"/>
        <w:spacing w:after="0" w:line="215" w:lineRule="auto"/>
        <w:rPr>
          <w:sz w:val="20"/>
          <w:szCs w:val="20"/>
          <w:color w:val="auto"/>
        </w:rPr>
      </w:pPr>
      <w:r>
        <w:rPr>
          <w:rFonts w:ascii="Times New Roman" w:cs="Times New Roman" w:eastAsia="Times New Roman" w:hAnsi="Times New Roman"/>
          <w:sz w:val="19"/>
          <w:szCs w:val="19"/>
          <w:color w:val="auto"/>
        </w:rPr>
        <w:t>interests, the “</w:t>
      </w:r>
      <w:r>
        <w:rPr>
          <w:rFonts w:ascii="Times New Roman" w:cs="Times New Roman" w:eastAsia="Times New Roman" w:hAnsi="Times New Roman"/>
          <w:sz w:val="19"/>
          <w:szCs w:val="19"/>
          <w:u w:val="single" w:color="auto"/>
          <w:color w:val="auto"/>
        </w:rPr>
        <w:t>Company Group</w:t>
      </w:r>
      <w:r>
        <w:rPr>
          <w:rFonts w:ascii="Times New Roman" w:cs="Times New Roman" w:eastAsia="Times New Roman" w:hAnsi="Times New Roman"/>
          <w:sz w:val="19"/>
          <w:szCs w:val="19"/>
          <w:color w:val="auto"/>
        </w:rPr>
        <w:t>”), and the service provider who signs the Agreement below (“</w:t>
      </w:r>
      <w:r>
        <w:rPr>
          <w:rFonts w:ascii="Times New Roman" w:cs="Times New Roman" w:eastAsia="Times New Roman" w:hAnsi="Times New Roman"/>
          <w:sz w:val="19"/>
          <w:szCs w:val="19"/>
          <w:u w:val="single" w:color="auto"/>
          <w:color w:val="auto"/>
        </w:rPr>
        <w:t>Service Provider</w:t>
      </w:r>
      <w:r>
        <w:rPr>
          <w:rFonts w:ascii="Times New Roman" w:cs="Times New Roman" w:eastAsia="Times New Roman" w:hAnsi="Times New Roman"/>
          <w:sz w:val="19"/>
          <w:szCs w:val="19"/>
          <w:color w:val="auto"/>
        </w:rPr>
        <w:t>”), effective as of the date signed by Service Provider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Each of Company and Service Provider hereinafter may be referred to individually as a</w:t>
      </w:r>
    </w:p>
    <w:p>
      <w:pPr>
        <w:ind w:right="40"/>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In consideration of the Company’s providing Service Provider with a grant of Restricted Stock Units (the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pursuant to the Company’s 2019 Omnibus Incentive Plan, and other good and valuable consideration, the sufficiency and receipt of which Service Provider acknowledges, Service Provider and the Company agree as follows:</w:t>
      </w:r>
    </w:p>
    <w:p>
      <w:pPr>
        <w:spacing w:after="0" w:line="1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Non-Competition and Non-Solicitation</w:t>
      </w:r>
    </w:p>
    <w:p>
      <w:pPr>
        <w:spacing w:after="0" w:line="21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No Existing Restrictions</w:t>
      </w:r>
      <w:r>
        <w:rPr>
          <w:rFonts w:ascii="Times New Roman" w:cs="Times New Roman" w:eastAsia="Times New Roman" w:hAnsi="Times New Roman"/>
          <w:sz w:val="19"/>
          <w:szCs w:val="19"/>
          <w:color w:val="auto"/>
        </w:rPr>
        <w:t>. Service Provider represents and warrants that Service Provider is not a party to any confidentiality agreement,</w:t>
      </w: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non-competition agreement, non-solicitation agreement, intellectual property rights agreement, or any other agreement with any former employer or other entity that in any way prohibits or inhibits Service Provider’s ability to: (i) be employed by the Company</w:t>
      </w:r>
    </w:p>
    <w:p>
      <w:pPr>
        <w:ind w:left="660" w:right="840"/>
        <w:spacing w:after="0" w:line="228" w:lineRule="auto"/>
        <w:rPr>
          <w:sz w:val="20"/>
          <w:szCs w:val="20"/>
          <w:color w:val="auto"/>
        </w:rPr>
      </w:pPr>
      <w:r>
        <w:rPr>
          <w:rFonts w:ascii="Times New Roman" w:cs="Times New Roman" w:eastAsia="Times New Roman" w:hAnsi="Times New Roman"/>
          <w:sz w:val="20"/>
          <w:szCs w:val="20"/>
          <w:color w:val="auto"/>
        </w:rPr>
        <w:t>Group; (i) perform services for the Company Group; (iii) enter into this Agreement; or (iv) comply with Service Provider’s obligations under this Agreement or under any Company Group policy.</w:t>
      </w:r>
    </w:p>
    <w:p>
      <w:pPr>
        <w:spacing w:after="0" w:line="176" w:lineRule="exact"/>
        <w:rPr>
          <w:sz w:val="20"/>
          <w:szCs w:val="20"/>
          <w:color w:val="auto"/>
        </w:rPr>
      </w:pPr>
    </w:p>
    <w:p>
      <w:pPr>
        <w:ind w:left="46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Acknowledgement</w:t>
      </w:r>
      <w:r>
        <w:rPr>
          <w:rFonts w:ascii="Times New Roman" w:cs="Times New Roman" w:eastAsia="Times New Roman" w:hAnsi="Times New Roman"/>
          <w:sz w:val="19"/>
          <w:szCs w:val="19"/>
          <w:color w:val="auto"/>
        </w:rPr>
        <w:t>. Service Provider acknowledges that the Company Group has spent significant time, effort and resources protecting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its Confidential Information, including its trade secrets, customer goodwill, and employee, supplier, and vendor relationships. Service</w:t>
      </w:r>
    </w:p>
    <w:p>
      <w:pPr>
        <w:spacing w:after="0" w:line="1" w:lineRule="exact"/>
        <w:rPr>
          <w:sz w:val="20"/>
          <w:szCs w:val="20"/>
          <w:color w:val="auto"/>
        </w:rPr>
      </w:pP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Provider has had or will have access to Confidential Information. In order to protect the Company Group’s Confidential Information, customer goodwill and the stability of the Company Group’s workforce, and other legitimate business interests, Service Provider</w:t>
      </w:r>
    </w:p>
    <w:p>
      <w:pPr>
        <w:ind w:left="660"/>
        <w:spacing w:after="0" w:line="211" w:lineRule="auto"/>
        <w:rPr>
          <w:sz w:val="20"/>
          <w:szCs w:val="20"/>
          <w:color w:val="auto"/>
        </w:rPr>
      </w:pPr>
      <w:r>
        <w:rPr>
          <w:rFonts w:ascii="Times New Roman" w:cs="Times New Roman" w:eastAsia="Times New Roman" w:hAnsi="Times New Roman"/>
          <w:sz w:val="20"/>
          <w:szCs w:val="20"/>
          <w:color w:val="auto"/>
        </w:rPr>
        <w:t>agrees to the covenants set forth in Subsections 1.3 through 1.6 during Service Provider’s employment or engagement with the</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Company Group and ending one (1) year following Service Provider’s separation of employment or engagement with the Company Group for any reason, whether such separation of employment or engagement is at the initiative of the Company Group or Service</w:t>
      </w:r>
    </w:p>
    <w:p>
      <w:pPr>
        <w:ind w:left="660"/>
        <w:spacing w:after="0"/>
        <w:rPr>
          <w:sz w:val="20"/>
          <w:szCs w:val="20"/>
          <w:color w:val="auto"/>
        </w:rPr>
      </w:pPr>
      <w:r>
        <w:rPr>
          <w:rFonts w:ascii="Times New Roman" w:cs="Times New Roman" w:eastAsia="Times New Roman" w:hAnsi="Times New Roman"/>
          <w:sz w:val="20"/>
          <w:szCs w:val="20"/>
          <w:color w:val="auto"/>
        </w:rPr>
        <w:t>Provider (the “</w:t>
      </w:r>
      <w:r>
        <w:rPr>
          <w:rFonts w:ascii="Times New Roman" w:cs="Times New Roman" w:eastAsia="Times New Roman" w:hAnsi="Times New Roman"/>
          <w:sz w:val="20"/>
          <w:szCs w:val="20"/>
          <w:u w:val="single" w:color="auto"/>
          <w:color w:val="auto"/>
        </w:rPr>
        <w:t>Restriction Period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right"/>
        <w:ind w:right="260"/>
        <w:spacing w:after="0" w:line="215"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During the Restriction Period, Service Provider shall not within the Restricted Territory (or for the benefit of any Competing Business located within the Restricted Territory) engage in (including, without limitation, being employed by, working</w:t>
      </w:r>
    </w:p>
    <w:p>
      <w:pPr>
        <w:ind w:left="660"/>
        <w:spacing w:after="0" w:line="212" w:lineRule="auto"/>
        <w:rPr>
          <w:sz w:val="20"/>
          <w:szCs w:val="20"/>
          <w:color w:val="auto"/>
        </w:rPr>
      </w:pPr>
      <w:r>
        <w:rPr>
          <w:rFonts w:ascii="Times New Roman" w:cs="Times New Roman" w:eastAsia="Times New Roman" w:hAnsi="Times New Roman"/>
          <w:sz w:val="20"/>
          <w:szCs w:val="20"/>
          <w:color w:val="auto"/>
        </w:rPr>
        <w:t>for, or rendering services to) any Competing Business in any Prohibited Capacity if in such Prohibited Capacity for the Competing</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Business, Service Provider is working on, involved in, assisting in, or managing with respect to, the design, development, production, improvement, engineering, manufacture, provision or sale of any Competing Product. For the avoidance of doubt, if the Competing</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Business has multiple divisions or business units, one or more of which is not competitive with the business of the Company Group, nothing herein will prohibit Service Provider from being employed or engaged by, working for or assisting in a Prohibited Capacity</w:t>
      </w:r>
    </w:p>
    <w:p>
      <w:pPr>
        <w:ind w:left="660"/>
        <w:spacing w:after="0" w:line="211" w:lineRule="auto"/>
        <w:rPr>
          <w:sz w:val="20"/>
          <w:szCs w:val="20"/>
          <w:color w:val="auto"/>
        </w:rPr>
      </w:pPr>
      <w:r>
        <w:rPr>
          <w:rFonts w:ascii="Times New Roman" w:cs="Times New Roman" w:eastAsia="Times New Roman" w:hAnsi="Times New Roman"/>
          <w:sz w:val="20"/>
          <w:szCs w:val="20"/>
          <w:color w:val="auto"/>
        </w:rPr>
        <w:t>only that division or business unit of such Competing Business that is not competitive with the business of the Company Group. As</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used herein,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means any Person that develops, manufactures, produces, sells, or provides Competing Products and is competitive with the business of the Company Group. As used herein,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or entity (including,</w:t>
      </w:r>
    </w:p>
    <w:p>
      <w:pPr>
        <w:ind w:left="660"/>
        <w:spacing w:after="0" w:line="222" w:lineRule="auto"/>
        <w:rPr>
          <w:sz w:val="20"/>
          <w:szCs w:val="20"/>
          <w:color w:val="auto"/>
        </w:rPr>
      </w:pPr>
      <w:r>
        <w:rPr>
          <w:rFonts w:ascii="Times New Roman" w:cs="Times New Roman" w:eastAsia="Times New Roman" w:hAnsi="Times New Roman"/>
          <w:sz w:val="19"/>
          <w:szCs w:val="19"/>
          <w:color w:val="auto"/>
        </w:rPr>
        <w:t>without limitation, a corporation, partnership, limited liability company, trust, joint venture, association or other business operation).</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As used herein, “</w:t>
      </w:r>
      <w:r>
        <w:rPr>
          <w:rFonts w:ascii="Times New Roman" w:cs="Times New Roman" w:eastAsia="Times New Roman" w:hAnsi="Times New Roman"/>
          <w:sz w:val="19"/>
          <w:szCs w:val="19"/>
          <w:u w:val="single" w:color="auto"/>
          <w:color w:val="auto"/>
        </w:rPr>
        <w:t>Competing Product</w:t>
      </w:r>
      <w:r>
        <w:rPr>
          <w:rFonts w:ascii="Times New Roman" w:cs="Times New Roman" w:eastAsia="Times New Roman" w:hAnsi="Times New Roman"/>
          <w:sz w:val="19"/>
          <w:szCs w:val="19"/>
          <w:color w:val="auto"/>
        </w:rPr>
        <w:t>” means (i) any recreational vehicle or boat that is (or once developed would be) competitive with any of the types of recreational vehicles or boats manufactured, produced or sold by (A) the Company Group entity with which</w:t>
      </w:r>
    </w:p>
    <w:p>
      <w:pPr>
        <w:ind w:left="660"/>
        <w:spacing w:after="0" w:line="211" w:lineRule="auto"/>
        <w:rPr>
          <w:sz w:val="20"/>
          <w:szCs w:val="20"/>
          <w:color w:val="auto"/>
        </w:rPr>
      </w:pPr>
      <w:r>
        <w:rPr>
          <w:rFonts w:ascii="Times New Roman" w:cs="Times New Roman" w:eastAsia="Times New Roman" w:hAnsi="Times New Roman"/>
          <w:sz w:val="20"/>
          <w:szCs w:val="20"/>
          <w:color w:val="auto"/>
        </w:rPr>
        <w:t>Service Provider has an employment or other relationship or (B) any other member of the Company Group, in either case during</w:t>
      </w:r>
    </w:p>
    <w:p>
      <w:pPr>
        <w:ind w:left="660" w:right="940"/>
        <w:spacing w:after="0" w:line="221" w:lineRule="auto"/>
        <w:rPr>
          <w:sz w:val="20"/>
          <w:szCs w:val="20"/>
          <w:color w:val="auto"/>
        </w:rPr>
      </w:pPr>
      <w:r>
        <w:rPr>
          <w:rFonts w:ascii="Times New Roman" w:cs="Times New Roman" w:eastAsia="Times New Roman" w:hAnsi="Times New Roman"/>
          <w:sz w:val="20"/>
          <w:szCs w:val="20"/>
          <w:color w:val="auto"/>
        </w:rPr>
        <w:t>Service Provider’s employment or engagement with the Company Group and/or as of the separation of Service Provider’s relationship with the Company Group; (ii) any product or service that is (or once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5</w:t>
      </w:r>
    </w:p>
    <w:p>
      <w:pPr>
        <w:sectPr>
          <w:pgSz w:w="11900" w:h="16838" w:orient="portrait"/>
          <w:cols w:equalWidth="0" w:num="1">
            <w:col w:w="11240"/>
          </w:cols>
          <w:pgMar w:left="320" w:top="1139" w:right="339" w:bottom="1440" w:gutter="0" w:footer="0" w:header="0"/>
        </w:sectPr>
      </w:pPr>
    </w:p>
    <w:bookmarkStart w:id="100" w:name="page101"/>
    <w:bookmarkEnd w:id="100"/>
    <w:p>
      <w:pPr>
        <w:ind w:left="660" w:right="80"/>
        <w:spacing w:after="0" w:line="227" w:lineRule="auto"/>
        <w:rPr>
          <w:sz w:val="20"/>
          <w:szCs w:val="20"/>
          <w:color w:val="auto"/>
        </w:rPr>
      </w:pPr>
      <w:r>
        <w:rPr>
          <w:rFonts w:ascii="Times New Roman" w:cs="Times New Roman" w:eastAsia="Times New Roman" w:hAnsi="Times New Roman"/>
          <w:sz w:val="19"/>
          <w:szCs w:val="19"/>
          <w:color w:val="auto"/>
        </w:rPr>
        <w:t>would be) competitive with any of the types of products or services manufactured, produced, sold or provided by (A) the Company Group entity with which Service Provider has an employment or other relationship or (B) any other member of the Company Group,</w:t>
      </w:r>
    </w:p>
    <w:p>
      <w:pPr>
        <w:ind w:left="660"/>
        <w:spacing w:after="0" w:line="211" w:lineRule="auto"/>
        <w:rPr>
          <w:sz w:val="20"/>
          <w:szCs w:val="20"/>
          <w:color w:val="auto"/>
        </w:rPr>
      </w:pPr>
      <w:r>
        <w:rPr>
          <w:rFonts w:ascii="Times New Roman" w:cs="Times New Roman" w:eastAsia="Times New Roman" w:hAnsi="Times New Roman"/>
          <w:sz w:val="20"/>
          <w:szCs w:val="20"/>
          <w:color w:val="auto"/>
        </w:rPr>
        <w:t>in either case during Service Provider’s employment or engagement with the Company Group and/or as of the separation of Service</w:t>
      </w:r>
    </w:p>
    <w:p>
      <w:pPr>
        <w:spacing w:after="0" w:line="1" w:lineRule="exact"/>
        <w:rPr>
          <w:sz w:val="20"/>
          <w:szCs w:val="20"/>
          <w:color w:val="auto"/>
        </w:rPr>
      </w:pP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Provider’s relationship with the Company Group; (iii) any product or service that is (or once developed would be) competitive with any of the types of products or services manufactured, produced, sold or provided by (A) the Company Group entity with which</w:t>
      </w:r>
    </w:p>
    <w:p>
      <w:pPr>
        <w:ind w:left="660"/>
        <w:spacing w:after="0" w:line="211" w:lineRule="auto"/>
        <w:rPr>
          <w:sz w:val="20"/>
          <w:szCs w:val="20"/>
          <w:color w:val="auto"/>
        </w:rPr>
      </w:pPr>
      <w:r>
        <w:rPr>
          <w:rFonts w:ascii="Times New Roman" w:cs="Times New Roman" w:eastAsia="Times New Roman" w:hAnsi="Times New Roman"/>
          <w:sz w:val="20"/>
          <w:szCs w:val="20"/>
          <w:color w:val="auto"/>
        </w:rPr>
        <w:t>Service Provider has an employment or other relationship or (B) any other member of the Company Group and with respect to</w:t>
      </w:r>
    </w:p>
    <w:p>
      <w:pPr>
        <w:ind w:left="660" w:right="540"/>
        <w:spacing w:after="0" w:line="215" w:lineRule="auto"/>
        <w:rPr>
          <w:sz w:val="20"/>
          <w:szCs w:val="20"/>
          <w:color w:val="auto"/>
        </w:rPr>
      </w:pPr>
      <w:r>
        <w:rPr>
          <w:rFonts w:ascii="Times New Roman" w:cs="Times New Roman" w:eastAsia="Times New Roman" w:hAnsi="Times New Roman"/>
          <w:sz w:val="19"/>
          <w:szCs w:val="19"/>
          <w:color w:val="auto"/>
        </w:rPr>
        <w:t>which, at any time during the one-year period immediately preceding the separation of Service Provider’s relationship with the Company Group, Service Provider had any responsibility for (including, without limitation, any managerial or other oversight</w:t>
      </w:r>
    </w:p>
    <w:p>
      <w:pPr>
        <w:ind w:left="660"/>
        <w:spacing w:after="0" w:line="211" w:lineRule="auto"/>
        <w:rPr>
          <w:sz w:val="20"/>
          <w:szCs w:val="20"/>
          <w:color w:val="auto"/>
        </w:rPr>
      </w:pPr>
      <w:r>
        <w:rPr>
          <w:rFonts w:ascii="Times New Roman" w:cs="Times New Roman" w:eastAsia="Times New Roman" w:hAnsi="Times New Roman"/>
          <w:sz w:val="20"/>
          <w:szCs w:val="20"/>
          <w:color w:val="auto"/>
        </w:rPr>
        <w:t>responsibility) the design, development, manufacture, production, sales or provision, or acquired any Confidential Information;</w:t>
      </w: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and/or (iv) any product or service that is (or once developed would be) competitive with any of the products that (A) the Company Group entity with which Service Provider has an employment or other relationship or (B) any other member of the Company Group</w:t>
      </w:r>
    </w:p>
    <w:p>
      <w:pPr>
        <w:ind w:left="660"/>
        <w:spacing w:after="0" w:line="211" w:lineRule="auto"/>
        <w:rPr>
          <w:sz w:val="20"/>
          <w:szCs w:val="20"/>
          <w:color w:val="auto"/>
        </w:rPr>
      </w:pPr>
      <w:r>
        <w:rPr>
          <w:rFonts w:ascii="Times New Roman" w:cs="Times New Roman" w:eastAsia="Times New Roman" w:hAnsi="Times New Roman"/>
          <w:sz w:val="20"/>
          <w:szCs w:val="20"/>
          <w:color w:val="auto"/>
        </w:rPr>
        <w:t>had under development and with respect to which, at any time during the one-year period immediately preceding the separation of</w:t>
      </w: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Service Provider’s relationship with the Company Group, Service Provider had any responsibility for (including, without limitation, any managerial or other oversight responsibility) the development or acquired any Confidential Information. As used herein,</w:t>
      </w:r>
    </w:p>
    <w:p>
      <w:pPr>
        <w:ind w:left="660"/>
        <w:spacing w:after="0" w:line="22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Prohibited Capacity</w:t>
      </w:r>
      <w:r>
        <w:rPr>
          <w:rFonts w:ascii="Times New Roman" w:cs="Times New Roman" w:eastAsia="Times New Roman" w:hAnsi="Times New Roman"/>
          <w:sz w:val="19"/>
          <w:szCs w:val="19"/>
          <w:color w:val="auto"/>
        </w:rPr>
        <w:t>” means: (i) the same or similar capacity or function to that in which Service Provider worked for the Company</w:t>
      </w:r>
    </w:p>
    <w:p>
      <w:pPr>
        <w:ind w:left="660" w:right="440"/>
        <w:spacing w:after="0" w:line="215" w:lineRule="auto"/>
        <w:rPr>
          <w:sz w:val="20"/>
          <w:szCs w:val="20"/>
          <w:color w:val="auto"/>
        </w:rPr>
      </w:pPr>
      <w:r>
        <w:rPr>
          <w:rFonts w:ascii="Times New Roman" w:cs="Times New Roman" w:eastAsia="Times New Roman" w:hAnsi="Times New Roman"/>
          <w:sz w:val="19"/>
          <w:szCs w:val="19"/>
          <w:color w:val="auto"/>
        </w:rPr>
        <w:t>Group at any time during the one-year period immediately preceding the separation of Service Provider’s relationship with the Company Group; (ii) any officer, executive or managerial capacity or function; (iii) any product design, product development or</w:t>
      </w:r>
    </w:p>
    <w:p>
      <w:pPr>
        <w:ind w:left="660"/>
        <w:spacing w:after="0" w:line="222" w:lineRule="auto"/>
        <w:rPr>
          <w:sz w:val="20"/>
          <w:szCs w:val="20"/>
          <w:color w:val="auto"/>
        </w:rPr>
      </w:pPr>
      <w:r>
        <w:rPr>
          <w:rFonts w:ascii="Times New Roman" w:cs="Times New Roman" w:eastAsia="Times New Roman" w:hAnsi="Times New Roman"/>
          <w:sz w:val="19"/>
          <w:szCs w:val="19"/>
          <w:color w:val="auto"/>
        </w:rPr>
        <w:t>product improvement capacity or function; (iv) any engineering capacity or function; (v) any sales or business development capacity</w:t>
      </w:r>
    </w:p>
    <w:p>
      <w:pPr>
        <w:ind w:left="660" w:right="360"/>
        <w:spacing w:after="0" w:line="215" w:lineRule="auto"/>
        <w:rPr>
          <w:sz w:val="20"/>
          <w:szCs w:val="20"/>
          <w:color w:val="auto"/>
        </w:rPr>
      </w:pPr>
      <w:r>
        <w:rPr>
          <w:rFonts w:ascii="Times New Roman" w:cs="Times New Roman" w:eastAsia="Times New Roman" w:hAnsi="Times New Roman"/>
          <w:sz w:val="19"/>
          <w:szCs w:val="19"/>
          <w:color w:val="auto"/>
        </w:rPr>
        <w:t>or function; (vi) any ownership capacity (except Service Provider may own as a passive investment up to 2% of any class of securities that is listed or admitted to trading on a national securities exchange or otherwise publicly traded); (vii) any capacity or</w:t>
      </w:r>
    </w:p>
    <w:p>
      <w:pPr>
        <w:ind w:left="660"/>
        <w:spacing w:after="0" w:line="211" w:lineRule="auto"/>
        <w:rPr>
          <w:sz w:val="20"/>
          <w:szCs w:val="20"/>
          <w:color w:val="auto"/>
        </w:rPr>
      </w:pPr>
      <w:r>
        <w:rPr>
          <w:rFonts w:ascii="Times New Roman" w:cs="Times New Roman" w:eastAsia="Times New Roman" w:hAnsi="Times New Roman"/>
          <w:sz w:val="20"/>
          <w:szCs w:val="20"/>
          <w:color w:val="auto"/>
        </w:rPr>
        <w:t>function in which there is a material risk that Service Provider may inevitably use or disclose the Company Group’s trade secrets or</w:t>
      </w:r>
    </w:p>
    <w:p>
      <w:pPr>
        <w:ind w:left="660" w:right="300"/>
        <w:spacing w:after="0" w:line="215" w:lineRule="auto"/>
        <w:rPr>
          <w:sz w:val="20"/>
          <w:szCs w:val="20"/>
          <w:color w:val="auto"/>
        </w:rPr>
      </w:pPr>
      <w:r>
        <w:rPr>
          <w:rFonts w:ascii="Times New Roman" w:cs="Times New Roman" w:eastAsia="Times New Roman" w:hAnsi="Times New Roman"/>
          <w:sz w:val="19"/>
          <w:szCs w:val="19"/>
          <w:color w:val="auto"/>
        </w:rPr>
        <w:t>other Confidential Information; or (viii) any other capacity or function in which Service Provider’s knowledge of the Confidential Information would facilitate or assist Service Provider’s work for a Competing Business. Service Provider acknowledges that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Company Group conducts its business throughout the United States and internationally, and, therefore, that the term “</w:t>
      </w:r>
      <w:r>
        <w:rPr>
          <w:rFonts w:ascii="Times New Roman" w:cs="Times New Roman" w:eastAsia="Times New Roman" w:hAnsi="Times New Roman"/>
          <w:sz w:val="20"/>
          <w:szCs w:val="20"/>
          <w:u w:val="single" w:color="auto"/>
          <w:color w:val="auto"/>
        </w:rPr>
        <w:t>Restricted</w:t>
      </w:r>
    </w:p>
    <w:p>
      <w:pPr>
        <w:ind w:left="660" w:right="40"/>
        <w:spacing w:after="0" w:line="204" w:lineRule="auto"/>
        <w:rPr>
          <w:sz w:val="20"/>
          <w:szCs w:val="20"/>
          <w:color w:val="auto"/>
        </w:rPr>
      </w:pPr>
      <w:r>
        <w:rPr>
          <w:rFonts w:ascii="Times New Roman" w:cs="Times New Roman" w:eastAsia="Times New Roman" w:hAnsi="Times New Roman"/>
          <w:sz w:val="20"/>
          <w:szCs w:val="20"/>
          <w:u w:val="single" w:color="auto"/>
          <w:color w:val="auto"/>
        </w:rPr>
        <w:t>Territory</w:t>
      </w:r>
      <w:r>
        <w:rPr>
          <w:rFonts w:ascii="Times New Roman" w:cs="Times New Roman" w:eastAsia="Times New Roman" w:hAnsi="Times New Roman"/>
          <w:sz w:val="20"/>
          <w:szCs w:val="20"/>
          <w:color w:val="auto"/>
        </w:rPr>
        <w:t>” as used herein shall mean the area(s) lying within a 50-mile radius of any Company Group facility or office with respect to which, at any time during the one-year period immediately preceding the separation of Service Provider’s relationship with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Company Group, Service Provider was assigned, regularly worked or was responsible, in whole or in part, for managing; provided,</w:t>
      </w:r>
    </w:p>
    <w:p>
      <w:pPr>
        <w:spacing w:after="0" w:line="1" w:lineRule="exact"/>
        <w:rPr>
          <w:sz w:val="20"/>
          <w:szCs w:val="20"/>
          <w:color w:val="auto"/>
        </w:rPr>
      </w:pP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further, if Service Provider regularly worked out of his or her residence or other remote location at any time during the one-year period immediately preceding the separation of Service Provider’s relationship with the Company Group, such residence or remote</w:t>
      </w:r>
    </w:p>
    <w:p>
      <w:pPr>
        <w:ind w:left="660"/>
        <w:spacing w:after="0" w:line="207" w:lineRule="auto"/>
        <w:rPr>
          <w:sz w:val="20"/>
          <w:szCs w:val="20"/>
          <w:color w:val="auto"/>
        </w:rPr>
      </w:pPr>
      <w:r>
        <w:rPr>
          <w:rFonts w:ascii="Times New Roman" w:cs="Times New Roman" w:eastAsia="Times New Roman" w:hAnsi="Times New Roman"/>
          <w:sz w:val="19"/>
          <w:szCs w:val="19"/>
          <w:color w:val="auto"/>
        </w:rPr>
        <w:t>location shall be considered a Company Group office to which Service Provider was assigned for purposes of this subpart (vi); and/or</w:t>
      </w:r>
    </w:p>
    <w:p>
      <w:pPr>
        <w:spacing w:after="0" w:line="1" w:lineRule="exact"/>
        <w:rPr>
          <w:sz w:val="20"/>
          <w:szCs w:val="20"/>
          <w:color w:val="auto"/>
        </w:rPr>
      </w:pPr>
    </w:p>
    <w:p>
      <w:pPr>
        <w:jc w:val="both"/>
        <w:ind w:left="660" w:right="260" w:hanging="4"/>
        <w:spacing w:after="0" w:line="223" w:lineRule="auto"/>
        <w:tabs>
          <w:tab w:leader="none" w:pos="10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States of the United States. For the avoidance of doubt, nothing herein shall prohibit Service Provider from engaging in or working for a business that is engaged primarily in the retail sale of recreational vehicles or boats and not the design, development and/or manufacture of recreational vehicles or boats.</w:t>
      </w:r>
    </w:p>
    <w:p>
      <w:pPr>
        <w:spacing w:after="0" w:line="147" w:lineRule="exact"/>
        <w:rPr>
          <w:sz w:val="20"/>
          <w:szCs w:val="20"/>
          <w:color w:val="auto"/>
        </w:rPr>
      </w:pPr>
    </w:p>
    <w:p>
      <w:pPr>
        <w:jc w:val="right"/>
        <w:ind w:right="220"/>
        <w:spacing w:after="0" w:line="222"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Non-Solicitation of Employees</w:t>
      </w:r>
      <w:r>
        <w:rPr>
          <w:rFonts w:ascii="Times New Roman" w:cs="Times New Roman" w:eastAsia="Times New Roman" w:hAnsi="Times New Roman"/>
          <w:sz w:val="20"/>
          <w:szCs w:val="20"/>
          <w:color w:val="auto"/>
        </w:rPr>
        <w:t>. During the Restriction Period, Service Provider shall not: (i) solicit, recruit, hire, employ, engage the services of, or attempt to hire, employ or engage the services of any Restricted Employee; (ii) assist any Person in the recruitment,</w:t>
      </w:r>
    </w:p>
    <w:p>
      <w:pPr>
        <w:spacing w:after="0" w:line="2" w:lineRule="exact"/>
        <w:rPr>
          <w:sz w:val="20"/>
          <w:szCs w:val="20"/>
          <w:color w:val="auto"/>
        </w:rPr>
      </w:pP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hiring or engagement of the services of any Restricted Employee; (iii) urge, induce or seek to induce any individual to terminate his/her employment or engagement with the Company Group; or (iv) advise, suggest to or recommend to any Competing Business</w:t>
      </w:r>
    </w:p>
    <w:p>
      <w:pPr>
        <w:ind w:left="660"/>
        <w:spacing w:after="0" w:line="222" w:lineRule="auto"/>
        <w:rPr>
          <w:sz w:val="20"/>
          <w:szCs w:val="20"/>
          <w:color w:val="auto"/>
        </w:rPr>
      </w:pPr>
      <w:r>
        <w:rPr>
          <w:rFonts w:ascii="Times New Roman" w:cs="Times New Roman" w:eastAsia="Times New Roman" w:hAnsi="Times New Roman"/>
          <w:sz w:val="19"/>
          <w:szCs w:val="19"/>
          <w:color w:val="auto"/>
        </w:rPr>
        <w:t>that it employ, engage the services of or seek to employ or engage the services of any Restricted Employee. Anonymous job postings</w:t>
      </w:r>
    </w:p>
    <w:p>
      <w:pPr>
        <w:jc w:val="both"/>
        <w:ind w:left="660" w:right="480"/>
        <w:spacing w:after="0" w:line="215" w:lineRule="auto"/>
        <w:rPr>
          <w:sz w:val="20"/>
          <w:szCs w:val="20"/>
          <w:color w:val="auto"/>
        </w:rPr>
      </w:pPr>
      <w:r>
        <w:rPr>
          <w:rFonts w:ascii="Times New Roman" w:cs="Times New Roman" w:eastAsia="Times New Roman" w:hAnsi="Times New Roman"/>
          <w:sz w:val="19"/>
          <w:szCs w:val="19"/>
          <w:color w:val="auto"/>
        </w:rPr>
        <w:t>in a general publication or website to which a Restricted Employee responds shall not violate this Subsection 1.4, provided that Service Provider does not engage in any other action in violation of this Subsection 1.4. As used herein, “</w:t>
      </w:r>
      <w:r>
        <w:rPr>
          <w:rFonts w:ascii="Times New Roman" w:cs="Times New Roman" w:eastAsia="Times New Roman" w:hAnsi="Times New Roman"/>
          <w:sz w:val="19"/>
          <w:szCs w:val="19"/>
          <w:u w:val="single" w:color="auto"/>
          <w:color w:val="auto"/>
        </w:rPr>
        <w:t>Restricted Employee</w:t>
      </w:r>
      <w:r>
        <w:rPr>
          <w:rFonts w:ascii="Times New Roman" w:cs="Times New Roman" w:eastAsia="Times New Roman" w:hAnsi="Times New Roman"/>
          <w:sz w:val="19"/>
          <w:szCs w:val="19"/>
          <w:color w:val="auto"/>
        </w:rPr>
        <w:t>”</w:t>
      </w:r>
    </w:p>
    <w:p>
      <w:pPr>
        <w:ind w:left="660"/>
        <w:spacing w:after="0" w:line="211" w:lineRule="auto"/>
        <w:rPr>
          <w:sz w:val="20"/>
          <w:szCs w:val="20"/>
          <w:color w:val="auto"/>
        </w:rPr>
      </w:pPr>
      <w:r>
        <w:rPr>
          <w:rFonts w:ascii="Times New Roman" w:cs="Times New Roman" w:eastAsia="Times New Roman" w:hAnsi="Times New Roman"/>
          <w:sz w:val="20"/>
          <w:szCs w:val="20"/>
          <w:color w:val="auto"/>
        </w:rPr>
        <w:t>means any individual employed with (A) the Company Group entity with which Service Provider has an employment or other</w:t>
      </w:r>
    </w:p>
    <w:p>
      <w:pPr>
        <w:ind w:left="660" w:right="280"/>
        <w:spacing w:after="0" w:line="215" w:lineRule="auto"/>
        <w:rPr>
          <w:sz w:val="20"/>
          <w:szCs w:val="20"/>
          <w:color w:val="auto"/>
        </w:rPr>
      </w:pPr>
      <w:r>
        <w:rPr>
          <w:rFonts w:ascii="Times New Roman" w:cs="Times New Roman" w:eastAsia="Times New Roman" w:hAnsi="Times New Roman"/>
          <w:sz w:val="19"/>
          <w:szCs w:val="19"/>
          <w:color w:val="auto"/>
        </w:rPr>
        <w:t>relationship or (B) any other member of the Company Group, in either case during Service Provider’s employment or engagement with the Company Group and/or as of the separation of Service Provider’s relationship with the Company Group provided the</w:t>
      </w:r>
    </w:p>
    <w:p>
      <w:pPr>
        <w:ind w:left="660"/>
        <w:spacing w:after="0"/>
        <w:rPr>
          <w:sz w:val="20"/>
          <w:szCs w:val="20"/>
          <w:color w:val="auto"/>
        </w:rPr>
      </w:pPr>
      <w:r>
        <w:rPr>
          <w:rFonts w:ascii="Times New Roman" w:cs="Times New Roman" w:eastAsia="Times New Roman" w:hAnsi="Times New Roman"/>
          <w:sz w:val="20"/>
          <w:szCs w:val="20"/>
          <w:color w:val="auto"/>
        </w:rPr>
        <w:t>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6</w:t>
      </w:r>
    </w:p>
    <w:p>
      <w:pPr>
        <w:sectPr>
          <w:pgSz w:w="11900" w:h="16838" w:orient="portrait"/>
          <w:cols w:equalWidth="0" w:num="1">
            <w:col w:w="11240"/>
          </w:cols>
          <w:pgMar w:left="320" w:top="1143" w:right="339" w:bottom="1440" w:gutter="0" w:footer="0" w:header="0"/>
        </w:sectPr>
      </w:pPr>
    </w:p>
    <w:bookmarkStart w:id="101" w:name="page102"/>
    <w:bookmarkEnd w:id="101"/>
    <w:p>
      <w:pPr>
        <w:ind w:left="660" w:right="140"/>
        <w:spacing w:after="0" w:line="227" w:lineRule="auto"/>
        <w:rPr>
          <w:sz w:val="20"/>
          <w:szCs w:val="20"/>
          <w:color w:val="auto"/>
        </w:rPr>
      </w:pPr>
      <w:r>
        <w:rPr>
          <w:rFonts w:ascii="Times New Roman" w:cs="Times New Roman" w:eastAsia="Times New Roman" w:hAnsi="Times New Roman"/>
          <w:sz w:val="19"/>
          <w:szCs w:val="19"/>
          <w:color w:val="auto"/>
        </w:rPr>
        <w:t>two conditions are satisfied with respect to such individual: (i) as of the time of the activity in question, such individual is then, or within the immediately preceding three-month period was, employed by the Company Group; and (ii) such individual (A) regularly</w:t>
      </w:r>
    </w:p>
    <w:p>
      <w:pPr>
        <w:ind w:left="660" w:right="40"/>
        <w:spacing w:after="0" w:line="228" w:lineRule="auto"/>
        <w:rPr>
          <w:sz w:val="20"/>
          <w:szCs w:val="20"/>
          <w:color w:val="auto"/>
        </w:rPr>
      </w:pPr>
      <w:r>
        <w:rPr>
          <w:rFonts w:ascii="Times New Roman" w:cs="Times New Roman" w:eastAsia="Times New Roman" w:hAnsi="Times New Roman"/>
          <w:sz w:val="20"/>
          <w:szCs w:val="20"/>
          <w:color w:val="auto"/>
        </w:rPr>
        <w:t>received, helped create or had access to any of the Company Group’s trade secrets or other Confidential Information, and/or (B) is or was employed in engineering role, product design or development role, or executive or managerial role for the Company Group.</w:t>
      </w:r>
    </w:p>
    <w:p>
      <w:pPr>
        <w:spacing w:after="0" w:line="149" w:lineRule="exact"/>
        <w:rPr>
          <w:sz w:val="20"/>
          <w:szCs w:val="20"/>
          <w:color w:val="auto"/>
        </w:rPr>
      </w:pPr>
    </w:p>
    <w:p>
      <w:pPr>
        <w:ind w:left="460" w:right="34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Non-Interference with Business Relationships</w:t>
      </w:r>
      <w:r>
        <w:rPr>
          <w:rFonts w:ascii="Times New Roman" w:cs="Times New Roman" w:eastAsia="Times New Roman" w:hAnsi="Times New Roman"/>
          <w:sz w:val="19"/>
          <w:szCs w:val="19"/>
          <w:color w:val="auto"/>
        </w:rPr>
        <w:t>. During the Restriction Period, Service Provider shall not, directly or indirectly, urge,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induce or seek to induce any of the Company Group’s customers, independent contractors, subcontractors, consultants, business</w:t>
      </w:r>
    </w:p>
    <w:p>
      <w:pPr>
        <w:spacing w:after="0" w:line="1" w:lineRule="exact"/>
        <w:rPr>
          <w:sz w:val="20"/>
          <w:szCs w:val="20"/>
          <w:color w:val="auto"/>
        </w:rPr>
      </w:pPr>
    </w:p>
    <w:p>
      <w:pPr>
        <w:ind w:left="660" w:right="540"/>
        <w:spacing w:after="0" w:line="215" w:lineRule="auto"/>
        <w:rPr>
          <w:sz w:val="20"/>
          <w:szCs w:val="20"/>
          <w:color w:val="auto"/>
        </w:rPr>
      </w:pPr>
      <w:r>
        <w:rPr>
          <w:rFonts w:ascii="Times New Roman" w:cs="Times New Roman" w:eastAsia="Times New Roman" w:hAnsi="Times New Roman"/>
          <w:sz w:val="19"/>
          <w:szCs w:val="19"/>
          <w:color w:val="auto"/>
        </w:rPr>
        <w:t>partners, vendors, suppliers or any other Person with whom the Company Group has a business relationship to terminate their relationship with, or representation of, the Company Group or to cancel, withdraw, reduce, limit or modify (in a manner that is</w:t>
      </w:r>
    </w:p>
    <w:p>
      <w:pPr>
        <w:ind w:left="660"/>
        <w:spacing w:after="0"/>
        <w:rPr>
          <w:sz w:val="20"/>
          <w:szCs w:val="20"/>
          <w:color w:val="auto"/>
        </w:rPr>
      </w:pPr>
      <w:r>
        <w:rPr>
          <w:rFonts w:ascii="Times New Roman" w:cs="Times New Roman" w:eastAsia="Times New Roman" w:hAnsi="Times New Roman"/>
          <w:sz w:val="20"/>
          <w:szCs w:val="20"/>
          <w:color w:val="auto"/>
        </w:rPr>
        <w:t>adverse to the best interests of the Company Group) any such Person’s business with, or representation of, the Company Group.</w:t>
      </w:r>
    </w:p>
    <w:p>
      <w:pPr>
        <w:spacing w:after="0" w:line="167" w:lineRule="exact"/>
        <w:rPr>
          <w:sz w:val="20"/>
          <w:szCs w:val="20"/>
          <w:color w:val="auto"/>
        </w:rPr>
      </w:pPr>
    </w:p>
    <w:p>
      <w:pPr>
        <w:ind w:left="460" w:right="34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Covered Affiliates</w:t>
      </w:r>
      <w:r>
        <w:rPr>
          <w:rFonts w:ascii="Times New Roman" w:cs="Times New Roman" w:eastAsia="Times New Roman" w:hAnsi="Times New Roman"/>
          <w:sz w:val="19"/>
          <w:szCs w:val="19"/>
          <w:color w:val="auto"/>
        </w:rPr>
        <w:t>. Service Provider may from time to time provide services to certain of the Company’s Affiliates. As used herein,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any entity that directly, or indirectly through one or more intermediaries, is owned or controlled by, owns or</w:t>
      </w:r>
    </w:p>
    <w:p>
      <w:pPr>
        <w:ind w:left="660"/>
        <w:spacing w:after="0" w:line="222" w:lineRule="auto"/>
        <w:rPr>
          <w:sz w:val="20"/>
          <w:szCs w:val="20"/>
          <w:color w:val="auto"/>
        </w:rPr>
      </w:pPr>
      <w:r>
        <w:rPr>
          <w:rFonts w:ascii="Times New Roman" w:cs="Times New Roman" w:eastAsia="Times New Roman" w:hAnsi="Times New Roman"/>
          <w:sz w:val="19"/>
          <w:szCs w:val="19"/>
          <w:color w:val="auto"/>
        </w:rPr>
        <w:t>controls, or is under common ownership or control with, the Company; for this purpose, “control” of an entity means the possession,</w:t>
      </w:r>
    </w:p>
    <w:p>
      <w:pPr>
        <w:spacing w:after="0" w:line="1" w:lineRule="exact"/>
        <w:rPr>
          <w:sz w:val="20"/>
          <w:szCs w:val="20"/>
          <w:color w:val="auto"/>
        </w:rPr>
      </w:pP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direct or indirect, of the power to direct or cause the direction of the management and policies of the entity, whether through the ownership of voting securities, by contract or otherwise. For purposes of the covenants set forth in Subsections 1.3 through 1.5, each</w:t>
      </w:r>
    </w:p>
    <w:p>
      <w:pPr>
        <w:ind w:left="660"/>
        <w:spacing w:after="0" w:line="222" w:lineRule="auto"/>
        <w:rPr>
          <w:sz w:val="20"/>
          <w:szCs w:val="20"/>
          <w:color w:val="auto"/>
        </w:rPr>
      </w:pPr>
      <w:r>
        <w:rPr>
          <w:rFonts w:ascii="Times New Roman" w:cs="Times New Roman" w:eastAsia="Times New Roman" w:hAnsi="Times New Roman"/>
          <w:sz w:val="19"/>
          <w:szCs w:val="19"/>
          <w:color w:val="auto"/>
        </w:rPr>
        <w:t>and every reference to “Company” in Section 1 (and any related procedural and/or remedial provisions relating to the enforcement of</w:t>
      </w:r>
    </w:p>
    <w:p>
      <w:pPr>
        <w:ind w:left="660"/>
        <w:spacing w:after="0" w:line="215" w:lineRule="auto"/>
        <w:rPr>
          <w:sz w:val="20"/>
          <w:szCs w:val="20"/>
          <w:color w:val="auto"/>
        </w:rPr>
      </w:pPr>
      <w:r>
        <w:rPr>
          <w:rFonts w:ascii="Times New Roman" w:cs="Times New Roman" w:eastAsia="Times New Roman" w:hAnsi="Times New Roman"/>
          <w:sz w:val="19"/>
          <w:szCs w:val="19"/>
          <w:color w:val="auto"/>
        </w:rPr>
        <w:t>this Agreement) means Winnebago Industries, Inc. and/or any Affiliate with respect to which, at any time during the one-year period immediately preceding the separation of Service Provider’s relationship with the Company Group, Service Provider has provided any</w:t>
      </w:r>
    </w:p>
    <w:p>
      <w:pPr>
        <w:ind w:left="660"/>
        <w:spacing w:after="0" w:line="222" w:lineRule="auto"/>
        <w:rPr>
          <w:sz w:val="20"/>
          <w:szCs w:val="20"/>
          <w:color w:val="auto"/>
        </w:rPr>
      </w:pPr>
      <w:r>
        <w:rPr>
          <w:rFonts w:ascii="Times New Roman" w:cs="Times New Roman" w:eastAsia="Times New Roman" w:hAnsi="Times New Roman"/>
          <w:sz w:val="19"/>
          <w:szCs w:val="19"/>
          <w:color w:val="auto"/>
        </w:rPr>
        <w:t>services for, on behalf of, or for the benefit of, such Affiliate, has been responsible for managing, in whole or in part, or has received</w:t>
      </w: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or has had access to any trade secrets or other Confidential Information concerning such Affiliate’s business (a “</w:t>
      </w:r>
      <w:r>
        <w:rPr>
          <w:rFonts w:ascii="Times New Roman" w:cs="Times New Roman" w:eastAsia="Times New Roman" w:hAnsi="Times New Roman"/>
          <w:sz w:val="19"/>
          <w:szCs w:val="19"/>
          <w:u w:val="single" w:color="auto"/>
          <w:color w:val="auto"/>
        </w:rPr>
        <w:t>Covered Affiliate</w:t>
      </w:r>
      <w:r>
        <w:rPr>
          <w:rFonts w:ascii="Times New Roman" w:cs="Times New Roman" w:eastAsia="Times New Roman" w:hAnsi="Times New Roman"/>
          <w:sz w:val="19"/>
          <w:szCs w:val="19"/>
          <w:color w:val="auto"/>
        </w:rPr>
        <w:t>”). Service Provider acknowledges and agrees that any Covered Affiliate is an intended third-party beneficiary of this Agreement and</w:t>
      </w:r>
    </w:p>
    <w:p>
      <w:pPr>
        <w:ind w:left="660"/>
        <w:spacing w:after="0"/>
        <w:rPr>
          <w:sz w:val="20"/>
          <w:szCs w:val="20"/>
          <w:color w:val="auto"/>
        </w:rPr>
      </w:pPr>
      <w:r>
        <w:rPr>
          <w:rFonts w:ascii="Times New Roman" w:cs="Times New Roman" w:eastAsia="Times New Roman" w:hAnsi="Times New Roman"/>
          <w:sz w:val="20"/>
          <w:szCs w:val="20"/>
          <w:color w:val="auto"/>
        </w:rPr>
        <w:t>this Agreement may be enforced by the Company and/or the Covered Affiliate, either singularly or jointly.</w:t>
      </w:r>
    </w:p>
    <w:p>
      <w:pPr>
        <w:spacing w:after="0" w:line="167" w:lineRule="exact"/>
        <w:rPr>
          <w:sz w:val="20"/>
          <w:szCs w:val="20"/>
          <w:color w:val="auto"/>
        </w:rPr>
      </w:pPr>
    </w:p>
    <w:p>
      <w:pPr>
        <w:ind w:left="460" w:right="140" w:hanging="647"/>
        <w:spacing w:after="0" w:line="233" w:lineRule="auto"/>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u w:val="single" w:color="auto"/>
          <w:color w:val="auto"/>
        </w:rPr>
        <w:t>Reasonableness of Covenants</w:t>
      </w:r>
      <w:r>
        <w:rPr>
          <w:rFonts w:ascii="Times New Roman" w:cs="Times New Roman" w:eastAsia="Times New Roman" w:hAnsi="Times New Roman"/>
          <w:sz w:val="20"/>
          <w:szCs w:val="20"/>
          <w:color w:val="auto"/>
        </w:rPr>
        <w:t>. Service Provider agrees that the scope and duration of each Subsection in this Section 1 are reasonable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necessary to protect the Company Group’s legitimate business interests.</w:t>
      </w:r>
    </w:p>
    <w:p>
      <w:pPr>
        <w:spacing w:after="0" w:line="1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Tolling</w:t>
      </w:r>
      <w:r>
        <w:rPr>
          <w:rFonts w:ascii="Times New Roman" w:cs="Times New Roman" w:eastAsia="Times New Roman" w:hAnsi="Times New Roman"/>
          <w:sz w:val="19"/>
          <w:szCs w:val="19"/>
          <w:color w:val="auto"/>
        </w:rPr>
        <w:t>. In the event Service Provider violates any restrictive covenant contained in Section 1 of this Agreement, the duration of all</w:t>
      </w: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restrictive covenants (and the Restriction Period) shall automatically be extended by the length of time during which Service Provider was in violation of any such covenant, including, but not limited to, an extension equal to the time period from the date of</w:t>
      </w:r>
    </w:p>
    <w:p>
      <w:pPr>
        <w:ind w:left="660"/>
        <w:spacing w:after="0"/>
        <w:rPr>
          <w:sz w:val="20"/>
          <w:szCs w:val="20"/>
          <w:color w:val="auto"/>
        </w:rPr>
      </w:pPr>
      <w:r>
        <w:rPr>
          <w:rFonts w:ascii="Times New Roman" w:cs="Times New Roman" w:eastAsia="Times New Roman" w:hAnsi="Times New Roman"/>
          <w:sz w:val="20"/>
          <w:szCs w:val="20"/>
          <w:color w:val="auto"/>
        </w:rPr>
        <w:t>Service Provider’s first violation until an injunction is entered enjoining such violation.</w:t>
      </w:r>
    </w:p>
    <w:p>
      <w:pPr>
        <w:spacing w:after="0" w:line="163" w:lineRule="exact"/>
        <w:rPr>
          <w:sz w:val="20"/>
          <w:szCs w:val="20"/>
          <w:color w:val="auto"/>
        </w:rPr>
      </w:pPr>
    </w:p>
    <w:p>
      <w:pPr>
        <w:ind w:left="400" w:hanging="392"/>
        <w:spacing w:after="0"/>
        <w:tabs>
          <w:tab w:leader="none" w:pos="40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06" w:lineRule="exact"/>
        <w:rPr>
          <w:sz w:val="20"/>
          <w:szCs w:val="20"/>
          <w:color w:val="auto"/>
        </w:rPr>
      </w:pPr>
    </w:p>
    <w:p>
      <w:pPr>
        <w:jc w:val="right"/>
        <w:spacing w:after="0" w:line="227"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Use &amp; Restrictions of Confidential Information</w:t>
      </w:r>
      <w:r>
        <w:rPr>
          <w:rFonts w:ascii="Times New Roman" w:cs="Times New Roman" w:eastAsia="Times New Roman" w:hAnsi="Times New Roman"/>
          <w:sz w:val="19"/>
          <w:szCs w:val="19"/>
          <w:color w:val="auto"/>
        </w:rPr>
        <w:t>. Except as expressly permitted by the Company’s President in writing, Service Provider agrees at all times to: (i) keep confidential and not disclose, divulge, furnish or make accessible to anyone or (ii) use in any way other</w:t>
      </w:r>
    </w:p>
    <w:p>
      <w:pPr>
        <w:ind w:left="660" w:right="240"/>
        <w:spacing w:after="0" w:line="222" w:lineRule="auto"/>
        <w:rPr>
          <w:sz w:val="20"/>
          <w:szCs w:val="20"/>
          <w:color w:val="auto"/>
        </w:rPr>
      </w:pPr>
      <w:r>
        <w:rPr>
          <w:rFonts w:ascii="Times New Roman" w:cs="Times New Roman" w:eastAsia="Times New Roman" w:hAnsi="Times New Roman"/>
          <w:sz w:val="19"/>
          <w:szCs w:val="19"/>
          <w:color w:val="auto"/>
        </w:rPr>
        <w:t>than in the ordinary course of the business of the Company Group: any confidential, proprietary, nonpublic or secret knowledge or information of the Company Group that Service Provider acquires during Service Provider’s employment or engagement with any</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member of the Company Group, whether developed by Service Provider or by others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with Confidential Information including, but not limited to: (i) any trade secrets, (ii) any confidential, proprietary, nonpublic or secret design, process,</w:t>
      </w:r>
    </w:p>
    <w:p>
      <w:pPr>
        <w:ind w:left="660"/>
        <w:spacing w:after="0" w:line="211" w:lineRule="auto"/>
        <w:rPr>
          <w:sz w:val="20"/>
          <w:szCs w:val="20"/>
          <w:color w:val="auto"/>
        </w:rPr>
      </w:pPr>
      <w:r>
        <w:rPr>
          <w:rFonts w:ascii="Times New Roman" w:cs="Times New Roman" w:eastAsia="Times New Roman" w:hAnsi="Times New Roman"/>
          <w:sz w:val="20"/>
          <w:szCs w:val="20"/>
          <w:color w:val="auto"/>
        </w:rPr>
        <w:t>formula, plan, model, specifications, device or material (whether or not patented or patentable) directly or indirectly useful in any</w:t>
      </w: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aspect of the business of the Company Group, (iii) any customer or supplier list of the Company Group, or any requirements. specifications or other confidential information about or received from any customer or supplier, (iv) any confidential, proprietary,</w:t>
      </w:r>
    </w:p>
    <w:p>
      <w:pPr>
        <w:ind w:left="660"/>
        <w:spacing w:after="0"/>
        <w:rPr>
          <w:sz w:val="20"/>
          <w:szCs w:val="20"/>
          <w:color w:val="auto"/>
        </w:rPr>
      </w:pPr>
      <w:r>
        <w:rPr>
          <w:rFonts w:ascii="Times New Roman" w:cs="Times New Roman" w:eastAsia="Times New Roman" w:hAnsi="Times New Roman"/>
          <w:sz w:val="19"/>
          <w:szCs w:val="19"/>
          <w:color w:val="auto"/>
        </w:rPr>
        <w:t>nonpublic or secret development or research work of the Company Group, (v) any strategic or other business, marketing or sales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7</w:t>
      </w:r>
    </w:p>
    <w:p>
      <w:pPr>
        <w:sectPr>
          <w:pgSz w:w="11900" w:h="16838" w:orient="portrait"/>
          <w:cols w:equalWidth="0" w:num="1">
            <w:col w:w="11220"/>
          </w:cols>
          <w:pgMar w:left="320" w:top="1143" w:right="359" w:bottom="1440" w:gutter="0" w:footer="0" w:header="0"/>
        </w:sectPr>
      </w:pPr>
    </w:p>
    <w:bookmarkStart w:id="102" w:name="page103"/>
    <w:bookmarkEnd w:id="102"/>
    <w:p>
      <w:pPr>
        <w:ind w:left="660" w:right="220"/>
        <w:spacing w:after="0" w:line="215" w:lineRule="auto"/>
        <w:rPr>
          <w:sz w:val="20"/>
          <w:szCs w:val="20"/>
          <w:color w:val="auto"/>
        </w:rPr>
      </w:pPr>
      <w:r>
        <w:rPr>
          <w:rFonts w:ascii="Times New Roman" w:cs="Times New Roman" w:eastAsia="Times New Roman" w:hAnsi="Times New Roman"/>
          <w:sz w:val="20"/>
          <w:szCs w:val="20"/>
          <w:color w:val="auto"/>
        </w:rPr>
        <w:t>of the Company Group, (vi) any financial data or plan respecting the Company Group, or (vii) any other confidential, nonpublic or proprietary information or secret aspects of the business of the Company Group. Service Provider acknowledges that Service</w:t>
      </w:r>
    </w:p>
    <w:p>
      <w:pPr>
        <w:ind w:left="660"/>
        <w:spacing w:after="0" w:line="224" w:lineRule="auto"/>
        <w:rPr>
          <w:sz w:val="20"/>
          <w:szCs w:val="20"/>
          <w:color w:val="auto"/>
        </w:rPr>
      </w:pPr>
      <w:r>
        <w:rPr>
          <w:rFonts w:ascii="Times New Roman" w:cs="Times New Roman" w:eastAsia="Times New Roman" w:hAnsi="Times New Roman"/>
          <w:sz w:val="19"/>
          <w:szCs w:val="19"/>
          <w:color w:val="auto"/>
        </w:rPr>
        <w:t>Provider will have access to and be provided with Confidential Information in connection with performing services for the Company</w:t>
      </w:r>
    </w:p>
    <w:p>
      <w:pPr>
        <w:ind w:left="660" w:right="360"/>
        <w:spacing w:after="0" w:line="215" w:lineRule="auto"/>
        <w:rPr>
          <w:sz w:val="20"/>
          <w:szCs w:val="20"/>
          <w:color w:val="auto"/>
        </w:rPr>
      </w:pPr>
      <w:r>
        <w:rPr>
          <w:rFonts w:ascii="Times New Roman" w:cs="Times New Roman" w:eastAsia="Times New Roman" w:hAnsi="Times New Roman"/>
          <w:sz w:val="19"/>
          <w:szCs w:val="19"/>
          <w:color w:val="auto"/>
        </w:rPr>
        <w:t>Group. Service Provider expressly recognizes that the efficacy and profitability of the Company Group is dependent in part upon Service Provider’s protection of the Confidential Information. Service Provider may use the Confidential Information solely in</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connection with performing services for the Company Group. Service Provider shall not, either during Service Provider’s</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relationship with the Company Group or thereafter, disclose or use for Service Provider’s own benefit or for the benefit of any other individual or third party, directly or indirectly, any of the Confidential Information, except as such disclosure or use is expressly</w:t>
      </w:r>
    </w:p>
    <w:p>
      <w:pPr>
        <w:ind w:left="660"/>
        <w:spacing w:after="0" w:line="222" w:lineRule="auto"/>
        <w:rPr>
          <w:sz w:val="20"/>
          <w:szCs w:val="20"/>
          <w:color w:val="auto"/>
        </w:rPr>
      </w:pPr>
      <w:r>
        <w:rPr>
          <w:rFonts w:ascii="Times New Roman" w:cs="Times New Roman" w:eastAsia="Times New Roman" w:hAnsi="Times New Roman"/>
          <w:sz w:val="19"/>
          <w:szCs w:val="19"/>
          <w:color w:val="auto"/>
        </w:rPr>
        <w:t>authorized by the Company in writing. Service Provider shall not communicate any Confidential Information, even in furtherance of</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the Company Group’s business, to any individual or third party not privy to the Confidential Information, without express consent by the Company Group and the individual or third party’s agreement to be bound by confidentiality terms that adequately protect</w:t>
      </w:r>
    </w:p>
    <w:p>
      <w:pPr>
        <w:ind w:left="660"/>
        <w:spacing w:after="0" w:line="223" w:lineRule="auto"/>
        <w:rPr>
          <w:sz w:val="20"/>
          <w:szCs w:val="20"/>
          <w:color w:val="auto"/>
        </w:rPr>
      </w:pPr>
      <w:r>
        <w:rPr>
          <w:rFonts w:ascii="Times New Roman" w:cs="Times New Roman" w:eastAsia="Times New Roman" w:hAnsi="Times New Roman"/>
          <w:sz w:val="19"/>
          <w:szCs w:val="19"/>
          <w:color w:val="auto"/>
        </w:rPr>
        <w:t>Confidential Information. Service Provider’s confidentiality/non-disclosure obligations under this Agreement shall continue after the</w:t>
      </w: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separation of Service Provider’s relationship with the Company Group. With respect to any particular Confidential Information, Service Provider’s confidentiality/non-disclosure obligations shall continue as long as such information is confidential and shall not</w:t>
      </w:r>
    </w:p>
    <w:p>
      <w:pPr>
        <w:ind w:left="660"/>
        <w:spacing w:after="0"/>
        <w:rPr>
          <w:sz w:val="20"/>
          <w:szCs w:val="20"/>
          <w:color w:val="auto"/>
        </w:rPr>
      </w:pPr>
      <w:r>
        <w:rPr>
          <w:rFonts w:ascii="Times New Roman" w:cs="Times New Roman" w:eastAsia="Times New Roman" w:hAnsi="Times New Roman"/>
          <w:sz w:val="20"/>
          <w:szCs w:val="20"/>
          <w:color w:val="auto"/>
        </w:rPr>
        <w:t>apply to any information that is generally publicly available through no fault of Service Provider.</w:t>
      </w:r>
    </w:p>
    <w:p>
      <w:pPr>
        <w:spacing w:after="0" w:line="194" w:lineRule="exact"/>
        <w:rPr>
          <w:sz w:val="20"/>
          <w:szCs w:val="20"/>
          <w:color w:val="auto"/>
        </w:rPr>
      </w:pPr>
    </w:p>
    <w:p>
      <w:pPr>
        <w:jc w:val="right"/>
        <w:ind w:left="80" w:right="380"/>
        <w:spacing w:after="0" w:line="21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Property of Company</w:t>
      </w:r>
      <w:r>
        <w:rPr>
          <w:rFonts w:ascii="Times New Roman" w:cs="Times New Roman" w:eastAsia="Times New Roman" w:hAnsi="Times New Roman"/>
          <w:sz w:val="20"/>
          <w:szCs w:val="20"/>
          <w:color w:val="auto"/>
        </w:rPr>
        <w:t>. Service Provider specifically acknowledges and understands that all Confidential Information and all of the Company Group’s strategies and files, including, but not limited to, computer data, reports, materials, records, documents, notes,</w:t>
      </w:r>
    </w:p>
    <w:p>
      <w:pPr>
        <w:ind w:left="660"/>
        <w:spacing w:after="0" w:line="212" w:lineRule="auto"/>
        <w:rPr>
          <w:sz w:val="20"/>
          <w:szCs w:val="20"/>
          <w:color w:val="auto"/>
        </w:rPr>
      </w:pPr>
      <w:r>
        <w:rPr>
          <w:rFonts w:ascii="Times New Roman" w:cs="Times New Roman" w:eastAsia="Times New Roman" w:hAnsi="Times New Roman"/>
          <w:sz w:val="20"/>
          <w:szCs w:val="20"/>
          <w:color w:val="auto"/>
        </w:rPr>
        <w:t>memoranda, and other items, and any originals or copies thereof, related to the business of the Company Group, which Service</w:t>
      </w:r>
    </w:p>
    <w:p>
      <w:pPr>
        <w:spacing w:after="0" w:line="1" w:lineRule="exact"/>
        <w:rPr>
          <w:sz w:val="20"/>
          <w:szCs w:val="20"/>
          <w:color w:val="auto"/>
        </w:rPr>
      </w:pP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Provider either is provided, prepares, uses, or simply acquires during the term of this Agreement, are and shall remain the sole and exclusive property of the Company Group and, to the extent applicable, shall not be removed from the Company Group’s premises</w:t>
      </w:r>
    </w:p>
    <w:p>
      <w:pPr>
        <w:ind w:left="660"/>
        <w:spacing w:after="0"/>
        <w:rPr>
          <w:sz w:val="20"/>
          <w:szCs w:val="20"/>
          <w:color w:val="auto"/>
        </w:rPr>
      </w:pPr>
      <w:r>
        <w:rPr>
          <w:rFonts w:ascii="Times New Roman" w:cs="Times New Roman" w:eastAsia="Times New Roman" w:hAnsi="Times New Roman"/>
          <w:sz w:val="20"/>
          <w:szCs w:val="20"/>
          <w:color w:val="auto"/>
        </w:rPr>
        <w:t>without the prior consent of the Company Group.</w:t>
      </w:r>
    </w:p>
    <w:p>
      <w:pPr>
        <w:spacing w:after="0" w:line="194" w:lineRule="exact"/>
        <w:rPr>
          <w:sz w:val="20"/>
          <w:szCs w:val="20"/>
          <w:color w:val="auto"/>
        </w:rPr>
      </w:pPr>
    </w:p>
    <w:p>
      <w:pPr>
        <w:ind w:left="460" w:right="4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The foregoing obligations of confidentiality shall not apply to any Confidential Information to the extent that it (i) is now</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 subsequently becomes generally publicly known or generally known in any industry in which the Company Group operates, (ii) is</w:t>
      </w:r>
    </w:p>
    <w:p>
      <w:pPr>
        <w:spacing w:after="0" w:line="1" w:lineRule="exact"/>
        <w:rPr>
          <w:sz w:val="20"/>
          <w:szCs w:val="20"/>
          <w:color w:val="auto"/>
        </w:rPr>
      </w:pPr>
    </w:p>
    <w:p>
      <w:pPr>
        <w:ind w:left="660" w:right="320"/>
        <w:spacing w:after="0" w:line="228" w:lineRule="auto"/>
        <w:rPr>
          <w:sz w:val="20"/>
          <w:szCs w:val="20"/>
          <w:color w:val="auto"/>
        </w:rPr>
      </w:pPr>
      <w:r>
        <w:rPr>
          <w:rFonts w:ascii="Times New Roman" w:cs="Times New Roman" w:eastAsia="Times New Roman" w:hAnsi="Times New Roman"/>
          <w:sz w:val="20"/>
          <w:szCs w:val="20"/>
          <w:color w:val="auto"/>
        </w:rPr>
        <w:t>independently made available to Service Provider in good faith by a third party who Service Provider reasonably believes has not violated an obligation of confidentiality to the Company Group, or (iii) is required to be disclosed by legal process.</w:t>
      </w:r>
    </w:p>
    <w:p>
      <w:pPr>
        <w:spacing w:after="0" w:line="176" w:lineRule="exact"/>
        <w:rPr>
          <w:sz w:val="20"/>
          <w:szCs w:val="20"/>
          <w:color w:val="auto"/>
        </w:rPr>
      </w:pPr>
    </w:p>
    <w:p>
      <w:pPr>
        <w:ind w:left="460" w:right="22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u w:val="single" w:color="auto"/>
          <w:color w:val="auto"/>
        </w:rPr>
        <w:t>Permitted Communications</w:t>
      </w:r>
      <w:r>
        <w:rPr>
          <w:rFonts w:ascii="Times New Roman" w:cs="Times New Roman" w:eastAsia="Times New Roman" w:hAnsi="Times New Roman"/>
          <w:sz w:val="20"/>
          <w:szCs w:val="20"/>
          <w:color w:val="auto"/>
        </w:rPr>
        <w:t>. Notwithstanding any other language in this Agreement to the contrary, Service Provider is advised that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Service Provider may not be held criminally or civilly liable under any federal or state trade secret law for the disclosure of a trade</w:t>
      </w:r>
    </w:p>
    <w:p>
      <w:pPr>
        <w:spacing w:after="0" w:line="2" w:lineRule="exact"/>
        <w:rPr>
          <w:sz w:val="20"/>
          <w:szCs w:val="20"/>
          <w:color w:val="auto"/>
        </w:rPr>
      </w:pPr>
    </w:p>
    <w:p>
      <w:pPr>
        <w:ind w:left="660" w:right="300"/>
        <w:spacing w:after="0" w:line="215" w:lineRule="auto"/>
        <w:rPr>
          <w:sz w:val="20"/>
          <w:szCs w:val="20"/>
          <w:color w:val="auto"/>
        </w:rPr>
      </w:pPr>
      <w:r>
        <w:rPr>
          <w:rFonts w:ascii="Times New Roman" w:cs="Times New Roman" w:eastAsia="Times New Roman" w:hAnsi="Times New Roman"/>
          <w:sz w:val="19"/>
          <w:szCs w:val="19"/>
          <w:color w:val="auto"/>
        </w:rPr>
        <w:t>secret that is made (i) in confidence to a federal, state or local government official, either directly or indirectly, or to an attorney if such disclosure is made solely for the purpose of reporting or investigating a suspected violation of law or for pursuing an anti-</w:t>
      </w:r>
    </w:p>
    <w:p>
      <w:pPr>
        <w:ind w:left="660" w:right="240"/>
        <w:spacing w:after="0" w:line="221" w:lineRule="auto"/>
        <w:rPr>
          <w:sz w:val="20"/>
          <w:szCs w:val="20"/>
          <w:color w:val="auto"/>
        </w:rPr>
      </w:pPr>
      <w:r>
        <w:rPr>
          <w:rFonts w:ascii="Times New Roman" w:cs="Times New Roman" w:eastAsia="Times New Roman" w:hAnsi="Times New Roman"/>
          <w:sz w:val="20"/>
          <w:szCs w:val="20"/>
          <w:color w:val="auto"/>
        </w:rPr>
        <w:t>retaliation lawsuit; or (iii) in a complaint or other document filed in a lawsuit or other proceeding, if such filing is made under seal and Service Provider does not disclose the trade secret except pursuant to a court order.</w:t>
      </w:r>
    </w:p>
    <w:p>
      <w:pPr>
        <w:spacing w:after="0" w:line="183"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Return or Destroy Confidential Information</w:t>
      </w:r>
      <w:r>
        <w:rPr>
          <w:rFonts w:ascii="Times New Roman" w:cs="Times New Roman" w:eastAsia="Times New Roman" w:hAnsi="Times New Roman"/>
          <w:sz w:val="19"/>
          <w:szCs w:val="19"/>
          <w:color w:val="auto"/>
        </w:rPr>
        <w:t>. Service Provider agrees, immediately upon the separation of the \ relationship between</w:t>
      </w:r>
    </w:p>
    <w:p>
      <w:pPr>
        <w:ind w:left="660"/>
        <w:spacing w:after="0" w:line="215" w:lineRule="auto"/>
        <w:rPr>
          <w:sz w:val="20"/>
          <w:szCs w:val="20"/>
          <w:color w:val="auto"/>
        </w:rPr>
      </w:pPr>
      <w:r>
        <w:rPr>
          <w:rFonts w:ascii="Times New Roman" w:cs="Times New Roman" w:eastAsia="Times New Roman" w:hAnsi="Times New Roman"/>
          <w:sz w:val="19"/>
          <w:szCs w:val="19"/>
          <w:color w:val="auto"/>
        </w:rPr>
        <w:t>Service Provider and the Company Group for any reason or upon an earlier request by the Company Group, to make a diligent search for any and all documents, computer discs, electronic files, software, tapes, computer printouts, or any other material constituting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Confidential Information, and shall: cease using the Confidential Information; promptly return to the Company Group or destroy all</w:t>
      </w:r>
    </w:p>
    <w:p>
      <w:pPr>
        <w:ind w:left="660" w:right="80"/>
        <w:spacing w:after="0" w:line="221" w:lineRule="auto"/>
        <w:rPr>
          <w:sz w:val="20"/>
          <w:szCs w:val="20"/>
          <w:color w:val="auto"/>
        </w:rPr>
      </w:pPr>
      <w:r>
        <w:rPr>
          <w:rFonts w:ascii="Times New Roman" w:cs="Times New Roman" w:eastAsia="Times New Roman" w:hAnsi="Times New Roman"/>
          <w:sz w:val="20"/>
          <w:szCs w:val="20"/>
          <w:color w:val="auto"/>
        </w:rPr>
        <w:t>Confidential Information and any copies thereof; and upon Company’s request, certify in writing that Service Provider has complied with the obligations of this Subsection 2.5.</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220" w:lineRule="exact"/>
        <w:rPr>
          <w:sz w:val="20"/>
          <w:szCs w:val="20"/>
          <w:color w:val="auto"/>
        </w:rPr>
      </w:pPr>
    </w:p>
    <w:p>
      <w:pPr>
        <w:ind w:left="500" w:right="400" w:hanging="647"/>
        <w:spacing w:after="0" w:line="233" w:lineRule="auto"/>
        <w:tabs>
          <w:tab w:leader="none" w:pos="4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Prior Inventions</w:t>
      </w:r>
      <w:r>
        <w:rPr>
          <w:rFonts w:ascii="Times New Roman" w:cs="Times New Roman" w:eastAsia="Times New Roman" w:hAnsi="Times New Roman"/>
          <w:sz w:val="20"/>
          <w:szCs w:val="20"/>
          <w:color w:val="auto"/>
        </w:rPr>
        <w:t>. Any intellectual property, including, but not limited to, any ideas, inventions, patents, trademarks, service marks,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copyrights, creations, know how, work product,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8</w:t>
      </w:r>
    </w:p>
    <w:p>
      <w:pPr>
        <w:sectPr>
          <w:pgSz w:w="11900" w:h="16838" w:orient="portrait"/>
          <w:cols w:equalWidth="0" w:num="1">
            <w:col w:w="11220"/>
          </w:cols>
          <w:pgMar w:left="320" w:top="1143" w:right="359" w:bottom="1440" w:gutter="0" w:footer="0" w:header="0"/>
        </w:sectPr>
      </w:pPr>
    </w:p>
    <w:bookmarkStart w:id="103" w:name="page104"/>
    <w:bookmarkEnd w:id="103"/>
    <w:p>
      <w:pPr>
        <w:ind w:left="660" w:right="80"/>
        <w:spacing w:after="0" w:line="227" w:lineRule="auto"/>
        <w:rPr>
          <w:sz w:val="20"/>
          <w:szCs w:val="20"/>
          <w:color w:val="auto"/>
        </w:rPr>
      </w:pPr>
      <w:r>
        <w:rPr>
          <w:rFonts w:ascii="Times New Roman" w:cs="Times New Roman" w:eastAsia="Times New Roman" w:hAnsi="Times New Roman"/>
          <w:sz w:val="19"/>
          <w:szCs w:val="19"/>
          <w:color w:val="auto"/>
        </w:rPr>
        <w:t>developments or improvements, if any, patented or unpatented, that Service Provider, alone or with others, conceived, created, invented, developed, reduced to practice, or caused to be conceived, and/or caused to be reduced to practice prior to the earlier of (i)</w:t>
      </w:r>
    </w:p>
    <w:p>
      <w:pPr>
        <w:ind w:left="660" w:right="520"/>
        <w:spacing w:after="0" w:line="228" w:lineRule="auto"/>
        <w:rPr>
          <w:sz w:val="20"/>
          <w:szCs w:val="20"/>
          <w:color w:val="auto"/>
        </w:rPr>
      </w:pPr>
      <w:r>
        <w:rPr>
          <w:rFonts w:ascii="Times New Roman" w:cs="Times New Roman" w:eastAsia="Times New Roman" w:hAnsi="Times New Roman"/>
          <w:sz w:val="20"/>
          <w:szCs w:val="20"/>
          <w:color w:val="auto"/>
        </w:rPr>
        <w:t>commencement of Service Provider’s employment or engagement with the Company Group or (ii) when Service Provider first provided services to the Company Group, is listed on Schedule 1 attached hereto (“</w:t>
      </w:r>
      <w:r>
        <w:rPr>
          <w:rFonts w:ascii="Times New Roman" w:cs="Times New Roman" w:eastAsia="Times New Roman" w:hAnsi="Times New Roman"/>
          <w:sz w:val="20"/>
          <w:szCs w:val="20"/>
          <w:u w:val="single" w:color="auto"/>
          <w:color w:val="auto"/>
        </w:rPr>
        <w:t>Prior Inventions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460" w:right="8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Except with respect to Prior Inventions, all right, title, and interest of every kind and nature, whether now known 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unknown, in and to any and all intellectual property, including, but not limited to, any ideas, inventions, patents, trademarks, service</w:t>
      </w:r>
    </w:p>
    <w:p>
      <w:pPr>
        <w:spacing w:after="0" w:line="2"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marks, copyrights, creations, know how, work product, properties, and other developments or improvements, patented or unpatented, conceived, created, invented, written, developed, furnished, produced, disclosed, reduced to practice, or caused to be conceived</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and/or caused to be reduced to practice in whole or in part, alone or with others, whether or not during working hours, by Service</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Provider during the term of Service Provider’s employment or engagement with the Company Group and for six (6) months thereafter, that are within the scope of the Company Group’s business operations or that relate to any of the Company Group’s work</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projects, will, as between the Company and Service Provider, be and remain the sole and exclusive property of the Company for</w:t>
      </w:r>
    </w:p>
    <w:p>
      <w:pPr>
        <w:ind w:left="660"/>
        <w:spacing w:after="0" w:line="197" w:lineRule="auto"/>
        <w:rPr>
          <w:sz w:val="20"/>
          <w:szCs w:val="20"/>
          <w:color w:val="auto"/>
        </w:rPr>
      </w:pPr>
      <w:r>
        <w:rPr>
          <w:rFonts w:ascii="Times New Roman" w:cs="Times New Roman" w:eastAsia="Times New Roman" w:hAnsi="Times New Roman"/>
          <w:sz w:val="20"/>
          <w:szCs w:val="20"/>
          <w:color w:val="auto"/>
        </w:rPr>
        <w:t>any and all purposes and uses, and Service Provider agrees to assign and hereby does assign all rights thereto to the Company.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Intellectual property may be in any form including, but not limited to, written, oral, electronic, digital, or other form.</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Work Made for Hire</w:t>
      </w:r>
      <w:r>
        <w:rPr>
          <w:rFonts w:ascii="Times New Roman" w:cs="Times New Roman" w:eastAsia="Times New Roman" w:hAnsi="Times New Roman"/>
          <w:sz w:val="19"/>
          <w:szCs w:val="19"/>
          <w:color w:val="auto"/>
        </w:rPr>
        <w:t>. Any work of Service Provider for which a copyright could be claimed developed in the course of employment or</w:t>
      </w:r>
    </w:p>
    <w:p>
      <w:pPr>
        <w:ind w:left="660"/>
        <w:spacing w:after="0" w:line="215" w:lineRule="auto"/>
        <w:rPr>
          <w:sz w:val="20"/>
          <w:szCs w:val="20"/>
          <w:color w:val="auto"/>
        </w:rPr>
      </w:pPr>
      <w:r>
        <w:rPr>
          <w:rFonts w:ascii="Times New Roman" w:cs="Times New Roman" w:eastAsia="Times New Roman" w:hAnsi="Times New Roman"/>
          <w:sz w:val="19"/>
          <w:szCs w:val="19"/>
          <w:color w:val="auto"/>
        </w:rPr>
        <w:t>engagement with the Company will be deemed “work made for hire” under federal copyright law and all ownership rights to such work belong exclusively to the Company. To the extent any invention does not qualify as a work for hire under applicable law, and to</w:t>
      </w:r>
    </w:p>
    <w:p>
      <w:pPr>
        <w:ind w:left="660" w:right="140"/>
        <w:spacing w:after="0" w:line="228" w:lineRule="auto"/>
        <w:rPr>
          <w:sz w:val="20"/>
          <w:szCs w:val="20"/>
          <w:color w:val="auto"/>
        </w:rPr>
      </w:pPr>
      <w:r>
        <w:rPr>
          <w:rFonts w:ascii="Times New Roman" w:cs="Times New Roman" w:eastAsia="Times New Roman" w:hAnsi="Times New Roman"/>
          <w:sz w:val="20"/>
          <w:szCs w:val="20"/>
          <w:color w:val="auto"/>
        </w:rPr>
        <w:t>the extent any invention is subject to copyright, patent, trade secret, or other proprietary right protection, Service Provider agrees to assign and hereby does assign all rights therein to the Company.</w:t>
      </w:r>
    </w:p>
    <w:p>
      <w:pPr>
        <w:spacing w:after="0" w:line="176" w:lineRule="exact"/>
        <w:rPr>
          <w:sz w:val="20"/>
          <w:szCs w:val="20"/>
          <w:color w:val="auto"/>
        </w:rPr>
      </w:pPr>
    </w:p>
    <w:p>
      <w:pPr>
        <w:ind w:left="460" w:right="12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u w:val="single" w:color="auto"/>
          <w:color w:val="auto"/>
        </w:rPr>
        <w:t>Pre-Existing Work</w:t>
      </w:r>
      <w:r>
        <w:rPr>
          <w:rFonts w:ascii="Times New Roman" w:cs="Times New Roman" w:eastAsia="Times New Roman" w:hAnsi="Times New Roman"/>
          <w:sz w:val="20"/>
          <w:szCs w:val="20"/>
          <w:color w:val="auto"/>
        </w:rPr>
        <w:t>. If, in the course of Service Provider’s relationship with the Company Group, Service Provider uses, relies upon,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provides, or incorporates any Prior Invention or any other intellectual property Service Provider owns, or in which Service Provider</w:t>
      </w:r>
    </w:p>
    <w:p>
      <w:pPr>
        <w:spacing w:after="0" w:line="2" w:lineRule="exact"/>
        <w:rPr>
          <w:sz w:val="20"/>
          <w:szCs w:val="20"/>
          <w:color w:val="auto"/>
        </w:rPr>
      </w:pP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has an interest, into any idea, invention, patent, trademark, service mark, copyright, creation, know how, work product, and other development or improvement conceived, created, invented, written, developed, furnished, produced, or disclosed in whole or in part,</w:t>
      </w:r>
    </w:p>
    <w:p>
      <w:pPr>
        <w:ind w:left="660"/>
        <w:spacing w:after="0" w:line="222" w:lineRule="auto"/>
        <w:rPr>
          <w:sz w:val="20"/>
          <w:szCs w:val="20"/>
          <w:color w:val="auto"/>
        </w:rPr>
      </w:pPr>
      <w:r>
        <w:rPr>
          <w:rFonts w:ascii="Times New Roman" w:cs="Times New Roman" w:eastAsia="Times New Roman" w:hAnsi="Times New Roman"/>
          <w:sz w:val="19"/>
          <w:szCs w:val="19"/>
          <w:color w:val="auto"/>
        </w:rPr>
        <w:t>alone or with others, whether or not during working hours, by Service Provider during the term of Service Provider’s employment or</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engagement with the Company Group, Service Provider hereby grants the Company, under all of Service Provider’s intellectual property and proprietary rights, the following worldwide, non-exclusive, perpetual, irrevocable, royalty free, fully paid up rights: (i)</w:t>
      </w:r>
    </w:p>
    <w:p>
      <w:pPr>
        <w:ind w:left="660"/>
        <w:spacing w:after="0" w:line="211" w:lineRule="auto"/>
        <w:rPr>
          <w:sz w:val="20"/>
          <w:szCs w:val="20"/>
          <w:color w:val="auto"/>
        </w:rPr>
      </w:pPr>
      <w:r>
        <w:rPr>
          <w:rFonts w:ascii="Times New Roman" w:cs="Times New Roman" w:eastAsia="Times New Roman" w:hAnsi="Times New Roman"/>
          <w:sz w:val="20"/>
          <w:szCs w:val="20"/>
          <w:color w:val="auto"/>
        </w:rPr>
        <w:t>to make, use, copy, modify, and create derivative works of such intellectual property; (ii) to publicly perform or display, import,</w:t>
      </w:r>
    </w:p>
    <w:p>
      <w:pPr>
        <w:ind w:left="660" w:right="400"/>
        <w:spacing w:after="0" w:line="221" w:lineRule="auto"/>
        <w:rPr>
          <w:sz w:val="20"/>
          <w:szCs w:val="20"/>
          <w:color w:val="auto"/>
        </w:rPr>
      </w:pPr>
      <w:r>
        <w:rPr>
          <w:rFonts w:ascii="Times New Roman" w:cs="Times New Roman" w:eastAsia="Times New Roman" w:hAnsi="Times New Roman"/>
          <w:sz w:val="20"/>
          <w:szCs w:val="20"/>
          <w:color w:val="auto"/>
        </w:rPr>
        <w:t>broadcast, transmit, distribute, license, offer to sell, and sell, rent, lease or lend copies of the intellectual property, and derivative works of the intellectual property; and (iii) to sublicense the rights in this Subsection 3.4 to third parties.</w:t>
      </w:r>
    </w:p>
    <w:p>
      <w:pPr>
        <w:spacing w:after="0" w:line="189" w:lineRule="exact"/>
        <w:rPr>
          <w:sz w:val="20"/>
          <w:szCs w:val="20"/>
          <w:color w:val="auto"/>
        </w:rPr>
      </w:pPr>
    </w:p>
    <w:p>
      <w:pPr>
        <w:ind w:left="460" w:right="12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u w:val="single" w:color="auto"/>
          <w:color w:val="auto"/>
        </w:rPr>
        <w:t>Required Undertakings</w:t>
      </w:r>
      <w:r>
        <w:rPr>
          <w:rFonts w:ascii="Times New Roman" w:cs="Times New Roman" w:eastAsia="Times New Roman" w:hAnsi="Times New Roman"/>
          <w:sz w:val="20"/>
          <w:szCs w:val="20"/>
          <w:color w:val="auto"/>
        </w:rPr>
        <w:t>. Service Provider agrees, both while an employee or service provider of the Company Group and thereafter,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assist the Company Group in any and all attempts to obtain patents, copyrights, and/or trademarks or other intellectual property</w:t>
      </w:r>
    </w:p>
    <w:p>
      <w:pPr>
        <w:ind w:left="660"/>
        <w:spacing w:after="0" w:line="212" w:lineRule="auto"/>
        <w:rPr>
          <w:sz w:val="20"/>
          <w:szCs w:val="20"/>
          <w:color w:val="auto"/>
        </w:rPr>
      </w:pPr>
      <w:r>
        <w:rPr>
          <w:rFonts w:ascii="Times New Roman" w:cs="Times New Roman" w:eastAsia="Times New Roman" w:hAnsi="Times New Roman"/>
          <w:sz w:val="20"/>
          <w:szCs w:val="20"/>
          <w:color w:val="auto"/>
        </w:rPr>
        <w:t>protection on any work Service Provider participated in developing and agrees to execute all documents necessary to obtain such</w:t>
      </w:r>
    </w:p>
    <w:p>
      <w:pPr>
        <w:spacing w:after="0" w:line="1" w:lineRule="exact"/>
        <w:rPr>
          <w:sz w:val="20"/>
          <w:szCs w:val="20"/>
          <w:color w:val="auto"/>
        </w:rPr>
      </w:pPr>
    </w:p>
    <w:p>
      <w:pPr>
        <w:ind w:left="660" w:right="80"/>
        <w:spacing w:after="0" w:line="204" w:lineRule="auto"/>
        <w:rPr>
          <w:sz w:val="20"/>
          <w:szCs w:val="20"/>
          <w:color w:val="auto"/>
        </w:rPr>
      </w:pPr>
      <w:r>
        <w:rPr>
          <w:rFonts w:ascii="Times New Roman" w:cs="Times New Roman" w:eastAsia="Times New Roman" w:hAnsi="Times New Roman"/>
          <w:sz w:val="20"/>
          <w:szCs w:val="20"/>
          <w:color w:val="auto"/>
        </w:rPr>
        <w:t>rights in the name of or to transfer such rights to the Company. If, because of Service Provider’s mental or physical incapacity or for any other reason whatsoever, the Company is unable to secure Service Provider’s signature to apply for or pursue any patents,</w:t>
      </w:r>
    </w:p>
    <w:p>
      <w:pPr>
        <w:ind w:left="660"/>
        <w:spacing w:after="0" w:line="211" w:lineRule="auto"/>
        <w:rPr>
          <w:sz w:val="20"/>
          <w:szCs w:val="20"/>
          <w:color w:val="auto"/>
        </w:rPr>
      </w:pPr>
      <w:r>
        <w:rPr>
          <w:rFonts w:ascii="Times New Roman" w:cs="Times New Roman" w:eastAsia="Times New Roman" w:hAnsi="Times New Roman"/>
          <w:sz w:val="20"/>
          <w:szCs w:val="20"/>
          <w:color w:val="auto"/>
        </w:rPr>
        <w:t>copyrights, or other protection for any invention assigned to the Company under this Agreement or otherwise, Service Provider</w:t>
      </w:r>
    </w:p>
    <w:p>
      <w:pPr>
        <w:spacing w:after="0" w:line="1" w:lineRule="exact"/>
        <w:rPr>
          <w:sz w:val="20"/>
          <w:szCs w:val="20"/>
          <w:color w:val="auto"/>
        </w:rPr>
      </w:pPr>
    </w:p>
    <w:p>
      <w:pPr>
        <w:ind w:left="660" w:right="400"/>
        <w:spacing w:after="0" w:line="215" w:lineRule="auto"/>
        <w:rPr>
          <w:sz w:val="20"/>
          <w:szCs w:val="20"/>
          <w:color w:val="auto"/>
        </w:rPr>
      </w:pPr>
      <w:r>
        <w:rPr>
          <w:rFonts w:ascii="Times New Roman" w:cs="Times New Roman" w:eastAsia="Times New Roman" w:hAnsi="Times New Roman"/>
          <w:sz w:val="19"/>
          <w:szCs w:val="19"/>
          <w:color w:val="auto"/>
        </w:rPr>
        <w:t>irrevocably designates and appoints the Company and its duly authorized officers and agents as Service Provider’s agent and attorney-in-fact to act for Service Provider and on Service Provider’s behalf and stead to file any applications and to do all other</w:t>
      </w:r>
    </w:p>
    <w:p>
      <w:pPr>
        <w:ind w:left="660" w:right="260"/>
        <w:spacing w:after="0" w:line="228" w:lineRule="auto"/>
        <w:rPr>
          <w:sz w:val="20"/>
          <w:szCs w:val="20"/>
          <w:color w:val="auto"/>
        </w:rPr>
      </w:pPr>
      <w:r>
        <w:rPr>
          <w:rFonts w:ascii="Times New Roman" w:cs="Times New Roman" w:eastAsia="Times New Roman" w:hAnsi="Times New Roman"/>
          <w:sz w:val="20"/>
          <w:szCs w:val="20"/>
          <w:color w:val="auto"/>
        </w:rPr>
        <w:t>lawfully-permitted acts to further the prosecution and issuance of any patents, copyrights, or other protections with the same legal force and effect as if executed by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9</w:t>
      </w:r>
    </w:p>
    <w:p>
      <w:pPr>
        <w:sectPr>
          <w:pgSz w:w="11900" w:h="16838" w:orient="portrait"/>
          <w:cols w:equalWidth="0" w:num="1">
            <w:col w:w="11200"/>
          </w:cols>
          <w:pgMar w:left="320" w:top="1143" w:right="379" w:bottom="1440" w:gutter="0" w:footer="0" w:header="0"/>
        </w:sectPr>
      </w:pPr>
    </w:p>
    <w:bookmarkStart w:id="104" w:name="page105"/>
    <w:bookmarkEnd w:id="104"/>
    <w:p>
      <w:pPr>
        <w:ind w:left="460" w:right="22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Limited Exclusion</w:t>
      </w:r>
      <w:r>
        <w:rPr>
          <w:rFonts w:ascii="Times New Roman" w:cs="Times New Roman" w:eastAsia="Times New Roman" w:hAnsi="Times New Roman"/>
          <w:sz w:val="19"/>
          <w:szCs w:val="19"/>
          <w:color w:val="auto"/>
        </w:rPr>
        <w:t>. This Section 3 does not apply to any inventions or intellectual property for which no equipment, supplies, facility,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or Confidential Information of the Company Group was used, and which was developed entirely on Service Provider’s own time,</w:t>
      </w:r>
    </w:p>
    <w:p>
      <w:pPr>
        <w:ind w:left="660"/>
        <w:spacing w:after="0" w:line="211" w:lineRule="auto"/>
        <w:rPr>
          <w:sz w:val="20"/>
          <w:szCs w:val="20"/>
          <w:color w:val="auto"/>
        </w:rPr>
      </w:pPr>
      <w:r>
        <w:rPr>
          <w:rFonts w:ascii="Times New Roman" w:cs="Times New Roman" w:eastAsia="Times New Roman" w:hAnsi="Times New Roman"/>
          <w:sz w:val="20"/>
          <w:szCs w:val="20"/>
          <w:color w:val="auto"/>
        </w:rPr>
        <w:t>unless (i) the invention or intellectual property relates (A) directly to the business of the Company Group, or (B) to the Company</w:t>
      </w:r>
    </w:p>
    <w:p>
      <w:pPr>
        <w:spacing w:after="0" w:line="1" w:lineRule="exact"/>
        <w:rPr>
          <w:sz w:val="20"/>
          <w:szCs w:val="20"/>
          <w:color w:val="auto"/>
        </w:rPr>
      </w:pPr>
    </w:p>
    <w:p>
      <w:pPr>
        <w:ind w:left="660" w:right="340"/>
        <w:spacing w:after="0" w:line="221" w:lineRule="auto"/>
        <w:rPr>
          <w:sz w:val="20"/>
          <w:szCs w:val="20"/>
          <w:color w:val="auto"/>
        </w:rPr>
      </w:pPr>
      <w:r>
        <w:rPr>
          <w:rFonts w:ascii="Times New Roman" w:cs="Times New Roman" w:eastAsia="Times New Roman" w:hAnsi="Times New Roman"/>
          <w:sz w:val="20"/>
          <w:szCs w:val="20"/>
          <w:color w:val="auto"/>
        </w:rPr>
        <w:t>Group’s actual or demonstrably anticipated research or development, or (ii) the invention or intellectual property results from any work performed by Service Provider for the Company Group.</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Non-Disparagement</w:t>
      </w:r>
    </w:p>
    <w:p>
      <w:pPr>
        <w:spacing w:after="0" w:line="220"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Subject to Section 6, Service Provider agrees that, during the Restriction Period, Service Provider will not make or publish any statement or comment that defames, disparages or in any way injures the reputation and/or goodwill of the Company, the Company Group or any of its or</w:t>
      </w:r>
    </w:p>
    <w:p>
      <w:pPr>
        <w:spacing w:after="0"/>
        <w:rPr>
          <w:sz w:val="20"/>
          <w:szCs w:val="20"/>
          <w:color w:val="auto"/>
        </w:rPr>
      </w:pPr>
      <w:r>
        <w:rPr>
          <w:rFonts w:ascii="Times New Roman" w:cs="Times New Roman" w:eastAsia="Times New Roman" w:hAnsi="Times New Roman"/>
          <w:sz w:val="20"/>
          <w:szCs w:val="20"/>
          <w:color w:val="auto"/>
        </w:rPr>
        <w:t>their officers, directors, employees, agents or representatives.</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Injunctive and Other Remedies</w:t>
      </w:r>
    </w:p>
    <w:p>
      <w:pPr>
        <w:spacing w:after="0" w:line="206"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Service Provider agrees that a breach or threatened breach by Service Provider of this Agreement will give rise to irreparable injury to the Company and that money damages will not be adequate relief for such injury, and, accordingly, agrees that the Company or any member of</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the Company Group shall be entitled to obtain equitable relief, including, but not limited to, temporary restraining orders, preliminary injunctions and/or permanent injunctions, without having to post any bond or other security, to restrain or prohibit such breach or threatened</w:t>
      </w:r>
    </w:p>
    <w:p>
      <w:pPr>
        <w:spacing w:after="0" w:line="211" w:lineRule="auto"/>
        <w:rPr>
          <w:sz w:val="20"/>
          <w:szCs w:val="20"/>
          <w:color w:val="auto"/>
        </w:rPr>
      </w:pPr>
      <w:r>
        <w:rPr>
          <w:rFonts w:ascii="Times New Roman" w:cs="Times New Roman" w:eastAsia="Times New Roman" w:hAnsi="Times New Roman"/>
          <w:sz w:val="20"/>
          <w:szCs w:val="20"/>
          <w:color w:val="auto"/>
        </w:rPr>
        <w:t>breach, in addition to any other remedies which may be available, including the recovery of damages. In addition, if Service Provider</w:t>
      </w:r>
    </w:p>
    <w:p>
      <w:pPr>
        <w:ind w:right="280"/>
        <w:spacing w:after="0" w:line="215" w:lineRule="auto"/>
        <w:rPr>
          <w:sz w:val="20"/>
          <w:szCs w:val="20"/>
          <w:color w:val="auto"/>
        </w:rPr>
      </w:pPr>
      <w:r>
        <w:rPr>
          <w:rFonts w:ascii="Times New Roman" w:cs="Times New Roman" w:eastAsia="Times New Roman" w:hAnsi="Times New Roman"/>
          <w:sz w:val="19"/>
          <w:szCs w:val="19"/>
          <w:color w:val="auto"/>
        </w:rPr>
        <w:t>breaches this Agreement then Service Provider will forfeit the Award and any equity granted thereunder. In addition to all other relief to which it shall be entitled, the Company shall be entitled to recover from Service Provider all reasonable litigation costs and attorneys’ fees</w:t>
      </w:r>
    </w:p>
    <w:p>
      <w:pPr>
        <w:ind w:right="500"/>
        <w:spacing w:after="0" w:line="228" w:lineRule="auto"/>
        <w:rPr>
          <w:sz w:val="20"/>
          <w:szCs w:val="20"/>
          <w:color w:val="auto"/>
        </w:rPr>
      </w:pPr>
      <w:r>
        <w:rPr>
          <w:rFonts w:ascii="Times New Roman" w:cs="Times New Roman" w:eastAsia="Times New Roman" w:hAnsi="Times New Roman"/>
          <w:sz w:val="20"/>
          <w:szCs w:val="20"/>
          <w:color w:val="auto"/>
        </w:rPr>
        <w:t>incurred by the Company in any action or proceeding arising out of or relating to this Agreement in which the Company prevails in any respect. Remedies are cumulative and not exclusive.</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No Unlawful Restriction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 Provider understands and agrees that nothing in this Agreement is intended to or will prevent or interfere with Service Provider’s</w:t>
      </w:r>
    </w:p>
    <w:p>
      <w:pPr>
        <w:spacing w:after="0" w:line="215" w:lineRule="auto"/>
        <w:rPr>
          <w:sz w:val="20"/>
          <w:szCs w:val="20"/>
          <w:color w:val="auto"/>
        </w:rPr>
      </w:pPr>
      <w:r>
        <w:rPr>
          <w:rFonts w:ascii="Times New Roman" w:cs="Times New Roman" w:eastAsia="Times New Roman" w:hAnsi="Times New Roman"/>
          <w:sz w:val="19"/>
          <w:szCs w:val="19"/>
          <w:color w:val="auto"/>
        </w:rPr>
        <w:t>ability or right to: (i) provide truthful testimony if under subpoena to do so, (ii) file any charge with or participate in any investigation or proceeding before the U.S. Equal Employment Opportunity Commission or any other federal, state or local governmental agency, (iii) engage</w:t>
      </w:r>
    </w:p>
    <w:p>
      <w:pPr>
        <w:spacing w:after="0" w:line="222" w:lineRule="auto"/>
        <w:rPr>
          <w:sz w:val="20"/>
          <w:szCs w:val="20"/>
          <w:color w:val="auto"/>
        </w:rPr>
      </w:pPr>
      <w:r>
        <w:rPr>
          <w:rFonts w:ascii="Times New Roman" w:cs="Times New Roman" w:eastAsia="Times New Roman" w:hAnsi="Times New Roman"/>
          <w:sz w:val="19"/>
          <w:szCs w:val="19"/>
          <w:color w:val="auto"/>
        </w:rPr>
        <w:t>in any conduct protected under the National Labor Relations Act, or (iv) report possible violations of law or regulations to any governmental</w:t>
      </w:r>
    </w:p>
    <w:p>
      <w:pPr>
        <w:ind w:right="180"/>
        <w:spacing w:after="0" w:line="221" w:lineRule="auto"/>
        <w:rPr>
          <w:sz w:val="20"/>
          <w:szCs w:val="20"/>
          <w:color w:val="auto"/>
        </w:rPr>
      </w:pPr>
      <w:r>
        <w:rPr>
          <w:rFonts w:ascii="Times New Roman" w:cs="Times New Roman" w:eastAsia="Times New Roman" w:hAnsi="Times New Roman"/>
          <w:sz w:val="20"/>
          <w:szCs w:val="20"/>
          <w:color w:val="auto"/>
        </w:rPr>
        <w:t>agency or from making other disclosures protected under any applicable whistleblower laws, or (v) respond to a subpoena, court order or as otherwise provided by law.</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193" w:lineRule="exact"/>
        <w:rPr>
          <w:sz w:val="20"/>
          <w:szCs w:val="20"/>
          <w:color w:val="auto"/>
        </w:rPr>
      </w:pPr>
    </w:p>
    <w:p>
      <w:pPr>
        <w:ind w:left="460" w:right="8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All of the terms and provisions of this Agreement shall be binding upon and inure to the benefit of and be enforceable by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respective heirs, executors, administrators, legal representatives, successors, and assigns of the Parties (including, with respect to</w:t>
      </w:r>
    </w:p>
    <w:p>
      <w:pPr>
        <w:ind w:left="660" w:right="720"/>
        <w:spacing w:after="0" w:line="221" w:lineRule="auto"/>
        <w:rPr>
          <w:sz w:val="20"/>
          <w:szCs w:val="20"/>
          <w:color w:val="auto"/>
        </w:rPr>
      </w:pPr>
      <w:r>
        <w:rPr>
          <w:rFonts w:ascii="Times New Roman" w:cs="Times New Roman" w:eastAsia="Times New Roman" w:hAnsi="Times New Roman"/>
          <w:sz w:val="20"/>
          <w:szCs w:val="20"/>
          <w:color w:val="auto"/>
        </w:rPr>
        <w:t>the Company, any member of the Company Group), except that the duties and responsibilities of Service Provider under this Agreement are of a personal nature and shall not be assignable or delegable in whole or in part by Service Provider.</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covenants, provisions and restrictions in this Agreement are separate and divisible to the maximum extent possible,</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and to the extent any covenant, provision or portion of this Agreement is determined to be unenforceable or invalid for any reason, the Company and Service Provider acknowledge and agree that such unenforceability or invalidity shall not affect the enforceability</w:t>
      </w:r>
    </w:p>
    <w:p>
      <w:pPr>
        <w:ind w:left="660"/>
        <w:spacing w:after="0" w:line="222" w:lineRule="auto"/>
        <w:rPr>
          <w:sz w:val="20"/>
          <w:szCs w:val="20"/>
          <w:color w:val="auto"/>
        </w:rPr>
      </w:pPr>
      <w:r>
        <w:rPr>
          <w:rFonts w:ascii="Times New Roman" w:cs="Times New Roman" w:eastAsia="Times New Roman" w:hAnsi="Times New Roman"/>
          <w:sz w:val="19"/>
          <w:szCs w:val="19"/>
          <w:color w:val="auto"/>
        </w:rPr>
        <w:t>or validity of the remainder of this Agreement. If any particular covenant, provision or portion of this Agreement is determined to be</w:t>
      </w:r>
    </w:p>
    <w:p>
      <w:pPr>
        <w:ind w:left="660" w:right="500"/>
        <w:spacing w:after="0" w:line="215" w:lineRule="auto"/>
        <w:rPr>
          <w:sz w:val="20"/>
          <w:szCs w:val="20"/>
          <w:color w:val="auto"/>
        </w:rPr>
      </w:pPr>
      <w:r>
        <w:rPr>
          <w:rFonts w:ascii="Times New Roman" w:cs="Times New Roman" w:eastAsia="Times New Roman" w:hAnsi="Times New Roman"/>
          <w:sz w:val="19"/>
          <w:szCs w:val="19"/>
          <w:color w:val="auto"/>
        </w:rPr>
        <w:t>unreasonable or unenforceable for any reason, including, without limitation, the time period, geographical area, and/or scope of activity covered by any restrictive covenant or non-disclosure provision, or portion thereof, the Company and Service Provider</w:t>
      </w:r>
    </w:p>
    <w:p>
      <w:pPr>
        <w:ind w:left="660" w:right="200"/>
        <w:spacing w:after="0" w:line="242" w:lineRule="auto"/>
        <w:rPr>
          <w:sz w:val="20"/>
          <w:szCs w:val="20"/>
          <w:color w:val="auto"/>
        </w:rPr>
      </w:pPr>
      <w:r>
        <w:rPr>
          <w:rFonts w:ascii="Times New Roman" w:cs="Times New Roman" w:eastAsia="Times New Roman" w:hAnsi="Times New Roman"/>
          <w:sz w:val="19"/>
          <w:szCs w:val="19"/>
          <w:color w:val="auto"/>
        </w:rPr>
        <w:t>acknowledge and agree that such covenant, provision or portion shall automatically be deemed reformed such that the contested covenant, provision or portion will have the closest effect permitted by applicable law to the original form and shall be given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10</w:t>
      </w:r>
    </w:p>
    <w:p>
      <w:pPr>
        <w:sectPr>
          <w:pgSz w:w="11900" w:h="16838" w:orient="portrait"/>
          <w:cols w:equalWidth="0" w:num="1">
            <w:col w:w="11240"/>
          </w:cols>
          <w:pgMar w:left="320" w:top="1143" w:right="339" w:bottom="1440" w:gutter="0" w:footer="0" w:header="0"/>
        </w:sectPr>
      </w:pPr>
    </w:p>
    <w:bookmarkStart w:id="105" w:name="page106"/>
    <w:bookmarkEnd w:id="105"/>
    <w:p>
      <w:pPr>
        <w:ind w:left="660" w:right="600"/>
        <w:spacing w:after="0" w:line="227" w:lineRule="auto"/>
        <w:rPr>
          <w:sz w:val="20"/>
          <w:szCs w:val="20"/>
          <w:color w:val="auto"/>
        </w:rPr>
      </w:pPr>
      <w:r>
        <w:rPr>
          <w:rFonts w:ascii="Times New Roman" w:cs="Times New Roman" w:eastAsia="Times New Roman" w:hAnsi="Times New Roman"/>
          <w:sz w:val="19"/>
          <w:szCs w:val="19"/>
          <w:color w:val="auto"/>
        </w:rPr>
        <w:t>and enforced as so reformed to whatever extent would be reasonable and enforceable under applicable law. The Company and Service Provider agree that any court interpreting any restrictive covenant or non-disclosure provision of this Agreement shall</w:t>
      </w:r>
    </w:p>
    <w:p>
      <w:pPr>
        <w:ind w:left="660" w:right="840"/>
        <w:spacing w:after="0" w:line="228" w:lineRule="auto"/>
        <w:rPr>
          <w:sz w:val="20"/>
          <w:szCs w:val="20"/>
          <w:color w:val="auto"/>
        </w:rPr>
      </w:pPr>
      <w:r>
        <w:rPr>
          <w:rFonts w:ascii="Times New Roman" w:cs="Times New Roman" w:eastAsia="Times New Roman" w:hAnsi="Times New Roman"/>
          <w:sz w:val="20"/>
          <w:szCs w:val="20"/>
          <w:color w:val="auto"/>
        </w:rPr>
        <w:t>interpret such provision in a manner that would make the provision valid under applicable law to the extent possible and, if necessary, reform any such provision to make it enforceable under applicable law.</w:t>
      </w:r>
    </w:p>
    <w:p>
      <w:pPr>
        <w:spacing w:after="0" w:line="149" w:lineRule="exact"/>
        <w:rPr>
          <w:sz w:val="20"/>
          <w:szCs w:val="20"/>
          <w:color w:val="auto"/>
        </w:rPr>
      </w:pPr>
    </w:p>
    <w:p>
      <w:pPr>
        <w:ind w:left="460" w:right="30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Service Provider acknowledges and agrees that certain of Service Provider’s obligations under this Agreement, including,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without limitation, Service Provider’s non-disclosure and restrictive covenant obligations, shall survive the termination of Service</w:t>
      </w:r>
    </w:p>
    <w:p>
      <w:pPr>
        <w:spacing w:after="0" w:line="1" w:lineRule="exact"/>
        <w:rPr>
          <w:sz w:val="20"/>
          <w:szCs w:val="20"/>
          <w:color w:val="auto"/>
        </w:rPr>
      </w:pP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Provider’s employment or engagement with the Company Group for any reason. Service Provider further acknowledges and agrees that: (A) the confidentiality, intellectual property, and restrictive covenants provisions set forth in Section 1, Section 2, and Section 3</w:t>
      </w:r>
    </w:p>
    <w:p>
      <w:pPr>
        <w:ind w:left="660"/>
        <w:spacing w:after="0" w:line="222" w:lineRule="auto"/>
        <w:rPr>
          <w:sz w:val="20"/>
          <w:szCs w:val="20"/>
          <w:color w:val="auto"/>
        </w:rPr>
      </w:pPr>
      <w:r>
        <w:rPr>
          <w:rFonts w:ascii="Times New Roman" w:cs="Times New Roman" w:eastAsia="Times New Roman" w:hAnsi="Times New Roman"/>
          <w:sz w:val="19"/>
          <w:szCs w:val="19"/>
          <w:color w:val="auto"/>
        </w:rPr>
        <w:t>of this Agreement shall be construed as independent covenants and that no breach of any contractual or legal duty by the Company or</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any other member of the Company Group shall be held sufficient to excuse or terminate Service Provider’s covenants or obligations under Section 1 , Section 2, and Section 3 or preclude the Company or any other member of the Company Group from obtaining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injunctive relief for Service Provider’s violation or threatened violation of such provisions; and (B) the existence of any claim or</w:t>
      </w:r>
    </w:p>
    <w:p>
      <w:pPr>
        <w:ind w:left="660" w:right="180"/>
        <w:spacing w:after="0" w:line="204" w:lineRule="auto"/>
        <w:rPr>
          <w:sz w:val="20"/>
          <w:szCs w:val="20"/>
          <w:color w:val="auto"/>
        </w:rPr>
      </w:pPr>
      <w:r>
        <w:rPr>
          <w:rFonts w:ascii="Times New Roman" w:cs="Times New Roman" w:eastAsia="Times New Roman" w:hAnsi="Times New Roman"/>
          <w:sz w:val="20"/>
          <w:szCs w:val="20"/>
          <w:color w:val="auto"/>
        </w:rPr>
        <w:t>cause of action by Service Provider against the Company, whether predicated on this Agreement or otherwise, shall not constitute a defense to the Company’s or any other member of the Company Group’s enforcement of Service Provider’s covenants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obligations under this Agreement.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The Company Does Not Waive Its Rights by Non-Enforcement</w:t>
      </w:r>
      <w:r>
        <w:rPr>
          <w:rFonts w:ascii="Times New Roman" w:cs="Times New Roman" w:eastAsia="Times New Roman" w:hAnsi="Times New Roman"/>
          <w:sz w:val="20"/>
          <w:szCs w:val="20"/>
          <w:color w:val="auto"/>
        </w:rPr>
        <w:t>. Service Provider acknowledges that the Company’s failure to demand rigid adherence to one or more terms of this Agreement, on one or more occasions, will not be construed as a waiver nor deprive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Company of the right thereafter to insist upon strict compliance with any such term or terms.</w:t>
      </w:r>
    </w:p>
    <w:p>
      <w:pPr>
        <w:spacing w:after="0" w:line="1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Disclosure of Existence of Agreement and Subsequent Employment</w:t>
      </w:r>
      <w:r>
        <w:rPr>
          <w:rFonts w:ascii="Times New Roman" w:cs="Times New Roman" w:eastAsia="Times New Roman" w:hAnsi="Times New Roman"/>
          <w:sz w:val="19"/>
          <w:szCs w:val="19"/>
          <w:color w:val="auto"/>
        </w:rPr>
        <w:t>. Service Provider agrees that</w:t>
      </w:r>
      <w:r>
        <w:rPr>
          <w:rFonts w:ascii="Times New Roman" w:cs="Times New Roman" w:eastAsia="Times New Roman" w:hAnsi="Times New Roman"/>
          <w:sz w:val="19"/>
          <w:szCs w:val="19"/>
          <w:u w:val="single" w:color="auto"/>
          <w:color w:val="auto"/>
        </w:rPr>
        <w:t xml:space="preserve"> </w:t>
      </w:r>
      <w:r>
        <w:rPr>
          <w:rFonts w:ascii="Courier New" w:cs="Courier New" w:eastAsia="Courier New" w:hAnsi="Courier New"/>
          <w:sz w:val="20"/>
          <w:szCs w:val="20"/>
          <w:color w:val="auto"/>
        </w:rPr>
        <w:t>(i)</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if Service Provider should</w:t>
      </w:r>
    </w:p>
    <w:p>
      <w:pPr>
        <w:spacing w:after="0" w:line="13" w:lineRule="exact"/>
        <w:rPr>
          <w:sz w:val="20"/>
          <w:szCs w:val="20"/>
          <w:color w:val="auto"/>
        </w:rPr>
      </w:pPr>
    </w:p>
    <w:p>
      <w:pPr>
        <w:ind w:left="660"/>
        <w:spacing w:after="0" w:line="208" w:lineRule="auto"/>
        <w:rPr>
          <w:sz w:val="20"/>
          <w:szCs w:val="20"/>
          <w:color w:val="auto"/>
        </w:rPr>
      </w:pPr>
      <w:r>
        <w:rPr>
          <w:rFonts w:ascii="Times New Roman" w:cs="Times New Roman" w:eastAsia="Times New Roman" w:hAnsi="Times New Roman"/>
          <w:sz w:val="19"/>
          <w:szCs w:val="19"/>
          <w:color w:val="auto"/>
        </w:rPr>
        <w:t xml:space="preserve">decide to seek other employment, Service Provider will fully disclose the contents of this Agreement to prospective employers before accepting any offer of employment; </w:t>
      </w:r>
      <w:r>
        <w:rPr>
          <w:rFonts w:ascii="Courier New" w:cs="Courier New" w:eastAsia="Courier New" w:hAnsi="Courier New"/>
          <w:sz w:val="20"/>
          <w:szCs w:val="20"/>
          <w:color w:val="auto"/>
        </w:rPr>
        <w:t>(ii)</w:t>
      </w:r>
      <w:r>
        <w:rPr>
          <w:rFonts w:ascii="Times New Roman" w:cs="Times New Roman" w:eastAsia="Times New Roman" w:hAnsi="Times New Roman"/>
          <w:sz w:val="19"/>
          <w:szCs w:val="19"/>
          <w:color w:val="auto"/>
        </w:rPr>
        <w:t xml:space="preserve"> if Service Provider accepts other employment, Service Provider will confirm to the</w:t>
      </w:r>
    </w:p>
    <w:p>
      <w:pPr>
        <w:spacing w:after="0" w:line="2" w:lineRule="exact"/>
        <w:rPr>
          <w:sz w:val="20"/>
          <w:szCs w:val="20"/>
          <w:color w:val="auto"/>
        </w:rPr>
      </w:pP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 xml:space="preserve">Company in writing that Service Provider has properly notified Service Provider’s new employer of the contents of this Agreement; and </w:t>
      </w:r>
      <w:r>
        <w:rPr>
          <w:rFonts w:ascii="Courier New" w:cs="Courier New" w:eastAsia="Courier New" w:hAnsi="Courier New"/>
          <w:sz w:val="20"/>
          <w:szCs w:val="20"/>
          <w:color w:val="auto"/>
        </w:rPr>
        <w:t>(iii)</w:t>
      </w:r>
      <w:r>
        <w:rPr>
          <w:rFonts w:ascii="Times New Roman" w:cs="Times New Roman" w:eastAsia="Times New Roman" w:hAnsi="Times New Roman"/>
          <w:sz w:val="19"/>
          <w:szCs w:val="19"/>
          <w:color w:val="auto"/>
        </w:rPr>
        <w:t xml:space="preserve"> the Company may advise any third party of the existence of this Agreement and of its terms and may provide copies 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to such third party, and the Company shall have no liability for so doing.</w:t>
      </w:r>
    </w:p>
    <w:p>
      <w:pPr>
        <w:spacing w:after="0" w:line="167" w:lineRule="exact"/>
        <w:rPr>
          <w:sz w:val="20"/>
          <w:szCs w:val="20"/>
          <w:color w:val="auto"/>
        </w:rPr>
      </w:pPr>
    </w:p>
    <w:p>
      <w:pPr>
        <w:ind w:left="460" w:right="20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sets forth the entire agreement of the Parties and supersede any and all prior agreements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understandings concerning the subject matter of this Agreement; provided, that this Agreement shall supplement and not supersede</w:t>
      </w:r>
    </w:p>
    <w:p>
      <w:pPr>
        <w:ind w:left="660"/>
        <w:spacing w:after="0" w:line="224" w:lineRule="auto"/>
        <w:rPr>
          <w:sz w:val="20"/>
          <w:szCs w:val="20"/>
          <w:color w:val="auto"/>
        </w:rPr>
      </w:pPr>
      <w:r>
        <w:rPr>
          <w:rFonts w:ascii="Times New Roman" w:cs="Times New Roman" w:eastAsia="Times New Roman" w:hAnsi="Times New Roman"/>
          <w:sz w:val="19"/>
          <w:szCs w:val="19"/>
          <w:color w:val="auto"/>
        </w:rPr>
        <w:t>any written restrictive covenant agreement or any other agreement between Service Provider and any member of the Company Group</w:t>
      </w: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addressing non-disclosure of confidential information, assignment of inventions or other terms for the benefit of the Company Group previously entered into between the Parties or between Service Provider and any other member of the Company Group (the “</w:t>
      </w:r>
      <w:r>
        <w:rPr>
          <w:rFonts w:ascii="Times New Roman" w:cs="Times New Roman" w:eastAsia="Times New Roman" w:hAnsi="Times New Roman"/>
          <w:sz w:val="19"/>
          <w:szCs w:val="19"/>
          <w:u w:val="single" w:color="auto"/>
          <w:color w:val="auto"/>
        </w:rPr>
        <w:t>Other</w:t>
      </w:r>
    </w:p>
    <w:p>
      <w:pPr>
        <w:ind w:left="660"/>
        <w:spacing w:after="0" w:line="211" w:lineRule="auto"/>
        <w:rPr>
          <w:sz w:val="20"/>
          <w:szCs w:val="20"/>
          <w:color w:val="auto"/>
        </w:rPr>
      </w:pPr>
      <w:r>
        <w:rPr>
          <w:rFonts w:ascii="Times New Roman" w:cs="Times New Roman" w:eastAsia="Times New Roman" w:hAnsi="Times New Roman"/>
          <w:sz w:val="20"/>
          <w:szCs w:val="20"/>
          <w:u w:val="single" w:color="auto"/>
          <w:color w:val="auto"/>
        </w:rPr>
        <w:t>Protective Agreements</w:t>
      </w:r>
      <w:r>
        <w:rPr>
          <w:rFonts w:ascii="Times New Roman" w:cs="Times New Roman" w:eastAsia="Times New Roman" w:hAnsi="Times New Roman"/>
          <w:sz w:val="20"/>
          <w:szCs w:val="20"/>
          <w:color w:val="auto"/>
        </w:rPr>
        <w:t>”). This Agreement and the Other Protective Agreements shall be read and interpreted together to provide the</w:t>
      </w:r>
    </w:p>
    <w:p>
      <w:pPr>
        <w:ind w:left="660" w:right="240"/>
        <w:spacing w:after="0" w:line="221" w:lineRule="auto"/>
        <w:rPr>
          <w:sz w:val="20"/>
          <w:szCs w:val="20"/>
          <w:color w:val="auto"/>
        </w:rPr>
      </w:pPr>
      <w:r>
        <w:rPr>
          <w:rFonts w:ascii="Times New Roman" w:cs="Times New Roman" w:eastAsia="Times New Roman" w:hAnsi="Times New Roman"/>
          <w:sz w:val="20"/>
          <w:szCs w:val="20"/>
          <w:color w:val="auto"/>
        </w:rPr>
        <w:t>maximum protection to the Company. The terms of this Agreement may be changed only by a written document signed by Service Provider and an authorized representative of the Company.</w:t>
      </w:r>
    </w:p>
    <w:p>
      <w:pPr>
        <w:spacing w:after="0" w:line="162" w:lineRule="exact"/>
        <w:rPr>
          <w:sz w:val="20"/>
          <w:szCs w:val="20"/>
          <w:color w:val="auto"/>
        </w:rPr>
      </w:pPr>
    </w:p>
    <w:p>
      <w:pPr>
        <w:ind w:left="460" w:right="6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enforcement, interpretation, and any other aspect of this Agreement shall be governed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laws of the State of Minnesota, notwithstanding the choice of law provisions of any jurisdiction; provided, however, to the extent</w:t>
      </w:r>
    </w:p>
    <w:p>
      <w:pPr>
        <w:ind w:left="660"/>
        <w:spacing w:after="0" w:line="212" w:lineRule="auto"/>
        <w:rPr>
          <w:sz w:val="20"/>
          <w:szCs w:val="20"/>
          <w:color w:val="auto"/>
        </w:rPr>
      </w:pPr>
      <w:r>
        <w:rPr>
          <w:rFonts w:ascii="Times New Roman" w:cs="Times New Roman" w:eastAsia="Times New Roman" w:hAnsi="Times New Roman"/>
          <w:sz w:val="20"/>
          <w:szCs w:val="20"/>
          <w:color w:val="auto"/>
        </w:rPr>
        <w:t>an Other Protective Agreement addresses the same subject matter as addressed in this Agreement and such Other Protective</w:t>
      </w:r>
    </w:p>
    <w:p>
      <w:pPr>
        <w:spacing w:after="0" w:line="1" w:lineRule="exact"/>
        <w:rPr>
          <w:sz w:val="20"/>
          <w:szCs w:val="20"/>
          <w:color w:val="auto"/>
        </w:rPr>
      </w:pPr>
    </w:p>
    <w:p>
      <w:pPr>
        <w:ind w:left="660" w:right="840"/>
        <w:spacing w:after="0" w:line="221" w:lineRule="auto"/>
        <w:rPr>
          <w:sz w:val="20"/>
          <w:szCs w:val="20"/>
          <w:color w:val="auto"/>
        </w:rPr>
      </w:pPr>
      <w:r>
        <w:rPr>
          <w:rFonts w:ascii="Times New Roman" w:cs="Times New Roman" w:eastAsia="Times New Roman" w:hAnsi="Times New Roman"/>
          <w:sz w:val="20"/>
          <w:szCs w:val="20"/>
          <w:color w:val="auto"/>
        </w:rPr>
        <w:t>Agreement identifies a governing law other than Minnesota law, then the governing law identified in such Other Protective Agreement shall control with respect to such subject matter.</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Venue; Jury Trial Waiver</w:t>
      </w:r>
      <w:r>
        <w:rPr>
          <w:rFonts w:ascii="Times New Roman" w:cs="Times New Roman" w:eastAsia="Times New Roman" w:hAnsi="Times New Roman"/>
          <w:sz w:val="19"/>
          <w:szCs w:val="19"/>
          <w:color w:val="auto"/>
        </w:rPr>
        <w:t>. Company and Service Provider agree that any legal action arising out of or relating to this Agreement,</w:t>
      </w:r>
    </w:p>
    <w:p>
      <w:pPr>
        <w:ind w:left="660" w:right="1000"/>
        <w:spacing w:after="0" w:line="221" w:lineRule="auto"/>
        <w:rPr>
          <w:sz w:val="20"/>
          <w:szCs w:val="20"/>
          <w:color w:val="auto"/>
        </w:rPr>
      </w:pPr>
      <w:r>
        <w:rPr>
          <w:rFonts w:ascii="Times New Roman" w:cs="Times New Roman" w:eastAsia="Times New Roman" w:hAnsi="Times New Roman"/>
          <w:sz w:val="20"/>
          <w:szCs w:val="20"/>
          <w:color w:val="auto"/>
        </w:rPr>
        <w:t>Service Provider’s employment or engagement with the Company or the separation of Service Provider’s employment or engagement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r>
      <w:r>
        <w:rPr>
          <w:sz w:val="20"/>
          <w:szCs w:val="20"/>
          <w:color w:val="auto"/>
        </w:rPr>
        <w:tab/>
      </w:r>
      <w:r>
        <w:rPr>
          <w:rFonts w:ascii="Times New Roman" w:cs="Times New Roman" w:eastAsia="Times New Roman" w:hAnsi="Times New Roman"/>
          <w:sz w:val="15"/>
          <w:szCs w:val="15"/>
          <w:color w:val="auto"/>
        </w:rPr>
        <w:t>Page 11</w:t>
      </w:r>
    </w:p>
    <w:p>
      <w:pPr>
        <w:sectPr>
          <w:pgSz w:w="11900" w:h="16838" w:orient="portrait"/>
          <w:cols w:equalWidth="0" w:num="1">
            <w:col w:w="11240"/>
          </w:cols>
          <w:pgMar w:left="320" w:top="1143" w:right="339" w:bottom="1440" w:gutter="0" w:footer="0" w:header="0"/>
        </w:sectPr>
      </w:pPr>
    </w:p>
    <w:bookmarkStart w:id="106" w:name="page107"/>
    <w:bookmarkEnd w:id="106"/>
    <w:p>
      <w:pPr>
        <w:ind w:left="660" w:right="100"/>
        <w:spacing w:after="0" w:line="227" w:lineRule="auto"/>
        <w:rPr>
          <w:sz w:val="20"/>
          <w:szCs w:val="20"/>
          <w:color w:val="auto"/>
        </w:rPr>
      </w:pPr>
      <w:r>
        <w:rPr>
          <w:rFonts w:ascii="Times New Roman" w:cs="Times New Roman" w:eastAsia="Times New Roman" w:hAnsi="Times New Roman"/>
          <w:sz w:val="19"/>
          <w:szCs w:val="19"/>
          <w:color w:val="auto"/>
        </w:rPr>
        <w:t>commenced and maintained exclusively before any state or federal court having appropriate subject matter jurisdiction located in, or whose judicial district encompasses or serves, Hennepin County, Minnesota; provided, however, to the extent an Other Protective</w:t>
      </w:r>
    </w:p>
    <w:p>
      <w:pPr>
        <w:ind w:left="660"/>
        <w:spacing w:after="0" w:line="222" w:lineRule="auto"/>
        <w:rPr>
          <w:sz w:val="20"/>
          <w:szCs w:val="20"/>
          <w:color w:val="auto"/>
        </w:rPr>
      </w:pPr>
      <w:r>
        <w:rPr>
          <w:rFonts w:ascii="Times New Roman" w:cs="Times New Roman" w:eastAsia="Times New Roman" w:hAnsi="Times New Roman"/>
          <w:sz w:val="19"/>
          <w:szCs w:val="19"/>
          <w:color w:val="auto"/>
        </w:rPr>
        <w:t>Agreement addresses the same subject matter as addressed in this Agreement and such Other Protective Agreement identifies a venue</w:t>
      </w:r>
    </w:p>
    <w:p>
      <w:pPr>
        <w:spacing w:after="0" w:line="1" w:lineRule="exact"/>
        <w:rPr>
          <w:sz w:val="20"/>
          <w:szCs w:val="20"/>
          <w:color w:val="auto"/>
        </w:rPr>
      </w:pP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other than Hennepin County, Minnesota, then the venue identified in such Other Protective Agreement shall control with respect to such subject matter. SERVICE PROVIDER AND THE COMPANY EACH HEREBY VOLUNTARILY AND IRREVOCABLY</w:t>
      </w:r>
    </w:p>
    <w:p>
      <w:pPr>
        <w:ind w:left="660"/>
        <w:spacing w:after="0" w:line="211" w:lineRule="auto"/>
        <w:rPr>
          <w:sz w:val="20"/>
          <w:szCs w:val="20"/>
          <w:color w:val="auto"/>
        </w:rPr>
      </w:pPr>
      <w:r>
        <w:rPr>
          <w:rFonts w:ascii="Times New Roman" w:cs="Times New Roman" w:eastAsia="Times New Roman" w:hAnsi="Times New Roman"/>
          <w:sz w:val="20"/>
          <w:szCs w:val="20"/>
          <w:color w:val="auto"/>
        </w:rPr>
        <w:t>WAIVES TRIAL BY JURY IN ANY LEGAL ACTION ARISING OUT OF OR RELATING TO THIS AGREEMENT OR</w:t>
      </w:r>
    </w:p>
    <w:p>
      <w:pPr>
        <w:ind w:left="660" w:right="100"/>
        <w:spacing w:after="0" w:line="221" w:lineRule="auto"/>
        <w:rPr>
          <w:sz w:val="20"/>
          <w:szCs w:val="20"/>
          <w:color w:val="auto"/>
        </w:rPr>
      </w:pPr>
      <w:r>
        <w:rPr>
          <w:rFonts w:ascii="Times New Roman" w:cs="Times New Roman" w:eastAsia="Times New Roman" w:hAnsi="Times New Roman"/>
          <w:sz w:val="20"/>
          <w:szCs w:val="20"/>
          <w:color w:val="auto"/>
        </w:rPr>
        <w:t>SERVICE PROVIDER’S EMPLOYMENT OR ENGAGEMENT WITH THE COMPANY TO THE FULL EXTENT PERMITTED BY LAW.</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Acknowledgment; Headings</w:t>
      </w:r>
      <w:r>
        <w:rPr>
          <w:rFonts w:ascii="Times New Roman" w:cs="Times New Roman" w:eastAsia="Times New Roman" w:hAnsi="Times New Roman"/>
          <w:sz w:val="19"/>
          <w:szCs w:val="19"/>
          <w:color w:val="auto"/>
        </w:rPr>
        <w:t>. By accepting the terms of this Agreement online, Service Provider agrees to be bound by this Agreement</w:t>
      </w:r>
    </w:p>
    <w:p>
      <w:pPr>
        <w:ind w:left="660" w:right="620"/>
        <w:spacing w:after="0" w:line="221" w:lineRule="auto"/>
        <w:rPr>
          <w:sz w:val="20"/>
          <w:szCs w:val="20"/>
          <w:color w:val="auto"/>
        </w:rPr>
      </w:pPr>
      <w:r>
        <w:rPr>
          <w:rFonts w:ascii="Times New Roman" w:cs="Times New Roman" w:eastAsia="Times New Roman" w:hAnsi="Times New Roman"/>
          <w:sz w:val="20"/>
          <w:szCs w:val="20"/>
          <w:color w:val="auto"/>
        </w:rPr>
        <w:t>and agrees such acceptance shall evidence Service Provider’s signature by electronic means. Section headings are inserted for convenience only and shall not be deemed to constitute part of this Agreement or to affect its interpretation.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1059815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12</w:t>
      </w:r>
    </w:p>
    <w:p>
      <w:pPr>
        <w:sectPr>
          <w:pgSz w:w="11900" w:h="16838" w:orient="portrait"/>
          <w:cols w:equalWidth="0" w:num="1">
            <w:col w:w="11240"/>
          </w:cols>
          <w:pgMar w:left="320" w:top="1143" w:right="33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PRIOR INVENTIONS</w:t>
      </w: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22860</wp:posOffset>
            </wp:positionV>
            <wp:extent cx="40462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firstLine="8"/>
        <w:spacing w:after="0" w:line="216" w:lineRule="auto"/>
        <w:tabs>
          <w:tab w:leader="none" w:pos="19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Prior Inventions listed in Section 2 below, the following is a reasonably detailed, complete, and accurate list of all intellectual property, including, but not limited to, any ideas, inventions, patents, trademarks, service marks, copyrights, creations, know how, work product, and other developments or improvements, if any, patented or unpatented, which I, alone or with others, conceived, created, invented, developed, reduced to practice, or caused to be conceived and or caused to be reduced to practice prior to the earlier of commencement of my employment with Winnebago Industries, Inc. or any of its subsidiaries, parents, affiliates, or divisions, or when I first provided services to Winnebago Industries, Inc. or any of its subsidiaries, affiliates, or divisions.</w:t>
      </w:r>
    </w:p>
    <w:p>
      <w:pPr>
        <w:spacing w:after="0" w:line="2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 have no Prior Inventions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List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1008380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Check box and attach additional sheet(s),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60" w:firstLine="8"/>
        <w:spacing w:after="0"/>
        <w:tabs>
          <w:tab w:leader="none" w:pos="19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a prior confidentiality agreement, I can only provide a general reference to Prior Inventions and the name and relationship status of the party(ies) to whom I owe a duty of confientiatlity with respect to such proprietary rights:</w:t>
      </w:r>
    </w:p>
    <w:p>
      <w:pPr>
        <w:spacing w:after="0" w:line="242" w:lineRule="exact"/>
        <w:rPr>
          <w:sz w:val="20"/>
          <w:szCs w:val="20"/>
          <w:color w:val="auto"/>
        </w:rPr>
      </w:pPr>
    </w:p>
    <w:p>
      <w:pPr>
        <w:ind w:left="580"/>
        <w:spacing w:after="0"/>
        <w:tabs>
          <w:tab w:leader="none" w:pos="4900" w:val="left"/>
          <w:tab w:leader="none" w:pos="8260" w:val="left"/>
        </w:tabs>
        <w:rPr>
          <w:sz w:val="20"/>
          <w:szCs w:val="20"/>
          <w:color w:val="auto"/>
        </w:rPr>
      </w:pPr>
      <w:r>
        <w:rPr>
          <w:rFonts w:ascii="Times New Roman" w:cs="Times New Roman" w:eastAsia="Times New Roman" w:hAnsi="Times New Roman"/>
          <w:sz w:val="20"/>
          <w:szCs w:val="20"/>
          <w:color w:val="auto"/>
        </w:rPr>
        <w:t>Prior Invention</w:t>
      </w:r>
      <w:r>
        <w:rPr>
          <w:sz w:val="20"/>
          <w:szCs w:val="20"/>
          <w:color w:val="auto"/>
        </w:rPr>
        <w:tab/>
      </w:r>
      <w:r>
        <w:rPr>
          <w:rFonts w:ascii="Times New Roman" w:cs="Times New Roman" w:eastAsia="Times New Roman" w:hAnsi="Times New Roman"/>
          <w:sz w:val="20"/>
          <w:szCs w:val="20"/>
          <w:color w:val="auto"/>
        </w:rPr>
        <w:t>Party(ies)</w:t>
      </w:r>
      <w:r>
        <w:rPr>
          <w:sz w:val="20"/>
          <w:szCs w:val="20"/>
          <w:color w:val="auto"/>
        </w:rPr>
        <w:tab/>
      </w:r>
      <w:r>
        <w:rPr>
          <w:rFonts w:ascii="Times New Roman" w:cs="Times New Roman" w:eastAsia="Times New Roman" w:hAnsi="Times New Roman"/>
          <w:sz w:val="19"/>
          <w:szCs w:val="19"/>
          <w:color w:val="auto"/>
        </w:rPr>
        <w:t>Relationship</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-140335</wp:posOffset>
            </wp:positionV>
            <wp:extent cx="68148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6814820" cy="8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21590</wp:posOffset>
            </wp:positionV>
            <wp:extent cx="68148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-140335</wp:posOffset>
            </wp:positionV>
            <wp:extent cx="68148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Check box and attach additional sheet(s),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1205865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6"/>
          <w:szCs w:val="16"/>
          <w:color w:val="auto"/>
        </w:rPr>
        <w:t>RSU Agreement – Executives (2019 Plan – October 11, 2022 Grant)</w:t>
        <w:tab/>
        <w:t>Page 13</w:t>
      </w:r>
    </w:p>
    <w:p>
      <w:pPr>
        <w:sectPr>
          <w:pgSz w:w="11900" w:h="16838" w:orient="portrait"/>
          <w:cols w:equalWidth="0" w:num="1">
            <w:col w:w="11220"/>
          </w:cols>
          <w:pgMar w:left="320" w:top="1139" w:right="35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(Non-Employee Director)</w:t>
      </w:r>
    </w:p>
    <w:p>
      <w:pPr>
        <w:spacing w:after="0" w:line="260" w:lineRule="exact"/>
        <w:rPr>
          <w:sz w:val="20"/>
          <w:szCs w:val="20"/>
          <w:color w:val="auto"/>
        </w:rPr>
      </w:pPr>
    </w:p>
    <w:p>
      <w:pPr>
        <w:ind w:firstLine="322"/>
        <w:spacing w:after="0" w:line="227" w:lineRule="auto"/>
        <w:rPr>
          <w:sz w:val="20"/>
          <w:szCs w:val="20"/>
          <w:color w:val="auto"/>
        </w:rPr>
      </w:pPr>
      <w:r>
        <w:rPr>
          <w:rFonts w:ascii="Times New Roman" w:cs="Times New Roman" w:eastAsia="Times New Roman" w:hAnsi="Times New Roman"/>
          <w:sz w:val="19"/>
          <w:szCs w:val="19"/>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w:t>
      </w:r>
    </w:p>
    <w:p>
      <w:pPr>
        <w:spacing w:after="0" w:line="211" w:lineRule="auto"/>
        <w:rPr>
          <w:sz w:val="20"/>
          <w:szCs w:val="20"/>
          <w:color w:val="auto"/>
        </w:rPr>
      </w:pPr>
      <w:r>
        <w:rPr>
          <w:rFonts w:ascii="Times New Roman" w:cs="Times New Roman" w:eastAsia="Times New Roman" w:hAnsi="Times New Roman"/>
          <w:sz w:val="20"/>
          <w:szCs w:val="20"/>
          <w:color w:val="auto"/>
        </w:rPr>
        <w:t>Award Agreement (the “Agreement”), consisting of this cover page and the Terms and Conditions on the following pages, and in the Plan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document, a copy of which has been made available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157720" cy="7200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157720" cy="72009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of Participant: _______________________</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Number of Restricted Stock Units: _______</w:t>
      </w:r>
    </w:p>
    <w:p>
      <w:pPr>
        <w:spacing w:after="0" w:line="40"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20"/>
          <w:szCs w:val="20"/>
          <w:color w:val="auto"/>
        </w:rPr>
        <w:t>Grant Date:</w:t>
      </w:r>
      <w:r>
        <w:rPr>
          <w:sz w:val="20"/>
          <w:szCs w:val="20"/>
          <w:color w:val="auto"/>
        </w:rPr>
        <w:tab/>
      </w:r>
      <w:r>
        <w:rPr>
          <w:rFonts w:ascii="Times New Roman" w:cs="Times New Roman" w:eastAsia="Times New Roman" w:hAnsi="Times New Roman"/>
          <w:sz w:val="19"/>
          <w:szCs w:val="19"/>
          <w:color w:val="auto"/>
        </w:rPr>
        <w:t>October 12, 2021</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Scheduled Vesting Date: October 12, 2022</w:t>
      </w:r>
    </w:p>
    <w:p>
      <w:pPr>
        <w:spacing w:after="0" w:line="36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By signing below or otherwise evidencing your acceptance of this Agreement in a manner approved by the Company, you agree to all of the terms and conditions contained in this Agreement and in the Plan document. You acknowledge that you have reviewed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PARTICIPANT:</w:t>
      </w:r>
      <w:r>
        <w:rPr>
          <w:sz w:val="20"/>
          <w:szCs w:val="20"/>
          <w:color w:val="auto"/>
        </w:rPr>
        <w:tab/>
      </w:r>
      <w:r>
        <w:rPr>
          <w:rFonts w:ascii="Times New Roman" w:cs="Times New Roman" w:eastAsia="Times New Roman" w:hAnsi="Times New Roman"/>
          <w:sz w:val="19"/>
          <w:szCs w:val="19"/>
          <w:color w:val="auto"/>
        </w:rPr>
        <w:t>WINNEBAGO INDUSTRIES, INC.</w:t>
      </w: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57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0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 (Non-Employee Director)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83" w:lineRule="exact"/>
        <w:rPr>
          <w:sz w:val="20"/>
          <w:szCs w:val="20"/>
          <w:color w:val="auto"/>
        </w:rPr>
      </w:pPr>
    </w:p>
    <w:p>
      <w:pPr>
        <w:ind w:right="20" w:firstLine="8"/>
        <w:spacing w:after="0" w:line="265" w:lineRule="auto"/>
        <w:tabs>
          <w:tab w:leader="none" w:pos="34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this Agreement and the 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50" w:lineRule="exact"/>
        <w:rPr>
          <w:rFonts w:ascii="Times New Roman" w:cs="Times New Roman" w:eastAsia="Times New Roman" w:hAnsi="Times New Roman"/>
          <w:sz w:val="20"/>
          <w:szCs w:val="20"/>
          <w:color w:val="auto"/>
        </w:rPr>
      </w:pPr>
    </w:p>
    <w:p>
      <w:pPr>
        <w:jc w:val="both"/>
        <w:ind w:firstLine="8"/>
        <w:spacing w:after="0" w:line="230" w:lineRule="auto"/>
        <w:tabs>
          <w:tab w:leader="none" w:pos="36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Applicable to Units</w:t>
      </w:r>
      <w:r>
        <w:rPr>
          <w:rFonts w:ascii="Times New Roman" w:cs="Times New Roman" w:eastAsia="Times New Roman" w:hAnsi="Times New Roman"/>
          <w:sz w:val="19"/>
          <w:szCs w:val="19"/>
          <w:color w:val="auto"/>
        </w:rPr>
        <w:t>. Neither this Award nor the Units subject to this Award may be sold, assigned, transferred, exchanged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2 shall be void and without effect. The Units and your right to receive Shares in settlement of the Units under this Agreement shall be subject to forfeiture as provided in Section 5 until satisfaction of the vesting conditions set forth in Section 4.</w:t>
      </w:r>
    </w:p>
    <w:p>
      <w:pPr>
        <w:spacing w:after="0" w:line="174" w:lineRule="exact"/>
        <w:rPr>
          <w:rFonts w:ascii="Times New Roman" w:cs="Times New Roman" w:eastAsia="Times New Roman" w:hAnsi="Times New Roman"/>
          <w:sz w:val="19"/>
          <w:szCs w:val="19"/>
          <w:color w:val="auto"/>
        </w:rPr>
      </w:pPr>
    </w:p>
    <w:p>
      <w:pPr>
        <w:jc w:val="both"/>
        <w:ind w:firstLine="8"/>
        <w:spacing w:after="0" w:line="232" w:lineRule="auto"/>
        <w:tabs>
          <w:tab w:leader="none" w:pos="37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the grant of Units subject to this Agreement unless and until Shares are issued to you upon settlement of the Units as provided in Section 6.</w:t>
      </w:r>
    </w:p>
    <w:p>
      <w:pPr>
        <w:spacing w:after="0" w:line="143" w:lineRule="exact"/>
        <w:rPr>
          <w:rFonts w:ascii="Times New Roman" w:cs="Times New Roman" w:eastAsia="Times New Roman" w:hAnsi="Times New Roman"/>
          <w:sz w:val="20"/>
          <w:szCs w:val="20"/>
          <w:color w:val="auto"/>
        </w:rPr>
      </w:pPr>
    </w:p>
    <w:p>
      <w:pPr>
        <w:jc w:val="both"/>
        <w:ind w:firstLine="8"/>
        <w:spacing w:after="0" w:line="223" w:lineRule="auto"/>
        <w:tabs>
          <w:tab w:leader="none" w:pos="34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color w:val="auto"/>
        </w:rPr>
        <w:t>. For purposes of this Agreement, “Vesting Date” means any date, including the Scheduled Vesting Date specified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page of this Agreement, on which Units subject to this Agreement vest as provided in this Section 4. Notwithstanding the vesting and subsequent settlement of this Award, the Award and any Share issuances or payments made hereunder shall remain subject to the provisions of Section 16(i) of the Plan.</w:t>
      </w:r>
    </w:p>
    <w:p>
      <w:pPr>
        <w:spacing w:after="0" w:line="188" w:lineRule="exact"/>
        <w:rPr>
          <w:rFonts w:ascii="Times New Roman" w:cs="Times New Roman" w:eastAsia="Times New Roman" w:hAnsi="Times New Roman"/>
          <w:sz w:val="20"/>
          <w:szCs w:val="20"/>
          <w:color w:val="auto"/>
        </w:rPr>
      </w:pPr>
    </w:p>
    <w:p>
      <w:pPr>
        <w:ind w:right="20" w:firstLine="656"/>
        <w:spacing w:after="0" w:line="233" w:lineRule="auto"/>
        <w:tabs>
          <w:tab w:leader="none" w:pos="128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If you remain a Service Provider continuously from the Grant Date specified on the cover page of this Agreement, then the Units will vest on the Scheduled Vesting Date.</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The vesting of outstanding Units will be accelerated under the circumstances provided below:</w:t>
      </w:r>
    </w:p>
    <w:p>
      <w:pPr>
        <w:spacing w:after="0" w:line="211" w:lineRule="exact"/>
        <w:rPr>
          <w:rFonts w:ascii="Times New Roman" w:cs="Times New Roman" w:eastAsia="Times New Roman" w:hAnsi="Times New Roman"/>
          <w:sz w:val="20"/>
          <w:szCs w:val="20"/>
          <w:color w:val="auto"/>
        </w:rPr>
      </w:pPr>
    </w:p>
    <w:p>
      <w:pPr>
        <w:ind w:left="660" w:firstLine="644"/>
        <w:spacing w:after="0" w:line="235" w:lineRule="auto"/>
        <w:tabs>
          <w:tab w:leader="none" w:pos="1944"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 or Disability</w:t>
      </w:r>
      <w:r>
        <w:rPr>
          <w:rFonts w:ascii="Times New Roman" w:cs="Times New Roman" w:eastAsia="Times New Roman" w:hAnsi="Times New Roman"/>
          <w:sz w:val="20"/>
          <w:szCs w:val="20"/>
          <w:color w:val="auto"/>
        </w:rPr>
        <w:t>. If your Service terminates prior to the Scheduled Vesting Date due to your death or Disability,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then all of the unvested Units shall vest as of such termination date.</w:t>
      </w:r>
    </w:p>
    <w:p>
      <w:pPr>
        <w:spacing w:after="0" w:line="184" w:lineRule="exact"/>
        <w:rPr>
          <w:rFonts w:ascii="Times New Roman" w:cs="Times New Roman" w:eastAsia="Times New Roman" w:hAnsi="Times New Roman"/>
          <w:sz w:val="20"/>
          <w:szCs w:val="20"/>
          <w:color w:val="auto"/>
        </w:rPr>
      </w:pPr>
    </w:p>
    <w:p>
      <w:pPr>
        <w:ind w:left="660" w:firstLine="644"/>
        <w:spacing w:after="0" w:line="245" w:lineRule="auto"/>
        <w:tabs>
          <w:tab w:leader="none" w:pos="1944"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If a Change in Control occurs while your Service continues and prior to the Scheduled Vesting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then all of the unvested Units shall vest as of the date of the consummation of such Change in Control.</w:t>
      </w:r>
    </w:p>
    <w:p>
      <w:pPr>
        <w:spacing w:after="0" w:line="164" w:lineRule="exact"/>
        <w:rPr>
          <w:rFonts w:ascii="Times New Roman" w:cs="Times New Roman" w:eastAsia="Times New Roman" w:hAnsi="Times New Roman"/>
          <w:sz w:val="20"/>
          <w:szCs w:val="20"/>
          <w:color w:val="auto"/>
        </w:rPr>
      </w:pPr>
    </w:p>
    <w:p>
      <w:pPr>
        <w:ind w:right="20" w:firstLine="8"/>
        <w:spacing w:after="0" w:line="245" w:lineRule="auto"/>
        <w:tabs>
          <w:tab w:leader="none" w:pos="37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Forfeiture</w:t>
      </w:r>
      <w:r>
        <w:rPr>
          <w:rFonts w:ascii="Times New Roman" w:cs="Times New Roman" w:eastAsia="Times New Roman" w:hAnsi="Times New Roman"/>
          <w:sz w:val="20"/>
          <w:szCs w:val="20"/>
          <w:color w:val="auto"/>
        </w:rPr>
        <w:t>. Except as otherwise provided in accordance with Section 4 above, if you cease to be a Service Provider, you will forfeit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unvested Units.</w:t>
      </w:r>
    </w:p>
    <w:p>
      <w:pPr>
        <w:spacing w:after="0" w:line="17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Units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6"/>
          <w:szCs w:val="16"/>
          <w:color w:val="auto"/>
        </w:rPr>
        <w:t>RSU Agreement – Non-Employee Directors (2019 Plan – October 12, 2021 Grant)</w:t>
        <w:tab/>
        <w:t>Page 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03" w:lineRule="exact"/>
        <w:rPr>
          <w:sz w:val="20"/>
          <w:szCs w:val="20"/>
          <w:color w:val="auto"/>
        </w:rPr>
      </w:pPr>
    </w:p>
    <w:p>
      <w:pPr>
        <w:jc w:val="both"/>
        <w:ind w:firstLine="656"/>
        <w:spacing w:after="0" w:line="207" w:lineRule="auto"/>
        <w:tabs>
          <w:tab w:leader="none" w:pos="128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you have elected to defer settlement of the Units, after any Units vest pursuant to Section 4, the Company shall, as soon as practicable (but no later than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6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have elected to defer the settlement of the Units (“Deferred Units”) pursuant to the terms of the Plan, after any Deferred Units vest pursuant to Section 4 the settlement of such Deferred Units shall be governed by the terms of the Plan and your related deferral election.</w:t>
      </w:r>
    </w:p>
    <w:p>
      <w:pPr>
        <w:spacing w:after="0" w:line="183" w:lineRule="exact"/>
        <w:rPr>
          <w:rFonts w:ascii="Times New Roman" w:cs="Times New Roman" w:eastAsia="Times New Roman" w:hAnsi="Times New Roman"/>
          <w:sz w:val="20"/>
          <w:szCs w:val="20"/>
          <w:color w:val="auto"/>
        </w:rPr>
      </w:pPr>
    </w:p>
    <w:p>
      <w:pPr>
        <w:jc w:val="both"/>
        <w:ind w:firstLine="8"/>
        <w:spacing w:after="0" w:line="213" w:lineRule="auto"/>
        <w:tabs>
          <w:tab w:leader="none" w:pos="4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If the Company pays cash dividends on its Shares while any Units subject to this Agreement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the Company shall credit, as of each 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4 and 6 of this Agreement. No interest shall accrue on any unpaid dividend equivalents. Any dividend equivalents accrued on Units that are forfeited in accordance with this Agreement shall also be forfeited.</w:t>
      </w:r>
    </w:p>
    <w:p>
      <w:pPr>
        <w:spacing w:after="0" w:line="189" w:lineRule="exact"/>
        <w:rPr>
          <w:rFonts w:ascii="Times New Roman" w:cs="Times New Roman" w:eastAsia="Times New Roman" w:hAnsi="Times New Roman"/>
          <w:sz w:val="20"/>
          <w:szCs w:val="20"/>
          <w:color w:val="auto"/>
        </w:rPr>
      </w:pPr>
    </w:p>
    <w:p>
      <w:pPr>
        <w:ind w:firstLine="8"/>
        <w:spacing w:after="0" w:line="245" w:lineRule="auto"/>
        <w:tabs>
          <w:tab w:leader="none" w:pos="37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w:t>
      </w:r>
      <w:r>
        <w:rPr>
          <w:rFonts w:ascii="Times New Roman" w:cs="Times New Roman" w:eastAsia="Times New Roman" w:hAnsi="Times New Roman"/>
          <w:sz w:val="20"/>
          <w:szCs w:val="20"/>
          <w:color w:val="auto"/>
        </w:rPr>
        <w:t>. No Shares will be delivered to you in settlement of vested Units unless you have made arrangements acceptable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for payment of any federal, state, local or foreign taxes that may be due as a result of the delivery of the Shares.</w:t>
      </w:r>
    </w:p>
    <w:p>
      <w:pPr>
        <w:spacing w:after="0" w:line="137" w:lineRule="exact"/>
        <w:rPr>
          <w:rFonts w:ascii="Times New Roman" w:cs="Times New Roman" w:eastAsia="Times New Roman" w:hAnsi="Times New Roman"/>
          <w:sz w:val="20"/>
          <w:szCs w:val="20"/>
          <w:color w:val="auto"/>
        </w:rPr>
      </w:pPr>
    </w:p>
    <w:p>
      <w:pPr>
        <w:jc w:val="both"/>
        <w:ind w:firstLine="8"/>
        <w:spacing w:after="0" w:line="216" w:lineRule="auto"/>
        <w:tabs>
          <w:tab w:leader="none" w:pos="48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Director, emailed to you at the address indicated in the Company's records as your most recent mailing or email address.</w:t>
      </w:r>
    </w:p>
    <w:p>
      <w:pPr>
        <w:spacing w:after="0" w:line="157"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16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87" w:lineRule="exact"/>
        <w:rPr>
          <w:rFonts w:ascii="Times New Roman" w:cs="Times New Roman" w:eastAsia="Times New Roman" w:hAnsi="Times New Roman"/>
          <w:sz w:val="20"/>
          <w:szCs w:val="20"/>
          <w:color w:val="auto"/>
        </w:rPr>
      </w:pPr>
    </w:p>
    <w:p>
      <w:pPr>
        <w:ind w:firstLine="656"/>
        <w:spacing w:after="0" w:line="233" w:lineRule="auto"/>
        <w:tabs>
          <w:tab w:leader="none" w:pos="107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6"/>
          <w:szCs w:val="16"/>
          <w:color w:val="auto"/>
        </w:rPr>
        <w:t>RSU Agreement – Non-Employee Directors (2019 Plan – October 12, 2021 Grant)</w:t>
        <w:tab/>
        <w:t>Page 3</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3" w:lineRule="exact"/>
        <w:rPr>
          <w:sz w:val="20"/>
          <w:szCs w:val="20"/>
          <w:color w:val="auto"/>
        </w:rPr>
      </w:pPr>
    </w:p>
    <w:p>
      <w:pPr>
        <w:jc w:val="both"/>
        <w:ind w:firstLine="656"/>
        <w:spacing w:after="0" w:line="222" w:lineRule="auto"/>
        <w:tabs>
          <w:tab w:leader="none" w:pos="109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06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87" w:lineRule="exact"/>
        <w:rPr>
          <w:rFonts w:ascii="Times New Roman" w:cs="Times New Roman" w:eastAsia="Times New Roman" w:hAnsi="Times New Roman"/>
          <w:sz w:val="20"/>
          <w:szCs w:val="20"/>
          <w:color w:val="auto"/>
        </w:rPr>
      </w:pPr>
    </w:p>
    <w:p>
      <w:pPr>
        <w:jc w:val="both"/>
        <w:ind w:firstLine="656"/>
        <w:spacing w:after="0" w:line="225" w:lineRule="auto"/>
        <w:tabs>
          <w:tab w:leader="none" w:pos="1071"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 of the Code</w:t>
      </w:r>
      <w:r>
        <w:rPr>
          <w:rFonts w:ascii="Times New Roman" w:cs="Times New Roman" w:eastAsia="Times New Roman" w:hAnsi="Times New Roman"/>
          <w:sz w:val="19"/>
          <w:szCs w:val="19"/>
          <w:color w:val="auto"/>
        </w:rPr>
        <w:t>. Except to the extent Participant has elected to defer the Units pursuant to the terms of the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w:t>
      </w:r>
    </w:p>
    <w:p>
      <w:pPr>
        <w:spacing w:after="0" w:line="1" w:lineRule="exact"/>
        <w:rPr>
          <w:rFonts w:ascii="Times New Roman" w:cs="Times New Roman" w:eastAsia="Times New Roman" w:hAnsi="Times New Roman"/>
          <w:sz w:val="19"/>
          <w:szCs w:val="19"/>
          <w:color w:val="auto"/>
        </w:rPr>
      </w:pPr>
    </w:p>
    <w:p>
      <w:pPr>
        <w:ind w:left="160" w:hanging="152"/>
        <w:spacing w:after="0"/>
        <w:tabs>
          <w:tab w:leader="none" w:pos="1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1.409A-l(b)(4).</w:t>
      </w:r>
    </w:p>
    <w:p>
      <w:pPr>
        <w:spacing w:after="0" w:line="193" w:lineRule="exact"/>
        <w:rPr>
          <w:rFonts w:ascii="Times New Roman" w:cs="Times New Roman" w:eastAsia="Times New Roman" w:hAnsi="Times New Roman"/>
          <w:sz w:val="20"/>
          <w:szCs w:val="20"/>
          <w:color w:val="auto"/>
        </w:rPr>
      </w:pPr>
    </w:p>
    <w:p>
      <w:pPr>
        <w:jc w:val="both"/>
        <w:ind w:firstLine="656"/>
        <w:spacing w:after="0" w:line="222" w:lineRule="auto"/>
        <w:tabs>
          <w:tab w:leader="none" w:pos="109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7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6"/>
          <w:szCs w:val="16"/>
          <w:color w:val="auto"/>
        </w:rPr>
        <w:t>RSU Agreement – Non-Employee Directors (2019 Plan – October 12, 2021 Grant)</w:t>
        <w:tab/>
        <w:t>Page 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10r.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(Non-Employee Director)</w:t>
      </w:r>
    </w:p>
    <w:p>
      <w:pPr>
        <w:spacing w:after="0" w:line="260" w:lineRule="exact"/>
        <w:rPr>
          <w:sz w:val="20"/>
          <w:szCs w:val="20"/>
          <w:color w:val="auto"/>
        </w:rPr>
      </w:pPr>
    </w:p>
    <w:p>
      <w:pPr>
        <w:ind w:firstLine="322"/>
        <w:spacing w:after="0" w:line="227" w:lineRule="auto"/>
        <w:rPr>
          <w:sz w:val="20"/>
          <w:szCs w:val="20"/>
          <w:color w:val="auto"/>
        </w:rPr>
      </w:pPr>
      <w:r>
        <w:rPr>
          <w:rFonts w:ascii="Times New Roman" w:cs="Times New Roman" w:eastAsia="Times New Roman" w:hAnsi="Times New Roman"/>
          <w:sz w:val="19"/>
          <w:szCs w:val="19"/>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w:t>
      </w:r>
    </w:p>
    <w:p>
      <w:pPr>
        <w:spacing w:after="0" w:line="211" w:lineRule="auto"/>
        <w:rPr>
          <w:sz w:val="20"/>
          <w:szCs w:val="20"/>
          <w:color w:val="auto"/>
        </w:rPr>
      </w:pPr>
      <w:r>
        <w:rPr>
          <w:rFonts w:ascii="Times New Roman" w:cs="Times New Roman" w:eastAsia="Times New Roman" w:hAnsi="Times New Roman"/>
          <w:sz w:val="20"/>
          <w:szCs w:val="20"/>
          <w:color w:val="auto"/>
        </w:rPr>
        <w:t>Award Agreement (the “Agreement”), consisting of this cover page and the Terms and Conditions on the following pages, and in the Plan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document, a copy of which has been made available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157720" cy="7200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157720" cy="72009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of Participant: _______________________</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Number of Restricted Stock Units: _______</w:t>
      </w:r>
    </w:p>
    <w:p>
      <w:pPr>
        <w:spacing w:after="0" w:line="40"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20"/>
          <w:szCs w:val="20"/>
          <w:color w:val="auto"/>
        </w:rPr>
        <w:t>Grant Date:</w:t>
      </w:r>
      <w:r>
        <w:rPr>
          <w:sz w:val="20"/>
          <w:szCs w:val="20"/>
          <w:color w:val="auto"/>
        </w:rPr>
        <w:tab/>
      </w:r>
      <w:r>
        <w:rPr>
          <w:rFonts w:ascii="Times New Roman" w:cs="Times New Roman" w:eastAsia="Times New Roman" w:hAnsi="Times New Roman"/>
          <w:sz w:val="19"/>
          <w:szCs w:val="19"/>
          <w:color w:val="auto"/>
        </w:rPr>
        <w:t>October 11, 2022</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Scheduled Vesting Date: October 11, 2023</w:t>
      </w:r>
    </w:p>
    <w:p>
      <w:pPr>
        <w:spacing w:after="0" w:line="36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By logging into and accepting this Agreement through your account with E*TRADE, you acknowledge and agree (A) to be bound by all of the terms and conditions contained in this Agreement and in the Plan document and (B) that you have received and reviewed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34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 (Non-Employee Director)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83" w:lineRule="exact"/>
        <w:rPr>
          <w:sz w:val="20"/>
          <w:szCs w:val="20"/>
          <w:color w:val="auto"/>
        </w:rPr>
      </w:pPr>
    </w:p>
    <w:p>
      <w:pPr>
        <w:ind w:right="20" w:firstLine="8"/>
        <w:spacing w:after="0" w:line="263" w:lineRule="auto"/>
        <w:tabs>
          <w:tab w:leader="none" w:pos="34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this Agreement and the 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61" w:lineRule="exact"/>
        <w:rPr>
          <w:rFonts w:ascii="Times New Roman" w:cs="Times New Roman" w:eastAsia="Times New Roman" w:hAnsi="Times New Roman"/>
          <w:sz w:val="20"/>
          <w:szCs w:val="20"/>
          <w:color w:val="auto"/>
        </w:rPr>
      </w:pPr>
    </w:p>
    <w:p>
      <w:pPr>
        <w:jc w:val="both"/>
        <w:ind w:firstLine="8"/>
        <w:spacing w:after="0" w:line="228" w:lineRule="auto"/>
        <w:tabs>
          <w:tab w:leader="none" w:pos="36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Applicable to Units</w:t>
      </w:r>
      <w:r>
        <w:rPr>
          <w:rFonts w:ascii="Times New Roman" w:cs="Times New Roman" w:eastAsia="Times New Roman" w:hAnsi="Times New Roman"/>
          <w:sz w:val="19"/>
          <w:szCs w:val="19"/>
          <w:color w:val="auto"/>
        </w:rPr>
        <w:t>. Neither this Award nor the Units subject to this Award may be sold, assigned, transferred, exchanged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2 shall be void and without effect. The Units and your right to receive Shares in settlement of the Units under this Agreement shall be subject to forfeiture as provided in Section 5 until satisfaction of the vesting conditions set forth in Section 4.</w:t>
      </w:r>
    </w:p>
    <w:p>
      <w:pPr>
        <w:spacing w:after="0" w:line="185" w:lineRule="exact"/>
        <w:rPr>
          <w:rFonts w:ascii="Times New Roman" w:cs="Times New Roman" w:eastAsia="Times New Roman" w:hAnsi="Times New Roman"/>
          <w:sz w:val="19"/>
          <w:szCs w:val="19"/>
          <w:color w:val="auto"/>
        </w:rPr>
      </w:pPr>
    </w:p>
    <w:p>
      <w:pPr>
        <w:jc w:val="both"/>
        <w:ind w:firstLine="8"/>
        <w:spacing w:after="0" w:line="227" w:lineRule="auto"/>
        <w:tabs>
          <w:tab w:leader="none" w:pos="37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the grant of Units subject to this Agreement unless and until Shares are issued to you upon settlement of the Units as provided in Section 6.</w:t>
      </w:r>
    </w:p>
    <w:p>
      <w:pPr>
        <w:spacing w:after="0" w:line="157" w:lineRule="exact"/>
        <w:rPr>
          <w:rFonts w:ascii="Times New Roman" w:cs="Times New Roman" w:eastAsia="Times New Roman" w:hAnsi="Times New Roman"/>
          <w:sz w:val="20"/>
          <w:szCs w:val="20"/>
          <w:color w:val="auto"/>
        </w:rPr>
      </w:pPr>
    </w:p>
    <w:p>
      <w:pPr>
        <w:jc w:val="both"/>
        <w:ind w:firstLine="8"/>
        <w:spacing w:after="0" w:line="223" w:lineRule="auto"/>
        <w:tabs>
          <w:tab w:leader="none" w:pos="34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color w:val="auto"/>
        </w:rPr>
        <w:t>. For purposes of this Agreement, “Vesting Date” means any date, including the Scheduled Vesting Date specified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 page of this Agreement, on which Units subject to this Agreement vest as provided in this Section 4. Notwithstanding the vesting and subsequent settlement of this Award, the Award and any Share issuances or payments made hereunder shall remain subject to the provisions of Section 16(i) of the Plan.</w:t>
      </w:r>
    </w:p>
    <w:p>
      <w:pPr>
        <w:spacing w:after="0" w:line="175"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If you remain a Service Provider continuously from the Grant Date specified on the cover page of this Agreement, then the Units will vest on the Scheduled Vesting Date.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The vesting of outstanding Units will be accelerated under the circumstances provided below:</w:t>
      </w:r>
    </w:p>
    <w:p>
      <w:pPr>
        <w:spacing w:after="0" w:line="198" w:lineRule="exact"/>
        <w:rPr>
          <w:rFonts w:ascii="Times New Roman" w:cs="Times New Roman" w:eastAsia="Times New Roman" w:hAnsi="Times New Roman"/>
          <w:sz w:val="20"/>
          <w:szCs w:val="20"/>
          <w:color w:val="auto"/>
        </w:rPr>
      </w:pPr>
    </w:p>
    <w:p>
      <w:pPr>
        <w:ind w:left="660" w:firstLine="644"/>
        <w:spacing w:after="0" w:line="245" w:lineRule="auto"/>
        <w:tabs>
          <w:tab w:leader="none" w:pos="1944"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 or Disability</w:t>
      </w:r>
      <w:r>
        <w:rPr>
          <w:rFonts w:ascii="Times New Roman" w:cs="Times New Roman" w:eastAsia="Times New Roman" w:hAnsi="Times New Roman"/>
          <w:sz w:val="20"/>
          <w:szCs w:val="20"/>
          <w:color w:val="auto"/>
        </w:rPr>
        <w:t>. If your Service terminates prior to the Scheduled Vesting Date due to your death or Disability,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then all of the unvested Units shall vest as of such termination date.</w:t>
      </w:r>
    </w:p>
    <w:p>
      <w:pPr>
        <w:spacing w:after="0" w:line="178" w:lineRule="exact"/>
        <w:rPr>
          <w:rFonts w:ascii="Times New Roman" w:cs="Times New Roman" w:eastAsia="Times New Roman" w:hAnsi="Times New Roman"/>
          <w:sz w:val="20"/>
          <w:szCs w:val="20"/>
          <w:color w:val="auto"/>
        </w:rPr>
      </w:pPr>
    </w:p>
    <w:p>
      <w:pPr>
        <w:ind w:left="660" w:firstLine="644"/>
        <w:spacing w:after="0" w:line="235" w:lineRule="auto"/>
        <w:tabs>
          <w:tab w:leader="none" w:pos="1944"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If a Change in Control occurs while your Service continues and prior to the Scheduled Vesting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then all of the unvested Units shall vest as of the date of the consummation of such Change in Control.</w:t>
      </w:r>
    </w:p>
    <w:p>
      <w:pPr>
        <w:spacing w:after="0" w:line="184" w:lineRule="exact"/>
        <w:rPr>
          <w:rFonts w:ascii="Times New Roman" w:cs="Times New Roman" w:eastAsia="Times New Roman" w:hAnsi="Times New Roman"/>
          <w:sz w:val="20"/>
          <w:szCs w:val="20"/>
          <w:color w:val="auto"/>
        </w:rPr>
      </w:pPr>
    </w:p>
    <w:p>
      <w:pPr>
        <w:ind w:right="20" w:firstLine="8"/>
        <w:spacing w:after="0" w:line="245" w:lineRule="auto"/>
        <w:tabs>
          <w:tab w:leader="none" w:pos="37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Forfeiture</w:t>
      </w:r>
      <w:r>
        <w:rPr>
          <w:rFonts w:ascii="Times New Roman" w:cs="Times New Roman" w:eastAsia="Times New Roman" w:hAnsi="Times New Roman"/>
          <w:sz w:val="20"/>
          <w:szCs w:val="20"/>
          <w:color w:val="auto"/>
        </w:rPr>
        <w:t>. Except as otherwise provided in accordance with Section 4 above, if you cease to be a Service Provider, you will forfeit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unvested Units.</w:t>
      </w:r>
    </w:p>
    <w:p>
      <w:pPr>
        <w:spacing w:after="0" w:line="16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Units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6"/>
          <w:szCs w:val="16"/>
          <w:color w:val="auto"/>
        </w:rPr>
        <w:t>RSU Agreement – Non-Employee Directors (2019 Plan – October 11, 2022 Grant)</w:t>
        <w:tab/>
        <w:t>Page 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203" w:lineRule="exact"/>
        <w:rPr>
          <w:sz w:val="20"/>
          <w:szCs w:val="20"/>
          <w:color w:val="auto"/>
        </w:rPr>
      </w:pPr>
    </w:p>
    <w:p>
      <w:pPr>
        <w:jc w:val="both"/>
        <w:ind w:firstLine="656"/>
        <w:spacing w:after="0" w:line="207" w:lineRule="auto"/>
        <w:tabs>
          <w:tab w:leader="none" w:pos="128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you have elected to defer settlement of the Units, after any Units vest pursuant to Section 4, the Company shall, as soon as practicable (but no later than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6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have elected to defer the settlement of the Units (“Deferred Units”) pursuant to the terms of the Plan, after any Deferred Units vest pursuant to Section 4 the settlement of such Deferred Units shall be governed by the terms of the Plan and your related deferral election.</w:t>
      </w:r>
    </w:p>
    <w:p>
      <w:pPr>
        <w:spacing w:after="0" w:line="183" w:lineRule="exact"/>
        <w:rPr>
          <w:rFonts w:ascii="Times New Roman" w:cs="Times New Roman" w:eastAsia="Times New Roman" w:hAnsi="Times New Roman"/>
          <w:sz w:val="20"/>
          <w:szCs w:val="20"/>
          <w:color w:val="auto"/>
        </w:rPr>
      </w:pPr>
    </w:p>
    <w:p>
      <w:pPr>
        <w:jc w:val="both"/>
        <w:ind w:firstLine="8"/>
        <w:spacing w:after="0" w:line="213" w:lineRule="auto"/>
        <w:tabs>
          <w:tab w:leader="none" w:pos="4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If the Company pays cash dividends on its Shares while any Units subject to this Agreement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the Company shall credit, as of each 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4 and 6 of this Agreement. No interest shall accrue on any unpaid dividend equivalents. Any dividend equivalents accrued on Units that are forfeited in accordance with this Agreement shall also be forfeited.</w:t>
      </w:r>
    </w:p>
    <w:p>
      <w:pPr>
        <w:spacing w:after="0" w:line="189" w:lineRule="exact"/>
        <w:rPr>
          <w:rFonts w:ascii="Times New Roman" w:cs="Times New Roman" w:eastAsia="Times New Roman" w:hAnsi="Times New Roman"/>
          <w:sz w:val="20"/>
          <w:szCs w:val="20"/>
          <w:color w:val="auto"/>
        </w:rPr>
      </w:pPr>
    </w:p>
    <w:p>
      <w:pPr>
        <w:ind w:firstLine="8"/>
        <w:spacing w:after="0" w:line="245" w:lineRule="auto"/>
        <w:tabs>
          <w:tab w:leader="none" w:pos="37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w:t>
      </w:r>
      <w:r>
        <w:rPr>
          <w:rFonts w:ascii="Times New Roman" w:cs="Times New Roman" w:eastAsia="Times New Roman" w:hAnsi="Times New Roman"/>
          <w:sz w:val="20"/>
          <w:szCs w:val="20"/>
          <w:color w:val="auto"/>
        </w:rPr>
        <w:t>. No Shares will be delivered to you in settlement of vested Units unless you have made arrangements acceptable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for payment of any federal, state, local or foreign taxes that may be due as a result of the delivery of the Shares.</w:t>
      </w:r>
    </w:p>
    <w:p>
      <w:pPr>
        <w:spacing w:after="0" w:line="137" w:lineRule="exact"/>
        <w:rPr>
          <w:rFonts w:ascii="Times New Roman" w:cs="Times New Roman" w:eastAsia="Times New Roman" w:hAnsi="Times New Roman"/>
          <w:sz w:val="20"/>
          <w:szCs w:val="20"/>
          <w:color w:val="auto"/>
        </w:rPr>
      </w:pPr>
    </w:p>
    <w:p>
      <w:pPr>
        <w:jc w:val="both"/>
        <w:ind w:firstLine="8"/>
        <w:spacing w:after="0" w:line="216" w:lineRule="auto"/>
        <w:tabs>
          <w:tab w:leader="none" w:pos="48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Director, emailed to you at the address indicated in the Company's records as your most recent mailing or email address.</w:t>
      </w:r>
    </w:p>
    <w:p>
      <w:pPr>
        <w:spacing w:after="0" w:line="157"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16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87" w:lineRule="exact"/>
        <w:rPr>
          <w:rFonts w:ascii="Times New Roman" w:cs="Times New Roman" w:eastAsia="Times New Roman" w:hAnsi="Times New Roman"/>
          <w:sz w:val="20"/>
          <w:szCs w:val="20"/>
          <w:color w:val="auto"/>
        </w:rPr>
      </w:pPr>
    </w:p>
    <w:p>
      <w:pPr>
        <w:ind w:firstLine="656"/>
        <w:spacing w:after="0" w:line="233" w:lineRule="auto"/>
        <w:tabs>
          <w:tab w:leader="none" w:pos="107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6"/>
          <w:szCs w:val="16"/>
          <w:color w:val="auto"/>
        </w:rPr>
        <w:t>RSU Agreement – Non-Employee Directors (2019 Plan – October 11, 2022 Grant)</w:t>
        <w:tab/>
        <w:t>Page 3</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3" w:lineRule="exact"/>
        <w:rPr>
          <w:sz w:val="20"/>
          <w:szCs w:val="20"/>
          <w:color w:val="auto"/>
        </w:rPr>
      </w:pPr>
    </w:p>
    <w:p>
      <w:pPr>
        <w:jc w:val="both"/>
        <w:ind w:firstLine="656"/>
        <w:spacing w:after="0" w:line="222" w:lineRule="auto"/>
        <w:tabs>
          <w:tab w:leader="none" w:pos="109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06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87" w:lineRule="exact"/>
        <w:rPr>
          <w:rFonts w:ascii="Times New Roman" w:cs="Times New Roman" w:eastAsia="Times New Roman" w:hAnsi="Times New Roman"/>
          <w:sz w:val="20"/>
          <w:szCs w:val="20"/>
          <w:color w:val="auto"/>
        </w:rPr>
      </w:pPr>
    </w:p>
    <w:p>
      <w:pPr>
        <w:jc w:val="both"/>
        <w:ind w:firstLine="656"/>
        <w:spacing w:after="0" w:line="225" w:lineRule="auto"/>
        <w:tabs>
          <w:tab w:leader="none" w:pos="1071"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 of the Code</w:t>
      </w:r>
      <w:r>
        <w:rPr>
          <w:rFonts w:ascii="Times New Roman" w:cs="Times New Roman" w:eastAsia="Times New Roman" w:hAnsi="Times New Roman"/>
          <w:sz w:val="19"/>
          <w:szCs w:val="19"/>
          <w:color w:val="auto"/>
        </w:rPr>
        <w:t>. Except to the extent Participant has elected to defer the Units pursuant to the terms of the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w:t>
      </w:r>
    </w:p>
    <w:p>
      <w:pPr>
        <w:spacing w:after="0" w:line="1" w:lineRule="exact"/>
        <w:rPr>
          <w:rFonts w:ascii="Times New Roman" w:cs="Times New Roman" w:eastAsia="Times New Roman" w:hAnsi="Times New Roman"/>
          <w:sz w:val="19"/>
          <w:szCs w:val="19"/>
          <w:color w:val="auto"/>
        </w:rPr>
      </w:pPr>
    </w:p>
    <w:p>
      <w:pPr>
        <w:ind w:left="160" w:hanging="152"/>
        <w:spacing w:after="0"/>
        <w:tabs>
          <w:tab w:leader="none" w:pos="1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1.409A-l(b)(4).</w:t>
      </w:r>
    </w:p>
    <w:p>
      <w:pPr>
        <w:spacing w:after="0" w:line="193" w:lineRule="exact"/>
        <w:rPr>
          <w:rFonts w:ascii="Times New Roman" w:cs="Times New Roman" w:eastAsia="Times New Roman" w:hAnsi="Times New Roman"/>
          <w:sz w:val="20"/>
          <w:szCs w:val="20"/>
          <w:color w:val="auto"/>
        </w:rPr>
      </w:pPr>
    </w:p>
    <w:p>
      <w:pPr>
        <w:jc w:val="both"/>
        <w:ind w:firstLine="656"/>
        <w:spacing w:after="0" w:line="222" w:lineRule="auto"/>
        <w:tabs>
          <w:tab w:leader="none" w:pos="109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7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6"/>
          <w:szCs w:val="16"/>
          <w:color w:val="auto"/>
        </w:rPr>
        <w:t>RSU Agreement – Non-Employee Directors (2019 Plan – October 11, 2022 Grant)</w:t>
        <w:tab/>
        <w:t>Page 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US.134719690.02</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10y.</w:t>
      </w:r>
    </w:p>
    <w:p>
      <w:pPr>
        <w:jc w:val="right"/>
        <w:spacing w:after="0"/>
        <w:rPr>
          <w:sz w:val="20"/>
          <w:szCs w:val="20"/>
          <w:color w:val="auto"/>
        </w:rPr>
      </w:pPr>
      <w:r>
        <w:rPr>
          <w:rFonts w:ascii="Times New Roman" w:cs="Times New Roman" w:eastAsia="Times New Roman" w:hAnsi="Times New Roman"/>
          <w:sz w:val="22"/>
          <w:szCs w:val="22"/>
          <w:b w:val="1"/>
          <w:bCs w:val="1"/>
          <w:color w:val="auto"/>
        </w:rPr>
        <w:t>FY23-FY25 LTIP/PSU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 Agreement</w:t>
      </w:r>
    </w:p>
    <w:p>
      <w:pPr>
        <w:spacing w:after="0" w:line="22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Winnebago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its 2019 Omnibus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hereby grants an award of Performance Stock Units to you, the Participant named below. The terms and conditions of this Award are set forth in this Performance Stock</w:t>
      </w:r>
    </w:p>
    <w:p>
      <w:pPr>
        <w:spacing w:after="0" w:line="222" w:lineRule="auto"/>
        <w:rPr>
          <w:sz w:val="20"/>
          <w:szCs w:val="20"/>
          <w:color w:val="auto"/>
        </w:rPr>
      </w:pPr>
      <w:r>
        <w:rPr>
          <w:rFonts w:ascii="Times New Roman" w:cs="Times New Roman" w:eastAsia="Times New Roman" w:hAnsi="Times New Roman"/>
          <w:sz w:val="19"/>
          <w:szCs w:val="19"/>
          <w:color w:val="auto"/>
        </w:rPr>
        <w:t>Unit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consisting of this cover page, the Terms and Conditions on the following pages and the attached Exhibit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1, the Confidentiality, Intellectual Property Assignment, Non-Competition and Non-Solicitation Agreement, attached hereto as Exhibit 2, and in the Plan document, a copy of which has been provided to you. Any capitalized term that is used but not defined in this Agreement shall</w:t>
      </w:r>
    </w:p>
    <w:p>
      <w:pPr>
        <w:spacing w:after="0"/>
        <w:rPr>
          <w:sz w:val="20"/>
          <w:szCs w:val="20"/>
          <w:color w:val="auto"/>
        </w:rPr>
      </w:pPr>
      <w:r>
        <w:rPr>
          <w:rFonts w:ascii="Times New Roman" w:cs="Times New Roman" w:eastAsia="Times New Roman" w:hAnsi="Times New Roman"/>
          <w:sz w:val="20"/>
          <w:szCs w:val="20"/>
          <w:color w:val="auto"/>
        </w:rPr>
        <w:t>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154305</wp:posOffset>
            </wp:positionV>
            <wp:extent cx="7098030" cy="2117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098030" cy="2117725"/>
                    </a:xfrm>
                    <a:prstGeom prst="rect">
                      <a:avLst/>
                    </a:prstGeom>
                    <a:noFill/>
                  </pic:spPr>
                </pic:pic>
              </a:graphicData>
            </a:graphic>
          </wp:anchor>
        </w:drawing>
      </w: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Name of Participant:</w:t>
            </w:r>
          </w:p>
        </w:tc>
        <w:tc>
          <w:tcPr>
            <w:tcW w:w="7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Target Number of Performance Stock Units:</w:t>
            </w:r>
          </w:p>
        </w:tc>
        <w:tc>
          <w:tcPr>
            <w:tcW w:w="7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Maximum Number of Performance Stock</w:t>
            </w:r>
          </w:p>
        </w:tc>
        <w:tc>
          <w:tcPr>
            <w:tcW w:w="7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Units:</w:t>
            </w:r>
          </w:p>
        </w:tc>
        <w:tc>
          <w:tcPr>
            <w:tcW w:w="7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October 11, 2022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7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Performance Period:</w:t>
            </w:r>
          </w:p>
        </w:tc>
        <w:tc>
          <w:tcPr>
            <w:tcW w:w="73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w w:val="98"/>
              </w:rPr>
              <w:t>August 28, 2022 – August 30, 2025, which may include one or more periods of time within</w:t>
            </w:r>
          </w:p>
        </w:tc>
        <w:tc>
          <w:tcPr>
            <w:tcW w:w="0" w:type="dxa"/>
            <w:vAlign w:val="bottom"/>
          </w:tcPr>
          <w:p>
            <w:pPr>
              <w:spacing w:after="0"/>
              <w:rPr>
                <w:sz w:val="1"/>
                <w:szCs w:val="1"/>
                <w:color w:val="auto"/>
              </w:rPr>
            </w:pPr>
          </w:p>
        </w:tc>
      </w:tr>
      <w:tr>
        <w:trPr>
          <w:trHeight w:val="258"/>
        </w:trPr>
        <w:tc>
          <w:tcPr>
            <w:tcW w:w="3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7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such Performance Period (each, a “Sub-Performance Period”)</w:t>
            </w:r>
          </w:p>
        </w:tc>
        <w:tc>
          <w:tcPr>
            <w:tcW w:w="0" w:type="dxa"/>
            <w:vAlign w:val="bottom"/>
          </w:tcPr>
          <w:p>
            <w:pPr>
              <w:spacing w:after="0"/>
              <w:rPr>
                <w:sz w:val="1"/>
                <w:szCs w:val="1"/>
                <w:color w:val="auto"/>
              </w:rPr>
            </w:pPr>
          </w:p>
        </w:tc>
      </w:tr>
      <w:tr>
        <w:trPr>
          <w:trHeight w:val="243"/>
        </w:trPr>
        <w:tc>
          <w:tcPr>
            <w:tcW w:w="3600" w:type="dxa"/>
            <w:vAlign w:val="bottom"/>
            <w:vMerge w:val="continue"/>
          </w:tcPr>
          <w:p>
            <w:pPr>
              <w:spacing w:after="0"/>
              <w:rPr>
                <w:sz w:val="21"/>
                <w:szCs w:val="21"/>
                <w:color w:val="auto"/>
              </w:rPr>
            </w:pPr>
          </w:p>
        </w:tc>
        <w:tc>
          <w:tcPr>
            <w:tcW w:w="73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The number of Units determined in accordance with Exhibit 1 to have been earned as of</w:t>
            </w:r>
          </w:p>
        </w:tc>
        <w:tc>
          <w:tcPr>
            <w:tcW w:w="0" w:type="dxa"/>
            <w:vAlign w:val="bottom"/>
          </w:tcPr>
          <w:p>
            <w:pPr>
              <w:spacing w:after="0"/>
              <w:rPr>
                <w:sz w:val="1"/>
                <w:szCs w:val="1"/>
                <w:color w:val="auto"/>
              </w:rPr>
            </w:pPr>
          </w:p>
        </w:tc>
      </w:tr>
      <w:tr>
        <w:trPr>
          <w:trHeight w:val="52"/>
        </w:trPr>
        <w:tc>
          <w:tcPr>
            <w:tcW w:w="3600" w:type="dxa"/>
            <w:vAlign w:val="bottom"/>
          </w:tcPr>
          <w:p>
            <w:pPr>
              <w:spacing w:after="0"/>
              <w:rPr>
                <w:sz w:val="4"/>
                <w:szCs w:val="4"/>
                <w:color w:val="auto"/>
              </w:rPr>
            </w:pPr>
          </w:p>
        </w:tc>
        <w:tc>
          <w:tcPr>
            <w:tcW w:w="7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73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w w:val="99"/>
              </w:rPr>
              <w:t>the end of the Performance Period will vest* on the date the Company’s Human Resources</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736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Committee certifies such performance results, which shall be no later than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2"/>
                <w:szCs w:val="22"/>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third calendar month following the end of the Performance Period.</w:t>
            </w:r>
          </w:p>
        </w:tc>
        <w:tc>
          <w:tcPr>
            <w:tcW w:w="0" w:type="dxa"/>
            <w:vAlign w:val="bottom"/>
          </w:tcPr>
          <w:p>
            <w:pPr>
              <w:spacing w:after="0"/>
              <w:rPr>
                <w:sz w:val="1"/>
                <w:szCs w:val="1"/>
                <w:color w:val="auto"/>
              </w:rPr>
            </w:pPr>
          </w:p>
        </w:tc>
      </w:tr>
      <w:tr>
        <w:trPr>
          <w:trHeight w:val="355"/>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Goals:</w:t>
            </w:r>
          </w:p>
        </w:tc>
        <w:tc>
          <w:tcPr>
            <w:tcW w:w="7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See Exhibit 1</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Assumes your Service has been continuous from the Grant Date to the vesting date.</w:t>
      </w: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By logging into and accepting this Agreement through your account with E*TRADE, you acknowledge and agree (A) to be bound by</w:t>
      </w:r>
    </w:p>
    <w:p>
      <w:pPr>
        <w:spacing w:after="0" w:line="5"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all of the terms and conditions of this Agreement (including Exhibit 2) and in the Plan document and (B) that you have received and reviewed these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86" w:right="339" w:bottom="1440" w:gutter="0" w:footer="0" w:header="0"/>
        </w:sectPr>
      </w:pPr>
    </w:p>
    <w:bookmarkStart w:id="117" w:name="page118"/>
    <w:bookmarkEnd w:id="117"/>
    <w:p>
      <w:pPr>
        <w:ind w:left="410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29" w:lineRule="exact"/>
        <w:rPr>
          <w:sz w:val="20"/>
          <w:szCs w:val="20"/>
          <w:color w:val="auto"/>
        </w:rPr>
      </w:pPr>
    </w:p>
    <w:p>
      <w:pPr>
        <w:ind w:right="380" w:firstLine="8"/>
        <w:spacing w:after="0" w:line="301" w:lineRule="auto"/>
        <w:tabs>
          <w:tab w:leader="none" w:pos="3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 the definitions of terms contained in the Plan hereby are incorporated by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any such term is specifically defined in this Agreement.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forth in your change in control agreement, if applicable.</w:t>
      </w:r>
    </w:p>
    <w:p>
      <w:pPr>
        <w:spacing w:after="0" w:line="202" w:lineRule="exact"/>
        <w:rPr>
          <w:sz w:val="20"/>
          <w:szCs w:val="20"/>
          <w:color w:val="auto"/>
        </w:rPr>
      </w:pPr>
    </w:p>
    <w:p>
      <w:pPr>
        <w:jc w:val="both"/>
        <w:ind w:firstLine="8"/>
        <w:spacing w:after="0" w:line="213" w:lineRule="auto"/>
        <w:tabs>
          <w:tab w:leader="none" w:pos="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of Performance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this Agreement (including Exhibit 2)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Exhibit 1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186" w:lineRule="exact"/>
        <w:rPr>
          <w:rFonts w:ascii="Times New Roman" w:cs="Times New Roman" w:eastAsia="Times New Roman" w:hAnsi="Times New Roman"/>
          <w:sz w:val="20"/>
          <w:szCs w:val="20"/>
          <w:color w:val="auto"/>
        </w:rPr>
      </w:pPr>
    </w:p>
    <w:p>
      <w:pPr>
        <w:jc w:val="both"/>
        <w:ind w:firstLine="8"/>
        <w:spacing w:after="0" w:line="228" w:lineRule="auto"/>
        <w:tabs>
          <w:tab w:leader="none" w:pos="36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Applicable to Units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Neither this Award nor the Units subject to this Award may be sold, assigned, transferred, exchanged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85" w:lineRule="exact"/>
        <w:rPr>
          <w:rFonts w:ascii="Times New Roman" w:cs="Times New Roman" w:eastAsia="Times New Roman" w:hAnsi="Times New Roman"/>
          <w:sz w:val="19"/>
          <w:szCs w:val="19"/>
          <w:color w:val="auto"/>
        </w:rPr>
      </w:pPr>
    </w:p>
    <w:p>
      <w:pPr>
        <w:jc w:val="both"/>
        <w:ind w:firstLine="8"/>
        <w:spacing w:after="0" w:line="227" w:lineRule="auto"/>
        <w:tabs>
          <w:tab w:leader="none" w:pos="37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any Units granted or earned pursuant to this Agreement unless and until Shares are issued to you in settlement of earned and vested Units as provided in Section 6.</w:t>
      </w:r>
    </w:p>
    <w:p>
      <w:pPr>
        <w:spacing w:after="0" w:line="184" w:lineRule="exact"/>
        <w:rPr>
          <w:rFonts w:ascii="Times New Roman" w:cs="Times New Roman" w:eastAsia="Times New Roman" w:hAnsi="Times New Roman"/>
          <w:sz w:val="20"/>
          <w:szCs w:val="20"/>
          <w:color w:val="auto"/>
        </w:rPr>
      </w:pPr>
    </w:p>
    <w:p>
      <w:pPr>
        <w:jc w:val="both"/>
        <w:ind w:firstLine="8"/>
        <w:spacing w:after="0" w:line="227" w:lineRule="auto"/>
        <w:tabs>
          <w:tab w:leader="none" w:pos="34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and Forfeiture of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 “Vesting Date” means any date, including the Scheduled Vesting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below), on which Units subject to this Agreement vest as provided in this Section 5. Subject in all cases to Section 16(i) of the Plan, the Units shall vest at the earliest of the following times and to the degree specified.</w:t>
      </w:r>
    </w:p>
    <w:p>
      <w:pPr>
        <w:spacing w:after="0" w:line="188" w:lineRule="exact"/>
        <w:rPr>
          <w:rFonts w:ascii="Times New Roman" w:cs="Times New Roman" w:eastAsia="Times New Roman" w:hAnsi="Times New Roman"/>
          <w:sz w:val="20"/>
          <w:szCs w:val="20"/>
          <w:color w:val="auto"/>
        </w:rPr>
      </w:pPr>
    </w:p>
    <w:p>
      <w:pPr>
        <w:jc w:val="both"/>
        <w:ind w:firstLine="656"/>
        <w:spacing w:after="0" w:line="216" w:lineRule="auto"/>
        <w:tabs>
          <w:tab w:leader="none" w:pos="106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The number of Units that have been earned during the Performance Period, as determined by the Committee in accordance with Exhibit 1, will vest on the Scheduled Vesting Date, so long as your Service has been continuous from the Grant Date to the Scheduled Vesting Date and you remain incompliance with the terms of Exhibit 2. For these purposes, the “Scheduled Vesting Date” means the date the Committee certifies (i) the degree to which the applicable performance goals for the Performance Period have been satisfied, and (ii) the number of Units that have been earned during the Performance Period as determined in accordance Exhibit 1, which certification shall occur no later than the 10th day of the third calendar month following the end of the Performance Period.</w:t>
      </w:r>
    </w:p>
    <w:p>
      <w:pPr>
        <w:spacing w:after="0" w:line="189" w:lineRule="exact"/>
        <w:rPr>
          <w:rFonts w:ascii="Times New Roman" w:cs="Times New Roman" w:eastAsia="Times New Roman" w:hAnsi="Times New Roman"/>
          <w:sz w:val="20"/>
          <w:szCs w:val="20"/>
          <w:color w:val="auto"/>
        </w:rPr>
      </w:pPr>
    </w:p>
    <w:p>
      <w:pPr>
        <w:jc w:val="both"/>
        <w:ind w:firstLine="656"/>
        <w:spacing w:after="0" w:line="226" w:lineRule="auto"/>
        <w:tabs>
          <w:tab w:leader="none" w:pos="110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your Service terminates by reason of your death or Disability prior to the Scheduled Vesting Date, then as of the date of your termination of Service, a number of Units shall vest determined as follows (i) the number of Units earned based on the actual level of performance for any Sub-</w:t>
      </w:r>
    </w:p>
    <w:p>
      <w:pPr>
        <w:spacing w:after="0" w:line="200" w:lineRule="exact"/>
        <w:rPr>
          <w:sz w:val="20"/>
          <w:szCs w:val="20"/>
          <w:color w:val="auto"/>
        </w:rPr>
      </w:pPr>
    </w:p>
    <w:p>
      <w:pPr>
        <w:spacing w:after="0" w:line="32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42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Performance Period that has concluded prior to your termination of Service, plus (ii) either (A) the Target Number of Performance Stock</w:t>
      </w:r>
    </w:p>
    <w:p>
      <w:pPr>
        <w:spacing w:after="0" w:line="204" w:lineRule="auto"/>
        <w:rPr>
          <w:sz w:val="20"/>
          <w:szCs w:val="20"/>
          <w:color w:val="auto"/>
        </w:rPr>
      </w:pPr>
      <w:r>
        <w:rPr>
          <w:rFonts w:ascii="Times New Roman" w:cs="Times New Roman" w:eastAsia="Times New Roman" w:hAnsi="Times New Roman"/>
          <w:sz w:val="20"/>
          <w:szCs w:val="20"/>
          <w:color w:val="auto"/>
        </w:rPr>
        <w:t>Units allocated to the Performance Period or any Sub-Performance Period that has not concluded prior to your termination of Service or (B) in the discretion of the Committee upon its determination of the actual level of performance (if determinable) through the date of your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 of Service, the number of Units specified by the Committee as having been earned based on such performance.</w:t>
      </w:r>
    </w:p>
    <w:p>
      <w:pPr>
        <w:spacing w:after="0" w:line="194" w:lineRule="exact"/>
        <w:rPr>
          <w:sz w:val="20"/>
          <w:szCs w:val="20"/>
          <w:color w:val="auto"/>
        </w:rPr>
      </w:pPr>
    </w:p>
    <w:p>
      <w:pPr>
        <w:jc w:val="both"/>
        <w:ind w:firstLine="656"/>
        <w:spacing w:after="0" w:line="226" w:lineRule="auto"/>
        <w:tabs>
          <w:tab w:leader="none" w:pos="107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If a Change in Control occurs after the Grant Date but before the Scheduled Vesting Date and your Service continues to the date of the Change in Control, the provisions of Section 12 of the Plan shall apply, including those providing for benefits upon termination of Service for Good Reason, subject to your continued compliance with Exhibit 2.</w:t>
      </w:r>
    </w:p>
    <w:p>
      <w:pPr>
        <w:spacing w:after="0" w:line="187" w:lineRule="exact"/>
        <w:rPr>
          <w:rFonts w:ascii="Times New Roman" w:cs="Times New Roman" w:eastAsia="Times New Roman" w:hAnsi="Times New Roman"/>
          <w:sz w:val="20"/>
          <w:szCs w:val="20"/>
          <w:color w:val="auto"/>
        </w:rPr>
      </w:pPr>
    </w:p>
    <w:p>
      <w:pPr>
        <w:jc w:val="both"/>
        <w:ind w:firstLine="656"/>
        <w:spacing w:after="0" w:line="214" w:lineRule="auto"/>
        <w:tabs>
          <w:tab w:leader="none" w:pos="109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If, due to Retirement, your Service terminates at least twelve (12) months after the Grant Date and prior to the end of the Performance Period, then your Units shall remain outstanding and eligible to vest on the Scheduled Vesting Date, and the number of Units vesting on the Scheduled Vesting Date will equal the number of Units that would have vested pursuant to this Agreement if your termination of Service had not occurred, subject to your continued compliance with Exhibit 2</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 entity prior to such entity becoming an Affiliate will not count towards your Service measurement</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0"/>
          <w:szCs w:val="20"/>
          <w:color w:val="auto"/>
        </w:rPr>
      </w:pPr>
    </w:p>
    <w:p>
      <w:pPr>
        <w:jc w:val="both"/>
        <w:ind w:firstLine="656"/>
        <w:spacing w:after="0" w:line="222" w:lineRule="auto"/>
        <w:tabs>
          <w:tab w:leader="none" w:pos="110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Unvested Units</w:t>
      </w:r>
      <w:r>
        <w:rPr>
          <w:rFonts w:ascii="Times New Roman" w:cs="Times New Roman" w:eastAsia="Times New Roman" w:hAnsi="Times New Roman"/>
          <w:sz w:val="20"/>
          <w:szCs w:val="20"/>
          <w:color w:val="auto"/>
        </w:rPr>
        <w:t>. To the extent any of Sections 5(a) through (d) is applicable to this Award, any Units that do not vest on the Vesting Date as provided therein shall immediately be forfeited. If your Service terminates prior to the Scheduled Vesting Date under circumstances other than as set forth in Sections 5(b) and 5(d), all unvested Units shall immediately be forfeited. Notwithstanding this forfeiture, you will continue to be subject to the terms and conditions of this Agreement, including Exhibit 2.</w:t>
      </w:r>
    </w:p>
    <w:p>
      <w:pPr>
        <w:spacing w:after="0" w:line="184" w:lineRule="exact"/>
        <w:rPr>
          <w:rFonts w:ascii="Times New Roman" w:cs="Times New Roman" w:eastAsia="Times New Roman" w:hAnsi="Times New Roman"/>
          <w:sz w:val="20"/>
          <w:szCs w:val="20"/>
          <w:color w:val="auto"/>
        </w:rPr>
      </w:pPr>
    </w:p>
    <w:p>
      <w:pPr>
        <w:jc w:val="both"/>
        <w:ind w:firstLine="8"/>
        <w:spacing w:after="0" w:line="217" w:lineRule="auto"/>
        <w:tabs>
          <w:tab w:leader="none" w:pos="346"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Units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soon as practicable after any date on which Units vest (but no later than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 of the third calendar month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90" w:lineRule="exact"/>
        <w:rPr>
          <w:rFonts w:ascii="Times New Roman" w:cs="Times New Roman" w:eastAsia="Times New Roman" w:hAnsi="Times New Roman"/>
          <w:sz w:val="19"/>
          <w:szCs w:val="19"/>
          <w:color w:val="auto"/>
        </w:rPr>
      </w:pPr>
    </w:p>
    <w:p>
      <w:pPr>
        <w:jc w:val="both"/>
        <w:ind w:firstLine="8"/>
        <w:spacing w:after="0" w:line="216" w:lineRule="auto"/>
        <w:tabs>
          <w:tab w:leader="none" w:pos="4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If the Company pays cash dividends on its Shares while any Units subject to this Agreement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on the date this Award vests pursuant 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184" w:lineRule="exact"/>
        <w:rPr>
          <w:rFonts w:ascii="Times New Roman" w:cs="Times New Roman" w:eastAsia="Times New Roman" w:hAnsi="Times New Roman"/>
          <w:sz w:val="20"/>
          <w:szCs w:val="20"/>
          <w:color w:val="auto"/>
        </w:rPr>
      </w:pPr>
    </w:p>
    <w:p>
      <w:pPr>
        <w:jc w:val="both"/>
        <w:ind w:firstLine="8"/>
        <w:spacing w:after="0" w:line="217" w:lineRule="auto"/>
        <w:tabs>
          <w:tab w:leader="none" w:pos="37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 and Withholding</w:t>
      </w:r>
      <w:r>
        <w:rPr>
          <w:rFonts w:ascii="Times New Roman" w:cs="Times New Roman" w:eastAsia="Times New Roman" w:hAnsi="Times New Roman"/>
          <w:sz w:val="20"/>
          <w:szCs w:val="20"/>
          <w:color w:val="auto"/>
        </w:rPr>
        <w:t>. No Shares will be delivered to you in settlement of vested Units, and no payment of any 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w:t>
      </w:r>
    </w:p>
    <w:p>
      <w:pPr>
        <w:spacing w:after="0" w:line="200" w:lineRule="exact"/>
        <w:rPr>
          <w:sz w:val="20"/>
          <w:szCs w:val="20"/>
          <w:color w:val="auto"/>
        </w:rPr>
      </w:pPr>
    </w:p>
    <w:p>
      <w:pPr>
        <w:spacing w:after="0" w:line="32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3</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39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color w:val="auto"/>
        </w:rPr>
        <w:t>and consent to the Company, or its respective agents, that all withholding tax obligations may be satisfied by having the Company or its agent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withhold a number of Shares that would otherwise be issued to you in settlement of the Units and that have a fair market value equal to the then-outstanding amount of such withholding tax obligations, unless in lieu thereof, you elect at the time of conversion of the Units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 then-permitted method or combination of methods established by the Committee in its discretion, if any, to satisfy your withholding tax obligations.</w:t>
      </w:r>
    </w:p>
    <w:p>
      <w:pPr>
        <w:spacing w:after="0" w:line="172" w:lineRule="exact"/>
        <w:rPr>
          <w:sz w:val="20"/>
          <w:szCs w:val="20"/>
          <w:color w:val="auto"/>
        </w:rPr>
      </w:pPr>
    </w:p>
    <w:p>
      <w:pPr>
        <w:jc w:val="both"/>
        <w:ind w:firstLine="8"/>
        <w:spacing w:after="0" w:line="216" w:lineRule="auto"/>
        <w:tabs>
          <w:tab w:leader="none" w:pos="48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57"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16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73" w:lineRule="exact"/>
        <w:rPr>
          <w:rFonts w:ascii="Times New Roman" w:cs="Times New Roman" w:eastAsia="Times New Roman" w:hAnsi="Times New Roman"/>
          <w:sz w:val="20"/>
          <w:szCs w:val="20"/>
          <w:color w:val="auto"/>
        </w:rPr>
      </w:pPr>
    </w:p>
    <w:p>
      <w:pPr>
        <w:jc w:val="both"/>
        <w:ind w:firstLine="656"/>
        <w:spacing w:after="0" w:line="230" w:lineRule="auto"/>
        <w:tabs>
          <w:tab w:leader="none" w:pos="107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Iowa, without giving effect to the choice of law principles thereof; provided, however, Exhibit 2 shall be subject to the governing law provision identified in Exhibit 2.</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10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(including Exhibit 2) shall be severable and if any provision of this Agreement (including Exhibit 2) is found by any court to be unenforceable, in whole or in part, the remainder of this Agreement (including Exhibit 2)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06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74"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05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87" w:lineRule="exact"/>
        <w:rPr>
          <w:rFonts w:ascii="Times New Roman" w:cs="Times New Roman" w:eastAsia="Times New Roman" w:hAnsi="Times New Roman"/>
          <w:sz w:val="20"/>
          <w:szCs w:val="20"/>
          <w:color w:val="auto"/>
        </w:rPr>
      </w:pPr>
    </w:p>
    <w:p>
      <w:pPr>
        <w:jc w:val="both"/>
        <w:ind w:firstLine="656"/>
        <w:spacing w:after="0" w:line="222" w:lineRule="auto"/>
        <w:tabs>
          <w:tab w:leader="none" w:pos="110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399" w:right="339" w:bottom="1440" w:gutter="0" w:footer="0" w:header="0"/>
        </w:sectPr>
      </w:pPr>
    </w:p>
    <w:bookmarkStart w:id="120" w:name="page121"/>
    <w:bookmarkEnd w:id="120"/>
    <w:p>
      <w:pPr>
        <w:jc w:val="both"/>
        <w:ind w:firstLine="656"/>
        <w:spacing w:after="0" w:line="215" w:lineRule="auto"/>
        <w:tabs>
          <w:tab w:leader="none" w:pos="110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and Compensation Recovery</w:t>
      </w:r>
      <w:r>
        <w:rPr>
          <w:rFonts w:ascii="Times New Roman" w:cs="Times New Roman" w:eastAsia="Times New Roman" w:hAnsi="Times New Roman"/>
          <w:sz w:val="20"/>
          <w:szCs w:val="20"/>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may be unilaterally amended by the Committee to comply with any such compensation recovery policy.</w:t>
      </w:r>
    </w:p>
    <w:p>
      <w:pPr>
        <w:spacing w:after="0" w:line="17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315"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5</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399"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EXHIBIT 2</w:t>
      </w:r>
    </w:p>
    <w:p>
      <w:pPr>
        <w:spacing w:after="0" w:line="20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Confidentiality, Intellectual Property Assignment,</w:t>
      </w:r>
    </w:p>
    <w:p>
      <w:pPr>
        <w:ind w:left="3500"/>
        <w:spacing w:after="0"/>
        <w:rPr>
          <w:sz w:val="20"/>
          <w:szCs w:val="20"/>
          <w:color w:val="auto"/>
        </w:rPr>
      </w:pPr>
      <w:r>
        <w:rPr>
          <w:rFonts w:ascii="Times New Roman" w:cs="Times New Roman" w:eastAsia="Times New Roman" w:hAnsi="Times New Roman"/>
          <w:sz w:val="20"/>
          <w:szCs w:val="20"/>
          <w:b w:val="1"/>
          <w:bCs w:val="1"/>
          <w:color w:val="auto"/>
        </w:rPr>
        <w:t>Non-Competition and Non-Solicitation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Confidentiality, Intellectual Property Assignment, Non-Competition and Non-Solicitation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between</w:t>
      </w:r>
    </w:p>
    <w:p>
      <w:pPr>
        <w:ind w:right="440"/>
        <w:spacing w:after="0" w:line="215" w:lineRule="auto"/>
        <w:rPr>
          <w:sz w:val="20"/>
          <w:szCs w:val="20"/>
          <w:color w:val="auto"/>
        </w:rPr>
      </w:pPr>
      <w:r>
        <w:rPr>
          <w:rFonts w:ascii="Times New Roman" w:cs="Times New Roman" w:eastAsia="Times New Roman" w:hAnsi="Times New Roman"/>
          <w:sz w:val="19"/>
          <w:szCs w:val="19"/>
          <w:color w:val="auto"/>
        </w:rPr>
        <w:t>Winnebago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together with the Company’s Affiliates (as defined below), assignees or successors in interests, the “</w:t>
      </w:r>
      <w:r>
        <w:rPr>
          <w:rFonts w:ascii="Times New Roman" w:cs="Times New Roman" w:eastAsia="Times New Roman" w:hAnsi="Times New Roman"/>
          <w:sz w:val="19"/>
          <w:szCs w:val="19"/>
          <w:u w:val="single" w:color="auto"/>
          <w:color w:val="auto"/>
        </w:rPr>
        <w:t>Company Group</w:t>
      </w:r>
      <w:r>
        <w:rPr>
          <w:rFonts w:ascii="Times New Roman" w:cs="Times New Roman" w:eastAsia="Times New Roman" w:hAnsi="Times New Roman"/>
          <w:sz w:val="19"/>
          <w:szCs w:val="19"/>
          <w:color w:val="auto"/>
        </w:rPr>
        <w:t>”), and the service provider who signs the Agreement below (“</w:t>
      </w:r>
      <w:r>
        <w:rPr>
          <w:rFonts w:ascii="Times New Roman" w:cs="Times New Roman" w:eastAsia="Times New Roman" w:hAnsi="Times New Roman"/>
          <w:sz w:val="19"/>
          <w:szCs w:val="19"/>
          <w:u w:val="single" w:color="auto"/>
          <w:color w:val="auto"/>
        </w:rPr>
        <w:t>Service Provider</w:t>
      </w:r>
      <w:r>
        <w:rPr>
          <w:rFonts w:ascii="Times New Roman" w:cs="Times New Roman" w:eastAsia="Times New Roman" w:hAnsi="Times New Roman"/>
          <w:sz w:val="19"/>
          <w:szCs w:val="19"/>
          <w:color w:val="auto"/>
        </w:rPr>
        <w:t>”), effective as of the date</w:t>
      </w:r>
    </w:p>
    <w:p>
      <w:pPr>
        <w:spacing w:after="0" w:line="211" w:lineRule="auto"/>
        <w:rPr>
          <w:sz w:val="20"/>
          <w:szCs w:val="20"/>
          <w:color w:val="auto"/>
        </w:rPr>
      </w:pPr>
      <w:r>
        <w:rPr>
          <w:rFonts w:ascii="Times New Roman" w:cs="Times New Roman" w:eastAsia="Times New Roman" w:hAnsi="Times New Roman"/>
          <w:sz w:val="20"/>
          <w:szCs w:val="20"/>
          <w:color w:val="auto"/>
        </w:rPr>
        <w:t>signed by Service Provider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Each of Company and Service Provider hereinafter may be referred to individually as a</w:t>
      </w:r>
    </w:p>
    <w:p>
      <w:pPr>
        <w:ind w:right="2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or, collectively, as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In consideration of the Company’s providing Service Provider with a grant of Performance Stock Units (the “</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pursuant to the Company’s 2019 Omnibus Incentive Plan, and other good and valuable consideration, the sufficiency</w:t>
      </w:r>
    </w:p>
    <w:p>
      <w:pPr>
        <w:spacing w:after="0"/>
        <w:rPr>
          <w:sz w:val="20"/>
          <w:szCs w:val="20"/>
          <w:color w:val="auto"/>
        </w:rPr>
      </w:pPr>
      <w:r>
        <w:rPr>
          <w:rFonts w:ascii="Times New Roman" w:cs="Times New Roman" w:eastAsia="Times New Roman" w:hAnsi="Times New Roman"/>
          <w:sz w:val="20"/>
          <w:szCs w:val="20"/>
          <w:color w:val="auto"/>
        </w:rPr>
        <w:t>and receipt of which Service Provider acknowledges, Service Provider and the Company agree as follows:</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Non-Competition and Non-Solicitation</w:t>
      </w:r>
    </w:p>
    <w:p>
      <w:pPr>
        <w:spacing w:after="0" w:line="206" w:lineRule="exact"/>
        <w:rPr>
          <w:sz w:val="20"/>
          <w:szCs w:val="20"/>
          <w:color w:val="auto"/>
        </w:rPr>
      </w:pPr>
    </w:p>
    <w:p>
      <w:pPr>
        <w:ind w:left="460" w:right="4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No Existing Restrictions</w:t>
      </w:r>
      <w:r>
        <w:rPr>
          <w:rFonts w:ascii="Times New Roman" w:cs="Times New Roman" w:eastAsia="Times New Roman" w:hAnsi="Times New Roman"/>
          <w:sz w:val="19"/>
          <w:szCs w:val="19"/>
          <w:color w:val="auto"/>
        </w:rPr>
        <w:t>. Service Provider represents and warrants that Service Provider is not a party to any confidentiality agreement,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non-competition agreement, non-solicitation agreement, intellectual property rights agreement, or any other agreement with any</w:t>
      </w:r>
    </w:p>
    <w:p>
      <w:pPr>
        <w:spacing w:after="0" w:line="1" w:lineRule="exact"/>
        <w:rPr>
          <w:sz w:val="20"/>
          <w:szCs w:val="20"/>
          <w:color w:val="auto"/>
        </w:rPr>
      </w:pP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former employer or other entity that in any way prohibits or inhibits Service Provider’s ability to: (i) be employed by the Company Group; (i) perform services for the Company Group; (iii) enter into this Agreement; or (iv) comply with Service Provider’s</w:t>
      </w:r>
    </w:p>
    <w:p>
      <w:pPr>
        <w:ind w:left="660"/>
        <w:spacing w:after="0"/>
        <w:rPr>
          <w:sz w:val="20"/>
          <w:szCs w:val="20"/>
          <w:color w:val="auto"/>
        </w:rPr>
      </w:pPr>
      <w:r>
        <w:rPr>
          <w:rFonts w:ascii="Times New Roman" w:cs="Times New Roman" w:eastAsia="Times New Roman" w:hAnsi="Times New Roman"/>
          <w:sz w:val="20"/>
          <w:szCs w:val="20"/>
          <w:color w:val="auto"/>
        </w:rPr>
        <w:t>obligations under this Agreement or under any Company Group policy.</w:t>
      </w:r>
    </w:p>
    <w:p>
      <w:pPr>
        <w:spacing w:after="0" w:line="194" w:lineRule="exact"/>
        <w:rPr>
          <w:sz w:val="20"/>
          <w:szCs w:val="20"/>
          <w:color w:val="auto"/>
        </w:rPr>
      </w:pPr>
    </w:p>
    <w:p>
      <w:pPr>
        <w:ind w:left="46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Acknowledgement</w:t>
      </w:r>
      <w:r>
        <w:rPr>
          <w:rFonts w:ascii="Times New Roman" w:cs="Times New Roman" w:eastAsia="Times New Roman" w:hAnsi="Times New Roman"/>
          <w:sz w:val="19"/>
          <w:szCs w:val="19"/>
          <w:color w:val="auto"/>
        </w:rPr>
        <w:t>. Service Provider acknowledges that the Company Group has spent significant time, effort and resources protecting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its Confidential Information, including its trade secrets, customer goodwill, and employee, supplier, and vendor relationships. Service</w:t>
      </w: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Provider has had or will have access to Confidential Information. In order to protect the Company Group’s Confidential Information, customer goodwill and the stability of the Company Group’s workforce, and other legitimate business interests, Service Provider</w:t>
      </w:r>
    </w:p>
    <w:p>
      <w:pPr>
        <w:ind w:left="660"/>
        <w:spacing w:after="0" w:line="211" w:lineRule="auto"/>
        <w:rPr>
          <w:sz w:val="20"/>
          <w:szCs w:val="20"/>
          <w:color w:val="auto"/>
        </w:rPr>
      </w:pPr>
      <w:r>
        <w:rPr>
          <w:rFonts w:ascii="Times New Roman" w:cs="Times New Roman" w:eastAsia="Times New Roman" w:hAnsi="Times New Roman"/>
          <w:sz w:val="20"/>
          <w:szCs w:val="20"/>
          <w:color w:val="auto"/>
        </w:rPr>
        <w:t>agrees to the covenants set forth in Subsections 1.3 through 1.6 during Service Provider’s employment or engagement with the</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Company Group and ending one (1) year following Service Provider’s separation of employment or engagement with the Company Group for any reason, whether such separation of employment or engagement is at the initiative of the Company Group or Service</w:t>
      </w:r>
    </w:p>
    <w:p>
      <w:pPr>
        <w:ind w:left="660"/>
        <w:spacing w:after="0"/>
        <w:rPr>
          <w:sz w:val="20"/>
          <w:szCs w:val="20"/>
          <w:color w:val="auto"/>
        </w:rPr>
      </w:pPr>
      <w:r>
        <w:rPr>
          <w:rFonts w:ascii="Times New Roman" w:cs="Times New Roman" w:eastAsia="Times New Roman" w:hAnsi="Times New Roman"/>
          <w:sz w:val="20"/>
          <w:szCs w:val="20"/>
          <w:color w:val="auto"/>
        </w:rPr>
        <w:t>Provider (the “</w:t>
      </w:r>
      <w:r>
        <w:rPr>
          <w:rFonts w:ascii="Times New Roman" w:cs="Times New Roman" w:eastAsia="Times New Roman" w:hAnsi="Times New Roman"/>
          <w:sz w:val="20"/>
          <w:szCs w:val="20"/>
          <w:u w:val="single" w:color="auto"/>
          <w:color w:val="auto"/>
        </w:rPr>
        <w:t>Restriction Period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right"/>
        <w:ind w:right="260"/>
        <w:spacing w:after="0" w:line="215"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During the Restriction Period, Service Provider shall not within the Restricted Territory (or for the benefit of any Competing Business located within the Restricted Territory) engage in (including, without limitation, being employed by, working</w:t>
      </w:r>
    </w:p>
    <w:p>
      <w:pPr>
        <w:ind w:left="660"/>
        <w:spacing w:after="0" w:line="212" w:lineRule="auto"/>
        <w:rPr>
          <w:sz w:val="20"/>
          <w:szCs w:val="20"/>
          <w:color w:val="auto"/>
        </w:rPr>
      </w:pPr>
      <w:r>
        <w:rPr>
          <w:rFonts w:ascii="Times New Roman" w:cs="Times New Roman" w:eastAsia="Times New Roman" w:hAnsi="Times New Roman"/>
          <w:sz w:val="20"/>
          <w:szCs w:val="20"/>
          <w:color w:val="auto"/>
        </w:rPr>
        <w:t>for, or rendering services to) any Competing Business in any Prohibited Capacity if in such Prohibited Capacity for the Competing</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Business, Service Provider is working on, involved in, assisting in, or managing with respect to, the design, development, production, improvement, engineering, manufacture, provision or sale of any Competing Product. For the avoidance of doubt, if the Competing</w:t>
      </w:r>
    </w:p>
    <w:p>
      <w:pPr>
        <w:ind w:left="660"/>
        <w:spacing w:after="0" w:line="222" w:lineRule="auto"/>
        <w:rPr>
          <w:sz w:val="20"/>
          <w:szCs w:val="20"/>
          <w:color w:val="auto"/>
        </w:rPr>
      </w:pPr>
      <w:r>
        <w:rPr>
          <w:rFonts w:ascii="Times New Roman" w:cs="Times New Roman" w:eastAsia="Times New Roman" w:hAnsi="Times New Roman"/>
          <w:sz w:val="19"/>
          <w:szCs w:val="19"/>
          <w:color w:val="auto"/>
        </w:rPr>
        <w:t>Business has multiple divisions or business units, one or more of which is not competitive with the business of the Company Group,</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nothing herein will prohibit Service Provider from being employed or engaged by, working for or assisting in a Prohibited Capacity only that division or business unit of such Competing Business that is not competitive with the business of the Company Group. As</w:t>
      </w:r>
    </w:p>
    <w:p>
      <w:pPr>
        <w:ind w:left="660"/>
        <w:spacing w:after="0" w:line="222" w:lineRule="auto"/>
        <w:rPr>
          <w:sz w:val="20"/>
          <w:szCs w:val="20"/>
          <w:color w:val="auto"/>
        </w:rPr>
      </w:pPr>
      <w:r>
        <w:rPr>
          <w:rFonts w:ascii="Times New Roman" w:cs="Times New Roman" w:eastAsia="Times New Roman" w:hAnsi="Times New Roman"/>
          <w:sz w:val="19"/>
          <w:szCs w:val="19"/>
          <w:color w:val="auto"/>
        </w:rPr>
        <w:t>used herein,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means any Person that develops, manufactures, produces, sells, or provides Competing Products</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and is competitive with the business of the Company Group. As used herein,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or entity (including, without limitation, a corporation, partnership, limited liability company, trust, joint venture, association or other business operation).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Competing Product</w:t>
      </w:r>
      <w:r>
        <w:rPr>
          <w:rFonts w:ascii="Times New Roman" w:cs="Times New Roman" w:eastAsia="Times New Roman" w:hAnsi="Times New Roman"/>
          <w:sz w:val="20"/>
          <w:szCs w:val="20"/>
          <w:color w:val="auto"/>
        </w:rPr>
        <w:t>” means (i) any recreational vehicle or boat that is (or once developed would be) competitive</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with any of the types of recreational vehicles or boats manufactured, produced or sold by (A) the Company Group entity with which Service Provider has an employment or other relationship or (B) any other member of the Company Group, in either case during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Service Provider’s employment or engagement with the Company Group and/or as of the separation of Service Provider’s</w:t>
      </w:r>
    </w:p>
    <w:p>
      <w:pPr>
        <w:ind w:left="660" w:right="260"/>
        <w:spacing w:after="0" w:line="233" w:lineRule="auto"/>
        <w:rPr>
          <w:sz w:val="20"/>
          <w:szCs w:val="20"/>
          <w:color w:val="auto"/>
        </w:rPr>
      </w:pPr>
      <w:r>
        <w:rPr>
          <w:rFonts w:ascii="Times New Roman" w:cs="Times New Roman" w:eastAsia="Times New Roman" w:hAnsi="Times New Roman"/>
          <w:sz w:val="19"/>
          <w:szCs w:val="19"/>
          <w:color w:val="auto"/>
        </w:rPr>
        <w:t>relationship with the Company Group; (ii) any product or service that is (or once developed would be) competitive with any of the types of products or services manufactured, produced, sold or provided by (A) the Company Group entity with which Service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6</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395"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20"/>
          <w:szCs w:val="20"/>
          <w:color w:val="auto"/>
        </w:rPr>
        <w:t>Provider has an employment or other relationship or (B) any other member of the Company Group, in either case during Service</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Provider’s employment or engagement with the Company Group and/or as of the separation of Service Provider’s relationship with the Company Group; (iii) any product or service that is (or once developed would be) competitive with any of the types of products</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services manufactured, produced, sold or provided by (A) the Company Group entity with which Service Provider has an</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employment or other relationship or (B) any other member of the Company Group and with respect to which, at any time during the one-year period immediately preceding the separation of Service Provider’s relationship with the Company Group, Service Provider</w:t>
      </w:r>
    </w:p>
    <w:p>
      <w:pPr>
        <w:ind w:left="660"/>
        <w:spacing w:after="0" w:line="211" w:lineRule="auto"/>
        <w:rPr>
          <w:sz w:val="20"/>
          <w:szCs w:val="20"/>
          <w:color w:val="auto"/>
        </w:rPr>
      </w:pPr>
      <w:r>
        <w:rPr>
          <w:rFonts w:ascii="Times New Roman" w:cs="Times New Roman" w:eastAsia="Times New Roman" w:hAnsi="Times New Roman"/>
          <w:sz w:val="20"/>
          <w:szCs w:val="20"/>
          <w:color w:val="auto"/>
        </w:rPr>
        <w:t>had any responsibility for (including, without limitation, any managerial or other oversight responsibility) the design, development,</w:t>
      </w: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manufacture, production, sales or provision, or acquired any Confidential Information; and/or (iv) any product or service that is (or once developed would be) competitive with any of the products that (A) the Company Group entity with which Service Provider has</w:t>
      </w:r>
    </w:p>
    <w:p>
      <w:pPr>
        <w:ind w:left="660"/>
        <w:spacing w:after="0" w:line="211" w:lineRule="auto"/>
        <w:rPr>
          <w:sz w:val="20"/>
          <w:szCs w:val="20"/>
          <w:color w:val="auto"/>
        </w:rPr>
      </w:pPr>
      <w:r>
        <w:rPr>
          <w:rFonts w:ascii="Times New Roman" w:cs="Times New Roman" w:eastAsia="Times New Roman" w:hAnsi="Times New Roman"/>
          <w:sz w:val="20"/>
          <w:szCs w:val="20"/>
          <w:color w:val="auto"/>
        </w:rPr>
        <w:t>an employment or other relationship or (B) any other member of the Company Group had under development and with respect to</w:t>
      </w:r>
    </w:p>
    <w:p>
      <w:pPr>
        <w:ind w:left="660" w:right="520"/>
        <w:spacing w:after="0" w:line="215" w:lineRule="auto"/>
        <w:rPr>
          <w:sz w:val="20"/>
          <w:szCs w:val="20"/>
          <w:color w:val="auto"/>
        </w:rPr>
      </w:pPr>
      <w:r>
        <w:rPr>
          <w:rFonts w:ascii="Times New Roman" w:cs="Times New Roman" w:eastAsia="Times New Roman" w:hAnsi="Times New Roman"/>
          <w:sz w:val="19"/>
          <w:szCs w:val="19"/>
          <w:color w:val="auto"/>
        </w:rPr>
        <w:t>which, at any time during the one-year period immediately preceding the separation of Service Provider’s relationship with the Company Group, Service Provider had any responsibility for (including, without limitation, any managerial or other oversight</w:t>
      </w:r>
    </w:p>
    <w:p>
      <w:pPr>
        <w:ind w:left="660"/>
        <w:spacing w:after="0" w:line="222" w:lineRule="auto"/>
        <w:rPr>
          <w:sz w:val="20"/>
          <w:szCs w:val="20"/>
          <w:color w:val="auto"/>
        </w:rPr>
      </w:pPr>
      <w:r>
        <w:rPr>
          <w:rFonts w:ascii="Times New Roman" w:cs="Times New Roman" w:eastAsia="Times New Roman" w:hAnsi="Times New Roman"/>
          <w:sz w:val="19"/>
          <w:szCs w:val="19"/>
          <w:color w:val="auto"/>
        </w:rPr>
        <w:t>responsibility) the development or acquired any Confidential Information. As used herein, “</w:t>
      </w:r>
      <w:r>
        <w:rPr>
          <w:rFonts w:ascii="Times New Roman" w:cs="Times New Roman" w:eastAsia="Times New Roman" w:hAnsi="Times New Roman"/>
          <w:sz w:val="19"/>
          <w:szCs w:val="19"/>
          <w:u w:val="single" w:color="auto"/>
          <w:color w:val="auto"/>
        </w:rPr>
        <w:t>Prohibited Capacity</w:t>
      </w:r>
      <w:r>
        <w:rPr>
          <w:rFonts w:ascii="Times New Roman" w:cs="Times New Roman" w:eastAsia="Times New Roman" w:hAnsi="Times New Roman"/>
          <w:sz w:val="19"/>
          <w:szCs w:val="19"/>
          <w:color w:val="auto"/>
        </w:rPr>
        <w:t>” means: (i) the same</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or similar capacity or function to that in which Service Provider worked for the Company Group at any time during the one-year period immediately preceding the separation of Service Provider’s relationship with the Company Group; (ii) any officer, executive</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managerial capacity or function; (iii) any product design, product development or product improvement capacity or function;</w:t>
      </w:r>
    </w:p>
    <w:p>
      <w:pPr>
        <w:ind w:left="660" w:hanging="4"/>
        <w:spacing w:after="0" w:line="208" w:lineRule="auto"/>
        <w:tabs>
          <w:tab w:leader="none" w:pos="99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engineering capacity or function; (v) any sales or business development capacity or function; (vi) any ownership capacity (except Service Provider may own as a passive investment up to 2% of any class of securities that is listed or admitted to trading on a national securities exchange or otherwise publicly traded); (vii) any capacity or function in which there is a material risk that Service Provider may inevitably use or disclose the Company Group’s trade secrets or other Confidential Information; or (viii) any other capacity or function in which Service Provider’s knowledge of the Confidential Information would facilitate or assist Service Provider’s work for a Competing Business. Service Provider acknowledges that the Company Group conducts its business throughout the United States and internationally, and, therefore, that the term “</w:t>
      </w:r>
      <w:r>
        <w:rPr>
          <w:rFonts w:ascii="Times New Roman" w:cs="Times New Roman" w:eastAsia="Times New Roman" w:hAnsi="Times New Roman"/>
          <w:sz w:val="20"/>
          <w:szCs w:val="20"/>
          <w:u w:val="single" w:color="auto"/>
          <w:color w:val="auto"/>
        </w:rPr>
        <w:t>Restricted Territory</w:t>
      </w:r>
      <w:r>
        <w:rPr>
          <w:rFonts w:ascii="Times New Roman" w:cs="Times New Roman" w:eastAsia="Times New Roman" w:hAnsi="Times New Roman"/>
          <w:sz w:val="20"/>
          <w:szCs w:val="20"/>
          <w:color w:val="auto"/>
        </w:rPr>
        <w:t>” as used herein shall mean the area(s) lying within a 50-mile radius of any Company Group facility or office with respect to which, at any time during the one-year period immediately preceding the separation of Service Provider’s relationship with the Company Group, Service Provider was assigned, regularly worked or was responsible, in whole or in part, for managing; provided, further, if Service Provider regularly worked out of his or her residence or other remote location at any time during the one-year period immediately preceding the separation of Service Provider’s relationship with the Company Group, such residence or remote location shall be considered a Company Group office to which Service Provider was assigned for purposes of this subpart (vi); and/or (vii) all States of the United States. For the avoidance of doubt, nothing herein shall prohibit Service Provider from engaging in or working for a business that is engaged primarily in the retail sale of recreational vehicles or boats and not the design, development and/or manufacture of recreational vehicles or boats.</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Non-Solicitation of Employees</w:t>
      </w:r>
      <w:r>
        <w:rPr>
          <w:rFonts w:ascii="Times New Roman" w:cs="Times New Roman" w:eastAsia="Times New Roman" w:hAnsi="Times New Roman"/>
          <w:sz w:val="19"/>
          <w:szCs w:val="19"/>
          <w:color w:val="auto"/>
        </w:rPr>
        <w:t>. During the Restriction Period, Service Provider shall not: (i) solicit, recruit, hire, employ, engage the</w:t>
      </w: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services of, or attempt to hire, employ or engage the services of any Restricted Employee; (ii) assist any Person in the recruitment, hiring or engagement of the services of any Restricted Employee; (iii) urge, induce or seek to induce any individual to terminate</w:t>
      </w:r>
    </w:p>
    <w:p>
      <w:pPr>
        <w:ind w:left="660"/>
        <w:spacing w:after="0" w:line="211" w:lineRule="auto"/>
        <w:rPr>
          <w:sz w:val="20"/>
          <w:szCs w:val="20"/>
          <w:color w:val="auto"/>
        </w:rPr>
      </w:pPr>
      <w:r>
        <w:rPr>
          <w:rFonts w:ascii="Times New Roman" w:cs="Times New Roman" w:eastAsia="Times New Roman" w:hAnsi="Times New Roman"/>
          <w:sz w:val="20"/>
          <w:szCs w:val="20"/>
          <w:color w:val="auto"/>
        </w:rPr>
        <w:t>his/her employment or engagement with the Company Group; or (iv) advise, suggest to or recommend to any Competing Business</w:t>
      </w: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that it employ, engage the services of or seek to employ or engage the services of any Restricted Employee. Anonymous job postings in a general publication or website to which a Restricted Employee responds shall not violate this Subsection 1.4, provided that</w:t>
      </w:r>
    </w:p>
    <w:p>
      <w:pPr>
        <w:ind w:left="660"/>
        <w:spacing w:after="0" w:line="211" w:lineRule="auto"/>
        <w:rPr>
          <w:sz w:val="20"/>
          <w:szCs w:val="20"/>
          <w:color w:val="auto"/>
        </w:rPr>
      </w:pPr>
      <w:r>
        <w:rPr>
          <w:rFonts w:ascii="Times New Roman" w:cs="Times New Roman" w:eastAsia="Times New Roman" w:hAnsi="Times New Roman"/>
          <w:sz w:val="20"/>
          <w:szCs w:val="20"/>
          <w:color w:val="auto"/>
        </w:rPr>
        <w:t>Service Provider does not engage in any other action in violation of this Subsection 1.4. As used herein, “</w:t>
      </w:r>
      <w:r>
        <w:rPr>
          <w:rFonts w:ascii="Times New Roman" w:cs="Times New Roman" w:eastAsia="Times New Roman" w:hAnsi="Times New Roman"/>
          <w:sz w:val="20"/>
          <w:szCs w:val="20"/>
          <w:u w:val="single" w:color="auto"/>
          <w:color w:val="auto"/>
        </w:rPr>
        <w:t>Restricted Employee</w:t>
      </w:r>
      <w:r>
        <w:rPr>
          <w:rFonts w:ascii="Times New Roman" w:cs="Times New Roman" w:eastAsia="Times New Roman" w:hAnsi="Times New Roman"/>
          <w:sz w:val="20"/>
          <w:szCs w:val="20"/>
          <w:color w:val="auto"/>
        </w:rPr>
        <w:t>”</w:t>
      </w: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means any individual employed with (A) the Company Group entity with which Service Provider has an employment or other relationship or (B) any other member of the Company Group, in either case during Service Provider’s employment or engagement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with the Company Group and/or as of the separation of Service Provider’s relationship with the Company Group provided the</w:t>
      </w:r>
    </w:p>
    <w:p>
      <w:pPr>
        <w:ind w:left="660" w:right="120"/>
        <w:spacing w:after="0" w:line="221" w:lineRule="auto"/>
        <w:rPr>
          <w:sz w:val="20"/>
          <w:szCs w:val="20"/>
          <w:color w:val="auto"/>
        </w:rPr>
      </w:pPr>
      <w:r>
        <w:rPr>
          <w:rFonts w:ascii="Times New Roman" w:cs="Times New Roman" w:eastAsia="Times New Roman" w:hAnsi="Times New Roman"/>
          <w:sz w:val="20"/>
          <w:szCs w:val="20"/>
          <w:color w:val="auto"/>
        </w:rPr>
        <w:t>following two conditions are satisfied with respect to such individual: (i) as of the time of the activity in question, such individual is then, or within the immediately preceding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7</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20"/>
          </w:cols>
          <w:pgMar w:left="320" w:top="1394" w:right="35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20"/>
          <w:szCs w:val="20"/>
          <w:color w:val="auto"/>
        </w:rPr>
        <w:t>three-month period was, employed by the Company Group; and (ii) such individual (A) regularly received, helped create or had</w:t>
      </w:r>
    </w:p>
    <w:p>
      <w:pPr>
        <w:ind w:left="660" w:right="80"/>
        <w:spacing w:after="0" w:line="221" w:lineRule="auto"/>
        <w:rPr>
          <w:sz w:val="20"/>
          <w:szCs w:val="20"/>
          <w:color w:val="auto"/>
        </w:rPr>
      </w:pPr>
      <w:r>
        <w:rPr>
          <w:rFonts w:ascii="Times New Roman" w:cs="Times New Roman" w:eastAsia="Times New Roman" w:hAnsi="Times New Roman"/>
          <w:sz w:val="20"/>
          <w:szCs w:val="20"/>
          <w:color w:val="auto"/>
        </w:rPr>
        <w:t>access to any of the Company Group’s trade secrets or other Confidential Information, and/or (B) is or was employed in engineering role, product design or development role, or executive or managerial role for the Company Group.</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Non-Interference with Business Relationships</w:t>
      </w:r>
      <w:r>
        <w:rPr>
          <w:rFonts w:ascii="Times New Roman" w:cs="Times New Roman" w:eastAsia="Times New Roman" w:hAnsi="Times New Roman"/>
          <w:sz w:val="19"/>
          <w:szCs w:val="19"/>
          <w:color w:val="auto"/>
        </w:rPr>
        <w:t>. During the Restriction Period, Service Provider shall not, directly or indirectly, urge,</w:t>
      </w:r>
    </w:p>
    <w:p>
      <w:pPr>
        <w:ind w:left="660" w:right="440"/>
        <w:spacing w:after="0" w:line="215" w:lineRule="auto"/>
        <w:rPr>
          <w:sz w:val="20"/>
          <w:szCs w:val="20"/>
          <w:color w:val="auto"/>
        </w:rPr>
      </w:pPr>
      <w:r>
        <w:rPr>
          <w:rFonts w:ascii="Times New Roman" w:cs="Times New Roman" w:eastAsia="Times New Roman" w:hAnsi="Times New Roman"/>
          <w:sz w:val="19"/>
          <w:szCs w:val="19"/>
          <w:color w:val="auto"/>
        </w:rPr>
        <w:t>induce or seek to induce any of the Company Group’s customers, independent contractors, subcontractors, consultants, business partners, vendors, suppliers or any other Person with whom the Company Group has a business relationship to terminate their</w:t>
      </w:r>
    </w:p>
    <w:p>
      <w:pPr>
        <w:ind w:left="660" w:right="440"/>
        <w:spacing w:after="0" w:line="242" w:lineRule="auto"/>
        <w:rPr>
          <w:sz w:val="20"/>
          <w:szCs w:val="20"/>
          <w:color w:val="auto"/>
        </w:rPr>
      </w:pPr>
      <w:r>
        <w:rPr>
          <w:rFonts w:ascii="Times New Roman" w:cs="Times New Roman" w:eastAsia="Times New Roman" w:hAnsi="Times New Roman"/>
          <w:sz w:val="19"/>
          <w:szCs w:val="19"/>
          <w:color w:val="auto"/>
        </w:rPr>
        <w:t>relationship with, or representation of, the Company Group or to cancel, withdraw, reduce, limit or modify (in a manner that is adverse to the best interests of the Company Group) any such Person’s business with, or representation of, the Company Group.</w:t>
      </w:r>
    </w:p>
    <w:p>
      <w:pPr>
        <w:spacing w:after="0" w:line="145" w:lineRule="exact"/>
        <w:rPr>
          <w:sz w:val="20"/>
          <w:szCs w:val="20"/>
          <w:color w:val="auto"/>
        </w:rPr>
      </w:pPr>
    </w:p>
    <w:p>
      <w:pPr>
        <w:ind w:left="460" w:right="34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Covered Affiliates</w:t>
      </w:r>
      <w:r>
        <w:rPr>
          <w:rFonts w:ascii="Times New Roman" w:cs="Times New Roman" w:eastAsia="Times New Roman" w:hAnsi="Times New Roman"/>
          <w:sz w:val="19"/>
          <w:szCs w:val="19"/>
          <w:color w:val="auto"/>
        </w:rPr>
        <w:t>. Service Provider may from time to time provide services to certain of the Company’s Affiliates. As used herein,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any entity that directly, or indirectly through one or more intermediaries, is owned or controlled by, owns or</w:t>
      </w:r>
    </w:p>
    <w:p>
      <w:pPr>
        <w:spacing w:after="0" w:line="1" w:lineRule="exact"/>
        <w:rPr>
          <w:sz w:val="20"/>
          <w:szCs w:val="20"/>
          <w:color w:val="auto"/>
        </w:rPr>
      </w:pP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controls, or is under common ownership or control with, the Company; for this purpose, “control” of an entity means the possession, direct or indirect, of the power to direct or cause the direction of the management and policies of the entity, whether through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ownership of voting securities, by contract or otherwise. For purposes of the covenants set forth in Subsections 1.3 through 1.5, each</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and every reference to “Company” in Section 1 (and any related procedural and/or remedial provisions relating to the enforcement of this Agreement) means Winnebago Industries, Inc. and/or any Affiliate with respect to which, at any time during the one-year period</w:t>
      </w:r>
    </w:p>
    <w:p>
      <w:pPr>
        <w:ind w:left="660"/>
        <w:spacing w:after="0" w:line="222" w:lineRule="auto"/>
        <w:rPr>
          <w:sz w:val="20"/>
          <w:szCs w:val="20"/>
          <w:color w:val="auto"/>
        </w:rPr>
      </w:pPr>
      <w:r>
        <w:rPr>
          <w:rFonts w:ascii="Times New Roman" w:cs="Times New Roman" w:eastAsia="Times New Roman" w:hAnsi="Times New Roman"/>
          <w:sz w:val="19"/>
          <w:szCs w:val="19"/>
          <w:color w:val="auto"/>
        </w:rPr>
        <w:t>immediately preceding the separation of Service Provider’s relationship with the Company Group, Service Provider has provided any</w:t>
      </w:r>
    </w:p>
    <w:p>
      <w:pPr>
        <w:jc w:val="both"/>
        <w:ind w:left="660" w:right="80"/>
        <w:spacing w:after="0" w:line="215" w:lineRule="auto"/>
        <w:rPr>
          <w:sz w:val="20"/>
          <w:szCs w:val="20"/>
          <w:color w:val="auto"/>
        </w:rPr>
      </w:pPr>
      <w:r>
        <w:rPr>
          <w:rFonts w:ascii="Times New Roman" w:cs="Times New Roman" w:eastAsia="Times New Roman" w:hAnsi="Times New Roman"/>
          <w:sz w:val="19"/>
          <w:szCs w:val="19"/>
          <w:color w:val="auto"/>
        </w:rPr>
        <w:t>services for, on behalf of, or for the benefit of, such Affiliate, has been responsible for managing, in whole or in part, or has received or has had access to any trade secrets or other Confidential Information concerning such Affiliate’s business (a “</w:t>
      </w:r>
      <w:r>
        <w:rPr>
          <w:rFonts w:ascii="Times New Roman" w:cs="Times New Roman" w:eastAsia="Times New Roman" w:hAnsi="Times New Roman"/>
          <w:sz w:val="19"/>
          <w:szCs w:val="19"/>
          <w:u w:val="single" w:color="auto"/>
          <w:color w:val="auto"/>
        </w:rPr>
        <w:t>Covered Affiliate</w:t>
      </w:r>
      <w:r>
        <w:rPr>
          <w:rFonts w:ascii="Times New Roman" w:cs="Times New Roman" w:eastAsia="Times New Roman" w:hAnsi="Times New Roman"/>
          <w:sz w:val="19"/>
          <w:szCs w:val="19"/>
          <w:color w:val="auto"/>
        </w:rPr>
        <w:t>”).</w:t>
      </w:r>
    </w:p>
    <w:p>
      <w:pPr>
        <w:ind w:left="660" w:right="260"/>
        <w:spacing w:after="0" w:line="221" w:lineRule="auto"/>
        <w:rPr>
          <w:sz w:val="20"/>
          <w:szCs w:val="20"/>
          <w:color w:val="auto"/>
        </w:rPr>
      </w:pPr>
      <w:r>
        <w:rPr>
          <w:rFonts w:ascii="Times New Roman" w:cs="Times New Roman" w:eastAsia="Times New Roman" w:hAnsi="Times New Roman"/>
          <w:sz w:val="20"/>
          <w:szCs w:val="20"/>
          <w:color w:val="auto"/>
        </w:rPr>
        <w:t>Service Provider acknowledges and agrees that any Covered Affiliate is an intended third-party beneficiary of this Agreement and this Agreement may be enforced by the Company and/or the Covered Affiliate, either singularly or jointly.</w:t>
      </w:r>
    </w:p>
    <w:p>
      <w:pPr>
        <w:spacing w:after="0" w:line="162" w:lineRule="exact"/>
        <w:rPr>
          <w:sz w:val="20"/>
          <w:szCs w:val="20"/>
          <w:color w:val="auto"/>
        </w:rPr>
      </w:pPr>
    </w:p>
    <w:p>
      <w:pPr>
        <w:ind w:left="460" w:right="140" w:hanging="647"/>
        <w:spacing w:after="0"/>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u w:val="single" w:color="auto"/>
          <w:color w:val="auto"/>
        </w:rPr>
        <w:t>Reasonableness of Covenants</w:t>
      </w:r>
      <w:r>
        <w:rPr>
          <w:rFonts w:ascii="Times New Roman" w:cs="Times New Roman" w:eastAsia="Times New Roman" w:hAnsi="Times New Roman"/>
          <w:sz w:val="20"/>
          <w:szCs w:val="20"/>
          <w:color w:val="auto"/>
        </w:rPr>
        <w:t>. Service Provider agrees that the scope and duration of each Subsection in this Section 1 are reasonable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necessary to protect the Company Group’s legitimate business interests.</w:t>
      </w:r>
    </w:p>
    <w:p>
      <w:pPr>
        <w:spacing w:after="0" w:line="148" w:lineRule="exact"/>
        <w:rPr>
          <w:sz w:val="20"/>
          <w:szCs w:val="20"/>
          <w:color w:val="auto"/>
        </w:rPr>
      </w:pPr>
    </w:p>
    <w:p>
      <w:pPr>
        <w:ind w:left="460" w:right="38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u w:val="single" w:color="auto"/>
          <w:color w:val="auto"/>
        </w:rPr>
        <w:t>Tolling</w:t>
      </w:r>
      <w:r>
        <w:rPr>
          <w:rFonts w:ascii="Times New Roman" w:cs="Times New Roman" w:eastAsia="Times New Roman" w:hAnsi="Times New Roman"/>
          <w:sz w:val="20"/>
          <w:szCs w:val="20"/>
          <w:color w:val="auto"/>
        </w:rPr>
        <w:t>. In the event Service Provider violates any restrictive covenant contained in Section 1 of this Agreement, the duration of all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restrictive covenants (and the Restriction Period) shall automatically be extended by the length of time during which Service</w:t>
      </w:r>
    </w:p>
    <w:p>
      <w:pPr>
        <w:spacing w:after="0" w:line="2" w:lineRule="exact"/>
        <w:rPr>
          <w:sz w:val="20"/>
          <w:szCs w:val="20"/>
          <w:color w:val="auto"/>
        </w:rPr>
      </w:pPr>
    </w:p>
    <w:p>
      <w:pPr>
        <w:ind w:left="660" w:right="180"/>
        <w:spacing w:after="0" w:line="221" w:lineRule="auto"/>
        <w:rPr>
          <w:sz w:val="20"/>
          <w:szCs w:val="20"/>
          <w:color w:val="auto"/>
        </w:rPr>
      </w:pPr>
      <w:r>
        <w:rPr>
          <w:rFonts w:ascii="Times New Roman" w:cs="Times New Roman" w:eastAsia="Times New Roman" w:hAnsi="Times New Roman"/>
          <w:sz w:val="20"/>
          <w:szCs w:val="20"/>
          <w:color w:val="auto"/>
        </w:rPr>
        <w:t>Provider was in violation of any such covenant, including, but not limited to, an extension equal to the time period from the date of Service Provider’s first violation until an injunction is entered enjoining such violation.</w:t>
      </w:r>
    </w:p>
    <w:p>
      <w:pPr>
        <w:spacing w:after="0" w:line="158" w:lineRule="exact"/>
        <w:rPr>
          <w:sz w:val="20"/>
          <w:szCs w:val="20"/>
          <w:color w:val="auto"/>
        </w:rPr>
      </w:pPr>
    </w:p>
    <w:p>
      <w:pPr>
        <w:ind w:left="400" w:hanging="392"/>
        <w:spacing w:after="0"/>
        <w:tabs>
          <w:tab w:leader="none" w:pos="4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20" w:lineRule="exact"/>
        <w:rPr>
          <w:sz w:val="20"/>
          <w:szCs w:val="20"/>
          <w:color w:val="auto"/>
        </w:rPr>
      </w:pPr>
    </w:p>
    <w:p>
      <w:pPr>
        <w:jc w:val="right"/>
        <w:spacing w:after="0" w:line="227"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Use &amp; Restrictions of Confidential Information</w:t>
      </w:r>
      <w:r>
        <w:rPr>
          <w:rFonts w:ascii="Times New Roman" w:cs="Times New Roman" w:eastAsia="Times New Roman" w:hAnsi="Times New Roman"/>
          <w:sz w:val="19"/>
          <w:szCs w:val="19"/>
          <w:color w:val="auto"/>
        </w:rPr>
        <w:t>. Except as expressly permitted by the Company’s President in writing, Service Provider agrees at all times to: (i) keep confidential and not disclose, divulge, furnish or make accessible to anyone or (ii) use in any way other</w:t>
      </w:r>
    </w:p>
    <w:p>
      <w:pPr>
        <w:ind w:left="660"/>
        <w:spacing w:after="0" w:line="211" w:lineRule="auto"/>
        <w:rPr>
          <w:sz w:val="20"/>
          <w:szCs w:val="20"/>
          <w:color w:val="auto"/>
        </w:rPr>
      </w:pPr>
      <w:r>
        <w:rPr>
          <w:rFonts w:ascii="Times New Roman" w:cs="Times New Roman" w:eastAsia="Times New Roman" w:hAnsi="Times New Roman"/>
          <w:sz w:val="20"/>
          <w:szCs w:val="20"/>
          <w:color w:val="auto"/>
        </w:rPr>
        <w:t>than in the ordinary course of the business of the Company Group: any confidential, proprietary, nonpublic or secret knowledge or</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information of the Company Group that Service Provider acquires during Service Provider’s employment or engagement with any member of the Company Group, whether developed by Service Provider or by others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with Confidential</w:t>
      </w:r>
    </w:p>
    <w:p>
      <w:pPr>
        <w:ind w:left="660"/>
        <w:spacing w:after="0" w:line="211" w:lineRule="auto"/>
        <w:rPr>
          <w:sz w:val="20"/>
          <w:szCs w:val="20"/>
          <w:color w:val="auto"/>
        </w:rPr>
      </w:pPr>
      <w:r>
        <w:rPr>
          <w:rFonts w:ascii="Times New Roman" w:cs="Times New Roman" w:eastAsia="Times New Roman" w:hAnsi="Times New Roman"/>
          <w:sz w:val="20"/>
          <w:szCs w:val="20"/>
          <w:color w:val="auto"/>
        </w:rPr>
        <w:t>Information including, but not limited to: (i) any trade secrets, (ii) any confidential, proprietary, nonpublic or secret design, process,</w:t>
      </w:r>
    </w:p>
    <w:p>
      <w:pPr>
        <w:ind w:left="660" w:right="320"/>
        <w:spacing w:after="0" w:line="215" w:lineRule="auto"/>
        <w:rPr>
          <w:sz w:val="20"/>
          <w:szCs w:val="20"/>
          <w:color w:val="auto"/>
        </w:rPr>
      </w:pPr>
      <w:r>
        <w:rPr>
          <w:rFonts w:ascii="Times New Roman" w:cs="Times New Roman" w:eastAsia="Times New Roman" w:hAnsi="Times New Roman"/>
          <w:sz w:val="19"/>
          <w:szCs w:val="19"/>
          <w:color w:val="auto"/>
        </w:rPr>
        <w:t>formula, plan, model, specifications, device or material (whether or not patented or patentable) directly or indirectly useful in any aspect of the business of the Company Group, (iii) any customer or supplier list of the Company Group, or any requirements.</w:t>
      </w:r>
    </w:p>
    <w:p>
      <w:pPr>
        <w:ind w:left="660"/>
        <w:spacing w:after="0" w:line="211" w:lineRule="auto"/>
        <w:rPr>
          <w:sz w:val="20"/>
          <w:szCs w:val="20"/>
          <w:color w:val="auto"/>
        </w:rPr>
      </w:pPr>
      <w:r>
        <w:rPr>
          <w:rFonts w:ascii="Times New Roman" w:cs="Times New Roman" w:eastAsia="Times New Roman" w:hAnsi="Times New Roman"/>
          <w:sz w:val="20"/>
          <w:szCs w:val="20"/>
          <w:color w:val="auto"/>
        </w:rPr>
        <w:t>specifications or other confidential information about or received from any customer or supplier, (iv) any confidential, proprietary,</w:t>
      </w:r>
    </w:p>
    <w:p>
      <w:pPr>
        <w:ind w:left="660"/>
        <w:spacing w:after="0" w:line="215" w:lineRule="auto"/>
        <w:rPr>
          <w:sz w:val="20"/>
          <w:szCs w:val="20"/>
          <w:color w:val="auto"/>
        </w:rPr>
      </w:pPr>
      <w:r>
        <w:rPr>
          <w:rFonts w:ascii="Times New Roman" w:cs="Times New Roman" w:eastAsia="Times New Roman" w:hAnsi="Times New Roman"/>
          <w:sz w:val="19"/>
          <w:szCs w:val="19"/>
          <w:color w:val="auto"/>
        </w:rPr>
        <w:t>nonpublic or secret development or research work of the Company Group, (v) any strategic or other business, marketing or sales plan of the Company Group, (vi) any financial data or plan respecting the Company Group, or (vii) any other confidential, nonpublic or</w:t>
      </w:r>
    </w:p>
    <w:p>
      <w:pPr>
        <w:ind w:left="660" w:right="660"/>
        <w:spacing w:after="0" w:line="228" w:lineRule="auto"/>
        <w:rPr>
          <w:sz w:val="20"/>
          <w:szCs w:val="20"/>
          <w:color w:val="auto"/>
        </w:rPr>
      </w:pPr>
      <w:r>
        <w:rPr>
          <w:rFonts w:ascii="Times New Roman" w:cs="Times New Roman" w:eastAsia="Times New Roman" w:hAnsi="Times New Roman"/>
          <w:sz w:val="20"/>
          <w:szCs w:val="20"/>
          <w:color w:val="auto"/>
        </w:rPr>
        <w:t>proprietary information or secret aspects of the business of the Company Group. Service Provider acknowledges that Service Provider</w:t>
      </w:r>
    </w:p>
    <w:p>
      <w:pPr>
        <w:spacing w:after="0" w:line="200" w:lineRule="exact"/>
        <w:rPr>
          <w:sz w:val="20"/>
          <w:szCs w:val="20"/>
          <w:color w:val="auto"/>
        </w:rPr>
      </w:pPr>
    </w:p>
    <w:p>
      <w:pPr>
        <w:spacing w:after="0" w:line="322"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8</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20"/>
          </w:cols>
          <w:pgMar w:left="320" w:top="1394" w:right="35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0"/>
          <w:szCs w:val="20"/>
          <w:color w:val="auto"/>
        </w:rPr>
        <w:t>will have access to and be provided with Confidential Information in connection with performing services for the Company Group.</w:t>
      </w: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Service Provider expressly recognizes that the efficacy and profitability of the Company Group is dependent in part upon Service Provider’s protection of the Confidential Information. Service Provider may use the Confidential Information solely in connection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with performing services for the Company Group. Service Provider shall not, either during Service Provider’s relationship with the</w:t>
      </w:r>
    </w:p>
    <w:p>
      <w:pPr>
        <w:ind w:left="660" w:right="300"/>
        <w:spacing w:after="0" w:line="215" w:lineRule="auto"/>
        <w:rPr>
          <w:sz w:val="20"/>
          <w:szCs w:val="20"/>
          <w:color w:val="auto"/>
        </w:rPr>
      </w:pPr>
      <w:r>
        <w:rPr>
          <w:rFonts w:ascii="Times New Roman" w:cs="Times New Roman" w:eastAsia="Times New Roman" w:hAnsi="Times New Roman"/>
          <w:sz w:val="19"/>
          <w:szCs w:val="19"/>
          <w:color w:val="auto"/>
        </w:rPr>
        <w:t>Company Group or thereafter, disclose or use for Service Provider’s own benefit or for the benefit of any other individual or third party, directly or indirectly, any of the Confidential Information, except as such disclosure or use is expressly authorized by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Company in writing. Service Provider shall not communicate any Confidential Information, even in furtherance of the Company</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Group’s business, to any individual or third party not privy to the Confidential Information, without express consent by the Company Group and the individual or third party’s agreement to be bound by confidentiality terms that adequately protect Confidential</w:t>
      </w:r>
    </w:p>
    <w:p>
      <w:pPr>
        <w:ind w:left="660"/>
        <w:spacing w:after="0" w:line="222" w:lineRule="auto"/>
        <w:rPr>
          <w:sz w:val="20"/>
          <w:szCs w:val="20"/>
          <w:color w:val="auto"/>
        </w:rPr>
      </w:pPr>
      <w:r>
        <w:rPr>
          <w:rFonts w:ascii="Times New Roman" w:cs="Times New Roman" w:eastAsia="Times New Roman" w:hAnsi="Times New Roman"/>
          <w:sz w:val="19"/>
          <w:szCs w:val="19"/>
          <w:color w:val="auto"/>
        </w:rPr>
        <w:t>Information. Service Provider’s confidentiality/non-disclosure obligations under this Agreement shall continue after the separation of</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Service Provider’s relationship with the Company Group. With respect to any particular Confidential Information, Service Provider’s confidentiality/non-disclosure obligations shall continue as long as such information is confidential and shall not apply to any</w:t>
      </w:r>
    </w:p>
    <w:p>
      <w:pPr>
        <w:ind w:left="660"/>
        <w:spacing w:after="0"/>
        <w:rPr>
          <w:sz w:val="20"/>
          <w:szCs w:val="20"/>
          <w:color w:val="auto"/>
        </w:rPr>
      </w:pPr>
      <w:r>
        <w:rPr>
          <w:rFonts w:ascii="Times New Roman" w:cs="Times New Roman" w:eastAsia="Times New Roman" w:hAnsi="Times New Roman"/>
          <w:sz w:val="20"/>
          <w:szCs w:val="20"/>
          <w:color w:val="auto"/>
        </w:rPr>
        <w:t>information that is generally publicly available through no fault of Service Provider.</w:t>
      </w:r>
    </w:p>
    <w:p>
      <w:pPr>
        <w:spacing w:after="0" w:line="194" w:lineRule="exact"/>
        <w:rPr>
          <w:sz w:val="20"/>
          <w:szCs w:val="20"/>
          <w:color w:val="auto"/>
        </w:rPr>
      </w:pPr>
    </w:p>
    <w:p>
      <w:pPr>
        <w:jc w:val="right"/>
        <w:ind w:left="80" w:right="380"/>
        <w:spacing w:after="0" w:line="21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Property of Company</w:t>
      </w:r>
      <w:r>
        <w:rPr>
          <w:rFonts w:ascii="Times New Roman" w:cs="Times New Roman" w:eastAsia="Times New Roman" w:hAnsi="Times New Roman"/>
          <w:sz w:val="20"/>
          <w:szCs w:val="20"/>
          <w:color w:val="auto"/>
        </w:rPr>
        <w:t>. Service Provider specifically acknowledges and understands that all Confidential Information and all of the Company Group’s strategies and files, including, but not limited to, computer data, reports, materials, records, documents, notes,</w:t>
      </w:r>
    </w:p>
    <w:p>
      <w:pPr>
        <w:ind w:left="660"/>
        <w:spacing w:after="0" w:line="212" w:lineRule="auto"/>
        <w:rPr>
          <w:sz w:val="20"/>
          <w:szCs w:val="20"/>
          <w:color w:val="auto"/>
        </w:rPr>
      </w:pPr>
      <w:r>
        <w:rPr>
          <w:rFonts w:ascii="Times New Roman" w:cs="Times New Roman" w:eastAsia="Times New Roman" w:hAnsi="Times New Roman"/>
          <w:sz w:val="20"/>
          <w:szCs w:val="20"/>
          <w:color w:val="auto"/>
        </w:rPr>
        <w:t>memoranda, and other items, and any originals or copies thereof, related to the business of the Company Group, which Service</w:t>
      </w:r>
    </w:p>
    <w:p>
      <w:pPr>
        <w:spacing w:after="0" w:line="1" w:lineRule="exact"/>
        <w:rPr>
          <w:sz w:val="20"/>
          <w:szCs w:val="20"/>
          <w:color w:val="auto"/>
        </w:rPr>
      </w:pP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Provider either is provided, prepares, uses, or simply acquires during the term of this Agreement, are and shall remain the sole and exclusive property of the Company Group and, to the extent applicable, shall not be removed from the Company Group’s premises</w:t>
      </w:r>
    </w:p>
    <w:p>
      <w:pPr>
        <w:ind w:left="660"/>
        <w:spacing w:after="0"/>
        <w:rPr>
          <w:sz w:val="20"/>
          <w:szCs w:val="20"/>
          <w:color w:val="auto"/>
        </w:rPr>
      </w:pPr>
      <w:r>
        <w:rPr>
          <w:rFonts w:ascii="Times New Roman" w:cs="Times New Roman" w:eastAsia="Times New Roman" w:hAnsi="Times New Roman"/>
          <w:sz w:val="20"/>
          <w:szCs w:val="20"/>
          <w:color w:val="auto"/>
        </w:rPr>
        <w:t>without the prior consent of the Company Group.</w:t>
      </w:r>
    </w:p>
    <w:p>
      <w:pPr>
        <w:spacing w:after="0" w:line="180" w:lineRule="exact"/>
        <w:rPr>
          <w:sz w:val="20"/>
          <w:szCs w:val="20"/>
          <w:color w:val="auto"/>
        </w:rPr>
      </w:pPr>
    </w:p>
    <w:p>
      <w:pPr>
        <w:ind w:left="460" w:right="4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The foregoing obligations of confidentiality shall not apply to any Confidential Information to the extent that it (i) is now</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 subsequently becomes generally publicly known or generally known in any industry in which the Company Group operates, (ii) is</w:t>
      </w:r>
    </w:p>
    <w:p>
      <w:pPr>
        <w:spacing w:after="0" w:line="2" w:lineRule="exact"/>
        <w:rPr>
          <w:sz w:val="20"/>
          <w:szCs w:val="20"/>
          <w:color w:val="auto"/>
        </w:rPr>
      </w:pPr>
    </w:p>
    <w:p>
      <w:pPr>
        <w:ind w:left="660" w:right="320"/>
        <w:spacing w:after="0" w:line="221" w:lineRule="auto"/>
        <w:rPr>
          <w:sz w:val="20"/>
          <w:szCs w:val="20"/>
          <w:color w:val="auto"/>
        </w:rPr>
      </w:pPr>
      <w:r>
        <w:rPr>
          <w:rFonts w:ascii="Times New Roman" w:cs="Times New Roman" w:eastAsia="Times New Roman" w:hAnsi="Times New Roman"/>
          <w:sz w:val="20"/>
          <w:szCs w:val="20"/>
          <w:color w:val="auto"/>
        </w:rPr>
        <w:t>independently made available to Service Provider in good faith by a third party who Service Provider reasonably believes has not violated an obligation of confidentiality to the Company Group, or (iii) is required to be disclosed by legal process.</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Permitted Communications</w:t>
      </w:r>
      <w:r>
        <w:rPr>
          <w:rFonts w:ascii="Times New Roman" w:cs="Times New Roman" w:eastAsia="Times New Roman" w:hAnsi="Times New Roman"/>
          <w:sz w:val="19"/>
          <w:szCs w:val="19"/>
          <w:color w:val="auto"/>
        </w:rPr>
        <w:t>. Notwithstanding any other language in this Agreement to the contrary, Service Provider is advised that</w:t>
      </w: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Service Provider may not be held criminally or civilly liable under any federal or state trade secret law for the disclosure of a trade secret that is made (i) in confidence to a federal, state or local government official, either directly or indirectly, or to an attorney if</w:t>
      </w:r>
    </w:p>
    <w:p>
      <w:pPr>
        <w:ind w:left="660"/>
        <w:spacing w:after="0" w:line="211" w:lineRule="auto"/>
        <w:rPr>
          <w:sz w:val="20"/>
          <w:szCs w:val="20"/>
          <w:color w:val="auto"/>
        </w:rPr>
      </w:pPr>
      <w:r>
        <w:rPr>
          <w:rFonts w:ascii="Times New Roman" w:cs="Times New Roman" w:eastAsia="Times New Roman" w:hAnsi="Times New Roman"/>
          <w:sz w:val="20"/>
          <w:szCs w:val="20"/>
          <w:color w:val="auto"/>
        </w:rPr>
        <w:t>such disclosure is made solely for the purpose of reporting or investigating a suspected violation of law or for pursuing an anti-</w:t>
      </w:r>
    </w:p>
    <w:p>
      <w:pPr>
        <w:ind w:left="660" w:right="240"/>
        <w:spacing w:after="0" w:line="221" w:lineRule="auto"/>
        <w:rPr>
          <w:sz w:val="20"/>
          <w:szCs w:val="20"/>
          <w:color w:val="auto"/>
        </w:rPr>
      </w:pPr>
      <w:r>
        <w:rPr>
          <w:rFonts w:ascii="Times New Roman" w:cs="Times New Roman" w:eastAsia="Times New Roman" w:hAnsi="Times New Roman"/>
          <w:sz w:val="20"/>
          <w:szCs w:val="20"/>
          <w:color w:val="auto"/>
        </w:rPr>
        <w:t>retaliation lawsuit; or (iii) in a complaint or other document filed in a lawsuit or other proceeding, if such filing is made under seal and Service Provider does not disclose the trade secret except pursuant to a court order.</w:t>
      </w:r>
    </w:p>
    <w:p>
      <w:pPr>
        <w:spacing w:after="0" w:line="183"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Return or Destroy Confidential Information</w:t>
      </w:r>
      <w:r>
        <w:rPr>
          <w:rFonts w:ascii="Times New Roman" w:cs="Times New Roman" w:eastAsia="Times New Roman" w:hAnsi="Times New Roman"/>
          <w:sz w:val="19"/>
          <w:szCs w:val="19"/>
          <w:color w:val="auto"/>
        </w:rPr>
        <w:t>. Service Provider agrees, immediately upon the separation of the \ relationship between</w:t>
      </w:r>
    </w:p>
    <w:p>
      <w:pPr>
        <w:ind w:left="660"/>
        <w:spacing w:after="0" w:line="215" w:lineRule="auto"/>
        <w:rPr>
          <w:sz w:val="20"/>
          <w:szCs w:val="20"/>
          <w:color w:val="auto"/>
        </w:rPr>
      </w:pPr>
      <w:r>
        <w:rPr>
          <w:rFonts w:ascii="Times New Roman" w:cs="Times New Roman" w:eastAsia="Times New Roman" w:hAnsi="Times New Roman"/>
          <w:sz w:val="19"/>
          <w:szCs w:val="19"/>
          <w:color w:val="auto"/>
        </w:rPr>
        <w:t>Service Provider and the Company Group for any reason or upon an earlier request by the Company Group, to make a diligent search for any and all documents, computer discs, electronic files, software, tapes, computer printouts, or any other material constituting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Confidential Information, and shall: cease using the Confidential Information; promptly return to the Company Group or destroy all</w:t>
      </w:r>
    </w:p>
    <w:p>
      <w:pPr>
        <w:ind w:left="660" w:right="80"/>
        <w:spacing w:after="0" w:line="221" w:lineRule="auto"/>
        <w:rPr>
          <w:sz w:val="20"/>
          <w:szCs w:val="20"/>
          <w:color w:val="auto"/>
        </w:rPr>
      </w:pPr>
      <w:r>
        <w:rPr>
          <w:rFonts w:ascii="Times New Roman" w:cs="Times New Roman" w:eastAsia="Times New Roman" w:hAnsi="Times New Roman"/>
          <w:sz w:val="20"/>
          <w:szCs w:val="20"/>
          <w:color w:val="auto"/>
        </w:rPr>
        <w:t>Confidential Information and any copies thereof; and upon Company’s request, certify in writing that Service Provider has complied with the obligations of this Subsection 2.5.</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220" w:lineRule="exact"/>
        <w:rPr>
          <w:sz w:val="20"/>
          <w:szCs w:val="20"/>
          <w:color w:val="auto"/>
        </w:rPr>
      </w:pPr>
    </w:p>
    <w:p>
      <w:pPr>
        <w:ind w:left="500" w:right="400" w:hanging="647"/>
        <w:spacing w:after="0" w:line="227" w:lineRule="auto"/>
        <w:tabs>
          <w:tab w:leader="none" w:pos="4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Prior Inventions</w:t>
      </w:r>
      <w:r>
        <w:rPr>
          <w:rFonts w:ascii="Times New Roman" w:cs="Times New Roman" w:eastAsia="Times New Roman" w:hAnsi="Times New Roman"/>
          <w:sz w:val="19"/>
          <w:szCs w:val="19"/>
          <w:color w:val="auto"/>
        </w:rPr>
        <w:t>. Any intellectual property, including, but not limited to, any ideas, inventions, patents, trademarks, service marks,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copyrights, creations, know how, work product, and other developments or improvements, if any, patented or unpatented, that</w:t>
      </w:r>
    </w:p>
    <w:p>
      <w:pPr>
        <w:ind w:left="660" w:right="520"/>
        <w:spacing w:after="0" w:line="228" w:lineRule="auto"/>
        <w:rPr>
          <w:sz w:val="20"/>
          <w:szCs w:val="20"/>
          <w:color w:val="auto"/>
        </w:rPr>
      </w:pPr>
      <w:r>
        <w:rPr>
          <w:rFonts w:ascii="Times New Roman" w:cs="Times New Roman" w:eastAsia="Times New Roman" w:hAnsi="Times New Roman"/>
          <w:sz w:val="20"/>
          <w:szCs w:val="20"/>
          <w:color w:val="auto"/>
        </w:rPr>
        <w:t>Service Provider, alone or with others, conceived, created, invented, developed, reduced to practice, or caused to be conceived, and/or caused to be reduced to practice prior to the earlier of (i) commencement of Service Provider’s</w:t>
      </w:r>
    </w:p>
    <w:p>
      <w:pPr>
        <w:spacing w:after="0" w:line="200" w:lineRule="exact"/>
        <w:rPr>
          <w:sz w:val="20"/>
          <w:szCs w:val="20"/>
          <w:color w:val="auto"/>
        </w:rPr>
      </w:pPr>
    </w:p>
    <w:p>
      <w:pPr>
        <w:spacing w:after="0" w:line="322"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9</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20"/>
          </w:cols>
          <w:pgMar w:left="320" w:top="1394" w:right="35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20"/>
          <w:szCs w:val="20"/>
          <w:color w:val="auto"/>
        </w:rPr>
        <w:t>employment or engagement with the Company Group or (ii) when Service Provider first provided services to the Company Group, is listed on Schedule 1 attached hereto (“</w:t>
      </w:r>
      <w:r>
        <w:rPr>
          <w:rFonts w:ascii="Times New Roman" w:cs="Times New Roman" w:eastAsia="Times New Roman" w:hAnsi="Times New Roman"/>
          <w:sz w:val="20"/>
          <w:szCs w:val="20"/>
          <w:u w:val="single" w:color="auto"/>
          <w:color w:val="auto"/>
        </w:rPr>
        <w:t>Prior Inventions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460" w:right="8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Except with respect to Prior Inventions, all right, title, and interest of every kind and nature, whether now known 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unknown, in and to any and all intellectual property, including, but not limited to, any ideas, inventions, patents, trademarks, service</w:t>
      </w:r>
    </w:p>
    <w:p>
      <w:pPr>
        <w:spacing w:after="0" w:line="2"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marks, copyrights, creations, know how, work product, properties, and other developments or improvements, patented or unpatented, conceived, created, invented, written, developed, furnished, produced, disclosed, reduced to practice, or caused to be conceived</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and/or caused to be reduced to practice in whole or in part, alone or with others, whether or not during working hours, by Service</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Provider during the term of Service Provider’s employment or engagement with the Company Group and for six (6) months thereafter, that are within the scope of the Company Group’s business operations or that relate to any of the Company Group’s work</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projects, will, as between the Company and Service Provider, be and remain the sole and exclusive property of the Company for</w:t>
      </w:r>
    </w:p>
    <w:p>
      <w:pPr>
        <w:ind w:left="660"/>
        <w:spacing w:after="0" w:line="197" w:lineRule="auto"/>
        <w:rPr>
          <w:sz w:val="20"/>
          <w:szCs w:val="20"/>
          <w:color w:val="auto"/>
        </w:rPr>
      </w:pPr>
      <w:r>
        <w:rPr>
          <w:rFonts w:ascii="Times New Roman" w:cs="Times New Roman" w:eastAsia="Times New Roman" w:hAnsi="Times New Roman"/>
          <w:sz w:val="20"/>
          <w:szCs w:val="20"/>
          <w:color w:val="auto"/>
        </w:rPr>
        <w:t>any and all purposes and uses, and Service Provider agrees to assign and hereby does assign all rights thereto to the Company.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Intellectual property may be in any form including, but not limited to, written, oral, electronic, digital, or other form.</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Work Made for Hire</w:t>
      </w:r>
      <w:r>
        <w:rPr>
          <w:rFonts w:ascii="Times New Roman" w:cs="Times New Roman" w:eastAsia="Times New Roman" w:hAnsi="Times New Roman"/>
          <w:sz w:val="19"/>
          <w:szCs w:val="19"/>
          <w:color w:val="auto"/>
        </w:rPr>
        <w:t>. Any work of Service Provider for which a copyright could be claimed developed in the course of employment or</w:t>
      </w:r>
    </w:p>
    <w:p>
      <w:pPr>
        <w:ind w:left="660"/>
        <w:spacing w:after="0" w:line="215" w:lineRule="auto"/>
        <w:rPr>
          <w:sz w:val="20"/>
          <w:szCs w:val="20"/>
          <w:color w:val="auto"/>
        </w:rPr>
      </w:pPr>
      <w:r>
        <w:rPr>
          <w:rFonts w:ascii="Times New Roman" w:cs="Times New Roman" w:eastAsia="Times New Roman" w:hAnsi="Times New Roman"/>
          <w:sz w:val="19"/>
          <w:szCs w:val="19"/>
          <w:color w:val="auto"/>
        </w:rPr>
        <w:t>engagement with the Company will be deemed “work made for hire” under federal copyright law and all ownership rights to such work belong exclusively to the Company. To the extent any invention does not qualify as a work for hire under applicable law, and to</w:t>
      </w:r>
    </w:p>
    <w:p>
      <w:pPr>
        <w:ind w:left="660" w:right="140"/>
        <w:spacing w:after="0" w:line="228" w:lineRule="auto"/>
        <w:rPr>
          <w:sz w:val="20"/>
          <w:szCs w:val="20"/>
          <w:color w:val="auto"/>
        </w:rPr>
      </w:pPr>
      <w:r>
        <w:rPr>
          <w:rFonts w:ascii="Times New Roman" w:cs="Times New Roman" w:eastAsia="Times New Roman" w:hAnsi="Times New Roman"/>
          <w:sz w:val="20"/>
          <w:szCs w:val="20"/>
          <w:color w:val="auto"/>
        </w:rPr>
        <w:t>the extent any invention is subject to copyright, patent, trade secret, or other proprietary right protection, Service Provider agrees to assign and hereby does assign all rights therein to the Company.</w:t>
      </w:r>
    </w:p>
    <w:p>
      <w:pPr>
        <w:spacing w:after="0" w:line="1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Pre-Existing Work</w:t>
      </w:r>
      <w:r>
        <w:rPr>
          <w:rFonts w:ascii="Times New Roman" w:cs="Times New Roman" w:eastAsia="Times New Roman" w:hAnsi="Times New Roman"/>
          <w:sz w:val="19"/>
          <w:szCs w:val="19"/>
          <w:color w:val="auto"/>
        </w:rPr>
        <w:t>. If, in the course of Service Provider’s relationship with the Company Group, Service Provider uses, relies upon,</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provides, or incorporates any Prior Invention or any other intellectual property Service Provider owns, or in which Service Provider has an interest, into any idea, invention, patent, trademark, service mark, copyright, creation, know how, work product, and other</w:t>
      </w:r>
    </w:p>
    <w:p>
      <w:pPr>
        <w:ind w:left="660"/>
        <w:spacing w:after="0" w:line="222" w:lineRule="auto"/>
        <w:rPr>
          <w:sz w:val="20"/>
          <w:szCs w:val="20"/>
          <w:color w:val="auto"/>
        </w:rPr>
      </w:pPr>
      <w:r>
        <w:rPr>
          <w:rFonts w:ascii="Times New Roman" w:cs="Times New Roman" w:eastAsia="Times New Roman" w:hAnsi="Times New Roman"/>
          <w:sz w:val="19"/>
          <w:szCs w:val="19"/>
          <w:color w:val="auto"/>
        </w:rPr>
        <w:t>development or improvement conceived, created, invented, written, developed, furnished, produced, or disclosed in whole or in part,</w:t>
      </w:r>
    </w:p>
    <w:p>
      <w:pPr>
        <w:ind w:left="660" w:right="40"/>
        <w:spacing w:after="0" w:line="204" w:lineRule="auto"/>
        <w:rPr>
          <w:sz w:val="20"/>
          <w:szCs w:val="20"/>
          <w:color w:val="auto"/>
        </w:rPr>
      </w:pPr>
      <w:r>
        <w:rPr>
          <w:rFonts w:ascii="Times New Roman" w:cs="Times New Roman" w:eastAsia="Times New Roman" w:hAnsi="Times New Roman"/>
          <w:sz w:val="20"/>
          <w:szCs w:val="20"/>
          <w:color w:val="auto"/>
        </w:rPr>
        <w:t>alone or with others, whether or not during working hours, by Service Provider during the term of Service Provider’s employment or engagement with the Company Group, Service Provider hereby grants the Company, under all of Service Provider’s intellectual</w:t>
      </w:r>
    </w:p>
    <w:p>
      <w:pPr>
        <w:ind w:left="660"/>
        <w:spacing w:after="0" w:line="223" w:lineRule="auto"/>
        <w:rPr>
          <w:sz w:val="20"/>
          <w:szCs w:val="20"/>
          <w:color w:val="auto"/>
        </w:rPr>
      </w:pPr>
      <w:r>
        <w:rPr>
          <w:rFonts w:ascii="Times New Roman" w:cs="Times New Roman" w:eastAsia="Times New Roman" w:hAnsi="Times New Roman"/>
          <w:sz w:val="19"/>
          <w:szCs w:val="19"/>
          <w:color w:val="auto"/>
        </w:rPr>
        <w:t>property and proprietary rights, the following worldwide, non-exclusive, perpetual, irrevocable, royalty free, fully paid up rights: (i)</w:t>
      </w:r>
    </w:p>
    <w:p>
      <w:pPr>
        <w:ind w:left="660" w:right="400"/>
        <w:spacing w:after="0" w:line="215" w:lineRule="auto"/>
        <w:rPr>
          <w:sz w:val="20"/>
          <w:szCs w:val="20"/>
          <w:color w:val="auto"/>
        </w:rPr>
      </w:pPr>
      <w:r>
        <w:rPr>
          <w:rFonts w:ascii="Times New Roman" w:cs="Times New Roman" w:eastAsia="Times New Roman" w:hAnsi="Times New Roman"/>
          <w:sz w:val="19"/>
          <w:szCs w:val="19"/>
          <w:color w:val="auto"/>
        </w:rPr>
        <w:t>to make, use, copy, modify, and create derivative works of such intellectual property; (ii) to publicly perform or display, import, broadcast, transmit, distribute, license, offer to sell, and sell, rent, lease or lend copies of the intellectual property, and derivative</w:t>
      </w:r>
    </w:p>
    <w:p>
      <w:pPr>
        <w:ind w:left="660"/>
        <w:spacing w:after="0"/>
        <w:rPr>
          <w:sz w:val="20"/>
          <w:szCs w:val="20"/>
          <w:color w:val="auto"/>
        </w:rPr>
      </w:pPr>
      <w:r>
        <w:rPr>
          <w:rFonts w:ascii="Times New Roman" w:cs="Times New Roman" w:eastAsia="Times New Roman" w:hAnsi="Times New Roman"/>
          <w:sz w:val="20"/>
          <w:szCs w:val="20"/>
          <w:color w:val="auto"/>
        </w:rPr>
        <w:t>works of the intellectual property; and (iii) to sublicense the rights in this Subsection 3.4 to third parties.</w:t>
      </w:r>
    </w:p>
    <w:p>
      <w:pPr>
        <w:spacing w:after="0" w:line="194" w:lineRule="exact"/>
        <w:rPr>
          <w:sz w:val="20"/>
          <w:szCs w:val="20"/>
          <w:color w:val="auto"/>
        </w:rPr>
      </w:pPr>
    </w:p>
    <w:p>
      <w:pPr>
        <w:ind w:left="460" w:right="12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u w:val="single" w:color="auto"/>
          <w:color w:val="auto"/>
        </w:rPr>
        <w:t>Required Undertakings</w:t>
      </w:r>
      <w:r>
        <w:rPr>
          <w:rFonts w:ascii="Times New Roman" w:cs="Times New Roman" w:eastAsia="Times New Roman" w:hAnsi="Times New Roman"/>
          <w:sz w:val="20"/>
          <w:szCs w:val="20"/>
          <w:color w:val="auto"/>
        </w:rPr>
        <w:t>. Service Provider agrees, both while an employee or service provider of the Company Group and thereafter,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assist the Company Group in any and all attempts to obtain patents, copyrights, and/or trademarks or other intellectual property</w:t>
      </w:r>
    </w:p>
    <w:p>
      <w:pPr>
        <w:ind w:left="660"/>
        <w:spacing w:after="0" w:line="212" w:lineRule="auto"/>
        <w:rPr>
          <w:sz w:val="20"/>
          <w:szCs w:val="20"/>
          <w:color w:val="auto"/>
        </w:rPr>
      </w:pPr>
      <w:r>
        <w:rPr>
          <w:rFonts w:ascii="Times New Roman" w:cs="Times New Roman" w:eastAsia="Times New Roman" w:hAnsi="Times New Roman"/>
          <w:sz w:val="20"/>
          <w:szCs w:val="20"/>
          <w:color w:val="auto"/>
        </w:rPr>
        <w:t>protection on any work Service Provider participated in developing and agrees to execute all documents necessary to obtain such</w:t>
      </w:r>
    </w:p>
    <w:p>
      <w:pPr>
        <w:spacing w:after="0" w:line="1" w:lineRule="exact"/>
        <w:rPr>
          <w:sz w:val="20"/>
          <w:szCs w:val="20"/>
          <w:color w:val="auto"/>
        </w:rPr>
      </w:pPr>
    </w:p>
    <w:p>
      <w:pPr>
        <w:ind w:left="660" w:right="80"/>
        <w:spacing w:after="0" w:line="204" w:lineRule="auto"/>
        <w:rPr>
          <w:sz w:val="20"/>
          <w:szCs w:val="20"/>
          <w:color w:val="auto"/>
        </w:rPr>
      </w:pPr>
      <w:r>
        <w:rPr>
          <w:rFonts w:ascii="Times New Roman" w:cs="Times New Roman" w:eastAsia="Times New Roman" w:hAnsi="Times New Roman"/>
          <w:sz w:val="20"/>
          <w:szCs w:val="20"/>
          <w:color w:val="auto"/>
        </w:rPr>
        <w:t>rights in the name of or to transfer such rights to the Company. If, because of Service Provider’s mental or physical incapacity or for any other reason whatsoever, the Company is unable to secure Service Provider’s signature to apply for or pursue any patents,</w:t>
      </w:r>
    </w:p>
    <w:p>
      <w:pPr>
        <w:ind w:left="660"/>
        <w:spacing w:after="0" w:line="211" w:lineRule="auto"/>
        <w:rPr>
          <w:sz w:val="20"/>
          <w:szCs w:val="20"/>
          <w:color w:val="auto"/>
        </w:rPr>
      </w:pPr>
      <w:r>
        <w:rPr>
          <w:rFonts w:ascii="Times New Roman" w:cs="Times New Roman" w:eastAsia="Times New Roman" w:hAnsi="Times New Roman"/>
          <w:sz w:val="20"/>
          <w:szCs w:val="20"/>
          <w:color w:val="auto"/>
        </w:rPr>
        <w:t>copyrights, or other protection for any invention assigned to the Company under this Agreement or otherwise, Service Provider</w:t>
      </w:r>
    </w:p>
    <w:p>
      <w:pPr>
        <w:spacing w:after="0" w:line="1" w:lineRule="exact"/>
        <w:rPr>
          <w:sz w:val="20"/>
          <w:szCs w:val="20"/>
          <w:color w:val="auto"/>
        </w:rPr>
      </w:pPr>
    </w:p>
    <w:p>
      <w:pPr>
        <w:ind w:left="660" w:right="400"/>
        <w:spacing w:after="0" w:line="215" w:lineRule="auto"/>
        <w:rPr>
          <w:sz w:val="20"/>
          <w:szCs w:val="20"/>
          <w:color w:val="auto"/>
        </w:rPr>
      </w:pPr>
      <w:r>
        <w:rPr>
          <w:rFonts w:ascii="Times New Roman" w:cs="Times New Roman" w:eastAsia="Times New Roman" w:hAnsi="Times New Roman"/>
          <w:sz w:val="19"/>
          <w:szCs w:val="19"/>
          <w:color w:val="auto"/>
        </w:rPr>
        <w:t>irrevocably designates and appoints the Company and its duly authorized officers and agents as Service Provider’s agent and attorney-in-fact to act for Service Provider and on Service Provider’s behalf and stead to file any applications and to do all other</w:t>
      </w:r>
    </w:p>
    <w:p>
      <w:pPr>
        <w:ind w:left="660" w:right="260"/>
        <w:spacing w:after="0" w:line="228" w:lineRule="auto"/>
        <w:rPr>
          <w:sz w:val="20"/>
          <w:szCs w:val="20"/>
          <w:color w:val="auto"/>
        </w:rPr>
      </w:pPr>
      <w:r>
        <w:rPr>
          <w:rFonts w:ascii="Times New Roman" w:cs="Times New Roman" w:eastAsia="Times New Roman" w:hAnsi="Times New Roman"/>
          <w:sz w:val="20"/>
          <w:szCs w:val="20"/>
          <w:color w:val="auto"/>
        </w:rPr>
        <w:t>lawfully-permitted acts to further the prosecution and issuance of any patents, copyrights, or other protections with the same legal force and effect as if executed by Service Provider.</w:t>
      </w:r>
    </w:p>
    <w:p>
      <w:pPr>
        <w:spacing w:after="0" w:line="176" w:lineRule="exact"/>
        <w:rPr>
          <w:sz w:val="20"/>
          <w:szCs w:val="20"/>
          <w:color w:val="auto"/>
        </w:rPr>
      </w:pPr>
    </w:p>
    <w:p>
      <w:pPr>
        <w:ind w:left="460" w:right="180" w:hanging="647"/>
        <w:spacing w:after="0" w:line="230" w:lineRule="auto"/>
        <w:tabs>
          <w:tab w:leader="none" w:pos="4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u w:val="single" w:color="auto"/>
          <w:color w:val="auto"/>
        </w:rPr>
        <w:t>Limited Exclusion</w:t>
      </w:r>
      <w:r>
        <w:rPr>
          <w:rFonts w:ascii="Times New Roman" w:cs="Times New Roman" w:eastAsia="Times New Roman" w:hAnsi="Times New Roman"/>
          <w:sz w:val="20"/>
          <w:szCs w:val="20"/>
          <w:color w:val="auto"/>
        </w:rPr>
        <w:t>. This Section 3 does not apply to any inventions or intellectual property for which no equipment, supplies, facility,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 Confidential Information of the Company Group was used, and which was developed entirely on Service Provider’s own time, unless (i) the invention or intellectual property relates (A) directly to the business of the Company Group, or (B) to the</w:t>
      </w:r>
    </w:p>
    <w:p>
      <w:pPr>
        <w:spacing w:after="0" w:line="200" w:lineRule="exact"/>
        <w:rPr>
          <w:sz w:val="20"/>
          <w:szCs w:val="20"/>
          <w:color w:val="auto"/>
        </w:rPr>
      </w:pPr>
    </w:p>
    <w:p>
      <w:pPr>
        <w:spacing w:after="0" w:line="322"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10</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00"/>
          </w:cols>
          <w:pgMar w:left="320" w:top="1399" w:right="379" w:bottom="1440" w:gutter="0" w:footer="0" w:header="0"/>
        </w:sectPr>
      </w:pPr>
    </w:p>
    <w:bookmarkStart w:id="126" w:name="page127"/>
    <w:bookmarkEnd w:id="126"/>
    <w:p>
      <w:pPr>
        <w:ind w:left="660" w:right="280"/>
        <w:spacing w:after="0"/>
        <w:rPr>
          <w:sz w:val="20"/>
          <w:szCs w:val="20"/>
          <w:color w:val="auto"/>
        </w:rPr>
      </w:pPr>
      <w:r>
        <w:rPr>
          <w:rFonts w:ascii="Times New Roman" w:cs="Times New Roman" w:eastAsia="Times New Roman" w:hAnsi="Times New Roman"/>
          <w:sz w:val="20"/>
          <w:szCs w:val="20"/>
          <w:color w:val="auto"/>
        </w:rPr>
        <w:t>Company Group’s actual or demonstrably anticipated research or development, or (ii) the invention or intellectual property results from any work performed by Service Provider for the Company Group.</w:t>
      </w:r>
    </w:p>
    <w:p>
      <w:pPr>
        <w:spacing w:after="0" w:line="17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Non-Disparagement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Section 6, Service Provider agrees that, during the Restriction Period, Service Provider will not make or publish any statement or</w:t>
      </w:r>
    </w:p>
    <w:p>
      <w:pPr>
        <w:ind w:right="100"/>
        <w:spacing w:after="0" w:line="221" w:lineRule="auto"/>
        <w:rPr>
          <w:sz w:val="20"/>
          <w:szCs w:val="20"/>
          <w:color w:val="auto"/>
        </w:rPr>
      </w:pPr>
      <w:r>
        <w:rPr>
          <w:rFonts w:ascii="Times New Roman" w:cs="Times New Roman" w:eastAsia="Times New Roman" w:hAnsi="Times New Roman"/>
          <w:sz w:val="20"/>
          <w:szCs w:val="20"/>
          <w:color w:val="auto"/>
        </w:rPr>
        <w:t>comment that defames, disparages or in any way injures the reputation and/or goodwill of the Company, the Company Group or any of its or their officers, directors, employees, agents or representatives.</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Injunctive and Other Remedies</w:t>
      </w:r>
    </w:p>
    <w:p>
      <w:pPr>
        <w:spacing w:after="0" w:line="22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Service Provider agrees that a breach or threatened breach by Service Provider of this Agreement will give rise to irreparable injury to the Company and that money damages will not be adequate relief for such injury, and, accordingly, agrees that the Company or any member of</w:t>
      </w:r>
    </w:p>
    <w:p>
      <w:pPr>
        <w:spacing w:after="0" w:line="211" w:lineRule="auto"/>
        <w:rPr>
          <w:sz w:val="20"/>
          <w:szCs w:val="20"/>
          <w:color w:val="auto"/>
        </w:rPr>
      </w:pPr>
      <w:r>
        <w:rPr>
          <w:rFonts w:ascii="Times New Roman" w:cs="Times New Roman" w:eastAsia="Times New Roman" w:hAnsi="Times New Roman"/>
          <w:sz w:val="20"/>
          <w:szCs w:val="20"/>
          <w:color w:val="auto"/>
        </w:rPr>
        <w:t>the Company Group shall be entitled to obtain equitable relief, including, but not limited to, temporary restraining orders, preliminary</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injunctions and/or permanent injunctions, without having to post any bond or other security, to restrain or prohibit such breach or threatened breach, in addition to any other remedies which may be available, including the recovery of damages. In addition, if Service Provider</w:t>
      </w:r>
    </w:p>
    <w:p>
      <w:pPr>
        <w:spacing w:after="0" w:line="211" w:lineRule="auto"/>
        <w:rPr>
          <w:sz w:val="20"/>
          <w:szCs w:val="20"/>
          <w:color w:val="auto"/>
        </w:rPr>
      </w:pPr>
      <w:r>
        <w:rPr>
          <w:rFonts w:ascii="Times New Roman" w:cs="Times New Roman" w:eastAsia="Times New Roman" w:hAnsi="Times New Roman"/>
          <w:sz w:val="20"/>
          <w:szCs w:val="20"/>
          <w:color w:val="auto"/>
        </w:rPr>
        <w:t>breaches this Agreement then Service Provider will forfeit the Award and any equity granted thereunder. In addition to all other relief to</w:t>
      </w:r>
    </w:p>
    <w:p>
      <w:pPr>
        <w:ind w:right="280"/>
        <w:spacing w:after="0" w:line="215" w:lineRule="auto"/>
        <w:rPr>
          <w:sz w:val="20"/>
          <w:szCs w:val="20"/>
          <w:color w:val="auto"/>
        </w:rPr>
      </w:pPr>
      <w:r>
        <w:rPr>
          <w:rFonts w:ascii="Times New Roman" w:cs="Times New Roman" w:eastAsia="Times New Roman" w:hAnsi="Times New Roman"/>
          <w:sz w:val="19"/>
          <w:szCs w:val="19"/>
          <w:color w:val="auto"/>
        </w:rPr>
        <w:t>which it shall be entitled, the Company shall be entitled to recover from Service Provider all reasonable litigation costs and attorneys’ fees incurred by the Company in any action or proceeding arising out of or relating to this Agreement in which the Company prevails in any</w:t>
      </w:r>
    </w:p>
    <w:p>
      <w:pPr>
        <w:spacing w:after="0"/>
        <w:rPr>
          <w:sz w:val="20"/>
          <w:szCs w:val="20"/>
          <w:color w:val="auto"/>
        </w:rPr>
      </w:pPr>
      <w:r>
        <w:rPr>
          <w:rFonts w:ascii="Times New Roman" w:cs="Times New Roman" w:eastAsia="Times New Roman" w:hAnsi="Times New Roman"/>
          <w:sz w:val="20"/>
          <w:szCs w:val="20"/>
          <w:color w:val="auto"/>
        </w:rPr>
        <w:t>respect. Remedies are cumulative and not exclusive.</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No Unlawful Restriction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 Provider understands and agrees that nothing in this Agreement is intended to or will prevent or interfere with Service Provider’s</w:t>
      </w:r>
    </w:p>
    <w:p>
      <w:pPr>
        <w:spacing w:after="0" w:line="215" w:lineRule="auto"/>
        <w:rPr>
          <w:sz w:val="20"/>
          <w:szCs w:val="20"/>
          <w:color w:val="auto"/>
        </w:rPr>
      </w:pPr>
      <w:r>
        <w:rPr>
          <w:rFonts w:ascii="Times New Roman" w:cs="Times New Roman" w:eastAsia="Times New Roman" w:hAnsi="Times New Roman"/>
          <w:sz w:val="19"/>
          <w:szCs w:val="19"/>
          <w:color w:val="auto"/>
        </w:rPr>
        <w:t>ability or right to: (i) provide truthful testimony if under subpoena to do so, (ii) file any charge with or participate in any investigation or proceeding before the U.S. Equal Employment Opportunity Commission or any other federal, state or local governmental agency, (iii) engage</w:t>
      </w:r>
    </w:p>
    <w:p>
      <w:pPr>
        <w:spacing w:after="0" w:line="222" w:lineRule="auto"/>
        <w:rPr>
          <w:sz w:val="20"/>
          <w:szCs w:val="20"/>
          <w:color w:val="auto"/>
        </w:rPr>
      </w:pPr>
      <w:r>
        <w:rPr>
          <w:rFonts w:ascii="Times New Roman" w:cs="Times New Roman" w:eastAsia="Times New Roman" w:hAnsi="Times New Roman"/>
          <w:sz w:val="19"/>
          <w:szCs w:val="19"/>
          <w:color w:val="auto"/>
        </w:rPr>
        <w:t>in any conduct protected under the National Labor Relations Act, or (iv) report possible violations of law or regulations to any governmental</w:t>
      </w:r>
    </w:p>
    <w:p>
      <w:pPr>
        <w:ind w:right="180"/>
        <w:spacing w:after="0" w:line="221" w:lineRule="auto"/>
        <w:rPr>
          <w:sz w:val="20"/>
          <w:szCs w:val="20"/>
          <w:color w:val="auto"/>
        </w:rPr>
      </w:pPr>
      <w:r>
        <w:rPr>
          <w:rFonts w:ascii="Times New Roman" w:cs="Times New Roman" w:eastAsia="Times New Roman" w:hAnsi="Times New Roman"/>
          <w:sz w:val="20"/>
          <w:szCs w:val="20"/>
          <w:color w:val="auto"/>
        </w:rPr>
        <w:t>agency or from making other disclosures protected under any applicable whistleblower laws, or (v) respond to a subpoena, court order or as otherwise provided by law.</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193" w:lineRule="exact"/>
        <w:rPr>
          <w:sz w:val="20"/>
          <w:szCs w:val="20"/>
          <w:color w:val="auto"/>
        </w:rPr>
      </w:pPr>
    </w:p>
    <w:p>
      <w:pPr>
        <w:ind w:left="460" w:right="8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All of the terms and provisions of this Agreement shall be binding upon and inure to the benefit of and be enforceable by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respective heirs, executors, administrators, legal representatives, successors, and assigns of the Parties (including, with respect to</w:t>
      </w:r>
    </w:p>
    <w:p>
      <w:pPr>
        <w:ind w:left="660" w:right="720"/>
        <w:spacing w:after="0" w:line="228" w:lineRule="auto"/>
        <w:rPr>
          <w:sz w:val="20"/>
          <w:szCs w:val="20"/>
          <w:color w:val="auto"/>
        </w:rPr>
      </w:pPr>
      <w:r>
        <w:rPr>
          <w:rFonts w:ascii="Times New Roman" w:cs="Times New Roman" w:eastAsia="Times New Roman" w:hAnsi="Times New Roman"/>
          <w:sz w:val="20"/>
          <w:szCs w:val="20"/>
          <w:color w:val="auto"/>
        </w:rPr>
        <w:t>the Company, any member of the Company Group), except that the duties and responsibilities of Service Provider under this Agreement are of a personal nature and shall not be assignable or delegable in whole or in part by Service Provider.</w:t>
      </w:r>
    </w:p>
    <w:p>
      <w:pPr>
        <w:spacing w:after="0" w:line="149" w:lineRule="exact"/>
        <w:rPr>
          <w:sz w:val="20"/>
          <w:szCs w:val="20"/>
          <w:color w:val="auto"/>
        </w:rPr>
      </w:pPr>
    </w:p>
    <w:p>
      <w:pPr>
        <w:jc w:val="right"/>
        <w:ind w:right="240"/>
        <w:spacing w:after="0" w:line="234"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covenants, provisions and restrictions in this Agreement are separate and divisible to the maximum extent possible, and to the extent any covenant, provision or portion of this Agreement is determined to be unenforceable or invalid for any reason,</w:t>
      </w:r>
    </w:p>
    <w:p>
      <w:pPr>
        <w:spacing w:after="0" w:line="1" w:lineRule="exact"/>
        <w:rPr>
          <w:sz w:val="20"/>
          <w:szCs w:val="20"/>
          <w:color w:val="auto"/>
        </w:rPr>
      </w:pP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the Company and Service Provider acknowledge and agree that such unenforceability or invalidity shall not affect the enforceability or validity of the remainder of this Agreement. If any particular covenant, provision or portion of this Agreement is determined to be</w:t>
      </w:r>
    </w:p>
    <w:p>
      <w:pPr>
        <w:ind w:left="660"/>
        <w:spacing w:after="0" w:line="211" w:lineRule="auto"/>
        <w:rPr>
          <w:sz w:val="20"/>
          <w:szCs w:val="20"/>
          <w:color w:val="auto"/>
        </w:rPr>
      </w:pPr>
      <w:r>
        <w:rPr>
          <w:rFonts w:ascii="Times New Roman" w:cs="Times New Roman" w:eastAsia="Times New Roman" w:hAnsi="Times New Roman"/>
          <w:sz w:val="20"/>
          <w:szCs w:val="20"/>
          <w:color w:val="auto"/>
        </w:rPr>
        <w:t>unreasonable or unenforceable for any reason, including, without limitation, the time period, geographical area, and/or scope of</w:t>
      </w:r>
    </w:p>
    <w:p>
      <w:pPr>
        <w:ind w:left="660" w:right="460"/>
        <w:spacing w:after="0" w:line="215" w:lineRule="auto"/>
        <w:rPr>
          <w:sz w:val="20"/>
          <w:szCs w:val="20"/>
          <w:color w:val="auto"/>
        </w:rPr>
      </w:pPr>
      <w:r>
        <w:rPr>
          <w:rFonts w:ascii="Times New Roman" w:cs="Times New Roman" w:eastAsia="Times New Roman" w:hAnsi="Times New Roman"/>
          <w:sz w:val="19"/>
          <w:szCs w:val="19"/>
          <w:color w:val="auto"/>
        </w:rPr>
        <w:t>activity covered by any restrictive covenant or non-disclosure provision, or portion thereof, the Company and Service Provider acknowledge and agree that such covenant, provision or portion shall automatically be deemed reformed such that the contested</w:t>
      </w:r>
    </w:p>
    <w:p>
      <w:pPr>
        <w:ind w:left="660"/>
        <w:spacing w:after="0" w:line="211" w:lineRule="auto"/>
        <w:rPr>
          <w:sz w:val="20"/>
          <w:szCs w:val="20"/>
          <w:color w:val="auto"/>
        </w:rPr>
      </w:pPr>
      <w:r>
        <w:rPr>
          <w:rFonts w:ascii="Times New Roman" w:cs="Times New Roman" w:eastAsia="Times New Roman" w:hAnsi="Times New Roman"/>
          <w:sz w:val="20"/>
          <w:szCs w:val="20"/>
          <w:color w:val="auto"/>
        </w:rPr>
        <w:t>covenant, provision or portion will have the closest effect permitted by applicable law to the original form and shall be given effect</w:t>
      </w:r>
    </w:p>
    <w:p>
      <w:pPr>
        <w:ind w:left="660" w:right="600"/>
        <w:spacing w:after="0" w:line="215" w:lineRule="auto"/>
        <w:rPr>
          <w:sz w:val="20"/>
          <w:szCs w:val="20"/>
          <w:color w:val="auto"/>
        </w:rPr>
      </w:pPr>
      <w:r>
        <w:rPr>
          <w:rFonts w:ascii="Times New Roman" w:cs="Times New Roman" w:eastAsia="Times New Roman" w:hAnsi="Times New Roman"/>
          <w:sz w:val="19"/>
          <w:szCs w:val="19"/>
          <w:color w:val="auto"/>
        </w:rPr>
        <w:t>and enforced as so reformed to whatever extent would be reasonable and enforceable under applicable law. The Company and Service Provider agree that any court interpreting any restrictive covenant or non-disclosure provision of this Agreement shall</w:t>
      </w:r>
    </w:p>
    <w:p>
      <w:pPr>
        <w:ind w:left="660"/>
        <w:spacing w:after="0"/>
        <w:rPr>
          <w:sz w:val="20"/>
          <w:szCs w:val="20"/>
          <w:color w:val="auto"/>
        </w:rPr>
      </w:pPr>
      <w:r>
        <w:rPr>
          <w:rFonts w:ascii="Times New Roman" w:cs="Times New Roman" w:eastAsia="Times New Roman" w:hAnsi="Times New Roman"/>
          <w:sz w:val="20"/>
          <w:szCs w:val="20"/>
          <w:color w:val="auto"/>
        </w:rPr>
        <w:t>interpret such provision in a manner that would make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11</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399" w:right="339" w:bottom="1440" w:gutter="0" w:footer="0" w:header="0"/>
        </w:sectPr>
      </w:pPr>
    </w:p>
    <w:bookmarkStart w:id="127" w:name="page128"/>
    <w:bookmarkEnd w:id="127"/>
    <w:p>
      <w:pPr>
        <w:ind w:left="660" w:right="320"/>
        <w:spacing w:after="0"/>
        <w:rPr>
          <w:sz w:val="20"/>
          <w:szCs w:val="20"/>
          <w:color w:val="auto"/>
        </w:rPr>
      </w:pPr>
      <w:r>
        <w:rPr>
          <w:rFonts w:ascii="Times New Roman" w:cs="Times New Roman" w:eastAsia="Times New Roman" w:hAnsi="Times New Roman"/>
          <w:sz w:val="20"/>
          <w:szCs w:val="20"/>
          <w:color w:val="auto"/>
        </w:rPr>
        <w:t>the provision valid under applicable law to the extent possible and, if necessary, reform any such provision to make it enforceable under applicable law.</w:t>
      </w:r>
    </w:p>
    <w:p>
      <w:pPr>
        <w:spacing w:after="0" w:line="148" w:lineRule="exact"/>
        <w:rPr>
          <w:sz w:val="20"/>
          <w:szCs w:val="20"/>
          <w:color w:val="auto"/>
        </w:rPr>
      </w:pPr>
    </w:p>
    <w:p>
      <w:pPr>
        <w:ind w:left="460" w:right="300" w:hanging="647"/>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Service Provider acknowledges and agrees that certain of Service Provider’s obligations under this Agreement, including,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without limitation, Service Provider’s non-disclosure and restrictive covenant obligations, shall survive the termination of Service</w:t>
      </w:r>
    </w:p>
    <w:p>
      <w:pPr>
        <w:spacing w:after="0" w:line="1" w:lineRule="exact"/>
        <w:rPr>
          <w:sz w:val="20"/>
          <w:szCs w:val="20"/>
          <w:color w:val="auto"/>
        </w:rPr>
      </w:pP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Provider’s employment or engagement with the Company Group for any reason. Service Provider further acknowledges and agrees that: (A) the confidentiality, intellectual property, and restrictive covenants provisions set forth in Section 1, Section 2, and Section 3</w:t>
      </w:r>
    </w:p>
    <w:p>
      <w:pPr>
        <w:ind w:left="660"/>
        <w:spacing w:after="0" w:line="222" w:lineRule="auto"/>
        <w:rPr>
          <w:sz w:val="20"/>
          <w:szCs w:val="20"/>
          <w:color w:val="auto"/>
        </w:rPr>
      </w:pPr>
      <w:r>
        <w:rPr>
          <w:rFonts w:ascii="Times New Roman" w:cs="Times New Roman" w:eastAsia="Times New Roman" w:hAnsi="Times New Roman"/>
          <w:sz w:val="19"/>
          <w:szCs w:val="19"/>
          <w:color w:val="auto"/>
        </w:rPr>
        <w:t>of this Agreement shall be construed as independent covenants and that no breach of any contractual or legal duty by the Company or</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any other member of the Company Group shall be held sufficient to excuse or terminate Service Provider’s covenants or obligations under Section 1 , Section 2, and Section 3 or preclude the Company or any other member of the Company Group from obtaining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injunctive relief for Service Provider’s violation or threatened violation of such provisions; and (B) the existence of any claim or</w:t>
      </w:r>
    </w:p>
    <w:p>
      <w:pPr>
        <w:ind w:left="660" w:right="180"/>
        <w:spacing w:after="0" w:line="204" w:lineRule="auto"/>
        <w:rPr>
          <w:sz w:val="20"/>
          <w:szCs w:val="20"/>
          <w:color w:val="auto"/>
        </w:rPr>
      </w:pPr>
      <w:r>
        <w:rPr>
          <w:rFonts w:ascii="Times New Roman" w:cs="Times New Roman" w:eastAsia="Times New Roman" w:hAnsi="Times New Roman"/>
          <w:sz w:val="20"/>
          <w:szCs w:val="20"/>
          <w:color w:val="auto"/>
        </w:rPr>
        <w:t>cause of action by Service Provider against the Company, whether predicated on this Agreement or otherwise, shall not constitute a defense to the Company’s or any other member of the Company Group’s enforcement of Service Provider’s covenants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obligations under this Agreement.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The Company Does Not Waive Its Rights by Non-Enforcement</w:t>
      </w:r>
      <w:r>
        <w:rPr>
          <w:rFonts w:ascii="Times New Roman" w:cs="Times New Roman" w:eastAsia="Times New Roman" w:hAnsi="Times New Roman"/>
          <w:sz w:val="20"/>
          <w:szCs w:val="20"/>
          <w:color w:val="auto"/>
        </w:rPr>
        <w:t>. Service Provider acknowledges that the Company’s failure to demand rigid adherence to one or more terms of this Agreement, on one or more occasions, will not be construed as a waiver nor deprive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Company of the right thereafter to insist upon strict compliance with any such term or terms.</w:t>
      </w:r>
    </w:p>
    <w:p>
      <w:pPr>
        <w:spacing w:after="0" w:line="162" w:lineRule="exact"/>
        <w:rPr>
          <w:sz w:val="20"/>
          <w:szCs w:val="20"/>
          <w:color w:val="auto"/>
        </w:rPr>
      </w:pPr>
    </w:p>
    <w:p>
      <w:pPr>
        <w:ind w:left="460" w:hanging="647"/>
        <w:spacing w:after="0" w:line="217" w:lineRule="auto"/>
        <w:tabs>
          <w:tab w:leader="none" w:pos="4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u w:val="single" w:color="auto"/>
          <w:color w:val="auto"/>
        </w:rPr>
        <w:t>Disclosure of Existence of Agreement and Subsequent Employment</w:t>
      </w:r>
      <w:r>
        <w:rPr>
          <w:rFonts w:ascii="Times New Roman" w:cs="Times New Roman" w:eastAsia="Times New Roman" w:hAnsi="Times New Roman"/>
          <w:sz w:val="20"/>
          <w:szCs w:val="20"/>
          <w:color w:val="auto"/>
        </w:rPr>
        <w:t>. Service Provider agrees that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1"/>
          <w:szCs w:val="21"/>
          <w:color w:val="auto"/>
        </w:rPr>
        <w:t>(i)</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if Service Provider should decide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to seek other employment, Service Provider will fully disclose the contents of this Agreement to prospective employers before accepting any offer of employment; </w:t>
      </w:r>
      <w:r>
        <w:rPr>
          <w:rFonts w:ascii="Times New Roman" w:cs="Times New Roman" w:eastAsia="Times New Roman" w:hAnsi="Times New Roman"/>
          <w:sz w:val="21"/>
          <w:szCs w:val="21"/>
          <w:color w:val="auto"/>
        </w:rPr>
        <w:t>(ii)</w:t>
      </w:r>
      <w:r>
        <w:rPr>
          <w:rFonts w:ascii="Times New Roman" w:cs="Times New Roman" w:eastAsia="Times New Roman" w:hAnsi="Times New Roman"/>
          <w:sz w:val="20"/>
          <w:szCs w:val="20"/>
          <w:color w:val="auto"/>
        </w:rPr>
        <w:t xml:space="preserve"> if Service Provider accepts other employment, Service Provider will confirm to the Company</w:t>
      </w:r>
    </w:p>
    <w:p>
      <w:pPr>
        <w:ind w:left="660" w:right="240"/>
        <w:spacing w:after="0" w:line="224" w:lineRule="auto"/>
        <w:rPr>
          <w:sz w:val="20"/>
          <w:szCs w:val="20"/>
          <w:color w:val="auto"/>
        </w:rPr>
      </w:pPr>
      <w:r>
        <w:rPr>
          <w:rFonts w:ascii="Times New Roman" w:cs="Times New Roman" w:eastAsia="Times New Roman" w:hAnsi="Times New Roman"/>
          <w:sz w:val="20"/>
          <w:szCs w:val="20"/>
          <w:color w:val="auto"/>
        </w:rPr>
        <w:t xml:space="preserve">in writing that Service Provider has properly notified Service Provider’s new employer of the contents of this Agreement; and </w:t>
      </w:r>
      <w:r>
        <w:rPr>
          <w:rFonts w:ascii="Times New Roman" w:cs="Times New Roman" w:eastAsia="Times New Roman" w:hAnsi="Times New Roman"/>
          <w:sz w:val="21"/>
          <w:szCs w:val="21"/>
          <w:color w:val="auto"/>
        </w:rPr>
        <w:t>(iii)</w:t>
      </w:r>
      <w:r>
        <w:rPr>
          <w:rFonts w:ascii="Times New Roman" w:cs="Times New Roman" w:eastAsia="Times New Roman" w:hAnsi="Times New Roman"/>
          <w:sz w:val="20"/>
          <w:szCs w:val="20"/>
          <w:color w:val="auto"/>
        </w:rPr>
        <w:t xml:space="preserve"> the Company may advise any third party of the existence of this Agreement and of its terms and may provide copies of this Agreement to such third party, and the Company shall have no liability for so doing.</w:t>
      </w:r>
    </w:p>
    <w:p>
      <w:pPr>
        <w:spacing w:after="0" w:line="149" w:lineRule="exact"/>
        <w:rPr>
          <w:sz w:val="20"/>
          <w:szCs w:val="20"/>
          <w:color w:val="auto"/>
        </w:rPr>
      </w:pPr>
    </w:p>
    <w:p>
      <w:pPr>
        <w:ind w:left="460" w:right="200" w:hanging="647"/>
        <w:spacing w:after="0" w:line="222" w:lineRule="auto"/>
        <w:tabs>
          <w:tab w:leader="none" w:pos="4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sets forth the entire agreement of the Parties and supersede any and all prior agreements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understandings concerning the subject matter of this Agreement; provided, that this Agreement shall supplement and not supersede</w:t>
      </w:r>
    </w:p>
    <w:p>
      <w:pPr>
        <w:spacing w:after="0" w:line="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any written restrictive covenant agreement or any other agreement between Service Provider and any member of the Company Group addressing non-disclosure of confidential information, assignment of inventions or other terms for the benefit of the Company Group</w:t>
      </w:r>
    </w:p>
    <w:p>
      <w:pPr>
        <w:ind w:left="660"/>
        <w:spacing w:after="0" w:line="211" w:lineRule="auto"/>
        <w:rPr>
          <w:sz w:val="20"/>
          <w:szCs w:val="20"/>
          <w:color w:val="auto"/>
        </w:rPr>
      </w:pPr>
      <w:r>
        <w:rPr>
          <w:rFonts w:ascii="Times New Roman" w:cs="Times New Roman" w:eastAsia="Times New Roman" w:hAnsi="Times New Roman"/>
          <w:sz w:val="20"/>
          <w:szCs w:val="20"/>
          <w:color w:val="auto"/>
        </w:rPr>
        <w:t>previously entered into between the Parties or between Service Provider and any other member of the Company Group (the “</w:t>
      </w:r>
      <w:r>
        <w:rPr>
          <w:rFonts w:ascii="Times New Roman" w:cs="Times New Roman" w:eastAsia="Times New Roman" w:hAnsi="Times New Roman"/>
          <w:sz w:val="20"/>
          <w:szCs w:val="20"/>
          <w:u w:val="single" w:color="auto"/>
          <w:color w:val="auto"/>
        </w:rPr>
        <w:t>Other</w:t>
      </w:r>
    </w:p>
    <w:p>
      <w:pPr>
        <w:ind w:left="660" w:right="120"/>
        <w:spacing w:after="0" w:line="215" w:lineRule="auto"/>
        <w:rPr>
          <w:sz w:val="20"/>
          <w:szCs w:val="20"/>
          <w:color w:val="auto"/>
        </w:rPr>
      </w:pPr>
      <w:r>
        <w:rPr>
          <w:rFonts w:ascii="Times New Roman" w:cs="Times New Roman" w:eastAsia="Times New Roman" w:hAnsi="Times New Roman"/>
          <w:sz w:val="19"/>
          <w:szCs w:val="19"/>
          <w:u w:val="single" w:color="auto"/>
          <w:color w:val="auto"/>
        </w:rPr>
        <w:t>Protective Agreements</w:t>
      </w:r>
      <w:r>
        <w:rPr>
          <w:rFonts w:ascii="Times New Roman" w:cs="Times New Roman" w:eastAsia="Times New Roman" w:hAnsi="Times New Roman"/>
          <w:sz w:val="19"/>
          <w:szCs w:val="19"/>
          <w:color w:val="auto"/>
        </w:rPr>
        <w:t>”). This Agreement and the Other Protective Agreements shall be read and interpreted together to provide the maximum protection to the Company. The terms of this Agreement may be changed only by a written document signed by Service</w:t>
      </w:r>
    </w:p>
    <w:p>
      <w:pPr>
        <w:ind w:left="660"/>
        <w:spacing w:after="0"/>
        <w:rPr>
          <w:sz w:val="20"/>
          <w:szCs w:val="20"/>
          <w:color w:val="auto"/>
        </w:rPr>
      </w:pPr>
      <w:r>
        <w:rPr>
          <w:rFonts w:ascii="Times New Roman" w:cs="Times New Roman" w:eastAsia="Times New Roman" w:hAnsi="Times New Roman"/>
          <w:sz w:val="20"/>
          <w:szCs w:val="20"/>
          <w:color w:val="auto"/>
        </w:rPr>
        <w:t>Provider and an authorized representative of the Company.</w:t>
      </w:r>
    </w:p>
    <w:p>
      <w:pPr>
        <w:spacing w:after="0" w:line="167" w:lineRule="exact"/>
        <w:rPr>
          <w:sz w:val="20"/>
          <w:szCs w:val="20"/>
          <w:color w:val="auto"/>
        </w:rPr>
      </w:pPr>
    </w:p>
    <w:p>
      <w:pPr>
        <w:ind w:left="460" w:right="60" w:hanging="647"/>
        <w:spacing w:after="0" w:line="215" w:lineRule="auto"/>
        <w:tabs>
          <w:tab w:leader="none" w:pos="4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performance, enforcement, interpretation, and any other aspect of this Agreement shall be governed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laws of the State of Minnesota, notwithstanding the choice of law provisions of any jurisdiction; provided, however, to the extent</w:t>
      </w:r>
    </w:p>
    <w:p>
      <w:pPr>
        <w:ind w:left="660"/>
        <w:spacing w:after="0" w:line="212" w:lineRule="auto"/>
        <w:rPr>
          <w:sz w:val="20"/>
          <w:szCs w:val="20"/>
          <w:color w:val="auto"/>
        </w:rPr>
      </w:pPr>
      <w:r>
        <w:rPr>
          <w:rFonts w:ascii="Times New Roman" w:cs="Times New Roman" w:eastAsia="Times New Roman" w:hAnsi="Times New Roman"/>
          <w:sz w:val="20"/>
          <w:szCs w:val="20"/>
          <w:color w:val="auto"/>
        </w:rPr>
        <w:t>an Other Protective Agreement addresses the same subject matter as addressed in this Agreement and such Other Protective</w:t>
      </w:r>
    </w:p>
    <w:p>
      <w:pPr>
        <w:spacing w:after="0" w:line="1" w:lineRule="exact"/>
        <w:rPr>
          <w:sz w:val="20"/>
          <w:szCs w:val="20"/>
          <w:color w:val="auto"/>
        </w:rPr>
      </w:pPr>
    </w:p>
    <w:p>
      <w:pPr>
        <w:ind w:left="660" w:right="840"/>
        <w:spacing w:after="0" w:line="221" w:lineRule="auto"/>
        <w:rPr>
          <w:sz w:val="20"/>
          <w:szCs w:val="20"/>
          <w:color w:val="auto"/>
        </w:rPr>
      </w:pPr>
      <w:r>
        <w:rPr>
          <w:rFonts w:ascii="Times New Roman" w:cs="Times New Roman" w:eastAsia="Times New Roman" w:hAnsi="Times New Roman"/>
          <w:sz w:val="20"/>
          <w:szCs w:val="20"/>
          <w:color w:val="auto"/>
        </w:rPr>
        <w:t>Agreement identifies a governing law other than Minnesota law, then the governing law identified in such Other Protective Agreement shall control with respect to such subject matter.</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Venue; Jury Trial Waiver</w:t>
      </w:r>
      <w:r>
        <w:rPr>
          <w:rFonts w:ascii="Times New Roman" w:cs="Times New Roman" w:eastAsia="Times New Roman" w:hAnsi="Times New Roman"/>
          <w:sz w:val="19"/>
          <w:szCs w:val="19"/>
          <w:color w:val="auto"/>
        </w:rPr>
        <w:t>. Company and Service Provider agree that any legal action arising out of or relating to this Agreement,</w:t>
      </w:r>
    </w:p>
    <w:p>
      <w:pPr>
        <w:ind w:left="660" w:right="480"/>
        <w:spacing w:after="0" w:line="215" w:lineRule="auto"/>
        <w:rPr>
          <w:sz w:val="20"/>
          <w:szCs w:val="20"/>
          <w:color w:val="auto"/>
        </w:rPr>
      </w:pPr>
      <w:r>
        <w:rPr>
          <w:rFonts w:ascii="Times New Roman" w:cs="Times New Roman" w:eastAsia="Times New Roman" w:hAnsi="Times New Roman"/>
          <w:sz w:val="19"/>
          <w:szCs w:val="19"/>
          <w:color w:val="auto"/>
        </w:rPr>
        <w:t>Service Provider’s employment or engagement with the Company or the separation of Service Provider’s employment or engagement shall be commenced and maintained exclusively before any state or federal court having appropriate subject matter</w:t>
      </w:r>
    </w:p>
    <w:p>
      <w:pPr>
        <w:ind w:left="660"/>
        <w:spacing w:after="0" w:line="211" w:lineRule="auto"/>
        <w:rPr>
          <w:sz w:val="20"/>
          <w:szCs w:val="20"/>
          <w:color w:val="auto"/>
        </w:rPr>
      </w:pPr>
      <w:r>
        <w:rPr>
          <w:rFonts w:ascii="Times New Roman" w:cs="Times New Roman" w:eastAsia="Times New Roman" w:hAnsi="Times New Roman"/>
          <w:sz w:val="20"/>
          <w:szCs w:val="20"/>
          <w:color w:val="auto"/>
        </w:rPr>
        <w:t>jurisdiction located in, or whose judicial district encompasses or serves, Hennepin County, Minnesota; provided, however, to the</w:t>
      </w: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extent an Other Protective Agreement addresses the same subject matter as addressed in this Agreement and such Other Protective Agreement identifies a venue other than Hennepin County, Minnesota, then the venue identified in such Other Protective Agreement</w:t>
      </w:r>
    </w:p>
    <w:p>
      <w:pPr>
        <w:ind w:left="660"/>
        <w:spacing w:after="0"/>
        <w:rPr>
          <w:sz w:val="20"/>
          <w:szCs w:val="20"/>
          <w:color w:val="auto"/>
        </w:rPr>
      </w:pPr>
      <w:r>
        <w:rPr>
          <w:rFonts w:ascii="Times New Roman" w:cs="Times New Roman" w:eastAsia="Times New Roman" w:hAnsi="Times New Roman"/>
          <w:sz w:val="20"/>
          <w:szCs w:val="20"/>
          <w:color w:val="auto"/>
        </w:rPr>
        <w:t>shall control with respect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12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40"/>
          </w:cols>
          <w:pgMar w:left="320" w:top="1399"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9"/>
          <w:szCs w:val="19"/>
          <w:color w:val="auto"/>
        </w:rPr>
        <w:t>to such subject matter. SERVICE PROVIDER AND THE COMPANY EACH HEREBY VOLUNTARILY AND IRREVOCABLY</w:t>
      </w:r>
    </w:p>
    <w:p>
      <w:pPr>
        <w:spacing w:after="0" w:line="6" w:lineRule="exact"/>
        <w:rPr>
          <w:sz w:val="20"/>
          <w:szCs w:val="20"/>
          <w:color w:val="auto"/>
        </w:rPr>
      </w:pP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WAIVES TRIAL BY JURY IN ANY LEGAL ACTION ARISING OUT OF OR RELATING TO THIS AGREEMENT OR SERVICE PROVIDER’S EMPLOYMENT OR ENGAGEMENT WITH THE COMPANY TO THE FULL EXTENT PERMITTED</w:t>
      </w:r>
    </w:p>
    <w:p>
      <w:pPr>
        <w:ind w:left="660"/>
        <w:spacing w:after="0"/>
        <w:rPr>
          <w:sz w:val="20"/>
          <w:szCs w:val="20"/>
          <w:color w:val="auto"/>
        </w:rPr>
      </w:pPr>
      <w:r>
        <w:rPr>
          <w:rFonts w:ascii="Times New Roman" w:cs="Times New Roman" w:eastAsia="Times New Roman" w:hAnsi="Times New Roman"/>
          <w:sz w:val="20"/>
          <w:szCs w:val="20"/>
          <w:color w:val="auto"/>
        </w:rPr>
        <w:t>BY LAW.</w:t>
      </w:r>
    </w:p>
    <w:p>
      <w:pPr>
        <w:spacing w:after="0" w:line="167" w:lineRule="exact"/>
        <w:rPr>
          <w:sz w:val="20"/>
          <w:szCs w:val="20"/>
          <w:color w:val="auto"/>
        </w:rPr>
      </w:pPr>
    </w:p>
    <w:p>
      <w:pPr>
        <w:ind w:left="460" w:hanging="647"/>
        <w:spacing w:after="0" w:line="227" w:lineRule="auto"/>
        <w:tabs>
          <w:tab w:leader="none" w:pos="4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Acknowledgment; Headings</w:t>
      </w:r>
      <w:r>
        <w:rPr>
          <w:rFonts w:ascii="Times New Roman" w:cs="Times New Roman" w:eastAsia="Times New Roman" w:hAnsi="Times New Roman"/>
          <w:sz w:val="19"/>
          <w:szCs w:val="19"/>
          <w:color w:val="auto"/>
        </w:rPr>
        <w:t>. By accepting the terms of this Agreement online, Service Provider agrees to be bound by this Agreement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agrees such acceptance shall evidence Service Provider’s signature by electronic means. Section headings are inserted for</w:t>
      </w:r>
    </w:p>
    <w:p>
      <w:pPr>
        <w:ind w:left="660"/>
        <w:spacing w:after="0"/>
        <w:rPr>
          <w:sz w:val="20"/>
          <w:szCs w:val="20"/>
          <w:color w:val="auto"/>
        </w:rPr>
      </w:pPr>
      <w:r>
        <w:rPr>
          <w:rFonts w:ascii="Times New Roman" w:cs="Times New Roman" w:eastAsia="Times New Roman" w:hAnsi="Times New Roman"/>
          <w:sz w:val="20"/>
          <w:szCs w:val="20"/>
          <w:color w:val="auto"/>
        </w:rPr>
        <w:t>convenience only and shall not be deemed to constitute part of this Agreement or to affect its interpretation.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13</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180"/>
          </w:cols>
          <w:pgMar w:left="320" w:top="1399" w:right="39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PRIOR INVENTIONS</w:t>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29210</wp:posOffset>
            </wp:positionV>
            <wp:extent cx="39173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firstLine="8"/>
        <w:spacing w:after="0" w:line="216" w:lineRule="auto"/>
        <w:tabs>
          <w:tab w:leader="none" w:pos="19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Prior Inventions listed in Section 2 below, the following is a reasonably detailed, complete, and accurate list of all intellectual property, including, but not limited to, any ideas, inventions, patents, trademarks, service marks, copyrights, creations, know how, work product, and other developments or improvements, if any, patented or unpatented, which I, alone or with others, conceived, created, invented, developed, reduced to practice, or caused to be conceived and or caused to be reduced to practice prior to the earlier of commencement of my employment with Winnebago Industries, Inc. or any of its subsidiaries, parents, affiliates, or divisions, or when I first provided services to Winnebago Industries, Inc. or any of its subsidiaries, affiliates, or divisions.</w:t>
      </w:r>
    </w:p>
    <w:p>
      <w:pPr>
        <w:spacing w:after="0" w:line="218" w:lineRule="exact"/>
        <w:rPr>
          <w:sz w:val="20"/>
          <w:szCs w:val="20"/>
          <w:color w:val="auto"/>
        </w:rPr>
      </w:pPr>
    </w:p>
    <w:p>
      <w:pPr>
        <w:ind w:left="540"/>
        <w:spacing w:after="0"/>
        <w:rPr>
          <w:sz w:val="20"/>
          <w:szCs w:val="20"/>
          <w:color w:val="auto"/>
        </w:rPr>
      </w:pPr>
      <w:r>
        <w:rPr>
          <w:rFonts w:ascii="Calibri" w:cs="Calibri" w:eastAsia="Calibri" w:hAnsi="Calibri"/>
          <w:sz w:val="20"/>
          <w:szCs w:val="20"/>
          <w:color w:val="auto"/>
        </w:rPr>
        <w:t>I have no Prior Inventons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914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16" w:lineRule="exact"/>
        <w:rPr>
          <w:sz w:val="20"/>
          <w:szCs w:val="20"/>
          <w:color w:val="auto"/>
        </w:rPr>
      </w:pPr>
    </w:p>
    <w:p>
      <w:pPr>
        <w:ind w:left="540"/>
        <w:spacing w:after="0"/>
        <w:rPr>
          <w:sz w:val="20"/>
          <w:szCs w:val="20"/>
          <w:color w:val="auto"/>
        </w:rPr>
      </w:pPr>
      <w:r>
        <w:rPr>
          <w:rFonts w:ascii="Calibri" w:cs="Calibri" w:eastAsia="Calibri" w:hAnsi="Calibri"/>
          <w:sz w:val="20"/>
          <w:szCs w:val="20"/>
          <w:color w:val="auto"/>
        </w:rPr>
        <w:t>List of Prior Inventons: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1015365</wp:posOffset>
            </wp:positionV>
            <wp:extent cx="70891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817880</wp:posOffset>
            </wp:positionV>
            <wp:extent cx="70891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0891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0891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0891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08914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Calibri" w:cs="Calibri" w:eastAsia="Calibri" w:hAnsi="Calibri"/>
          <w:sz w:val="20"/>
          <w:szCs w:val="20"/>
          <w:color w:val="auto"/>
        </w:rPr>
        <w:t>Check box and atach additonal sheet(s),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914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60" w:firstLine="8"/>
        <w:spacing w:after="0" w:line="233" w:lineRule="auto"/>
        <w:tabs>
          <w:tab w:leader="none" w:pos="19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a prior confidentiality agreement, I can only provide a general reference to Prior Inventions and the name and relationship status of the party(ies) to whom I owe a duty of confientiatlity with respect to such proprietary rights:</w:t>
      </w:r>
    </w:p>
    <w:p>
      <w:pPr>
        <w:spacing w:after="0" w:line="217" w:lineRule="exact"/>
        <w:rPr>
          <w:sz w:val="20"/>
          <w:szCs w:val="20"/>
          <w:color w:val="auto"/>
        </w:rPr>
      </w:pPr>
    </w:p>
    <w:p>
      <w:pPr>
        <w:ind w:left="580"/>
        <w:spacing w:after="0"/>
        <w:tabs>
          <w:tab w:leader="none" w:pos="4900" w:val="left"/>
          <w:tab w:leader="none" w:pos="8260" w:val="left"/>
        </w:tabs>
        <w:rPr>
          <w:sz w:val="20"/>
          <w:szCs w:val="20"/>
          <w:color w:val="auto"/>
        </w:rPr>
      </w:pPr>
      <w:r>
        <w:rPr>
          <w:rFonts w:ascii="Calibri" w:cs="Calibri" w:eastAsia="Calibri" w:hAnsi="Calibri"/>
          <w:sz w:val="20"/>
          <w:szCs w:val="20"/>
          <w:color w:val="auto"/>
        </w:rPr>
        <w:t>Prior Inventon</w:t>
      </w:r>
      <w:r>
        <w:rPr>
          <w:sz w:val="20"/>
          <w:szCs w:val="20"/>
          <w:color w:val="auto"/>
        </w:rPr>
        <w:tab/>
      </w:r>
      <w:r>
        <w:rPr>
          <w:rFonts w:ascii="Calibri" w:cs="Calibri" w:eastAsia="Calibri" w:hAnsi="Calibri"/>
          <w:sz w:val="20"/>
          <w:szCs w:val="20"/>
          <w:color w:val="auto"/>
        </w:rPr>
        <w:t>Party(ies)</w:t>
      </w:r>
      <w:r>
        <w:rPr>
          <w:sz w:val="20"/>
          <w:szCs w:val="20"/>
          <w:color w:val="auto"/>
        </w:rPr>
        <w:tab/>
      </w:r>
      <w:r>
        <w:rPr>
          <w:rFonts w:ascii="Calibri" w:cs="Calibri" w:eastAsia="Calibri" w:hAnsi="Calibri"/>
          <w:sz w:val="20"/>
          <w:szCs w:val="20"/>
          <w:color w:val="auto"/>
        </w:rPr>
        <w:t>Relatonship</w:t>
      </w:r>
    </w:p>
    <w:p>
      <w:pPr>
        <w:spacing w:after="0" w:line="12"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1.</w:t>
      </w:r>
    </w:p>
    <w:p>
      <w:pPr>
        <w:spacing w:after="0" w:line="12"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-132715</wp:posOffset>
            </wp:positionV>
            <wp:extent cx="6814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6814820" cy="8890"/>
                    </a:xfrm>
                    <a:prstGeom prst="rect">
                      <a:avLst/>
                    </a:prstGeom>
                    <a:noFill/>
                  </pic:spPr>
                </pic:pic>
              </a:graphicData>
            </a:graphic>
          </wp:anchor>
        </w:drawing>
      </w:r>
    </w:p>
    <w:p>
      <w:pPr>
        <w:ind w:left="80"/>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29845</wp:posOffset>
            </wp:positionV>
            <wp:extent cx="68148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-132715</wp:posOffset>
            </wp:positionV>
            <wp:extent cx="68148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03" w:lineRule="exact"/>
        <w:rPr>
          <w:sz w:val="20"/>
          <w:szCs w:val="20"/>
          <w:color w:val="auto"/>
        </w:rPr>
      </w:pPr>
    </w:p>
    <w:p>
      <w:pPr>
        <w:ind w:left="580"/>
        <w:spacing w:after="0"/>
        <w:rPr>
          <w:sz w:val="20"/>
          <w:szCs w:val="20"/>
          <w:color w:val="auto"/>
        </w:rPr>
      </w:pPr>
      <w:r>
        <w:rPr>
          <w:rFonts w:ascii="Calibri" w:cs="Calibri" w:eastAsia="Calibri" w:hAnsi="Calibri"/>
          <w:sz w:val="20"/>
          <w:szCs w:val="20"/>
          <w:color w:val="auto"/>
        </w:rPr>
        <w:t>Check box and atach additonal sheet(s),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6"/>
          <w:szCs w:val="16"/>
          <w:color w:val="auto"/>
        </w:rPr>
        <w:t>PSU Agreement (2019 Omnibus Plan – FY23-25 LTIP)</w:t>
      </w:r>
      <w:r>
        <w:rPr>
          <w:sz w:val="20"/>
          <w:szCs w:val="20"/>
          <w:color w:val="auto"/>
        </w:rPr>
        <w:tab/>
      </w:r>
      <w:r>
        <w:rPr>
          <w:rFonts w:ascii="Times New Roman" w:cs="Times New Roman" w:eastAsia="Times New Roman" w:hAnsi="Times New Roman"/>
          <w:sz w:val="16"/>
          <w:szCs w:val="16"/>
          <w:color w:val="auto"/>
        </w:rPr>
        <w:t>Page 14</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US.134769903.02</w:t>
      </w:r>
    </w:p>
    <w:p>
      <w:pPr>
        <w:sectPr>
          <w:pgSz w:w="11900" w:h="16838" w:orient="portrait"/>
          <w:cols w:equalWidth="0" w:num="1">
            <w:col w:w="11220"/>
          </w:cols>
          <w:pgMar w:left="320" w:top="1395"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ind w:left="1380"/>
              <w:spacing w:after="0"/>
              <w:rPr>
                <w:sz w:val="20"/>
                <w:szCs w:val="20"/>
                <w:color w:val="auto"/>
              </w:rPr>
            </w:pPr>
            <w:r>
              <w:rPr>
                <w:rFonts w:ascii="Arial" w:cs="Arial" w:eastAsia="Arial" w:hAnsi="Arial"/>
                <w:sz w:val="16"/>
                <w:szCs w:val="16"/>
                <w:b w:val="1"/>
                <w:bCs w:val="1"/>
                <w:color w:val="auto"/>
                <w:w w:val="97"/>
              </w:rPr>
              <w:t>Exhibit 21</w:t>
            </w:r>
          </w:p>
        </w:tc>
      </w:tr>
      <w:tr>
        <w:trPr>
          <w:trHeight w:val="412"/>
        </w:trPr>
        <w:tc>
          <w:tcPr>
            <w:tcW w:w="3360" w:type="dxa"/>
            <w:vAlign w:val="bottom"/>
          </w:tcPr>
          <w:p>
            <w:pPr>
              <w:spacing w:after="0"/>
              <w:rPr>
                <w:sz w:val="24"/>
                <w:szCs w:val="24"/>
                <w:color w:val="auto"/>
              </w:rPr>
            </w:pPr>
          </w:p>
        </w:tc>
        <w:tc>
          <w:tcPr>
            <w:tcW w:w="5740" w:type="dxa"/>
            <w:vAlign w:val="bottom"/>
            <w:gridSpan w:val="4"/>
          </w:tcPr>
          <w:p>
            <w:pPr>
              <w:jc w:val="center"/>
              <w:ind w:right="1220"/>
              <w:spacing w:after="0"/>
              <w:rPr>
                <w:sz w:val="20"/>
                <w:szCs w:val="20"/>
                <w:color w:val="auto"/>
              </w:rPr>
            </w:pPr>
            <w:r>
              <w:rPr>
                <w:rFonts w:ascii="Arial" w:cs="Arial" w:eastAsia="Arial" w:hAnsi="Arial"/>
                <w:sz w:val="16"/>
                <w:szCs w:val="16"/>
                <w:b w:val="1"/>
                <w:bCs w:val="1"/>
                <w:color w:val="auto"/>
              </w:rPr>
              <w:t>SUBSIDIARIES OF THE REGISTRANT</w:t>
            </w:r>
          </w:p>
        </w:tc>
        <w:tc>
          <w:tcPr>
            <w:tcW w:w="2140" w:type="dxa"/>
            <w:vAlign w:val="bottom"/>
          </w:tcPr>
          <w:p>
            <w:pPr>
              <w:spacing w:after="0"/>
              <w:rPr>
                <w:sz w:val="24"/>
                <w:szCs w:val="24"/>
                <w:color w:val="auto"/>
              </w:rPr>
            </w:pPr>
          </w:p>
        </w:tc>
      </w:tr>
      <w:tr>
        <w:trPr>
          <w:trHeight w:val="223"/>
        </w:trPr>
        <w:tc>
          <w:tcPr>
            <w:tcW w:w="3360" w:type="dxa"/>
            <w:vAlign w:val="bottom"/>
          </w:tcPr>
          <w:p>
            <w:pPr>
              <w:spacing w:after="0"/>
              <w:rPr>
                <w:sz w:val="19"/>
                <w:szCs w:val="19"/>
                <w:color w:val="auto"/>
              </w:rPr>
            </w:pPr>
          </w:p>
        </w:tc>
        <w:tc>
          <w:tcPr>
            <w:tcW w:w="5740" w:type="dxa"/>
            <w:vAlign w:val="bottom"/>
            <w:gridSpan w:val="4"/>
          </w:tcPr>
          <w:p>
            <w:pPr>
              <w:jc w:val="center"/>
              <w:ind w:right="1200"/>
              <w:spacing w:after="0"/>
              <w:rPr>
                <w:sz w:val="20"/>
                <w:szCs w:val="20"/>
                <w:color w:val="auto"/>
              </w:rPr>
            </w:pPr>
            <w:r>
              <w:rPr>
                <w:rFonts w:ascii="Arial" w:cs="Arial" w:eastAsia="Arial" w:hAnsi="Arial"/>
                <w:sz w:val="16"/>
                <w:szCs w:val="16"/>
                <w:b w:val="1"/>
                <w:bCs w:val="1"/>
                <w:color w:val="auto"/>
              </w:rPr>
              <w:t>at August 27, 2022</w:t>
            </w:r>
          </w:p>
        </w:tc>
        <w:tc>
          <w:tcPr>
            <w:tcW w:w="2140" w:type="dxa"/>
            <w:vAlign w:val="bottom"/>
          </w:tcPr>
          <w:p>
            <w:pPr>
              <w:spacing w:after="0"/>
              <w:rPr>
                <w:sz w:val="19"/>
                <w:szCs w:val="19"/>
                <w:color w:val="auto"/>
              </w:rPr>
            </w:pPr>
          </w:p>
        </w:tc>
      </w:tr>
      <w:tr>
        <w:trPr>
          <w:trHeight w:val="223"/>
        </w:trPr>
        <w:tc>
          <w:tcPr>
            <w:tcW w:w="3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Jurisdiction of</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 of</w:t>
            </w:r>
          </w:p>
        </w:tc>
      </w:tr>
      <w:tr>
        <w:trPr>
          <w:trHeight w:val="217"/>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Name of Corporation</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Incorporation</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09"/>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3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Minnesota</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Parent</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Winnebago of Indiana,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rPr>
              <w:t>Iowa</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Design RV, LLC</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Winnebago Industries Holdco,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Octavius Corporation</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Chris-Craft Limited</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Jersey Channel Islands</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Chris-Craft USA, Inc.</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CC Marine Brand Acquisition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 Craft Corporation</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CC Property Acquisition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Newmar Corporation</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Barletta Boat Company,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20" w:top="93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Registration Statement Nos. 333-31595, 333-47123, 333-113246, 333-194854, 333-222261 and 333-</w:t>
      </w:r>
    </w:p>
    <w:p>
      <w:pPr>
        <w:spacing w:after="0" w:line="8" w:lineRule="exact"/>
        <w:rPr>
          <w:sz w:val="20"/>
          <w:szCs w:val="20"/>
          <w:color w:val="auto"/>
        </w:rPr>
      </w:pPr>
    </w:p>
    <w:p>
      <w:pPr>
        <w:ind w:right="440"/>
        <w:spacing w:after="0" w:line="235" w:lineRule="auto"/>
        <w:rPr>
          <w:sz w:val="20"/>
          <w:szCs w:val="20"/>
          <w:color w:val="auto"/>
        </w:rPr>
      </w:pPr>
      <w:r>
        <w:rPr>
          <w:rFonts w:ascii="Arial" w:cs="Arial" w:eastAsia="Arial" w:hAnsi="Arial"/>
          <w:sz w:val="16"/>
          <w:szCs w:val="16"/>
          <w:color w:val="auto"/>
        </w:rPr>
        <w:t>232220 on Form S-8 of our reports dated October 19, 2022, relating to the financial statements of Winnebago Industries, Inc. and the effectiveness of Winnebago Industries, Inc.'s internal control over financial reporting appearing in this Annual Report on Form 10-K for the year ended August 27, 2022.</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19, 2022</w:t>
      </w:r>
    </w:p>
    <w:p>
      <w:pPr>
        <w:sectPr>
          <w:pgSz w:w="11900" w:h="16838" w:orient="portrait"/>
          <w:cols w:equalWidth="0" w:num="1">
            <w:col w:w="11240"/>
          </w:cols>
          <w:pgMar w:left="320" w:top="93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31.1</w:t>
      </w:r>
    </w:p>
    <w:p>
      <w:pPr>
        <w:spacing w:after="0" w:line="302"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100"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59"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1" w:lineRule="exact"/>
        <w:rPr>
          <w:rFonts w:ascii="Arial" w:cs="Arial" w:eastAsia="Arial" w:hAnsi="Arial"/>
          <w:sz w:val="16"/>
          <w:szCs w:val="16"/>
          <w:color w:val="auto"/>
        </w:rPr>
      </w:pPr>
    </w:p>
    <w:p>
      <w:pPr>
        <w:ind w:left="340" w:right="40" w:hanging="332"/>
        <w:spacing w:after="0" w:line="304"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20" w:hanging="328"/>
        <w:spacing w:after="0" w:line="275" w:lineRule="auto"/>
        <w:tabs>
          <w:tab w:leader="none" w:pos="6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1" w:lineRule="exact"/>
        <w:rPr>
          <w:rFonts w:ascii="Arial" w:cs="Arial" w:eastAsia="Arial" w:hAnsi="Arial"/>
          <w:sz w:val="16"/>
          <w:szCs w:val="16"/>
          <w:color w:val="auto"/>
        </w:rPr>
      </w:pPr>
    </w:p>
    <w:p>
      <w:pPr>
        <w:ind w:left="660" w:right="40" w:hanging="328"/>
        <w:spacing w:after="0" w:line="275" w:lineRule="auto"/>
        <w:tabs>
          <w:tab w:leader="none" w:pos="6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6"/>
          <w:szCs w:val="16"/>
          <w:color w:val="auto"/>
        </w:rPr>
      </w:pPr>
    </w:p>
    <w:p>
      <w:pPr>
        <w:ind w:left="660" w:right="200" w:hanging="328"/>
        <w:spacing w:after="0" w:line="286" w:lineRule="auto"/>
        <w:tabs>
          <w:tab w:leader="none" w:pos="651"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82" w:lineRule="exact"/>
        <w:rPr>
          <w:rFonts w:ascii="Arial" w:cs="Arial" w:eastAsia="Arial" w:hAnsi="Arial"/>
          <w:sz w:val="16"/>
          <w:szCs w:val="16"/>
          <w:color w:val="auto"/>
        </w:rPr>
      </w:pPr>
    </w:p>
    <w:p>
      <w:pPr>
        <w:jc w:val="both"/>
        <w:ind w:left="660" w:right="280" w:hanging="328"/>
        <w:spacing w:after="0" w:line="275" w:lineRule="auto"/>
        <w:tabs>
          <w:tab w:leader="none" w:pos="6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204"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2" w:lineRule="exact"/>
        <w:rPr>
          <w:rFonts w:ascii="Arial" w:cs="Arial" w:eastAsia="Arial" w:hAnsi="Arial"/>
          <w:sz w:val="16"/>
          <w:szCs w:val="16"/>
          <w:color w:val="auto"/>
        </w:rPr>
      </w:pPr>
    </w:p>
    <w:p>
      <w:pPr>
        <w:ind w:left="660" w:right="40" w:hanging="328"/>
        <w:spacing w:after="0" w:line="304" w:lineRule="auto"/>
        <w:tabs>
          <w:tab w:leader="none" w:pos="6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340" w:hanging="328"/>
        <w:spacing w:after="0" w:line="304" w:lineRule="auto"/>
        <w:tabs>
          <w:tab w:leader="none" w:pos="6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Date:</w:t>
            </w:r>
          </w:p>
        </w:tc>
        <w:tc>
          <w:tcPr>
            <w:tcW w:w="3320" w:type="dxa"/>
            <w:vAlign w:val="bottom"/>
          </w:tcPr>
          <w:p>
            <w:pPr>
              <w:ind w:left="280"/>
              <w:spacing w:after="0"/>
              <w:rPr>
                <w:sz w:val="20"/>
                <w:szCs w:val="20"/>
                <w:color w:val="auto"/>
              </w:rPr>
            </w:pPr>
            <w:r>
              <w:rPr>
                <w:rFonts w:ascii="Arial" w:cs="Arial" w:eastAsia="Arial" w:hAnsi="Arial"/>
                <w:sz w:val="16"/>
                <w:szCs w:val="16"/>
                <w:color w:val="auto"/>
              </w:rPr>
              <w:t>October 19, 2022</w:t>
            </w:r>
          </w:p>
        </w:tc>
        <w:tc>
          <w:tcPr>
            <w:tcW w:w="2600" w:type="dxa"/>
            <w:vAlign w:val="bottom"/>
          </w:tcPr>
          <w:p>
            <w:pPr>
              <w:ind w:left="1820"/>
              <w:spacing w:after="0"/>
              <w:rPr>
                <w:sz w:val="20"/>
                <w:szCs w:val="20"/>
                <w:color w:val="auto"/>
              </w:rPr>
            </w:pPr>
            <w:r>
              <w:rPr>
                <w:rFonts w:ascii="Arial" w:cs="Arial" w:eastAsia="Arial" w:hAnsi="Arial"/>
                <w:sz w:val="16"/>
                <w:szCs w:val="16"/>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r>
      <w:tr>
        <w:trPr>
          <w:trHeight w:val="209"/>
        </w:trPr>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Michael J. Happe</w:t>
            </w:r>
          </w:p>
        </w:tc>
      </w:tr>
      <w:tr>
        <w:trPr>
          <w:trHeight w:val="215"/>
        </w:trPr>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President, Chief Executive Officer</w:t>
            </w:r>
          </w:p>
        </w:tc>
      </w:tr>
    </w:tbl>
    <w:p>
      <w:pPr>
        <w:sectPr>
          <w:pgSz w:w="11900" w:h="16838" w:orient="portrait"/>
          <w:cols w:equalWidth="0" w:num="1">
            <w:col w:w="11240"/>
          </w:cols>
          <w:pgMar w:left="320" w:top="976"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100"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02" w:lineRule="exact"/>
        <w:rPr>
          <w:rFonts w:ascii="Arial" w:cs="Arial" w:eastAsia="Arial" w:hAnsi="Arial"/>
          <w:sz w:val="16"/>
          <w:szCs w:val="16"/>
          <w:color w:val="auto"/>
        </w:rPr>
      </w:pPr>
    </w:p>
    <w:p>
      <w:pPr>
        <w:ind w:left="340" w:right="100" w:hanging="332"/>
        <w:spacing w:after="0" w:line="26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1" w:lineRule="exact"/>
        <w:rPr>
          <w:rFonts w:ascii="Arial" w:cs="Arial" w:eastAsia="Arial" w:hAnsi="Arial"/>
          <w:sz w:val="16"/>
          <w:szCs w:val="16"/>
          <w:color w:val="auto"/>
        </w:rPr>
      </w:pPr>
    </w:p>
    <w:p>
      <w:pPr>
        <w:ind w:left="340" w:right="40" w:hanging="332"/>
        <w:spacing w:after="0" w:line="28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6" w:lineRule="exact"/>
        <w:rPr>
          <w:rFonts w:ascii="Arial" w:cs="Arial" w:eastAsia="Arial" w:hAnsi="Arial"/>
          <w:sz w:val="16"/>
          <w:szCs w:val="16"/>
          <w:color w:val="auto"/>
        </w:rPr>
      </w:pPr>
    </w:p>
    <w:p>
      <w:pPr>
        <w:ind w:left="340" w:right="180" w:hanging="332"/>
        <w:spacing w:after="0" w:line="26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660" w:right="320" w:hanging="328"/>
        <w:spacing w:after="0" w:line="275" w:lineRule="auto"/>
        <w:tabs>
          <w:tab w:leader="none" w:pos="6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1" w:lineRule="exact"/>
        <w:rPr>
          <w:rFonts w:ascii="Arial" w:cs="Arial" w:eastAsia="Arial" w:hAnsi="Arial"/>
          <w:sz w:val="16"/>
          <w:szCs w:val="16"/>
          <w:color w:val="auto"/>
        </w:rPr>
      </w:pPr>
    </w:p>
    <w:p>
      <w:pPr>
        <w:ind w:left="660" w:right="40" w:hanging="328"/>
        <w:spacing w:after="0" w:line="275" w:lineRule="auto"/>
        <w:tabs>
          <w:tab w:leader="none" w:pos="6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660" w:right="200" w:hanging="328"/>
        <w:spacing w:after="0" w:line="304" w:lineRule="auto"/>
        <w:tabs>
          <w:tab w:leader="none" w:pos="651"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280" w:hanging="328"/>
        <w:spacing w:after="0" w:line="275" w:lineRule="auto"/>
        <w:tabs>
          <w:tab w:leader="none" w:pos="6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91" w:lineRule="exact"/>
        <w:rPr>
          <w:rFonts w:ascii="Arial" w:cs="Arial" w:eastAsia="Arial" w:hAnsi="Arial"/>
          <w:sz w:val="16"/>
          <w:szCs w:val="16"/>
          <w:color w:val="auto"/>
        </w:rPr>
      </w:pPr>
    </w:p>
    <w:p>
      <w:pPr>
        <w:ind w:left="340" w:right="440" w:hanging="332"/>
        <w:spacing w:after="0" w:line="304"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40" w:hanging="328"/>
        <w:spacing w:after="0" w:line="286" w:lineRule="auto"/>
        <w:tabs>
          <w:tab w:leader="none" w:pos="6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6"/>
          <w:szCs w:val="16"/>
          <w:color w:val="auto"/>
        </w:rPr>
      </w:pPr>
    </w:p>
    <w:p>
      <w:pPr>
        <w:ind w:left="660" w:right="340" w:hanging="328"/>
        <w:spacing w:after="0" w:line="286" w:lineRule="auto"/>
        <w:tabs>
          <w:tab w:leader="none" w:pos="6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ind w:left="520"/>
        <w:spacing w:after="0"/>
        <w:tabs>
          <w:tab w:leader="none" w:pos="1200" w:val="left"/>
          <w:tab w:leader="none" w:pos="6200" w:val="left"/>
          <w:tab w:leader="none" w:pos="69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20955</wp:posOffset>
            </wp:positionV>
            <wp:extent cx="2434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6"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Bryan L. Hughes</w:t>
      </w:r>
    </w:p>
    <w:p>
      <w:pPr>
        <w:spacing w:after="0" w:line="26"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Senior Vice President, Chief Financial Officer</w:t>
      </w:r>
    </w:p>
    <w:p>
      <w:pPr>
        <w:ind w:left="694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93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36" w:lineRule="exact"/>
        <w:rPr>
          <w:sz w:val="20"/>
          <w:szCs w:val="20"/>
          <w:color w:val="auto"/>
        </w:rPr>
      </w:pPr>
    </w:p>
    <w:p>
      <w:pPr>
        <w:ind w:left="660" w:right="20" w:hanging="328"/>
        <w:spacing w:after="0" w:line="28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27, 2022 (the "Report") of the Company fully complies with the requirements of Section 13(a) or 15(d) of the Securities Exchange Act of 1934,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6"/>
                <w:szCs w:val="16"/>
                <w:color w:val="auto"/>
              </w:rPr>
              <w:t>Date:</w:t>
            </w:r>
          </w:p>
        </w:tc>
        <w:tc>
          <w:tcPr>
            <w:tcW w:w="3480" w:type="dxa"/>
            <w:vAlign w:val="bottom"/>
          </w:tcPr>
          <w:p>
            <w:pPr>
              <w:ind w:left="280"/>
              <w:spacing w:after="0"/>
              <w:rPr>
                <w:sz w:val="20"/>
                <w:szCs w:val="20"/>
                <w:color w:val="auto"/>
              </w:rPr>
            </w:pPr>
            <w:r>
              <w:rPr>
                <w:rFonts w:ascii="Arial" w:cs="Arial" w:eastAsia="Arial" w:hAnsi="Arial"/>
                <w:sz w:val="16"/>
                <w:szCs w:val="16"/>
                <w:color w:val="auto"/>
              </w:rPr>
              <w:t>October 19, 2022</w:t>
            </w:r>
          </w:p>
        </w:tc>
        <w:tc>
          <w:tcPr>
            <w:tcW w:w="2800" w:type="dxa"/>
            <w:vAlign w:val="bottom"/>
          </w:tcPr>
          <w:p>
            <w:pPr>
              <w:ind w:left="1960"/>
              <w:spacing w:after="0"/>
              <w:rPr>
                <w:sz w:val="20"/>
                <w:szCs w:val="20"/>
                <w:color w:val="auto"/>
              </w:rPr>
            </w:pPr>
            <w:r>
              <w:rPr>
                <w:rFonts w:ascii="Arial" w:cs="Arial" w:eastAsia="Arial" w:hAnsi="Arial"/>
                <w:sz w:val="16"/>
                <w:szCs w:val="16"/>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r>
      <w:tr>
        <w:trPr>
          <w:trHeight w:val="209"/>
        </w:trPr>
        <w:tc>
          <w:tcPr>
            <w:tcW w:w="6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6"/>
                <w:szCs w:val="16"/>
                <w:color w:val="auto"/>
              </w:rPr>
              <w:t>Michael J. Happe</w:t>
            </w:r>
          </w:p>
        </w:tc>
      </w:tr>
      <w:tr>
        <w:trPr>
          <w:trHeight w:val="215"/>
        </w:trPr>
        <w:tc>
          <w:tcPr>
            <w:tcW w:w="6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6"/>
                <w:szCs w:val="16"/>
                <w:color w:val="auto"/>
              </w:rPr>
              <w:t>President, Chief Executive Officer</w:t>
            </w:r>
          </w:p>
        </w:tc>
      </w:tr>
    </w:tbl>
    <w:p>
      <w:pPr>
        <w:sectPr>
          <w:pgSz w:w="11900" w:h="16838" w:orient="portrait"/>
          <w:cols w:equalWidth="0" w:num="1">
            <w:col w:w="11240"/>
          </w:cols>
          <w:pgMar w:left="320" w:top="976"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36" w:lineRule="exact"/>
        <w:rPr>
          <w:sz w:val="20"/>
          <w:szCs w:val="20"/>
          <w:color w:val="auto"/>
        </w:rPr>
      </w:pPr>
    </w:p>
    <w:p>
      <w:pPr>
        <w:ind w:left="660" w:right="20" w:hanging="328"/>
        <w:spacing w:after="0" w:line="286"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27, 2022 (the "Report") of the Company fully complies with the requirements of Section 13(a) or 15(d) of the Securities Exchange Act of 1934,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2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p>
      <w:pPr>
        <w:ind w:left="700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9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upperLetter"/>
      <w:start w:val="35"/>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amp;"/>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lvl w:ilvl="1">
      <w:lvlJc w:val="left"/>
      <w:lvlText w:val="◦"/>
      <w:numFmt w:val="bullet"/>
      <w:start w:val="1"/>
    </w:lvl>
  </w:abstractNum>
  <w:abstractNum w:abstractNumId="22">
    <w:nsid w:val="354FE9F9"/>
    <w:multiLevelType w:val="hybridMultilevel"/>
    <w:lvl w:ilvl="0">
      <w:lvlJc w:val="left"/>
      <w:lvlText w:val="%1)"/>
      <w:numFmt w:val="decimal"/>
      <w:start w:val="20"/>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3"/>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1">
    <w:nsid w:val="100F8FCA"/>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lvl w:ilvl="3">
      <w:lvlJc w:val="left"/>
      <w:lvlText w:val="(%4)"/>
      <w:numFmt w:val="lowerLetter"/>
      <w:start w:val="2"/>
    </w:lvl>
    <w:lvl w:ilvl="4">
      <w:lvlJc w:val="left"/>
      <w:lvlText w:val="(%5)"/>
      <w:numFmt w:val="lowerLetter"/>
      <w:start w:val="1"/>
    </w:lvl>
    <w:lvl w:ilvl="5">
      <w:lvlJc w:val="left"/>
      <w:lvlText w:val="%6."/>
      <w:numFmt w:val="lowerRoman"/>
      <w:start w:val="1"/>
    </w:lvl>
  </w:abstractNum>
  <w:abstractNum w:abstractNumId="42">
    <w:nsid w:val="6590700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43">
    <w:nsid w:val="15014AC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4">
    <w:nsid w:val="5F5E7FD0"/>
    <w:multiLevelType w:val="hybridMultilevel"/>
    <w:lvl w:ilvl="0">
      <w:lvlJc w:val="left"/>
      <w:lvlText w:val="%1."/>
      <w:numFmt w:val="decimal"/>
      <w:start w:val="8"/>
    </w:lvl>
    <w:lvl w:ilvl="1">
      <w:lvlJc w:val="left"/>
      <w:lvlText w:val="(%2)"/>
      <w:numFmt w:val="lowerLetter"/>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6B94764"/>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48">
    <w:nsid w:val="42C296BD"/>
    <w:multiLevelType w:val="hybridMultilevel"/>
    <w:lvl w:ilvl="0">
      <w:lvlJc w:val="left"/>
      <w:lvlText w:val="%1."/>
      <w:numFmt w:val="lowerRoman"/>
      <w:start w:val="1"/>
    </w:lvl>
  </w:abstractNum>
  <w:abstractNum w:abstractNumId="49">
    <w:nsid w:val="168E121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50">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1">
    <w:nsid w:val="661E3F1E"/>
    <w:multiLevelType w:val="hybridMultilevel"/>
    <w:lvl w:ilvl="0">
      <w:lvlJc w:val="left"/>
      <w:lvlText w:val="%1."/>
      <w:numFmt w:val="decimal"/>
      <w:start w:val="7"/>
    </w:lvl>
    <w:lvl w:ilvl="1">
      <w:lvlJc w:val="left"/>
      <w:lvlText w:val="(%2)"/>
      <w:numFmt w:val="lowerLetter"/>
      <w:start w:val="1"/>
    </w:lvl>
  </w:abstractNum>
  <w:abstractNum w:abstractNumId="52">
    <w:nsid w:val="5DC79EA8"/>
    <w:multiLevelType w:val="hybridMultilevel"/>
    <w:lvl w:ilvl="0">
      <w:lvlJc w:val="left"/>
      <w:lvlText w:val="(%1)"/>
      <w:numFmt w:val="lowerRoman"/>
      <w:start w:val="7"/>
    </w:lvl>
  </w:abstractNum>
  <w:abstractNum w:abstractNumId="53">
    <w:nsid w:val="540A471C"/>
    <w:multiLevelType w:val="hybridMultilevel"/>
    <w:lvl w:ilvl="0">
      <w:lvlJc w:val="left"/>
      <w:lvlText w:val="%1."/>
      <w:numFmt w:val="decimal"/>
      <w:start w:val="2"/>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2"/>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58">
    <w:nsid w:val="11447B73"/>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59">
    <w:nsid w:val="42963E5A"/>
    <w:multiLevelType w:val="hybridMultilevel"/>
    <w:lvl w:ilvl="0">
      <w:lvlJc w:val="left"/>
      <w:lvlText w:val="%1"/>
      <w:numFmt w:val="decimal"/>
      <w:start w:val="1"/>
    </w:lvl>
    <w:lvl w:ilvl="1">
      <w:lvlJc w:val="left"/>
      <w:lvlText w:val="(%2)"/>
      <w:numFmt w:val="decimal"/>
      <w:start w:val="65"/>
    </w:lvl>
    <w:lvl w:ilvl="2">
      <w:lvlJc w:val="left"/>
      <w:lvlText w:val="%3"/>
      <w:numFmt w:val="decimal"/>
      <w:start w:val="1"/>
    </w:lvl>
  </w:abstractNum>
  <w:abstractNum w:abstractNumId="60">
    <w:nsid w:val="A0382C5"/>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61">
    <w:nsid w:val="8F2B15E"/>
    <w:multiLevelType w:val="hybridMultilevel"/>
    <w:lvl w:ilvl="0">
      <w:lvlJc w:val="left"/>
      <w:lvlText w:val="%1."/>
      <w:numFmt w:val="decimal"/>
      <w:start w:val="11"/>
    </w:lvl>
    <w:lvl w:ilvl="1">
      <w:lvlJc w:val="left"/>
      <w:lvlText w:val="(%2)"/>
      <w:numFmt w:val="lowerLetter"/>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4">
    <w:nsid w:val="68EB2F63"/>
    <w:multiLevelType w:val="hybridMultilevel"/>
    <w:lvl w:ilvl="0">
      <w:lvlJc w:val="left"/>
      <w:lvlText w:val="%1"/>
      <w:numFmt w:val="decimal"/>
      <w:start w:val="1"/>
    </w:lvl>
    <w:lvl w:ilvl="1">
      <w:lvlJc w:val="left"/>
      <w:lvlText w:val="(%2)"/>
      <w:numFmt w:val="decimal"/>
      <w:start w:val="2"/>
    </w:lvl>
  </w:abstractNum>
  <w:abstractNum w:abstractNumId="65">
    <w:nsid w:val="4962813B"/>
    <w:multiLevelType w:val="hybridMultilevel"/>
    <w:lvl w:ilvl="0">
      <w:lvlJc w:val="left"/>
      <w:lvlText w:val="%1."/>
      <w:numFmt w:val="decimal"/>
      <w:start w:val="6"/>
    </w:lvl>
    <w:lvl w:ilvl="1">
      <w:lvlJc w:val="left"/>
      <w:lvlText w:val="%2"/>
      <w:numFmt w:val="decimal"/>
      <w:start w:val="1"/>
    </w:lvl>
  </w:abstractNum>
  <w:abstractNum w:abstractNumId="66">
    <w:nsid w:val="60B6DF70"/>
    <w:multiLevelType w:val="hybridMultilevel"/>
    <w:lvl w:ilvl="0">
      <w:lvlJc w:val="left"/>
      <w:lvlText w:val="%1."/>
      <w:numFmt w:val="decimal"/>
      <w:start w:val="11"/>
    </w:lvl>
    <w:lvl w:ilvl="1">
      <w:lvlJc w:val="left"/>
      <w:lvlText w:val="(%2)"/>
      <w:numFmt w:val="lowerLetter"/>
      <w:start w:val="1"/>
    </w:lvl>
  </w:abstractNum>
  <w:abstractNum w:abstractNumId="67">
    <w:nsid w:val="6A5EE64"/>
    <w:multiLevelType w:val="hybridMultilevel"/>
    <w:lvl w:ilvl="0">
      <w:lvlJc w:val="left"/>
      <w:lvlText w:val="(%1)"/>
      <w:numFmt w:val="lowerRoman"/>
      <w:start w:val="7"/>
    </w:lvl>
  </w:abstractNum>
  <w:abstractNum w:abstractNumId="68">
    <w:nsid w:val="14330624"/>
    <w:multiLevelType w:val="hybridMultilevel"/>
    <w:lvl w:ilvl="0">
      <w:lvlJc w:val="left"/>
      <w:lvlText w:val="%1."/>
      <w:numFmt w:val="decimal"/>
      <w:start w:val="2"/>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2"/>
    </w:lvl>
  </w:abstractNum>
  <w:abstractNum w:abstractNumId="71">
    <w:nsid w:val="71EA11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2">
    <w:nsid w:val="100F59DC"/>
    <w:multiLevelType w:val="hybridMultilevel"/>
    <w:lvl w:ilvl="0">
      <w:lvlJc w:val="left"/>
      <w:lvlText w:val="%1"/>
      <w:numFmt w:val="decimal"/>
      <w:start w:val="1"/>
    </w:lvl>
    <w:lvl w:ilvl="1">
      <w:lvlJc w:val="left"/>
      <w:lvlText w:val="(%2)"/>
      <w:numFmt w:val="lowerLetter"/>
      <w:start w:val="1"/>
    </w:lvl>
  </w:abstractNum>
  <w:abstractNum w:abstractNumId="73">
    <w:nsid w:val="7FB7E0AA"/>
    <w:multiLevelType w:val="hybridMultilevel"/>
    <w:lvl w:ilvl="0">
      <w:lvlJc w:val="left"/>
      <w:lvlText w:val="%1."/>
      <w:numFmt w:val="decimal"/>
      <w:start w:val="7"/>
    </w:lvl>
    <w:lvl w:ilvl="1">
      <w:lvlJc w:val="left"/>
      <w:lvlText w:val="(%2)"/>
      <w:numFmt w:val="lowerLetter"/>
      <w:start w:val="1"/>
    </w:lvl>
  </w:abstractNum>
  <w:abstractNum w:abstractNumId="74">
    <w:nsid w:val="6EB5BD4"/>
    <w:multiLevelType w:val="hybridMultilevel"/>
    <w:lvl w:ilvl="0">
      <w:lvlJc w:val="left"/>
      <w:lvlText w:val="§"/>
      <w:numFmt w:val="bullet"/>
      <w:start w:val="1"/>
    </w:lvl>
    <w:lvl w:ilvl="1">
      <w:lvlJc w:val="left"/>
      <w:lvlText w:val="(%2)"/>
      <w:numFmt w:val="lowerLetter"/>
      <w:start w:val="4"/>
    </w:lvl>
  </w:abstractNum>
  <w:abstractNum w:abstractNumId="75">
    <w:nsid w:val="6F6DD9AC"/>
    <w:multiLevelType w:val="hybridMultilevel"/>
    <w:lvl w:ilvl="0">
      <w:lvlJc w:val="left"/>
      <w:lvlText w:val="§"/>
      <w:numFmt w:val="bullet"/>
      <w:start w:val="1"/>
    </w:lvl>
    <w:lvl w:ilvl="1">
      <w:lvlJc w:val="left"/>
      <w:lvlText w:val="(%2)"/>
      <w:numFmt w:val="lowerLetter"/>
      <w:start w:val="7"/>
    </w:lvl>
  </w:abstractNum>
  <w:abstractNum w:abstractNumId="76">
    <w:nsid w:val="9421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7">
    <w:nsid w:val="885E1B"/>
    <w:multiLevelType w:val="hybridMultilevel"/>
    <w:lvl w:ilvl="0">
      <w:lvlJc w:val="left"/>
      <w:lvlText w:val="%1"/>
      <w:numFmt w:val="decimal"/>
      <w:start w:val="1"/>
    </w:lvl>
    <w:lvl w:ilvl="1">
      <w:lvlJc w:val="left"/>
      <w:lvlText w:val="(%2)"/>
      <w:numFmt w:val="lowerLetter"/>
      <w:start w:val="1"/>
    </w:lvl>
  </w:abstractNum>
  <w:abstractNum w:abstractNumId="78">
    <w:nsid w:val="76272110"/>
    <w:multiLevelType w:val="hybridMultilevel"/>
    <w:lvl w:ilvl="0">
      <w:lvlJc w:val="left"/>
      <w:lvlText w:val="%1."/>
      <w:numFmt w:val="decimal"/>
      <w:start w:val="7"/>
    </w:lvl>
    <w:lvl w:ilvl="1">
      <w:lvlJc w:val="left"/>
      <w:lvlText w:val="(%2)"/>
      <w:numFmt w:val="lowerLetter"/>
      <w:start w:val="1"/>
    </w:lvl>
  </w:abstractNum>
  <w:abstractNum w:abstractNumId="79">
    <w:nsid w:val="4C04A8AF"/>
    <w:multiLevelType w:val="hybridMultilevel"/>
    <w:lvl w:ilvl="0">
      <w:lvlJc w:val="left"/>
      <w:lvlText w:val="§"/>
      <w:numFmt w:val="bullet"/>
      <w:start w:val="1"/>
    </w:lvl>
    <w:lvl w:ilvl="1">
      <w:lvlJc w:val="left"/>
      <w:lvlText w:val="(%2)"/>
      <w:numFmt w:val="lowerLetter"/>
      <w:start w:val="4"/>
    </w:lvl>
  </w:abstractNum>
  <w:abstractNum w:abstractNumId="80">
    <w:nsid w:val="1716703B"/>
    <w:multiLevelType w:val="hybridMultilevel"/>
    <w:lvl w:ilvl="0">
      <w:lvlJc w:val="left"/>
      <w:lvlText w:val="§"/>
      <w:numFmt w:val="bullet"/>
      <w:start w:val="1"/>
    </w:lvl>
    <w:lvl w:ilvl="1">
      <w:lvlJc w:val="left"/>
      <w:lvlText w:val="(%2)"/>
      <w:numFmt w:val="lowerLetter"/>
      <w:start w:val="7"/>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2"/>
    </w:lvl>
    <w:lvl w:ilvl="1">
      <w:lvlJc w:val="left"/>
      <w:lvlText w:val="(%2)"/>
      <w:numFmt w:val="lowerLetter"/>
      <w:start w:val="1"/>
    </w:lvl>
  </w:abstractNum>
  <w:abstractNum w:abstractNumId="83">
    <w:nsid w:val="74DE0EE3"/>
    <w:multiLevelType w:val="hybridMultilevel"/>
    <w:lvl w:ilvl="0">
      <w:lvlJc w:val="left"/>
      <w:lvlText w:val="%1"/>
      <w:numFmt w:val="decimal"/>
      <w:start w:val="1"/>
    </w:lvl>
    <w:lvl w:ilvl="1">
      <w:lvlJc w:val="left"/>
      <w:lvlText w:val="(%2)"/>
      <w:numFmt w:val="lowerLetter"/>
      <w:start w:val="3"/>
    </w:lvl>
  </w:abstractNum>
  <w:abstractNum w:abstractNumId="84">
    <w:nsid w:val="68EBC550"/>
    <w:multiLevelType w:val="hybridMultilevel"/>
    <w:lvl w:ilvl="0">
      <w:lvlJc w:val="left"/>
      <w:lvlText w:val="%1."/>
      <w:numFmt w:val="decimal"/>
      <w:start w:val="6"/>
    </w:lvl>
    <w:lvl w:ilvl="1">
      <w:lvlJc w:val="left"/>
      <w:lvlText w:val="%2"/>
      <w:numFmt w:val="lowerLetter"/>
      <w:start w:val="1"/>
    </w:lvl>
  </w:abstractNum>
  <w:abstractNum w:abstractNumId="85">
    <w:nsid w:val="2DF6D648"/>
    <w:multiLevelType w:val="hybridMultilevel"/>
    <w:lvl w:ilvl="0">
      <w:lvlJc w:val="left"/>
      <w:lvlText w:val="%1."/>
      <w:numFmt w:val="decimal"/>
      <w:start w:val="9"/>
    </w:lvl>
    <w:lvl w:ilvl="1">
      <w:lvlJc w:val="left"/>
      <w:lvlText w:val="(%2)"/>
      <w:numFmt w:val="lowerLetter"/>
      <w:start w:val="1"/>
    </w:lvl>
  </w:abstractNum>
  <w:abstractNum w:abstractNumId="86">
    <w:nsid w:val="46B7D447"/>
    <w:multiLevelType w:val="hybridMultilevel"/>
    <w:lvl w:ilvl="0">
      <w:lvlJc w:val="left"/>
      <w:lvlText w:val="(%1)"/>
      <w:numFmt w:val="lowerLetter"/>
      <w:start w:val="8"/>
    </w:lvl>
  </w:abstractNum>
  <w:abstractNum w:abstractNumId="87">
    <w:nsid w:val="4A2AC315"/>
    <w:multiLevelType w:val="hybridMultilevel"/>
    <w:lvl w:ilvl="0">
      <w:lvlJc w:val="left"/>
      <w:lvlText w:val="(%1)"/>
      <w:numFmt w:val="lowerRoman"/>
      <w:start w:val="4"/>
    </w:lvl>
  </w:abstractNum>
  <w:abstractNum w:abstractNumId="88">
    <w:nsid w:val="39EE015C"/>
    <w:multiLevelType w:val="hybridMultilevel"/>
    <w:lvl w:ilvl="0">
      <w:lvlJc w:val="left"/>
      <w:lvlText w:val="%1."/>
      <w:numFmt w:val="decimal"/>
      <w:start w:val="2"/>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2"/>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1"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8"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6" Type="http://schemas.openxmlformats.org/officeDocument/2006/relationships/image" Target="media/image87.png"/><Relationship Id="rId108" Type="http://schemas.openxmlformats.org/officeDocument/2006/relationships/image" Target="media/image88.png"/><Relationship Id="rId110"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21" Type="http://schemas.openxmlformats.org/officeDocument/2006/relationships/image" Target="media/image95.png"/><Relationship Id="rId124" Type="http://schemas.openxmlformats.org/officeDocument/2006/relationships/image" Target="media/image96.png"/><Relationship Id="rId127" Type="http://schemas.openxmlformats.org/officeDocument/2006/relationships/image" Target="media/image97.png"/><Relationship Id="rId129" Type="http://schemas.openxmlformats.org/officeDocument/2006/relationships/image" Target="media/image98.png"/><Relationship Id="rId132" Type="http://schemas.openxmlformats.org/officeDocument/2006/relationships/image" Target="media/image99.png"/><Relationship Id="rId135" Type="http://schemas.openxmlformats.org/officeDocument/2006/relationships/image" Target="media/image100.png"/><Relationship Id="rId138" Type="http://schemas.openxmlformats.org/officeDocument/2006/relationships/image" Target="media/image101.png"/><Relationship Id="rId140"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7" Type="http://schemas.openxmlformats.org/officeDocument/2006/relationships/image" Target="media/image105.png"/><Relationship Id="rId150" Type="http://schemas.openxmlformats.org/officeDocument/2006/relationships/image" Target="media/image106.png"/><Relationship Id="rId153" Type="http://schemas.openxmlformats.org/officeDocument/2006/relationships/image" Target="media/image107.png"/><Relationship Id="rId157" Type="http://schemas.openxmlformats.org/officeDocument/2006/relationships/image" Target="media/image108.png"/><Relationship Id="rId160" Type="http://schemas.openxmlformats.org/officeDocument/2006/relationships/image" Target="media/image109.png"/><Relationship Id="rId163"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86" Type="http://schemas.openxmlformats.org/officeDocument/2006/relationships/hyperlink" Target="http://www.sec.gov/Archives/edgar/data/107687/000010768719000017/ex2120198-k0916.htm" TargetMode="External"/><Relationship Id="rId87" Type="http://schemas.openxmlformats.org/officeDocument/2006/relationships/hyperlink" Target="https://www.sec.gov/Archives/edgar/data/107687/000010768721000030/wgo-deltaxxpurchaseagreeme.htm" TargetMode="External"/><Relationship Id="rId88" Type="http://schemas.openxmlformats.org/officeDocument/2006/relationships/hyperlink" Target="https://www.sec.gov/Archives/edgar/data/0000107687/000010768722000004/wgo-mnarticlesreincorporat.htm" TargetMode="External"/><Relationship Id="rId90" Type="http://schemas.openxmlformats.org/officeDocument/2006/relationships/hyperlink" Target="https://www.sec.gov/Archives/edgar/data/0000107687/000010768722000004/wgo-mnbylawsreincorporatio.htm" TargetMode="External"/><Relationship Id="rId92" Type="http://schemas.openxmlformats.org/officeDocument/2006/relationships/hyperlink" Target="https://www.sec.gov/Archives/edgar/data/107687/000110465919059604/a19-21005_2ex4d1.htm#Exhibit4_1_114535" TargetMode="External"/><Relationship Id="rId93" Type="http://schemas.openxmlformats.org/officeDocument/2006/relationships/hyperlink" Target="https://www.sec.gov/Archives/edgar/data/107687/000110465920082433/tm2024371d1_ex4-1.htm" TargetMode="External"/><Relationship Id="rId96" Type="http://schemas.openxmlformats.org/officeDocument/2006/relationships/hyperlink" Target="http://www.sec.gov/Archives/edgar/data/107687/0000897101-95-000449.txt" TargetMode="External"/><Relationship Id="rId97" Type="http://schemas.openxmlformats.org/officeDocument/2006/relationships/hyperlink" Target="http://www.sec.gov/Archives/edgar/data/107687/000089710101500122/winnebago010807_ex10-i.txt" TargetMode="External"/><Relationship Id="rId99" Type="http://schemas.openxmlformats.org/officeDocument/2006/relationships/hyperlink" Target="http://www.sec.gov/Archives/edgar/data/107687/000010768711000049/exh10bbexecdefcompplan.htm" TargetMode="External"/><Relationship Id="rId100" Type="http://schemas.openxmlformats.org/officeDocument/2006/relationships/hyperlink" Target="http://www.sec.gov/Archives/edgar/data/107687/000010768711000029/exh1012004incentivecompens.htm" TargetMode="External"/><Relationship Id="rId104" Type="http://schemas.openxmlformats.org/officeDocument/2006/relationships/hyperlink" Target="http://www.sec.gov/Archives/edgar/data/107687/000010768713000055/exh1012014omnibusequityper.htm" TargetMode="External"/><Relationship Id="rId105" Type="http://schemas.openxmlformats.org/officeDocument/2006/relationships/hyperlink" Target="http://www.sec.gov/Archives/edgar/data/107687/000010768718000029/wgo2018proxy.htm" TargetMode="External"/><Relationship Id="rId107" Type="http://schemas.openxmlformats.org/officeDocument/2006/relationships/hyperlink" Target="http://www.sec.gov/Archives/edgar/data/107687/000010768713000040/wgo2013q3exh101.htm" TargetMode="External"/><Relationship Id="rId109" Type="http://schemas.openxmlformats.org/officeDocument/2006/relationships/hyperlink" Target="http://www.sec.gov/Archives/edgar/data/107687/000010768718000038/a2019q1exh10boptions.htm" TargetMode="External"/><Relationship Id="rId111" Type="http://schemas.openxmlformats.org/officeDocument/2006/relationships/hyperlink" Target="http://www.sec.gov/Archives/edgar/data/107687/000010768718000038/a2019q1exh10crsuexecutives.htm" TargetMode="External"/><Relationship Id="rId114" Type="http://schemas.openxmlformats.org/officeDocument/2006/relationships/hyperlink" Target="http://www.sec.gov/Archives/edgar/data/107687/000010768718000038/a2019q1exh10dpsu.htm" TargetMode="External"/><Relationship Id="rId115" Type="http://schemas.openxmlformats.org/officeDocument/2006/relationships/hyperlink" Target="http://www.sec.gov/Archives/edgar/data/107687/000010768718000038/a2019q1exh10ersudirector.htm" TargetMode="External"/><Relationship Id="rId119" Type="http://schemas.openxmlformats.org/officeDocument/2006/relationships/hyperlink" Target="http://www.sec.gov/Archives/edgar/data/107687/000010768718000038/a2019q1exh10fcic.htm" TargetMode="External"/><Relationship Id="rId120" Type="http://schemas.openxmlformats.org/officeDocument/2006/relationships/hyperlink" Target="http://www.sec.gov/Archives/edgar/data/107687/000089710109002143/wgo094796_ex10z.htm" TargetMode="External"/><Relationship Id="rId122" Type="http://schemas.openxmlformats.org/officeDocument/2006/relationships/hyperlink" Target="https://www.sec.gov/Archives/edgar/data/107687/000010768720000035/fy21aipplandocforeltfi.htm" TargetMode="External"/><Relationship Id="rId123" Type="http://schemas.openxmlformats.org/officeDocument/2006/relationships/hyperlink" Target="https://www.sec.gov/Archives/edgar/data/107687/000010768720000035/psuawardagreementspeci.htm" TargetMode="External"/><Relationship Id="rId125" Type="http://schemas.openxmlformats.org/officeDocument/2006/relationships/hyperlink" Target="https://www.sec.gov/Archives/edgar/data/107687/000010768720000035/psuawardagreementfy21-.htm" TargetMode="External"/><Relationship Id="rId126" Type="http://schemas.openxmlformats.org/officeDocument/2006/relationships/hyperlink" Target="https://www.sec.gov/Archives/edgar/data/0000107687/000010768721000043/winnebago-psuawardagreemen.htm" TargetMode="External"/><Relationship Id="rId128" Type="http://schemas.openxmlformats.org/officeDocument/2006/relationships/hyperlink" Target="http://www.sec.gov/Archives/edgar/data/107687/000010768716000120/exh101non-compnonxsolicita.htm" TargetMode="External"/><Relationship Id="rId130" Type="http://schemas.openxmlformats.org/officeDocument/2006/relationships/hyperlink" Target="http://www.sec.gov/Archives/edgar/data/107687/000010768716000120/exh102non-solicitationandc.htm" TargetMode="External"/><Relationship Id="rId131" Type="http://schemas.openxmlformats.org/officeDocument/2006/relationships/hyperlink" Target="http://www.sec.gov/Archives/edgar/data/107687/000010768716000120/exh103registrationrights.htm" TargetMode="External"/><Relationship Id="rId133" Type="http://schemas.openxmlformats.org/officeDocument/2006/relationships/hyperlink" Target="http://www.sec.gov/Archives/edgar/data/107687/000010768719000015/employmentagreementdclar.htm" TargetMode="External"/><Relationship Id="rId134" Type="http://schemas.openxmlformats.org/officeDocument/2006/relationships/hyperlink" Target="http://www.sec.gov/Archives/edgar/data/107687/000010768719000015/changeincontrolagreement.htm" TargetMode="External"/><Relationship Id="rId136" Type="http://schemas.openxmlformats.org/officeDocument/2006/relationships/hyperlink" Target="http://www.sec.gov/Archives/edgar/data/107687/000010768719000017/ex10120198-k0916.htm" TargetMode="External"/><Relationship Id="rId137" Type="http://schemas.openxmlformats.org/officeDocument/2006/relationships/hyperlink" Target="https://www.sec.gov/Archives/edgar/data/107687/000010768719000022/wgoamendedandrestatedcre.htm" TargetMode="External"/><Relationship Id="rId139" Type="http://schemas.openxmlformats.org/officeDocument/2006/relationships/hyperlink" Target="https://www.sec.gov/Archives/edgar/data/107687/000110465919059604/a19-21005_2ex10d1.htm#Exhibit10_1_034908" TargetMode="External"/><Relationship Id="rId141" Type="http://schemas.openxmlformats.org/officeDocument/2006/relationships/hyperlink" Target="https://www.sec.gov/Archives/edgar/data/107687/000110465919059604/a19-21005_2ex10d2.htm#Exhibit10_2_040203" TargetMode="External"/><Relationship Id="rId142" Type="http://schemas.openxmlformats.org/officeDocument/2006/relationships/hyperlink" Target="https://www.sec.gov/Archives/edgar/data/107687/000110465919059604/a19-21005_2ex10d3.htm#Exhibit10_3_041616" TargetMode="External"/><Relationship Id="rId145" Type="http://schemas.openxmlformats.org/officeDocument/2006/relationships/hyperlink" Target="https://www.sec.gov/Archives/edgar/data/107687/000110465919059604/a19-21005_2ex10d4.htm#Exhibit10_5_074927" TargetMode="External"/><Relationship Id="rId146" Type="http://schemas.openxmlformats.org/officeDocument/2006/relationships/hyperlink" Target="https://www.sec.gov/Archives/edgar/data/107687/000110465919059604/a19-21005_2ex10d5.htm#Exhibit10_45_010935" TargetMode="External"/><Relationship Id="rId148" Type="http://schemas.openxmlformats.org/officeDocument/2006/relationships/hyperlink" Target="https://www.sec.gov/Archives/edgar/data/107687/000110465919059604/a19-21005_2ex10d6.htm#Exhibit10_6_042233" TargetMode="External"/><Relationship Id="rId149" Type="http://schemas.openxmlformats.org/officeDocument/2006/relationships/hyperlink" Target="https://www.sec.gov/Archives/edgar/data/107687/000110465919059604/a19-21005_2ex10d7.htm#Exhibit10_7_043941" TargetMode="External"/><Relationship Id="rId151" Type="http://schemas.openxmlformats.org/officeDocument/2006/relationships/hyperlink" Target="https://www.sec.gov/Archives/edgar/data/107687/000110465919059604/a19-21005_2ex10d8.htm#Exhibit10_8_085444" TargetMode="External"/><Relationship Id="rId152" Type="http://schemas.openxmlformats.org/officeDocument/2006/relationships/hyperlink" Target="https://www.sec.gov/Archives/edgar/data/107687/000110465919059604/a19-21005_2ex10d9.htm#Exhibit10_9_105341" TargetMode="External"/><Relationship Id="rId154" Type="http://schemas.openxmlformats.org/officeDocument/2006/relationships/hyperlink" Target="https://www.sec.gov/Archives/edgar/data/107687/000010768719000036/amendmentno1toaandrcredi.htm" TargetMode="External"/><Relationship Id="rId155" Type="http://schemas.openxmlformats.org/officeDocument/2006/relationships/hyperlink" Target="https://www.sec.gov/Archives/edgar/data/107687/000010768719000036/firstrestatedandamendedl.htm" TargetMode="External"/><Relationship Id="rId156" Type="http://schemas.openxmlformats.org/officeDocument/2006/relationships/hyperlink" Target="https://www.sec.gov/Archives/edgar/data/107687/000010768719000036/secondrestatedandamended.htm" TargetMode="External"/><Relationship Id="rId158" Type="http://schemas.openxmlformats.org/officeDocument/2006/relationships/hyperlink" Target="https://www.sec.gov/Archives/edgar/data/107687/000110465920082433/tm2024371d1_ex10-1.htm" TargetMode="External"/><Relationship Id="rId159" Type="http://schemas.openxmlformats.org/officeDocument/2006/relationships/hyperlink" Target="https://www.sec.gov/Archives/edgar/data/107687/000110465920082433/tm2024371d1_ex10-2.htm" TargetMode="External"/><Relationship Id="rId161" Type="http://schemas.openxmlformats.org/officeDocument/2006/relationships/hyperlink" Target="https://www.sec.gov/Archives/edgar/data/0000107687/000010768721000048/winnebago-happeamendedandr.htm" TargetMode="External"/><Relationship Id="rId162" Type="http://schemas.openxmlformats.org/officeDocument/2006/relationships/hyperlink" Target="https://www.sec.gov/Archives/edgar/data/0000107687/000010768721000048/winnebago-executiveofficer.htm" TargetMode="External"/><Relationship Id="rId164" Type="http://schemas.openxmlformats.org/officeDocument/2006/relationships/hyperlink" Target="https://www.sec.gov/Archives/edgar/data/0000107687/000110465922080691/tm222130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2022-10-19T15:35:29Z</dcterms:created>
  <dcterms:modified xsi:type="dcterms:W3CDTF">2022-10-19T15:35:29Z</dcterms:modified>
</cp:coreProperties>
</file>