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 the Quarterly Period Ended May 27, 2006</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of Incorporation or Organziation)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85" w:lineRule="exact"/>
        <w:rPr>
          <w:sz w:val="24"/>
          <w:szCs w:val="24"/>
          <w:color w:val="auto"/>
        </w:rPr>
      </w:pPr>
    </w:p>
    <w:p>
      <w:pPr>
        <w:ind w:firstLine="432"/>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5" w:lineRule="exact"/>
        <w:rPr>
          <w:sz w:val="24"/>
          <w:szCs w:val="24"/>
          <w:color w:val="auto"/>
        </w:rPr>
      </w:pPr>
    </w:p>
    <w:p>
      <w:pPr>
        <w:ind w:right="200" w:firstLine="432"/>
        <w:spacing w:after="0" w:line="239"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w:t>
      </w:r>
    </w:p>
    <w:p>
      <w:pPr>
        <w:spacing w:after="0"/>
        <w:tabs>
          <w:tab w:leader="none" w:pos="2740" w:val="left"/>
          <w:tab w:leader="none" w:pos="5000" w:val="left"/>
        </w:tabs>
        <w:rPr>
          <w:sz w:val="20"/>
          <w:szCs w:val="20"/>
          <w:color w:val="auto"/>
        </w:rPr>
      </w:pPr>
      <w:r>
        <w:rPr>
          <w:rFonts w:ascii="Arial" w:cs="Arial" w:eastAsia="Arial" w:hAnsi="Arial"/>
          <w:sz w:val="22"/>
          <w:szCs w:val="22"/>
          <w:color w:val="auto"/>
        </w:rPr>
        <w:t>Large accelerated filer x</w:t>
      </w:r>
      <w:r>
        <w:rPr>
          <w:sz w:val="20"/>
          <w:szCs w:val="20"/>
          <w:color w:val="auto"/>
        </w:rPr>
        <w:tab/>
      </w:r>
      <w:r>
        <w:rPr>
          <w:rFonts w:ascii="Arial" w:cs="Arial" w:eastAsia="Arial" w:hAnsi="Arial"/>
          <w:sz w:val="22"/>
          <w:szCs w:val="22"/>
          <w:color w:val="auto"/>
        </w:rPr>
        <w:t>Accelerated filer o</w:t>
      </w:r>
      <w:r>
        <w:rPr>
          <w:sz w:val="20"/>
          <w:szCs w:val="20"/>
          <w:color w:val="auto"/>
        </w:rPr>
        <w:tab/>
      </w:r>
      <w:r>
        <w:rPr>
          <w:rFonts w:ascii="Arial" w:cs="Arial" w:eastAsia="Arial" w:hAnsi="Arial"/>
          <w:sz w:val="19"/>
          <w:szCs w:val="19"/>
          <w:color w:val="auto"/>
        </w:rPr>
        <w:t>Non-accelerated filer o</w:t>
      </w:r>
    </w:p>
    <w:p>
      <w:pPr>
        <w:spacing w:after="0" w:line="188" w:lineRule="exact"/>
        <w:rPr>
          <w:sz w:val="24"/>
          <w:szCs w:val="24"/>
          <w:color w:val="auto"/>
        </w:rPr>
      </w:pPr>
    </w:p>
    <w:p>
      <w:pPr>
        <w:ind w:right="940" w:firstLine="432"/>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ind w:left="440"/>
        <w:spacing w:after="0"/>
        <w:rPr>
          <w:sz w:val="20"/>
          <w:szCs w:val="20"/>
          <w:color w:val="auto"/>
        </w:rPr>
      </w:pPr>
      <w:r>
        <w:rPr>
          <w:rFonts w:ascii="Arial" w:cs="Arial" w:eastAsia="Arial" w:hAnsi="Arial"/>
          <w:sz w:val="21"/>
          <w:szCs w:val="21"/>
          <w:color w:val="auto"/>
        </w:rPr>
        <w:t>The number of shares of common stock, par value $0.50 per share, outstanding on July 3, 2006 was 31,314,236.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INDEX TO REPORT ON FORM 10-Q</w:t>
      </w:r>
    </w:p>
    <w:p>
      <w:pPr>
        <w:spacing w:after="0" w:line="302" w:lineRule="exact"/>
        <w:rPr>
          <w:sz w:val="24"/>
          <w:szCs w:val="24"/>
          <w:color w:val="auto"/>
        </w:rPr>
      </w:pPr>
    </w:p>
    <w:p>
      <w:pPr>
        <w:ind w:left="10400"/>
        <w:spacing w:after="0"/>
        <w:rPr>
          <w:sz w:val="20"/>
          <w:szCs w:val="20"/>
          <w:color w:val="auto"/>
        </w:rPr>
      </w:pPr>
      <w:r>
        <w:rPr>
          <w:rFonts w:ascii="Arial" w:cs="Arial" w:eastAsia="Arial" w:hAnsi="Arial"/>
          <w:sz w:val="12"/>
          <w:szCs w:val="12"/>
          <w:b w:val="1"/>
          <w:bCs w:val="1"/>
          <w:color w:val="auto"/>
        </w:rPr>
        <w:t>Page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6608445</wp:posOffset>
            </wp:positionH>
            <wp:positionV relativeFrom="paragraph">
              <wp:posOffset>83185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25" w:lineRule="exact"/>
        <w:rPr>
          <w:sz w:val="24"/>
          <w:szCs w:val="24"/>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PART I.</w:t>
      </w:r>
      <w:r>
        <w:rPr>
          <w:sz w:val="20"/>
          <w:szCs w:val="20"/>
          <w:color w:val="auto"/>
        </w:rPr>
        <w:tab/>
      </w:r>
      <w:hyperlink w:anchor="page2">
        <w:r>
          <w:rPr>
            <w:rFonts w:ascii="Arial" w:cs="Arial" w:eastAsia="Arial" w:hAnsi="Arial"/>
            <w:sz w:val="16"/>
            <w:szCs w:val="16"/>
            <w:u w:val="single" w:color="auto"/>
            <w:color w:val="0000EE"/>
          </w:rPr>
          <w:t>FINANCIAL INFORMATION:</w:t>
        </w:r>
      </w:hyperlink>
    </w:p>
    <w:p>
      <w:pPr>
        <w:sectPr>
          <w:pgSz w:w="11900" w:h="16838" w:orient="portrait"/>
          <w:cols w:equalWidth="0" w:num="1">
            <w:col w:w="11280"/>
          </w:cols>
          <w:pgMar w:left="240" w:top="239" w:right="379" w:bottom="0" w:gutter="0" w:footer="0" w:header="0"/>
        </w:sectPr>
      </w:pPr>
    </w:p>
    <w:bookmarkStart w:id="1" w:name="page2"/>
    <w:bookmarkEnd w:id="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95"/>
              </w:rPr>
              <w:t>1 &amp; 2</w:t>
            </w: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79"/>
              </w:rPr>
              <w:t>3</w:t>
            </w: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Cash Flows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79"/>
              </w:rPr>
              <w:t>4</w:t>
            </w: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Notes to Condensed Consolidated Financial Statements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87"/>
              </w:rPr>
              <w:t>5 – 11</w:t>
            </w: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788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86"/>
              </w:rPr>
              <w:t>12 – 18</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Quantitative and Qualitative Disclosures About Market Risk</w:t>
              </w:r>
            </w:hyperlink>
          </w:p>
        </w:tc>
        <w:tc>
          <w:tcPr>
            <w:tcW w:w="2020" w:type="dxa"/>
            <w:vAlign w:val="bottom"/>
            <w:tcBorders>
              <w:top w:val="single" w:sz="8" w:color="0000EE"/>
            </w:tcBorders>
            <w:gridSpan w:val="3"/>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18</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Controls and Procedures</w:t>
              </w:r>
            </w:hyperlink>
          </w:p>
        </w:tc>
        <w:tc>
          <w:tcPr>
            <w:tcW w:w="6140" w:type="dxa"/>
            <w:vAlign w:val="bottom"/>
            <w:gridSpan w:val="10"/>
          </w:tcPr>
          <w:p>
            <w:pPr>
              <w:spacing w:after="0"/>
              <w:rPr>
                <w:sz w:val="24"/>
                <w:szCs w:val="24"/>
                <w:color w:val="auto"/>
              </w:rPr>
            </w:pPr>
          </w:p>
        </w:tc>
        <w:tc>
          <w:tcPr>
            <w:tcW w:w="2100" w:type="dxa"/>
            <w:vAlign w:val="bottom"/>
          </w:tcPr>
          <w:p>
            <w:pPr>
              <w:jc w:val="center"/>
              <w:ind w:left="1492"/>
              <w:spacing w:after="0"/>
              <w:rPr>
                <w:sz w:val="20"/>
                <w:szCs w:val="20"/>
                <w:color w:val="auto"/>
              </w:rPr>
            </w:pPr>
            <w:r>
              <w:rPr>
                <w:rFonts w:ascii="Arial" w:cs="Arial" w:eastAsia="Arial" w:hAnsi="Arial"/>
                <w:sz w:val="18"/>
                <w:szCs w:val="18"/>
                <w:color w:val="auto"/>
                <w:w w:val="86"/>
              </w:rPr>
              <w:t>18 – 19</w:t>
            </w:r>
          </w:p>
        </w:tc>
      </w:tr>
      <w:tr>
        <w:trPr>
          <w:trHeight w:val="439"/>
        </w:trPr>
        <w:tc>
          <w:tcPr>
            <w:tcW w:w="10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Report of Independent Registered Public Accounting Firm</w:t>
              </w:r>
            </w:hyperlink>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20</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PART II.</w:t>
            </w:r>
          </w:p>
        </w:tc>
        <w:tc>
          <w:tcPr>
            <w:tcW w:w="4120" w:type="dxa"/>
            <w:vAlign w:val="bottom"/>
            <w:tcBorders>
              <w:top w:val="single" w:sz="8" w:color="0000EE"/>
            </w:tcBorders>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3760" w:type="dxa"/>
            <w:vAlign w:val="bottom"/>
            <w:gridSpan w:val="6"/>
          </w:tcPr>
          <w:p>
            <w:pPr>
              <w:spacing w:after="0"/>
              <w:rPr>
                <w:sz w:val="24"/>
                <w:szCs w:val="24"/>
                <w:color w:val="auto"/>
              </w:rPr>
            </w:pPr>
          </w:p>
        </w:tc>
        <w:tc>
          <w:tcPr>
            <w:tcW w:w="2100" w:type="dxa"/>
            <w:vAlign w:val="bottom"/>
          </w:tcPr>
          <w:p>
            <w:pPr>
              <w:spacing w:after="0"/>
              <w:rPr>
                <w:sz w:val="24"/>
                <w:szCs w:val="24"/>
                <w:color w:val="auto"/>
              </w:rPr>
            </w:pP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Legal Proceedings</w:t>
              </w:r>
            </w:hyperlink>
          </w:p>
        </w:tc>
        <w:tc>
          <w:tcPr>
            <w:tcW w:w="520" w:type="dxa"/>
            <w:vAlign w:val="bottom"/>
            <w:tcBorders>
              <w:top w:val="single" w:sz="8" w:color="0000EE"/>
            </w:tcBorders>
            <w:gridSpan w:val="2"/>
          </w:tcPr>
          <w:p>
            <w:pPr>
              <w:spacing w:after="0"/>
              <w:rPr>
                <w:sz w:val="24"/>
                <w:szCs w:val="24"/>
                <w:color w:val="auto"/>
              </w:rPr>
            </w:pPr>
          </w:p>
        </w:tc>
        <w:tc>
          <w:tcPr>
            <w:tcW w:w="6040" w:type="dxa"/>
            <w:vAlign w:val="bottom"/>
            <w:gridSpan w:val="9"/>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Unregistered Sales of Equity Securities and Use of Proceeds</w:t>
              </w:r>
            </w:hyperlink>
          </w:p>
        </w:tc>
        <w:tc>
          <w:tcPr>
            <w:tcW w:w="3620" w:type="dxa"/>
            <w:vAlign w:val="bottom"/>
            <w:gridSpan w:val="5"/>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7280" w:type="dxa"/>
            <w:vAlign w:val="bottom"/>
            <w:gridSpan w:val="14"/>
          </w:tcPr>
          <w:p>
            <w:pPr>
              <w:spacing w:after="0"/>
              <w:rPr>
                <w:sz w:val="24"/>
                <w:szCs w:val="24"/>
                <w:color w:val="auto"/>
              </w:rPr>
            </w:pPr>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21</w:t>
            </w:r>
          </w:p>
        </w:tc>
      </w:tr>
      <w:tr>
        <w:trPr>
          <w:trHeight w:val="439"/>
        </w:trPr>
        <w:tc>
          <w:tcPr>
            <w:tcW w:w="10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22</w:t>
            </w:r>
          </w:p>
        </w:tc>
      </w:tr>
      <w:tr>
        <w:trPr>
          <w:trHeight w:val="20"/>
        </w:trPr>
        <w:tc>
          <w:tcPr>
            <w:tcW w:w="10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9"/>
        </w:trPr>
        <w:tc>
          <w:tcPr>
            <w:tcW w:w="1080" w:type="dxa"/>
            <w:vAlign w:val="bottom"/>
          </w:tcPr>
          <w:p>
            <w:pPr>
              <w:spacing w:after="0"/>
              <w:rPr>
                <w:sz w:val="24"/>
                <w:szCs w:val="24"/>
                <w:color w:val="auto"/>
              </w:rPr>
            </w:pPr>
          </w:p>
        </w:tc>
        <w:tc>
          <w:tcPr>
            <w:tcW w:w="78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 Index</w:t>
              </w:r>
            </w:hyperlink>
          </w:p>
        </w:tc>
        <w:tc>
          <w:tcPr>
            <w:tcW w:w="2100" w:type="dxa"/>
            <w:vAlign w:val="bottom"/>
          </w:tcPr>
          <w:p>
            <w:pPr>
              <w:jc w:val="center"/>
              <w:ind w:left="1512"/>
              <w:spacing w:after="0"/>
              <w:rPr>
                <w:sz w:val="20"/>
                <w:szCs w:val="20"/>
                <w:color w:val="auto"/>
              </w:rPr>
            </w:pPr>
            <w:r>
              <w:rPr>
                <w:rFonts w:ascii="Arial" w:cs="Arial" w:eastAsia="Arial" w:hAnsi="Arial"/>
                <w:sz w:val="18"/>
                <w:szCs w:val="18"/>
                <w:color w:val="auto"/>
                <w:w w:val="89"/>
              </w:rPr>
              <w:t>23</w:t>
            </w: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CONSOLIDATED BALANCE SHEETS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May 27,</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27,</w:t>
            </w:r>
          </w:p>
        </w:tc>
        <w:tc>
          <w:tcPr>
            <w:tcW w:w="0" w:type="dxa"/>
            <w:vAlign w:val="bottom"/>
          </w:tcPr>
          <w:p>
            <w:pPr>
              <w:spacing w:after="0"/>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2006</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D6F3E8"/>
          </w:tcPr>
          <w:p>
            <w:pPr>
              <w:spacing w:after="0"/>
              <w:rPr>
                <w:sz w:val="20"/>
                <w:szCs w:val="20"/>
                <w:color w:val="auto"/>
              </w:rPr>
            </w:pPr>
            <w:r>
              <w:rPr>
                <w:rFonts w:ascii="Arial" w:cs="Arial" w:eastAsia="Arial" w:hAnsi="Arial"/>
                <w:sz w:val="18"/>
                <w:szCs w:val="18"/>
                <w:color w:val="auto"/>
              </w:rPr>
              <w:t>CURRENT ASSETS: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Short-term investments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125,000</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93,100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Receivables, less allowance for doubtful</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60"/>
              <w:spacing w:after="0"/>
              <w:rPr>
                <w:sz w:val="20"/>
                <w:szCs w:val="20"/>
                <w:color w:val="auto"/>
              </w:rPr>
            </w:pPr>
            <w:r>
              <w:rPr>
                <w:rFonts w:ascii="Arial" w:cs="Arial" w:eastAsia="Arial" w:hAnsi="Arial"/>
                <w:sz w:val="18"/>
                <w:szCs w:val="18"/>
                <w:color w:val="auto"/>
              </w:rPr>
              <w:t>accounts ($183 and $270, respectively)</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23,681</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Inventories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88,199</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120,655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5,791</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9,459</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267,549</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288,092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at cost:</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Land</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Buildings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59,482</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60,282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Machinery and equipment</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102,050</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Transportation equipment</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9,609</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172,092</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171,370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D6F3E8"/>
          </w:tcPr>
          <w:p>
            <w:pPr>
              <w:ind w:left="200"/>
              <w:spacing w:after="0"/>
              <w:rPr>
                <w:sz w:val="20"/>
                <w:szCs w:val="20"/>
                <w:color w:val="auto"/>
              </w:rPr>
            </w:pPr>
            <w:r>
              <w:rPr>
                <w:rFonts w:ascii="Arial" w:cs="Arial" w:eastAsia="Arial" w:hAnsi="Arial"/>
                <w:sz w:val="18"/>
                <w:szCs w:val="18"/>
                <w:color w:val="auto"/>
              </w:rPr>
              <w:t>Less accumulated depreciation</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113,572</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107,517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58,520</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24,146</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24,997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820" w:type="dxa"/>
            <w:vAlign w:val="bottom"/>
            <w:gridSpan w:val="2"/>
          </w:tcPr>
          <w:p>
            <w:pPr>
              <w:spacing w:after="0"/>
              <w:rPr>
                <w:sz w:val="20"/>
                <w:szCs w:val="20"/>
                <w:color w:val="auto"/>
              </w:rPr>
            </w:pPr>
            <w:r>
              <w:rPr>
                <w:rFonts w:ascii="Arial" w:cs="Arial" w:eastAsia="Arial" w:hAnsi="Arial"/>
                <w:sz w:val="18"/>
                <w:szCs w:val="18"/>
                <w:color w:val="auto"/>
              </w:rPr>
              <w:t>Investment in life insurance</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20,741</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15,377</w:t>
            </w: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386,333</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412,960</w:t>
            </w:r>
          </w:p>
        </w:tc>
        <w:tc>
          <w:tcPr>
            <w:tcW w:w="0" w:type="dxa"/>
            <w:vAlign w:val="bottom"/>
          </w:tcPr>
          <w:p>
            <w:pPr>
              <w:spacing w:after="0"/>
              <w:rPr>
                <w:sz w:val="1"/>
                <w:szCs w:val="1"/>
                <w:color w:val="auto"/>
              </w:rPr>
            </w:pPr>
          </w:p>
        </w:tc>
      </w:tr>
      <w:tr>
        <w:trPr>
          <w:trHeight w:val="134"/>
        </w:trPr>
        <w:tc>
          <w:tcPr>
            <w:tcW w:w="7200" w:type="dxa"/>
            <w:vAlign w:val="bottom"/>
            <w:vMerge w:val="restart"/>
          </w:tcPr>
          <w:p>
            <w:pPr>
              <w:spacing w:after="0"/>
              <w:rPr>
                <w:sz w:val="20"/>
                <w:szCs w:val="20"/>
                <w:color w:val="auto"/>
              </w:rPr>
            </w:pPr>
            <w:r>
              <w:rPr>
                <w:rFonts w:ascii="Arial" w:cs="Arial" w:eastAsia="Arial" w:hAnsi="Arial"/>
                <w:sz w:val="18"/>
                <w:szCs w:val="18"/>
                <w:color w:val="auto"/>
              </w:rPr>
              <w:t>See Unaudited Notes to Condensed Consolidated Financial Statements.</w:t>
            </w: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1"/>
        </w:trPr>
        <w:tc>
          <w:tcPr>
            <w:tcW w:w="7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-677545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-677545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-677545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-677545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CONSOLIDATED BALANCE SHEETS</w:t>
      </w:r>
    </w:p>
    <w:p>
      <w:pPr>
        <w:jc w:val="center"/>
        <w:spacing w:after="0"/>
        <w:rPr>
          <w:sz w:val="20"/>
          <w:szCs w:val="20"/>
          <w:color w:val="auto"/>
        </w:rPr>
      </w:pPr>
      <w:r>
        <w:rPr>
          <w:rFonts w:ascii="Arial" w:cs="Arial" w:eastAsia="Arial" w:hAnsi="Arial"/>
          <w:sz w:val="22"/>
          <w:szCs w:val="22"/>
          <w:b w:val="1"/>
          <w:bCs w:val="1"/>
          <w:color w:val="auto"/>
        </w:rPr>
        <w:t>(In thousands, except per share data)</w:t>
      </w:r>
    </w:p>
    <w:p>
      <w:pPr>
        <w:sectPr>
          <w:pgSz w:w="11900" w:h="16838" w:orient="portrait"/>
          <w:cols w:equalWidth="0" w:num="1">
            <w:col w:w="11420"/>
          </w:cols>
          <w:pgMar w:left="240" w:top="415" w:right="239" w:bottom="1107"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696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May 27,</w:t>
            </w:r>
          </w:p>
        </w:tc>
        <w:tc>
          <w:tcPr>
            <w:tcW w:w="1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August 27,</w:t>
            </w:r>
          </w:p>
        </w:tc>
      </w:tr>
      <w:tr>
        <w:trPr>
          <w:trHeight w:val="174"/>
        </w:trPr>
        <w:tc>
          <w:tcPr>
            <w:tcW w:w="1380" w:type="dxa"/>
            <w:vAlign w:val="bottom"/>
          </w:tcPr>
          <w:p>
            <w:pPr>
              <w:jc w:val="right"/>
              <w:ind w:right="472"/>
              <w:spacing w:after="0"/>
              <w:rPr>
                <w:sz w:val="20"/>
                <w:szCs w:val="20"/>
                <w:color w:val="auto"/>
              </w:rPr>
            </w:pPr>
            <w:r>
              <w:rPr>
                <w:rFonts w:ascii="Arial" w:cs="Arial" w:eastAsia="Arial" w:hAnsi="Arial"/>
                <w:sz w:val="14"/>
                <w:szCs w:val="14"/>
                <w:b w:val="1"/>
                <w:bCs w:val="1"/>
                <w:color w:val="auto"/>
              </w:rPr>
              <w:t>2006</w:t>
            </w:r>
          </w:p>
        </w:tc>
        <w:tc>
          <w:tcPr>
            <w:tcW w:w="262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2005</w:t>
            </w:r>
          </w:p>
        </w:tc>
      </w:tr>
      <w:tr>
        <w:trPr>
          <w:trHeight w:val="95"/>
        </w:trPr>
        <w:tc>
          <w:tcPr>
            <w:tcW w:w="13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2">
            <w:col w:w="6480" w:space="720"/>
            <w:col w:w="4220"/>
          </w:cols>
          <w:pgMar w:left="240" w:top="415" w:right="239" w:bottom="1107" w:gutter="0" w:footer="0" w:header="0"/>
          <w:type w:val="continuous"/>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120"/>
              <w:spacing w:after="0"/>
              <w:rPr>
                <w:sz w:val="20"/>
                <w:szCs w:val="20"/>
                <w:color w:val="auto"/>
              </w:rPr>
            </w:pPr>
            <w:r>
              <w:rPr>
                <w:rFonts w:ascii="Arial" w:cs="Arial" w:eastAsia="Arial" w:hAnsi="Arial"/>
                <w:sz w:val="18"/>
                <w:szCs w:val="18"/>
                <w:color w:val="auto"/>
              </w:rPr>
              <w:t>Accounts payable, trade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31,209</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9,256</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Accrued compensation</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11,787</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16,380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Product warranties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10,719</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Self-insurance</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6,608</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6,728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Promotional</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5,588</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Dividend payable</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2,904</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5,446</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ind w:left="38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83,517</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90,623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20" w:type="dxa"/>
            <w:vAlign w:val="bottom"/>
            <w:gridSpan w:val="3"/>
            <w:vMerge w:val="restart"/>
          </w:tcPr>
          <w:p>
            <w:pPr>
              <w:spacing w:after="0"/>
              <w:rPr>
                <w:sz w:val="20"/>
                <w:szCs w:val="20"/>
                <w:color w:val="auto"/>
              </w:rPr>
            </w:pPr>
            <w:r>
              <w:rPr>
                <w:rFonts w:ascii="Arial" w:cs="Arial" w:eastAsia="Arial" w:hAnsi="Arial"/>
                <w:sz w:val="18"/>
                <w:szCs w:val="18"/>
                <w:color w:val="auto"/>
              </w:rPr>
              <w:t>Postretirement health care and deferred</w:t>
            </w: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72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ind w:left="120"/>
              <w:spacing w:after="0"/>
              <w:rPr>
                <w:sz w:val="20"/>
                <w:szCs w:val="20"/>
                <w:color w:val="auto"/>
              </w:rPr>
            </w:pPr>
            <w:r>
              <w:rPr>
                <w:rFonts w:ascii="Arial" w:cs="Arial" w:eastAsia="Arial" w:hAnsi="Arial"/>
                <w:sz w:val="18"/>
                <w:szCs w:val="18"/>
                <w:color w:val="auto"/>
              </w:rPr>
              <w:t>compensation benefits, net of current portion</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86,366</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Contingent liabilities and commitments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2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Capital stock, common, par value $0.50; authorized</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60,000 shares, issued 51,776 shares</w:t>
            </w:r>
          </w:p>
        </w:tc>
        <w:tc>
          <w:tcPr>
            <w:tcW w:w="460" w:type="dxa"/>
            <w:vAlign w:val="bottom"/>
            <w:shd w:val="clear" w:color="auto" w:fill="D6F3E8"/>
          </w:tcPr>
          <w:p>
            <w:pPr>
              <w:spacing w:after="0"/>
              <w:rPr>
                <w:sz w:val="19"/>
                <w:szCs w:val="19"/>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126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21,220</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Reinvested earnings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474,133</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447,518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521,241</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490,217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Less treasury stock, at cost (20,463 and 18,787 shares)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304,791</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254,330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00" w:type="dxa"/>
            <w:vAlign w:val="bottom"/>
            <w:gridSpan w:val="2"/>
          </w:tcPr>
          <w:p>
            <w:pPr>
              <w:ind w:left="12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216,450</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235,887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386,333</w:t>
            </w:r>
          </w:p>
        </w:tc>
        <w:tc>
          <w:tcPr>
            <w:tcW w:w="17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ectPr>
          <w:pgSz w:w="11900" w:h="16838" w:orient="portrait"/>
          <w:cols w:equalWidth="0" w:num="1">
            <w:col w:w="11420"/>
          </w:cols>
          <w:pgMar w:left="240" w:top="415" w:right="239" w:bottom="1107"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6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CONSOLIDATED STATEMENTS OF INCOME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27,</w:t>
            </w:r>
          </w:p>
        </w:tc>
        <w:tc>
          <w:tcPr>
            <w:tcW w:w="200" w:type="dxa"/>
            <w:vAlign w:val="bottom"/>
          </w:tcPr>
          <w:p>
            <w:pPr>
              <w:spacing w:after="0"/>
              <w:rPr>
                <w:sz w:val="20"/>
                <w:szCs w:val="20"/>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May 28,</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27,</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220,312</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255,022</w:t>
            </w:r>
          </w:p>
        </w:tc>
        <w:tc>
          <w:tcPr>
            <w:tcW w:w="76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658,992</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760,514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192,236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219,828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579,432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655,995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28,076</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35,194</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79,560</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104,519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54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Selling</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4,536</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4,302</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13,714</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13,420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5,160</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15,493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9,696</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8,839</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29,207</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29,312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4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18,380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26,355</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50,353</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1,418</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761</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3,654</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4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19,798</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27,116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54,007</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77,101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6,641</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9,536</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18,580</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27,406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13,157</w:t>
            </w:r>
          </w:p>
        </w:tc>
        <w:tc>
          <w:tcPr>
            <w:tcW w:w="5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17,580</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35,427</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49,695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per common share:</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0.41</w:t>
            </w:r>
          </w:p>
        </w:tc>
        <w:tc>
          <w:tcPr>
            <w:tcW w:w="5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0.40</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0.52</w:t>
            </w:r>
          </w:p>
        </w:tc>
        <w:tc>
          <w:tcPr>
            <w:tcW w:w="76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542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32,195</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33,289</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32,645</w:t>
            </w:r>
          </w:p>
        </w:tc>
        <w:tc>
          <w:tcPr>
            <w:tcW w:w="5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33,528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32,496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33,747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32,937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420" w:type="dxa"/>
            <w:vAlign w:val="bottom"/>
            <w:gridSpan w:val="3"/>
          </w:tcPr>
          <w:p>
            <w:pPr>
              <w:spacing w:after="0"/>
              <w:rPr>
                <w:sz w:val="20"/>
                <w:szCs w:val="20"/>
                <w:color w:val="auto"/>
              </w:rPr>
            </w:pPr>
            <w:r>
              <w:rPr>
                <w:rFonts w:ascii="Arial" w:cs="Arial" w:eastAsia="Arial" w:hAnsi="Arial"/>
                <w:sz w:val="18"/>
                <w:szCs w:val="18"/>
                <w:color w:val="auto"/>
              </w:rPr>
              <w:t>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5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-1655445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-1655445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-1655445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-1655445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-1655445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-1655445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-1655445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-1655445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CONDENSED CONSOLIDATED STATEMENTS OF CASH FLOWS (In thousands)</w:t>
      </w:r>
    </w:p>
    <w:p>
      <w:pPr>
        <w:sectPr>
          <w:pgSz w:w="11900" w:h="16838" w:orient="portrait"/>
          <w:cols w:equalWidth="0" w:num="1">
            <w:col w:w="11420"/>
          </w:cols>
          <w:pgMar w:left="240" w:top="833" w:right="239" w:bottom="0" w:gutter="0" w:footer="0" w:header="0"/>
        </w:sectPr>
      </w:pPr>
    </w:p>
    <w:p>
      <w:pPr>
        <w:spacing w:after="0" w:line="273" w:lineRule="exact"/>
        <w:rPr>
          <w:sz w:val="20"/>
          <w:szCs w:val="20"/>
          <w:color w:val="auto"/>
        </w:rPr>
      </w:pPr>
    </w:p>
    <w:p>
      <w:pPr>
        <w:ind w:left="898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83185</wp:posOffset>
            </wp:positionV>
            <wp:extent cx="2092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ectPr>
          <w:pgSz w:w="11900" w:h="16838" w:orient="portrait"/>
          <w:cols w:equalWidth="0" w:num="1">
            <w:col w:w="11420"/>
          </w:cols>
          <w:pgMar w:left="240" w:top="833" w:right="239" w:bottom="0" w:gutter="0" w:footer="0" w:header="0"/>
          <w:type w:val="continuous"/>
        </w:sectPr>
      </w:pPr>
    </w:p>
    <w:bookmarkStart w:id="4" w:name="page5"/>
    <w:bookmarkEnd w:id="4"/>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1"/>
              </w:rPr>
              <w:t>May 27, 2006</w:t>
            </w:r>
          </w:p>
        </w:tc>
        <w:tc>
          <w:tcPr>
            <w:tcW w:w="16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May 28,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35,427</w:t>
            </w: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49,695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D6F3E8"/>
          </w:tcPr>
          <w:p>
            <w:pPr>
              <w:spacing w:after="0"/>
              <w:rPr>
                <w:sz w:val="19"/>
                <w:szCs w:val="19"/>
                <w:color w:val="auto"/>
              </w:rPr>
            </w:pPr>
          </w:p>
        </w:tc>
        <w:tc>
          <w:tcPr>
            <w:tcW w:w="980" w:type="dxa"/>
            <w:vAlign w:val="bottom"/>
            <w:shd w:val="clear" w:color="auto" w:fill="D6F3E8"/>
          </w:tcPr>
          <w:p>
            <w:pPr>
              <w:spacing w:after="0"/>
              <w:rPr>
                <w:sz w:val="19"/>
                <w:szCs w:val="19"/>
                <w:color w:val="auto"/>
              </w:rPr>
            </w:pPr>
          </w:p>
        </w:tc>
        <w:tc>
          <w:tcPr>
            <w:tcW w:w="102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98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7,989</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3,964</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Deferred compensation and postretirement expense</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958</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Receivables and other assets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16,030</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20,055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32,456</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(11,696)</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5,113</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Postretirement and deferred compensation benefits</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89,782</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76,456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(150,475)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Proceeds from the sale or maturity of short-term investments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118,575</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143,497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(3,193)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168</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4"/>
                <w:szCs w:val="24"/>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(34,925)</w:t>
            </w:r>
          </w:p>
        </w:tc>
        <w:tc>
          <w:tcPr>
            <w:tcW w:w="16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(59,893)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Payments for purchase of common stock</w:t>
            </w:r>
          </w:p>
        </w:tc>
        <w:tc>
          <w:tcPr>
            <w:tcW w:w="160" w:type="dxa"/>
            <w:vAlign w:val="bottom"/>
          </w:tcPr>
          <w:p>
            <w:pPr>
              <w:spacing w:after="0"/>
              <w:rPr>
                <w:sz w:val="18"/>
                <w:szCs w:val="18"/>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(51,576)</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Payment of cash dividends</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(8,871)</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0"/>
              <w:spacing w:after="0"/>
              <w:rPr>
                <w:sz w:val="20"/>
                <w:szCs w:val="20"/>
                <w:color w:val="auto"/>
              </w:rPr>
            </w:pPr>
            <w:r>
              <w:rPr>
                <w:rFonts w:ascii="Arial" w:cs="Arial" w:eastAsia="Arial" w:hAnsi="Arial"/>
                <w:sz w:val="18"/>
                <w:szCs w:val="18"/>
                <w:color w:val="auto"/>
              </w:rPr>
              <w:t>Proceeds from issuance of treasury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79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24"/>
                <w:szCs w:val="24"/>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(58,922)</w:t>
            </w:r>
          </w:p>
        </w:tc>
        <w:tc>
          <w:tcPr>
            <w:tcW w:w="16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(30,706)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D6F3E8"/>
          </w:tcPr>
          <w:p>
            <w:pPr>
              <w:spacing w:after="0"/>
              <w:rPr>
                <w:sz w:val="18"/>
                <w:szCs w:val="18"/>
                <w:color w:val="auto"/>
              </w:rPr>
            </w:pPr>
          </w:p>
        </w:tc>
        <w:tc>
          <w:tcPr>
            <w:tcW w:w="2000" w:type="dxa"/>
            <w:vAlign w:val="bottom"/>
            <w:gridSpan w:val="2"/>
            <w:shd w:val="clear" w:color="auto" w:fill="D6F3E8"/>
          </w:tcPr>
          <w:p>
            <w:pPr>
              <w:jc w:val="right"/>
              <w:ind w:right="960"/>
              <w:spacing w:after="0"/>
              <w:rPr>
                <w:sz w:val="20"/>
                <w:szCs w:val="20"/>
                <w:color w:val="auto"/>
              </w:rPr>
            </w:pPr>
            <w:r>
              <w:rPr>
                <w:rFonts w:ascii="Arial" w:cs="Arial" w:eastAsia="Arial" w:hAnsi="Arial"/>
                <w:sz w:val="18"/>
                <w:szCs w:val="18"/>
                <w:color w:val="auto"/>
              </w:rPr>
              <w:t>(4,065)</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19,484</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 end of period</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15,419</w:t>
            </w:r>
          </w:p>
        </w:tc>
        <w:tc>
          <w:tcPr>
            <w:tcW w:w="10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10,302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90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6"/>
        </w:trPr>
        <w:tc>
          <w:tcPr>
            <w:tcW w:w="790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12,465</w:t>
            </w:r>
          </w:p>
        </w:tc>
        <w:tc>
          <w:tcPr>
            <w:tcW w:w="10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-523240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-523240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-523240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-523240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NOTES TO CONDENSED CONSOLIDATED</w:t>
      </w:r>
    </w:p>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w:t>
      </w:r>
    </w:p>
    <w:p>
      <w:pPr>
        <w:spacing w:after="0" w:line="299"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213" w:lineRule="exact"/>
        <w:rPr>
          <w:sz w:val="20"/>
          <w:szCs w:val="20"/>
          <w:color w:val="auto"/>
        </w:rPr>
      </w:pPr>
    </w:p>
    <w:p>
      <w:pPr>
        <w:ind w:left="580" w:right="20"/>
        <w:spacing w:after="0" w:line="323" w:lineRule="auto"/>
        <w:rPr>
          <w:sz w:val="20"/>
          <w:szCs w:val="20"/>
          <w:color w:val="auto"/>
        </w:rPr>
      </w:pPr>
      <w:r>
        <w:rPr>
          <w:rFonts w:ascii="Arial" w:cs="Arial" w:eastAsia="Arial" w:hAnsi="Arial"/>
          <w:sz w:val="15"/>
          <w:szCs w:val="15"/>
          <w:color w:val="auto"/>
        </w:rPr>
        <w:t>In our opinion, the accompanying unaudited condensed consolidated financial statements contain all adjustments, consisting of normal recurring accruals, necessary to present fairly the consolidated financial position as of May 27, 2006, the consolidated results of operations for the three and nine months ended May 27, 2006 and May 28, 2005 and the consolidated statements of cash flows for the nine months ended May 27, 2006 and May 28, 2005. The consolidated statements of income for the nine months ended May 27, 2006 are not necessarily indicative of the results to be expected for the full year.</w:t>
      </w:r>
    </w:p>
    <w:p>
      <w:pPr>
        <w:sectPr>
          <w:pgSz w:w="11900" w:h="16845" w:orient="portrait"/>
          <w:cols w:equalWidth="0" w:num="1">
            <w:col w:w="11420"/>
          </w:cols>
          <w:pgMar w:left="240" w:top="194" w:right="239" w:bottom="0" w:gutter="0" w:footer="0" w:header="0"/>
        </w:sectPr>
      </w:pPr>
    </w:p>
    <w:bookmarkStart w:id="5" w:name="page6"/>
    <w:bookmarkEnd w:id="5"/>
    <w:p>
      <w:pPr>
        <w:ind w:left="580" w:right="20"/>
        <w:spacing w:after="0" w:line="298" w:lineRule="auto"/>
        <w:rPr>
          <w:sz w:val="20"/>
          <w:szCs w:val="20"/>
          <w:color w:val="auto"/>
        </w:rPr>
      </w:pPr>
      <w:r>
        <w:rPr>
          <w:rFonts w:ascii="Arial" w:cs="Arial" w:eastAsia="Arial" w:hAnsi="Arial"/>
          <w:sz w:val="16"/>
          <w:szCs w:val="16"/>
          <w:color w:val="auto"/>
        </w:rPr>
        <w:t>The balance sheet data as of August 27, 2005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27, 2005. Certain prior period information has been reclassified to conform to the current year presentation.</w:t>
      </w:r>
    </w:p>
    <w:p>
      <w:pPr>
        <w:spacing w:after="0" w:line="200" w:lineRule="exact"/>
        <w:rPr>
          <w:sz w:val="20"/>
          <w:szCs w:val="20"/>
          <w:color w:val="auto"/>
        </w:rPr>
      </w:pPr>
    </w:p>
    <w:p>
      <w:pPr>
        <w:spacing w:after="0" w:line="28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Stock-Based Compensation</w:t>
      </w:r>
    </w:p>
    <w:p>
      <w:pPr>
        <w:spacing w:after="0" w:line="299"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color w:val="auto"/>
        </w:rPr>
        <w:t>We have a 2004 Incentive Compensation Plan (the “Plan”) in place which allows us to grant stock options and other equity compensation to employees. To date, we have only granted options under the Plan. The Plan also allows us to provide equity compensation to our nonemployee directors. The grant price of an option under the Plan is determined by the mean of the high and low prices of our common stock on the date of grant. The term of any options granted under the Plan may not exceed 10 years from the date of the grant. Options issued to employees generally vest over a three-year period in equal annual installments with immediate vesting upon retirement or upon a change of control (as defined in the Plan), if earlier. Historically, options issued to directors vested six months after grant. However, options issued to directors in Fiscal 2006 vest one year after grant.</w:t>
      </w:r>
    </w:p>
    <w:p>
      <w:pPr>
        <w:spacing w:after="0" w:line="201" w:lineRule="exact"/>
        <w:rPr>
          <w:sz w:val="20"/>
          <w:szCs w:val="20"/>
          <w:color w:val="auto"/>
        </w:rPr>
      </w:pPr>
    </w:p>
    <w:p>
      <w:pPr>
        <w:ind w:left="580" w:right="260"/>
        <w:spacing w:after="0" w:line="256" w:lineRule="auto"/>
        <w:rPr>
          <w:sz w:val="20"/>
          <w:szCs w:val="20"/>
          <w:color w:val="auto"/>
        </w:rPr>
      </w:pPr>
      <w:r>
        <w:rPr>
          <w:rFonts w:ascii="Arial" w:cs="Arial" w:eastAsia="Arial" w:hAnsi="Arial"/>
          <w:sz w:val="18"/>
          <w:szCs w:val="18"/>
          <w:color w:val="auto"/>
        </w:rPr>
        <w:t xml:space="preserve">Prior to August 28, 2005, we applied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related interpretations in accounting for options. No stock-based compensation expense for stock options was recognized in our consolidated statements of income prior to Fiscal 2006, as the exercise price of all options granted was not less than 100 percent of fair market value of the common stock on the date of grant.</w:t>
      </w:r>
    </w:p>
    <w:p>
      <w:pPr>
        <w:spacing w:after="0" w:line="224" w:lineRule="exact"/>
        <w:rPr>
          <w:sz w:val="20"/>
          <w:szCs w:val="20"/>
          <w:color w:val="auto"/>
        </w:rPr>
      </w:pPr>
    </w:p>
    <w:p>
      <w:pPr>
        <w:ind w:left="580" w:right="360"/>
        <w:spacing w:after="0" w:line="256" w:lineRule="auto"/>
        <w:rPr>
          <w:sz w:val="20"/>
          <w:szCs w:val="20"/>
          <w:color w:val="auto"/>
        </w:rPr>
      </w:pPr>
      <w:r>
        <w:rPr>
          <w:rFonts w:ascii="Arial" w:cs="Arial" w:eastAsia="Arial" w:hAnsi="Arial"/>
          <w:sz w:val="18"/>
          <w:szCs w:val="18"/>
          <w:color w:val="auto"/>
        </w:rPr>
        <w:t>Effective August 28, 2005, we adopted Statement of Financial Accounting Standards (SFAS) No. 123 (revised 2004), Share-Based Payment (123R), requiring us to recognize expense related to the fair value of our stock-based compensation awards. We elected the modified prospective transition method as permitted by SFAS No. 123R; accordingly, results from prior periods have not been restated. Under this transition method, stock-based compensation expense for the nine months ended May 27, 2006 includes:</w:t>
      </w:r>
    </w:p>
    <w:p>
      <w:pPr>
        <w:spacing w:after="0" w:line="224" w:lineRule="exact"/>
        <w:rPr>
          <w:sz w:val="20"/>
          <w:szCs w:val="20"/>
          <w:color w:val="auto"/>
        </w:rPr>
      </w:pPr>
    </w:p>
    <w:p>
      <w:pPr>
        <w:ind w:left="1180" w:right="380" w:hanging="618"/>
        <w:spacing w:after="0" w:line="259"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compensation expense for all stock-based compensation awards granted prior to August 27, 2005, but not yet vested at the date of adoption, based on the grant date fair value estimated in accordance with the original provisions of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w:t>
      </w:r>
    </w:p>
    <w:p>
      <w:pPr>
        <w:spacing w:after="0" w:line="221" w:lineRule="exact"/>
        <w:rPr>
          <w:rFonts w:ascii="Arial" w:cs="Arial" w:eastAsia="Arial" w:hAnsi="Arial"/>
          <w:sz w:val="18"/>
          <w:szCs w:val="18"/>
          <w:color w:val="auto"/>
        </w:rPr>
      </w:pPr>
    </w:p>
    <w:p>
      <w:pPr>
        <w:ind w:left="1180" w:right="500" w:hanging="618"/>
        <w:spacing w:after="0" w:line="268"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compensation expense for all stock-based compensation awards granted subsequent to August 27, 2005, based on the grant-date fair value estimated in accordance with the provisions of SFAS No. 123R.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line="286" w:lineRule="auto"/>
        <w:rPr>
          <w:sz w:val="20"/>
          <w:szCs w:val="20"/>
          <w:color w:val="auto"/>
        </w:rPr>
      </w:pPr>
      <w:r>
        <w:rPr>
          <w:rFonts w:ascii="Arial" w:cs="Arial" w:eastAsia="Arial" w:hAnsi="Arial"/>
          <w:sz w:val="16"/>
          <w:szCs w:val="16"/>
          <w:color w:val="auto"/>
        </w:rPr>
        <w:t>Historically, for SFAS No. 123 pro forma disclosure on stock-based compensation, we have recognized compensation expense for stock option awards issued to employees on a straight-line basis over the vesting period of three years. This policy differs from the policy required to be applied to awards granted after the adoption of SFAS No. 123R, which requires that compensation expense be recognized for awards over the requisite service period of the award or to an employee’s eligible retirement date, if earlier. We will continue to recognize compensation expense over the three-year vesting periods for awards granted prior to adoption of SFAS No. 123R, but for all awards granted after August 27, 2005, compensation expense will be recognized over the requisite service period of the award or over a period ending with an employee’s eligible retirement date, if earlier. Total stock option expense included in our statements of income for the quarters ended May 27, 2006 and May 28, 2005, was $997,000 ($807,000, net of tax or 2 cents per diluted share) and $-0-, respectively. Of the $997,000 option expense included in our statements of income for the quarter ended May 27, 2006, $588,000 relates to awards granted prior to Fiscal 2006 which continued to be expensed over the three-year vesting period. Total stock option expense included in our statements of income for the nine months ended May 27, 2006 and May 28, 2005 was $3.8 million ($3.1 million, net of tax or 10 cents per diluted share) and $-0-, respectively. Of the $3.8 million option expense included in our statements of income for the nine months ended May 27, 2006, $1.9 million relates to awards granted prior to Fiscal 2006 which continued to be expensed over the three-year vesting period.</w:t>
      </w:r>
    </w:p>
    <w:p>
      <w:pPr>
        <w:spacing w:after="0" w:line="205" w:lineRule="exact"/>
        <w:rPr>
          <w:sz w:val="20"/>
          <w:szCs w:val="20"/>
          <w:color w:val="auto"/>
        </w:rPr>
      </w:pPr>
    </w:p>
    <w:p>
      <w:pPr>
        <w:ind w:left="580" w:right="20"/>
        <w:spacing w:after="0" w:line="298" w:lineRule="auto"/>
        <w:rPr>
          <w:sz w:val="20"/>
          <w:szCs w:val="20"/>
          <w:color w:val="auto"/>
        </w:rPr>
      </w:pPr>
      <w:r>
        <w:rPr>
          <w:rFonts w:ascii="Arial" w:cs="Arial" w:eastAsia="Arial" w:hAnsi="Arial"/>
          <w:sz w:val="16"/>
          <w:szCs w:val="16"/>
          <w:color w:val="auto"/>
        </w:rPr>
        <w:t>Prior to the adoption of SFAS No. 123R, we reported all tax benefits resulting from the exercise of stock options as operating cash flows in our consolidated statements of cash flows. In accordance with SFAS No. 123R, for the nine months ended May 27, 2006, the presentation of our statement of cash flows has changed from prior periods to report the excess tax benefits from the exercise of stock options as financing cash flows. For the nine months ended May 27, 2006, $280,000 of excess tax benefits were reported as financing cash flows rather than operating cash flows.</w:t>
      </w:r>
    </w:p>
    <w:p>
      <w:pPr>
        <w:spacing w:after="0" w:line="194"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The table below illustrates the effect on net earnings and earnings per share as if we had applied the fair value recognition provisions of SFAS No. 123 to stock-based compensation during the quarter and nine months ended May 28, 2005.</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Quarter Ended</w:t>
            </w:r>
          </w:p>
        </w:tc>
        <w:tc>
          <w:tcPr>
            <w:tcW w:w="184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May 28, 2005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May 28, 2005</w:t>
            </w:r>
          </w:p>
        </w:tc>
        <w:tc>
          <w:tcPr>
            <w:tcW w:w="0" w:type="dxa"/>
            <w:vAlign w:val="bottom"/>
          </w:tcPr>
          <w:p>
            <w:pPr>
              <w:spacing w:after="0"/>
              <w:rPr>
                <w:sz w:val="1"/>
                <w:szCs w:val="1"/>
                <w:color w:val="auto"/>
              </w:rPr>
            </w:pPr>
          </w:p>
        </w:tc>
      </w:tr>
      <w:tr>
        <w:trPr>
          <w:trHeight w:val="89"/>
        </w:trPr>
        <w:tc>
          <w:tcPr>
            <w:tcW w:w="546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Net earnings, as reported</w:t>
            </w:r>
          </w:p>
        </w:tc>
        <w:tc>
          <w:tcPr>
            <w:tcW w:w="14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17,580</w:t>
            </w:r>
          </w:p>
        </w:tc>
        <w:tc>
          <w:tcPr>
            <w:tcW w:w="5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49,695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Deduct:  Stock-based compensation expense determined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under fair value method for all awards, net of tax</w:t>
            </w:r>
            <w:r>
              <w:rPr>
                <w:rFonts w:ascii="Arial" w:cs="Arial" w:eastAsia="Arial" w:hAnsi="Arial"/>
                <w:sz w:val="29"/>
                <w:szCs w:val="29"/>
                <w:color w:val="auto"/>
                <w:vertAlign w:val="superscript"/>
              </w:rPr>
              <w:t>(1)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(896)</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Net earnings, pro forma</w:t>
            </w:r>
          </w:p>
        </w:tc>
        <w:tc>
          <w:tcPr>
            <w:tcW w:w="14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16,684</w:t>
            </w:r>
          </w:p>
        </w:tc>
        <w:tc>
          <w:tcPr>
            <w:tcW w:w="5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47,270</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54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Basic – as reported</w:t>
            </w:r>
          </w:p>
        </w:tc>
        <w:tc>
          <w:tcPr>
            <w:tcW w:w="14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0.53</w:t>
            </w:r>
          </w:p>
        </w:tc>
        <w:tc>
          <w:tcPr>
            <w:tcW w:w="5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ind w:lef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Basic – pro forma</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0.50</w:t>
            </w:r>
          </w:p>
        </w:tc>
        <w:tc>
          <w:tcPr>
            <w:tcW w:w="540" w:type="dxa"/>
            <w:vAlign w:val="bottom"/>
          </w:tcPr>
          <w:p>
            <w:pPr>
              <w:spacing w:after="0"/>
              <w:rPr>
                <w:sz w:val="19"/>
                <w:szCs w:val="19"/>
                <w:color w:val="auto"/>
              </w:rPr>
            </w:pP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150495</wp:posOffset>
            </wp:positionV>
            <wp:extent cx="6517640" cy="70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7640" cy="7048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6" w:name="page7"/>
    <w:bookmarkEnd w:id="6"/>
    <w:tbl>
      <w:tblPr>
        <w:tblLayout w:type="fixed"/>
        <w:tblInd w:w="580" w:type="dxa"/>
        <w:tblCellMar>
          <w:top w:w="0" w:type="dxa"/>
          <w:left w:w="0" w:type="dxa"/>
          <w:bottom w:w="0" w:type="dxa"/>
          <w:right w:w="0" w:type="dxa"/>
        </w:tblCellMar>
      </w:tblPr>
      <w:tr>
        <w:trPr>
          <w:trHeight w:val="216"/>
        </w:trPr>
        <w:tc>
          <w:tcPr>
            <w:tcW w:w="42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Diluted – as reported</w:t>
            </w:r>
          </w:p>
        </w:tc>
        <w:tc>
          <w:tcPr>
            <w:tcW w:w="302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rPr>
              <w:t>0.52</w:t>
            </w:r>
          </w:p>
        </w:tc>
        <w:tc>
          <w:tcPr>
            <w:tcW w:w="98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1.46</w:t>
            </w:r>
          </w:p>
        </w:tc>
      </w:tr>
      <w:tr>
        <w:trPr>
          <w:trHeight w:val="222"/>
        </w:trPr>
        <w:tc>
          <w:tcPr>
            <w:tcW w:w="420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30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32"/>
              <w:spacing w:after="0"/>
              <w:rPr>
                <w:sz w:val="20"/>
                <w:szCs w:val="20"/>
                <w:color w:val="auto"/>
              </w:rPr>
            </w:pPr>
            <w:r>
              <w:rPr>
                <w:rFonts w:ascii="Arial" w:cs="Arial" w:eastAsia="Arial" w:hAnsi="Arial"/>
                <w:sz w:val="18"/>
                <w:szCs w:val="18"/>
                <w:color w:val="auto"/>
              </w:rPr>
              <w:t>0.49</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1.39</w:t>
            </w:r>
          </w:p>
        </w:tc>
      </w:tr>
    </w:tbl>
    <w:p>
      <w:pPr>
        <w:spacing w:after="0" w:line="228" w:lineRule="exact"/>
        <w:rPr>
          <w:sz w:val="20"/>
          <w:szCs w:val="20"/>
          <w:color w:val="auto"/>
        </w:rPr>
      </w:pPr>
    </w:p>
    <w:p>
      <w:pPr>
        <w:ind w:left="900" w:right="600" w:hanging="318"/>
        <w:spacing w:after="0" w:line="194" w:lineRule="auto"/>
        <w:tabs>
          <w:tab w:leader="none" w:pos="9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For purposes of this pro forma disclosure, the value of the stock-based compensation is amortized to expense on a straight-line basis over the vesting period. Forfeitures are estimated based on historical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stock option activity for the nine months ended May 27, 2006:</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 and years)</w:t>
            </w:r>
          </w:p>
        </w:tc>
        <w:tc>
          <w:tcPr>
            <w:tcW w:w="14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89"/>
        </w:trPr>
        <w:tc>
          <w:tcPr>
            <w:tcW w:w="5060" w:type="dxa"/>
            <w:vAlign w:val="bottom"/>
            <w:gridSpan w:val="2"/>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D6F3E8"/>
          </w:tcPr>
          <w:p>
            <w:pPr>
              <w:spacing w:after="0"/>
              <w:rPr>
                <w:sz w:val="20"/>
                <w:szCs w:val="20"/>
                <w:color w:val="auto"/>
              </w:rPr>
            </w:pPr>
            <w:r>
              <w:rPr>
                <w:rFonts w:ascii="Arial" w:cs="Arial" w:eastAsia="Arial" w:hAnsi="Arial"/>
                <w:sz w:val="18"/>
                <w:szCs w:val="18"/>
                <w:color w:val="auto"/>
              </w:rPr>
              <w:t>Outstanding on August 27, 2005</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1,374</w:t>
            </w:r>
          </w:p>
        </w:tc>
        <w:tc>
          <w:tcPr>
            <w:tcW w:w="5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22.24</w:t>
            </w:r>
          </w:p>
        </w:tc>
        <w:tc>
          <w:tcPr>
            <w:tcW w:w="40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340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27.68</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D6F3E8"/>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16.60</w:t>
            </w:r>
          </w:p>
        </w:tc>
        <w:tc>
          <w:tcPr>
            <w:tcW w:w="40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Forfeited/Canceled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D6F3E8"/>
          </w:tcPr>
          <w:p>
            <w:pPr>
              <w:spacing w:after="0"/>
              <w:rPr>
                <w:sz w:val="20"/>
                <w:szCs w:val="20"/>
                <w:color w:val="auto"/>
              </w:rPr>
            </w:pPr>
            <w:r>
              <w:rPr>
                <w:rFonts w:ascii="Arial" w:cs="Arial" w:eastAsia="Arial" w:hAnsi="Arial"/>
                <w:sz w:val="18"/>
                <w:szCs w:val="18"/>
                <w:color w:val="auto"/>
              </w:rPr>
              <w:t>Outstanding on May 27, 2006</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1,639</w:t>
            </w:r>
          </w:p>
        </w:tc>
        <w:tc>
          <w:tcPr>
            <w:tcW w:w="5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23.63</w:t>
            </w:r>
          </w:p>
        </w:tc>
        <w:tc>
          <w:tcPr>
            <w:tcW w:w="1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7.08</w:t>
            </w:r>
          </w:p>
        </w:tc>
        <w:tc>
          <w:tcPr>
            <w:tcW w:w="5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10,539</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060" w:type="dxa"/>
            <w:vAlign w:val="bottom"/>
            <w:gridSpan w:val="2"/>
          </w:tcPr>
          <w:p>
            <w:pPr>
              <w:spacing w:after="0"/>
              <w:rPr>
                <w:sz w:val="20"/>
                <w:szCs w:val="20"/>
                <w:color w:val="auto"/>
              </w:rPr>
            </w:pPr>
            <w:r>
              <w:rPr>
                <w:rFonts w:ascii="Arial" w:cs="Arial" w:eastAsia="Arial" w:hAnsi="Arial"/>
                <w:sz w:val="18"/>
                <w:szCs w:val="18"/>
                <w:color w:val="auto"/>
              </w:rPr>
              <w:t>Exercisable on May 27, 2006</w:t>
            </w:r>
          </w:p>
        </w:tc>
        <w:tc>
          <w:tcPr>
            <w:tcW w:w="940" w:type="dxa"/>
            <w:vAlign w:val="bottom"/>
          </w:tcPr>
          <w:p>
            <w:pPr>
              <w:jc w:val="right"/>
              <w:spacing w:after="0"/>
              <w:rPr>
                <w:sz w:val="20"/>
                <w:szCs w:val="20"/>
                <w:color w:val="auto"/>
              </w:rPr>
            </w:pPr>
            <w:r>
              <w:rPr>
                <w:rFonts w:ascii="Arial" w:cs="Arial" w:eastAsia="Arial" w:hAnsi="Arial"/>
                <w:sz w:val="18"/>
                <w:szCs w:val="18"/>
                <w:color w:val="auto"/>
              </w:rPr>
              <w:t>963</w:t>
            </w:r>
          </w:p>
        </w:tc>
        <w:tc>
          <w:tcPr>
            <w:tcW w:w="5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80" w:right="220"/>
        <w:spacing w:after="0" w:line="332" w:lineRule="auto"/>
        <w:rPr>
          <w:sz w:val="20"/>
          <w:szCs w:val="20"/>
          <w:color w:val="auto"/>
        </w:rPr>
      </w:pPr>
      <w:r>
        <w:rPr>
          <w:rFonts w:ascii="Arial" w:cs="Arial" w:eastAsia="Arial" w:hAnsi="Arial"/>
          <w:sz w:val="16"/>
          <w:szCs w:val="16"/>
          <w:color w:val="auto"/>
        </w:rPr>
        <w:t>The aggregate intrinsic value of options (the amount by which the sale price of our stock on the date of exercise exceeded the exercise price) exercised during the nine months ended May 27, 2006 and May 28, 2005 was $1.2 million and $3.6 million, respectively.</w:t>
      </w:r>
    </w:p>
    <w:p>
      <w:pPr>
        <w:spacing w:after="0" w:line="166" w:lineRule="exact"/>
        <w:rPr>
          <w:sz w:val="20"/>
          <w:szCs w:val="20"/>
          <w:color w:val="auto"/>
        </w:rPr>
      </w:pPr>
    </w:p>
    <w:p>
      <w:pPr>
        <w:ind w:left="580" w:right="100"/>
        <w:spacing w:after="0" w:line="268" w:lineRule="auto"/>
        <w:rPr>
          <w:sz w:val="20"/>
          <w:szCs w:val="20"/>
          <w:color w:val="auto"/>
        </w:rPr>
      </w:pPr>
      <w:r>
        <w:rPr>
          <w:rFonts w:ascii="Arial" w:cs="Arial" w:eastAsia="Arial" w:hAnsi="Arial"/>
          <w:sz w:val="18"/>
          <w:szCs w:val="18"/>
          <w:color w:val="auto"/>
        </w:rPr>
        <w:t>As of May 27, 2006, there was $3.0 million of unrecognized compensation expense related to nonvested option awards that is expected to be recognized over a weighted average period of 1.3 years.</w:t>
      </w:r>
    </w:p>
    <w:p>
      <w:pPr>
        <w:spacing w:after="0" w:line="213"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The fair value of each stock option was estimated on the date of the grant using the Black-Scholes option-pricing model. The weighted-average grant date fair value of stock options granted during the nine months ended May 27, 2006 and May 28, 2005, was $8.68 and $10.87, respectively.</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gridSpan w:val="3"/>
          </w:tcPr>
          <w:p>
            <w:pPr>
              <w:ind w:left="760"/>
              <w:spacing w:after="0"/>
              <w:rPr>
                <w:sz w:val="20"/>
                <w:szCs w:val="20"/>
                <w:color w:val="auto"/>
              </w:rPr>
            </w:pPr>
            <w:r>
              <w:rPr>
                <w:rFonts w:ascii="Arial" w:cs="Arial" w:eastAsia="Arial" w:hAnsi="Arial"/>
                <w:sz w:val="14"/>
                <w:szCs w:val="14"/>
                <w:b w:val="1"/>
                <w:bCs w:val="1"/>
                <w:color w:val="auto"/>
                <w:w w:val="88"/>
              </w:rPr>
              <w:t>Nine Months Ended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r>
              <w:rPr>
                <w:rFonts w:ascii="Arial" w:cs="Arial" w:eastAsia="Arial" w:hAnsi="Arial"/>
                <w:sz w:val="22"/>
                <w:szCs w:val="22"/>
                <w:b w:val="1"/>
                <w:bCs w:val="1"/>
                <w:color w:val="auto"/>
                <w:vertAlign w:val="superscript"/>
              </w:rPr>
              <w:t>(1)</w:t>
            </w:r>
          </w:p>
        </w:tc>
        <w:tc>
          <w:tcPr>
            <w:tcW w:w="1940" w:type="dxa"/>
            <w:vAlign w:val="bottom"/>
            <w:gridSpan w:val="3"/>
          </w:tcPr>
          <w:p>
            <w:pPr>
              <w:ind w:left="240"/>
              <w:spacing w:after="0"/>
              <w:rPr>
                <w:sz w:val="20"/>
                <w:szCs w:val="20"/>
                <w:color w:val="auto"/>
              </w:rPr>
            </w:pPr>
            <w:r>
              <w:rPr>
                <w:rFonts w:ascii="Arial" w:cs="Arial" w:eastAsia="Arial" w:hAnsi="Arial"/>
                <w:sz w:val="14"/>
                <w:szCs w:val="14"/>
                <w:b w:val="1"/>
                <w:bCs w:val="1"/>
                <w:color w:val="auto"/>
              </w:rPr>
              <w:t>May 27,</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May 28,</w:t>
            </w:r>
          </w:p>
        </w:tc>
        <w:tc>
          <w:tcPr>
            <w:tcW w:w="0" w:type="dxa"/>
            <w:vAlign w:val="bottom"/>
          </w:tcPr>
          <w:p>
            <w:pPr>
              <w:spacing w:after="0"/>
              <w:rPr>
                <w:sz w:val="1"/>
                <w:szCs w:val="1"/>
                <w:color w:val="auto"/>
              </w:rPr>
            </w:pPr>
          </w:p>
        </w:tc>
      </w:tr>
      <w:tr>
        <w:trPr>
          <w:trHeight w:val="266"/>
        </w:trPr>
        <w:tc>
          <w:tcPr>
            <w:tcW w:w="7400" w:type="dxa"/>
            <w:vAlign w:val="bottom"/>
            <w:gridSpan w:val="3"/>
            <w:vMerge w:val="continue"/>
          </w:tcPr>
          <w:p>
            <w:pPr>
              <w:spacing w:after="0"/>
              <w:rPr>
                <w:sz w:val="23"/>
                <w:szCs w:val="23"/>
                <w:color w:val="auto"/>
              </w:rPr>
            </w:pPr>
          </w:p>
        </w:tc>
        <w:tc>
          <w:tcPr>
            <w:tcW w:w="9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2006</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Borders>
              <w:top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8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(2)</w:t>
            </w:r>
          </w:p>
        </w:tc>
        <w:tc>
          <w:tcPr>
            <w:tcW w:w="1760" w:type="dxa"/>
            <w:vAlign w:val="bottom"/>
            <w:gridSpan w:val="2"/>
            <w:shd w:val="clear" w:color="auto" w:fill="D6F3E8"/>
          </w:tcPr>
          <w:p>
            <w:pPr>
              <w:jc w:val="right"/>
              <w:ind w:right="680"/>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D6F3E8"/>
          </w:tcPr>
          <w:p>
            <w:pPr>
              <w:spacing w:after="0"/>
              <w:rPr>
                <w:sz w:val="22"/>
                <w:szCs w:val="22"/>
                <w:color w:val="auto"/>
              </w:rPr>
            </w:pPr>
          </w:p>
        </w:tc>
        <w:tc>
          <w:tcPr>
            <w:tcW w:w="9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8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Expected stock price volatility</w:t>
            </w:r>
            <w:r>
              <w:rPr>
                <w:rFonts w:ascii="Arial" w:cs="Arial" w:eastAsia="Arial" w:hAnsi="Arial"/>
                <w:sz w:val="29"/>
                <w:szCs w:val="29"/>
                <w:color w:val="auto"/>
                <w:vertAlign w:val="superscript"/>
              </w:rPr>
              <w:t>(3)</w:t>
            </w:r>
          </w:p>
        </w:tc>
        <w:tc>
          <w:tcPr>
            <w:tcW w:w="1760" w:type="dxa"/>
            <w:vAlign w:val="bottom"/>
            <w:gridSpan w:val="2"/>
            <w:shd w:val="clear" w:color="auto" w:fill="D6F3E8"/>
          </w:tcPr>
          <w:p>
            <w:pPr>
              <w:jc w:val="right"/>
              <w:ind w:right="680"/>
              <w:spacing w:after="0"/>
              <w:rPr>
                <w:sz w:val="20"/>
                <w:szCs w:val="20"/>
                <w:color w:val="auto"/>
              </w:rPr>
            </w:pPr>
            <w:r>
              <w:rPr>
                <w:rFonts w:ascii="Arial" w:cs="Arial" w:eastAsia="Arial" w:hAnsi="Arial"/>
                <w:sz w:val="18"/>
                <w:szCs w:val="18"/>
                <w:color w:val="auto"/>
              </w:rPr>
              <w:t>35.73%</w:t>
            </w:r>
          </w:p>
        </w:tc>
        <w:tc>
          <w:tcPr>
            <w:tcW w:w="180" w:type="dxa"/>
            <w:vAlign w:val="bottom"/>
            <w:shd w:val="clear" w:color="auto" w:fill="D6F3E8"/>
          </w:tcPr>
          <w:p>
            <w:pPr>
              <w:spacing w:after="0"/>
              <w:rPr>
                <w:sz w:val="22"/>
                <w:szCs w:val="22"/>
                <w:color w:val="auto"/>
              </w:rPr>
            </w:pPr>
          </w:p>
        </w:tc>
        <w:tc>
          <w:tcPr>
            <w:tcW w:w="9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29"/>
                <w:szCs w:val="29"/>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00" w:hanging="318"/>
        <w:spacing w:after="0" w:line="238" w:lineRule="auto"/>
        <w:tabs>
          <w:tab w:leader="none" w:pos="9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Forfeitures are estimated based on historical experience.</w:t>
      </w:r>
    </w:p>
    <w:p>
      <w:pPr>
        <w:spacing w:after="0" w:line="8" w:lineRule="exact"/>
        <w:rPr>
          <w:rFonts w:ascii="Arial" w:cs="Arial" w:eastAsia="Arial" w:hAnsi="Arial"/>
          <w:sz w:val="29"/>
          <w:szCs w:val="29"/>
          <w:color w:val="auto"/>
          <w:vertAlign w:val="superscript"/>
        </w:rPr>
      </w:pPr>
    </w:p>
    <w:p>
      <w:pPr>
        <w:ind w:left="900" w:hanging="318"/>
        <w:spacing w:after="0" w:line="181" w:lineRule="auto"/>
        <w:tabs>
          <w:tab w:leader="none" w:pos="9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Based on the Treasury Securities constant maturity interest rate whose term is consistent with the expected life of our stock options.</w:t>
      </w:r>
    </w:p>
    <w:p>
      <w:pPr>
        <w:spacing w:after="0" w:line="7" w:lineRule="exact"/>
        <w:rPr>
          <w:rFonts w:ascii="Arial" w:cs="Arial" w:eastAsia="Arial" w:hAnsi="Arial"/>
          <w:sz w:val="24"/>
          <w:szCs w:val="24"/>
          <w:color w:val="auto"/>
          <w:vertAlign w:val="superscript"/>
        </w:rPr>
      </w:pPr>
    </w:p>
    <w:p>
      <w:pPr>
        <w:ind w:left="900" w:hanging="318"/>
        <w:spacing w:after="0" w:line="181" w:lineRule="auto"/>
        <w:tabs>
          <w:tab w:leader="none" w:pos="9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Expected stock price volatility is based on historical experience.</w:t>
      </w:r>
    </w:p>
    <w:p>
      <w:pPr>
        <w:spacing w:after="0" w:line="7" w:lineRule="exact"/>
        <w:rPr>
          <w:rFonts w:ascii="Arial" w:cs="Arial" w:eastAsia="Arial" w:hAnsi="Arial"/>
          <w:sz w:val="24"/>
          <w:szCs w:val="24"/>
          <w:color w:val="auto"/>
          <w:vertAlign w:val="superscript"/>
        </w:rPr>
      </w:pPr>
    </w:p>
    <w:p>
      <w:pPr>
        <w:ind w:left="900" w:hanging="318"/>
        <w:spacing w:after="0" w:line="181" w:lineRule="auto"/>
        <w:tabs>
          <w:tab w:leader="none" w:pos="90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Expected life of stock options is based upon historical experience.</w:t>
      </w:r>
    </w:p>
    <w:p>
      <w:pPr>
        <w:spacing w:after="0" w:line="237" w:lineRule="exact"/>
        <w:rPr>
          <w:sz w:val="20"/>
          <w:szCs w:val="20"/>
          <w:color w:val="auto"/>
        </w:rPr>
      </w:pPr>
    </w:p>
    <w:p>
      <w:pPr>
        <w:jc w:val="both"/>
        <w:ind w:left="580" w:right="360"/>
        <w:spacing w:after="0" w:line="370" w:lineRule="auto"/>
        <w:rPr>
          <w:sz w:val="20"/>
          <w:szCs w:val="20"/>
          <w:color w:val="auto"/>
        </w:rPr>
      </w:pPr>
      <w:r>
        <w:rPr>
          <w:rFonts w:ascii="Arial" w:cs="Arial" w:eastAsia="Arial" w:hAnsi="Arial"/>
          <w:sz w:val="15"/>
          <w:szCs w:val="15"/>
          <w:color w:val="auto"/>
        </w:rPr>
        <w:t>Net cash proceeds from the exercise of stock options were $1.2 million and $3.1 million for the nine months ended May 27, 2006 and May 28, 2005, respectively. The actual income tax benefit realized from stock option exercises totaled $280,000 and $790,000, respectively, for those same periods.</w:t>
      </w:r>
    </w:p>
    <w:p>
      <w:pPr>
        <w:spacing w:after="0" w:line="200" w:lineRule="exact"/>
        <w:rPr>
          <w:sz w:val="20"/>
          <w:szCs w:val="20"/>
          <w:color w:val="auto"/>
        </w:rPr>
      </w:pP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New Accounting Pronouncements</w:t>
      </w:r>
    </w:p>
    <w:p>
      <w:pPr>
        <w:spacing w:after="0" w:line="312"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In December 2004, the FASB staff issued FASB Staff Position (FSP) FASB 109-1 that provides guidance on the application of FASB Statement No. 109, Accounting for Income Taxes, to the provision within the American Jobs Creations Act of 2004 that provides a tax deduction on qualified production activities. This FSP was effective upon issuance. The tax deduction on qualified production activities is expected to reduce our effective tax rate by approximately one percentage point for Fiscal 2006.</w:t>
      </w:r>
    </w:p>
    <w:p>
      <w:pPr>
        <w:sectPr>
          <w:pgSz w:w="11900" w:h="16838" w:orient="portrait"/>
          <w:cols w:equalWidth="0" w:num="1">
            <w:col w:w="11400"/>
          </w:cols>
          <w:pgMar w:left="240" w:top="14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140" w:right="25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Short-Term Investments – Available-For-Sale-Securities</w:t>
      </w:r>
    </w:p>
    <w:p>
      <w:pPr>
        <w:spacing w:after="0" w:line="312" w:lineRule="exact"/>
        <w:rPr>
          <w:sz w:val="20"/>
          <w:szCs w:val="20"/>
          <w:color w:val="auto"/>
        </w:rPr>
      </w:pPr>
    </w:p>
    <w:p>
      <w:pPr>
        <w:ind w:left="580" w:right="20"/>
        <w:spacing w:after="0" w:line="253" w:lineRule="auto"/>
        <w:rPr>
          <w:sz w:val="20"/>
          <w:szCs w:val="20"/>
          <w:color w:val="auto"/>
        </w:rPr>
      </w:pPr>
      <w:r>
        <w:rPr>
          <w:rFonts w:ascii="Arial" w:cs="Arial" w:eastAsia="Arial" w:hAnsi="Arial"/>
          <w:sz w:val="18"/>
          <w:szCs w:val="18"/>
          <w:color w:val="auto"/>
        </w:rPr>
        <w:t>Our short-term investments consist of auction rate preferred securities, variable rate auction preferred stock and other investment-grade marketable debt securities. These investments, a portion of which have original maturities beyond one year, may be classified as short-term based on their highly liquid nature and because these securities represent the investment of cash that is available for current operations. These securities have certain economic characteristics of short-term investments due to a rate-setting mechanism and the ability to sell them through a Dutch auction process that occurs at pre-determined intervals of less than one year. Our short-term investments are classified as available-for-sale securities and the carrying value of these securities approximates fair market value due to their liquidity profile. As of May 27, 2006 and August 27, 2005, there were no unrealized gains or losses associated with these investments. We had $125.0 million and $93.1 million in short-term investments as of May 27, 2006 and August 27, 2005, respectively.</w:t>
      </w:r>
    </w:p>
    <w:p>
      <w:pPr>
        <w:spacing w:after="0" w:line="200" w:lineRule="exact"/>
        <w:rPr>
          <w:sz w:val="20"/>
          <w:szCs w:val="20"/>
          <w:color w:val="auto"/>
        </w:rPr>
      </w:pPr>
    </w:p>
    <w:p>
      <w:pPr>
        <w:spacing w:after="0" w:line="3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Inventories</w:t>
      </w:r>
    </w:p>
    <w:p>
      <w:pPr>
        <w:spacing w:after="0" w:line="312" w:lineRule="exact"/>
        <w:rPr>
          <w:sz w:val="20"/>
          <w:szCs w:val="20"/>
          <w:color w:val="auto"/>
        </w:rPr>
      </w:pPr>
    </w:p>
    <w:p>
      <w:pPr>
        <w:ind w:left="580" w:right="3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(in thousands):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May 28,</w:t>
            </w: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August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38,390</w:t>
            </w:r>
          </w:p>
        </w:tc>
        <w:tc>
          <w:tcPr>
            <w:tcW w:w="94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67,998</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35,133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47,667</w:t>
            </w:r>
          </w:p>
        </w:tc>
        <w:tc>
          <w:tcPr>
            <w:tcW w:w="9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38,461</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121,190</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152,116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200" w:type="dxa"/>
            <w:vAlign w:val="bottom"/>
            <w:shd w:val="clear" w:color="auto" w:fill="D6F3E8"/>
          </w:tcPr>
          <w:p>
            <w:pPr>
              <w:spacing w:after="0"/>
              <w:rPr>
                <w:sz w:val="18"/>
                <w:szCs w:val="18"/>
                <w:color w:val="auto"/>
              </w:rPr>
            </w:pPr>
          </w:p>
        </w:tc>
        <w:tc>
          <w:tcPr>
            <w:tcW w:w="1800" w:type="dxa"/>
            <w:vAlign w:val="bottom"/>
            <w:gridSpan w:val="2"/>
            <w:shd w:val="clear" w:color="auto" w:fill="D6F3E8"/>
          </w:tcPr>
          <w:p>
            <w:pPr>
              <w:jc w:val="right"/>
              <w:ind w:right="900"/>
              <w:spacing w:after="0"/>
              <w:rPr>
                <w:sz w:val="20"/>
                <w:szCs w:val="20"/>
                <w:color w:val="auto"/>
              </w:rPr>
            </w:pPr>
            <w:r>
              <w:rPr>
                <w:rFonts w:ascii="Arial" w:cs="Arial" w:eastAsia="Arial" w:hAnsi="Arial"/>
                <w:sz w:val="18"/>
                <w:szCs w:val="18"/>
                <w:color w:val="auto"/>
              </w:rPr>
              <w:t>(32,991)</w:t>
            </w:r>
          </w:p>
        </w:tc>
        <w:tc>
          <w:tcPr>
            <w:tcW w:w="14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(31,461)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88,199</w:t>
            </w:r>
          </w:p>
        </w:tc>
        <w:tc>
          <w:tcPr>
            <w:tcW w:w="9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120,655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Warranties</w:t>
      </w:r>
    </w:p>
    <w:p>
      <w:pPr>
        <w:spacing w:after="0" w:line="312" w:lineRule="exact"/>
        <w:rPr>
          <w:sz w:val="20"/>
          <w:szCs w:val="20"/>
          <w:color w:val="auto"/>
        </w:rPr>
      </w:pPr>
    </w:p>
    <w:p>
      <w:pPr>
        <w:ind w:left="580" w:right="60"/>
        <w:spacing w:after="0" w:line="332" w:lineRule="auto"/>
        <w:rPr>
          <w:sz w:val="20"/>
          <w:szCs w:val="20"/>
          <w:color w:val="auto"/>
        </w:rPr>
      </w:pPr>
      <w:r>
        <w:rPr>
          <w:rFonts w:ascii="Arial" w:cs="Arial" w:eastAsia="Arial" w:hAnsi="Arial"/>
          <w:sz w:val="16"/>
          <w:szCs w:val="16"/>
          <w:color w:val="auto"/>
        </w:rPr>
        <w:t>Estimated warranty costs are provided at the time of sale of the warranted products. Estimates of future warranty costs are based on prior experience and known current events. The changes in the provision for warranty reserve for the periods shown are as follows (in thousands):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May 27,</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fiscal year</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12,183</w:t>
            </w:r>
          </w:p>
        </w:tc>
        <w:tc>
          <w:tcPr>
            <w:tcW w:w="180" w:type="dxa"/>
            <w:vAlign w:val="bottom"/>
            <w:shd w:val="clear" w:color="auto" w:fill="D6F3E8"/>
          </w:tcPr>
          <w:p>
            <w:pPr>
              <w:spacing w:after="0"/>
              <w:rPr>
                <w:sz w:val="18"/>
                <w:szCs w:val="18"/>
                <w:color w:val="auto"/>
              </w:rPr>
            </w:pPr>
          </w:p>
        </w:tc>
        <w:tc>
          <w:tcPr>
            <w:tcW w:w="9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13,356</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8,058</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Claims paid</w:t>
            </w:r>
          </w:p>
        </w:tc>
        <w:tc>
          <w:tcPr>
            <w:tcW w:w="2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(9,522)</w:t>
            </w:r>
          </w:p>
        </w:tc>
        <w:tc>
          <w:tcPr>
            <w:tcW w:w="7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108"/>
        </w:trPr>
        <w:tc>
          <w:tcPr>
            <w:tcW w:w="480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10,719</w:t>
            </w:r>
          </w:p>
        </w:tc>
        <w:tc>
          <w:tcPr>
            <w:tcW w:w="1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12,686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Postretirement Health Care Benefits</w:t>
      </w:r>
    </w:p>
    <w:p>
      <w:pPr>
        <w:spacing w:after="0" w:line="312" w:lineRule="exact"/>
        <w:rPr>
          <w:sz w:val="20"/>
          <w:szCs w:val="20"/>
          <w:color w:val="auto"/>
        </w:rPr>
      </w:pPr>
    </w:p>
    <w:p>
      <w:pPr>
        <w:ind w:left="580" w:right="140"/>
        <w:spacing w:after="0" w:line="298"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their age. Effective September 2004, we amended our postretirement health care benefit plan to establish a maximum monthly amount we will pay per retiree. The plan amendment will significantly reduce the cost of the plan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resulted in a $40.4 million reduction in the accumulated postretirement benefit obligation as of September 2004 which was deferred and is being amortized over the approximate remaining service period of active participants. Net postretirement benefit income consisted of the following components (in thousands):</w:t>
      </w:r>
    </w:p>
    <w:p>
      <w:pPr>
        <w:sectPr>
          <w:pgSz w:w="11900" w:h="16838" w:orient="portrait"/>
          <w:cols w:equalWidth="0" w:num="1">
            <w:col w:w="11380"/>
          </w:cols>
          <w:pgMar w:left="240" w:top="388" w:right="279" w:bottom="0" w:gutter="0" w:footer="0" w:header="0"/>
        </w:sectPr>
      </w:pPr>
    </w:p>
    <w:p>
      <w:pPr>
        <w:spacing w:after="0" w:line="217" w:lineRule="exact"/>
        <w:rPr>
          <w:sz w:val="20"/>
          <w:szCs w:val="20"/>
          <w:color w:val="auto"/>
        </w:rPr>
      </w:pPr>
    </w:p>
    <w:p>
      <w:pPr>
        <w:ind w:left="5960"/>
        <w:spacing w:after="0"/>
        <w:tabs>
          <w:tab w:leader="none" w:pos="8880" w:val="left"/>
        </w:tabs>
        <w:rPr>
          <w:sz w:val="20"/>
          <w:szCs w:val="20"/>
          <w:color w:val="auto"/>
        </w:rPr>
      </w:pPr>
      <w:r>
        <w:rPr>
          <w:rFonts w:ascii="Arial" w:cs="Arial" w:eastAsia="Arial" w:hAnsi="Arial"/>
          <w:sz w:val="14"/>
          <w:szCs w:val="14"/>
          <w:b w:val="1"/>
          <w:bCs w:val="1"/>
          <w:color w:val="auto"/>
        </w:rPr>
        <w:t>Quarter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68580</wp:posOffset>
            </wp:positionV>
            <wp:extent cx="3447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ectPr>
          <w:pgSz w:w="11900" w:h="16838" w:orient="portrait"/>
          <w:cols w:equalWidth="0" w:num="1">
            <w:col w:w="11380"/>
          </w:cols>
          <w:pgMar w:left="240" w:top="388" w:right="279" w:bottom="0" w:gutter="0" w:footer="0" w:header="0"/>
          <w:type w:val="continuous"/>
        </w:sectPr>
      </w:pPr>
    </w:p>
    <w:bookmarkStart w:id="8" w:name="page9"/>
    <w:bookmarkEnd w:id="8"/>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27,</w:t>
            </w:r>
          </w:p>
        </w:tc>
        <w:tc>
          <w:tcPr>
            <w:tcW w:w="160" w:type="dxa"/>
            <w:vAlign w:val="bottom"/>
          </w:tcPr>
          <w:p>
            <w:pPr>
              <w:spacing w:after="0"/>
              <w:rPr>
                <w:sz w:val="14"/>
                <w:szCs w:val="14"/>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May 28,</w:t>
            </w:r>
          </w:p>
        </w:tc>
        <w:tc>
          <w:tcPr>
            <w:tcW w:w="16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8"/>
              </w:rPr>
              <w:t>May 27,</w:t>
            </w: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May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D6F3E8"/>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457</w:t>
            </w:r>
          </w:p>
        </w:tc>
        <w:tc>
          <w:tcPr>
            <w:tcW w:w="5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453</w:t>
            </w:r>
          </w:p>
        </w:tc>
        <w:tc>
          <w:tcPr>
            <w:tcW w:w="70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1,370</w:t>
            </w:r>
          </w:p>
        </w:tc>
        <w:tc>
          <w:tcPr>
            <w:tcW w:w="50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16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60"/>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(2,211)</w:t>
            </w:r>
          </w:p>
        </w:tc>
        <w:tc>
          <w:tcPr>
            <w:tcW w:w="16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108"/>
        </w:trPr>
        <w:tc>
          <w:tcPr>
            <w:tcW w:w="464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spacing w:after="0"/>
              <w:rPr>
                <w:sz w:val="20"/>
                <w:szCs w:val="20"/>
                <w:color w:val="auto"/>
              </w:rPr>
            </w:pPr>
            <w:r>
              <w:rPr>
                <w:rFonts w:ascii="Arial" w:cs="Arial" w:eastAsia="Arial" w:hAnsi="Arial"/>
                <w:sz w:val="18"/>
                <w:szCs w:val="18"/>
                <w:color w:val="auto"/>
              </w:rPr>
              <w:t>Net periodic benefit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right="160"/>
        <w:spacing w:after="0" w:line="306" w:lineRule="auto"/>
        <w:rPr>
          <w:sz w:val="20"/>
          <w:szCs w:val="20"/>
          <w:color w:val="auto"/>
        </w:rPr>
      </w:pPr>
      <w:r>
        <w:rPr>
          <w:rFonts w:ascii="Arial" w:cs="Arial" w:eastAsia="Arial" w:hAnsi="Arial"/>
          <w:sz w:val="16"/>
          <w:szCs w:val="16"/>
          <w:color w:val="auto"/>
        </w:rPr>
        <w:t>For accounting purposes, we recognized income from the plan in Fiscal 2005 and will recognize income from the Plan in Fiscal 2006 due to the amortization of the cost savings from the September 2004 amendment. However, we are still obligated to pay the cost of previously accrued and earned retiree benefits and paid $686,000 and $456,000 of such benefits for the nine months ended May 27, 2006 and May 28, 2005, respectively.</w:t>
      </w:r>
    </w:p>
    <w:p>
      <w:pPr>
        <w:spacing w:after="0" w:line="200" w:lineRule="exact"/>
        <w:rPr>
          <w:sz w:val="20"/>
          <w:szCs w:val="20"/>
          <w:color w:val="auto"/>
        </w:rPr>
      </w:pPr>
    </w:p>
    <w:p>
      <w:pPr>
        <w:spacing w:after="0" w:line="2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Contingent Liabilities and Commitments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312"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Our contingent liability on outstanding repurchase agreements was $302.4 million and $345.2 million at May 27, 2006 and August 27, 2005, respectively. Our actual losses under these repurchase agreements were $-0- during both of the nine months ended May 27, 2006 and May 28, 2005. The reserve for repurchases at May 27, 2006 and August 27, 2005 was $170,000 and $225,000, respectively. (See further discussion of our repurchase commitments within the “Critical Accounting Policies” on page 13.)</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312" w:lineRule="exact"/>
        <w:rPr>
          <w:sz w:val="20"/>
          <w:szCs w:val="20"/>
          <w:color w:val="auto"/>
        </w:rPr>
      </w:pPr>
    </w:p>
    <w:p>
      <w:pPr>
        <w:ind w:left="580" w:right="100"/>
        <w:spacing w:after="0" w:line="291" w:lineRule="auto"/>
        <w:rPr>
          <w:sz w:val="20"/>
          <w:szCs w:val="20"/>
          <w:color w:val="auto"/>
        </w:rPr>
      </w:pPr>
      <w:r>
        <w:rPr>
          <w:rFonts w:ascii="Arial" w:cs="Arial" w:eastAsia="Arial" w:hAnsi="Arial"/>
          <w:sz w:val="16"/>
          <w:szCs w:val="16"/>
          <w:color w:val="auto"/>
        </w:rPr>
        <w:t>During the second quarter of Fiscal 2002, we entered into a five-year services agreement (the “Agreement”) with one of our suppliers (the “Supplier”) and Forest City Economic Development, Inc., an Iowa nonprofit corporation (the “FCED”), requiring the Supplier to provide RV paint services to us. Under the terms of the Agreement in the event of a default by the Supplier, we would be obligated to purchase from the Supplier $525,000 of equipment installed in the paint facility at net book value and would be obligated to assume payment obligations for $45,000 in capital equipment leases ($11,000 remaining to be paid at May 27, 2006). As of May 27, 2006, the Supplier is current with its lease payment obligations to the FCED with $3,129,000 (principal and interest) remaining to be paid through August 2012.</w:t>
      </w:r>
    </w:p>
    <w:p>
      <w:pPr>
        <w:spacing w:after="0" w:line="201" w:lineRule="exact"/>
        <w:rPr>
          <w:sz w:val="20"/>
          <w:szCs w:val="20"/>
          <w:color w:val="auto"/>
        </w:rPr>
      </w:pPr>
    </w:p>
    <w:p>
      <w:pPr>
        <w:ind w:left="580" w:right="100"/>
        <w:spacing w:after="0" w:line="288"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(“Guarantee Agreement”) with a leasing corporation (“Landlord”) and the Supplier. The Landlord constructed a paint facility for the Supplier through debt financing on land adjoining one of our manufacturing plants. The Landlord and the Supplier have signed a ten-year lease agreement which commenced on August 1, 2004. The Guarantee Agreement states that we will guarantee the first 60 monthly lease payments (totaling $1.6 million of which $909,000 was remaining as of May 27, 2006). In the event of a payment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we would pay would be the outstanding loan incurred by the Landlord to construct the paint facility which was $1.8 million as of May 27, 2006. As of May 27, 2006, the Supplier is current with its lease payment obligations to the Landlord. The estimated fair value of the guarantee as of May 27, 2006 was $197,000.</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312" w:lineRule="exact"/>
        <w:rPr>
          <w:sz w:val="20"/>
          <w:szCs w:val="20"/>
          <w:color w:val="auto"/>
        </w:rPr>
      </w:pPr>
    </w:p>
    <w:p>
      <w:pPr>
        <w:jc w:val="both"/>
        <w:ind w:left="580" w:right="40"/>
        <w:spacing w:after="0" w:line="259" w:lineRule="auto"/>
        <w:rPr>
          <w:sz w:val="20"/>
          <w:szCs w:val="20"/>
          <w:color w:val="auto"/>
        </w:rPr>
      </w:pPr>
      <w:r>
        <w:rPr>
          <w:rFonts w:ascii="Arial" w:cs="Arial" w:eastAsia="Arial" w:hAnsi="Arial"/>
          <w:sz w:val="18"/>
          <w:szCs w:val="18"/>
          <w:color w:val="auto"/>
        </w:rPr>
        <w:t xml:space="preserve">Reference is made to Item 3 (Legal Proceedings) in the Company’s Annual Report on Form 10-K for the year ended August 27, 2005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 On April 12, 2006, the Company settled this litigation. The settlement had no material effect on the financial condition of the Company.</w:t>
      </w:r>
    </w:p>
    <w:p>
      <w:pPr>
        <w:spacing w:after="0" w:line="221" w:lineRule="exact"/>
        <w:rPr>
          <w:sz w:val="20"/>
          <w:szCs w:val="20"/>
          <w:color w:val="auto"/>
        </w:rPr>
      </w:pPr>
    </w:p>
    <w:p>
      <w:pPr>
        <w:ind w:left="580" w:right="20"/>
        <w:spacing w:after="0" w:line="298" w:lineRule="auto"/>
        <w:rPr>
          <w:sz w:val="20"/>
          <w:szCs w:val="20"/>
          <w:color w:val="auto"/>
        </w:rPr>
      </w:pPr>
      <w:r>
        <w:rPr>
          <w:rFonts w:ascii="Arial" w:cs="Arial" w:eastAsia="Arial" w:hAnsi="Arial"/>
          <w:sz w:val="16"/>
          <w:szCs w:val="16"/>
          <w:color w:val="auto"/>
        </w:rPr>
        <w:t>We are also involved in various legal proceedings which are ordinary routine litigation to our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200" w:lineRule="exact"/>
        <w:rPr>
          <w:sz w:val="20"/>
          <w:szCs w:val="20"/>
          <w:color w:val="auto"/>
        </w:rPr>
      </w:pPr>
    </w:p>
    <w:p>
      <w:pPr>
        <w:spacing w:after="0" w:line="2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Dividend Declared</w:t>
      </w:r>
    </w:p>
    <w:p>
      <w:pPr>
        <w:spacing w:after="0" w:line="299" w:lineRule="exact"/>
        <w:rPr>
          <w:sz w:val="20"/>
          <w:szCs w:val="20"/>
          <w:color w:val="auto"/>
        </w:rPr>
      </w:pPr>
    </w:p>
    <w:p>
      <w:pPr>
        <w:ind w:left="580" w:right="420"/>
        <w:spacing w:after="0" w:line="332" w:lineRule="auto"/>
        <w:rPr>
          <w:sz w:val="20"/>
          <w:szCs w:val="20"/>
          <w:color w:val="auto"/>
        </w:rPr>
      </w:pPr>
      <w:r>
        <w:rPr>
          <w:rFonts w:ascii="Arial" w:cs="Arial" w:eastAsia="Arial" w:hAnsi="Arial"/>
          <w:sz w:val="16"/>
          <w:szCs w:val="16"/>
          <w:color w:val="auto"/>
        </w:rPr>
        <w:t>On March 22, 2006, the Board of Directors declared a quarterly cash dividend of $0.09 per common share, payable July 10, 2006 to shareholders of record on June 9, 2006, which has been recorded as an accrued liability in the accompanying May 27, 2006 Balance Sheet.</w:t>
      </w:r>
    </w:p>
    <w:p>
      <w:pPr>
        <w:spacing w:after="0" w:line="166"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On June 21, 2006, the Board of Directors declared a quarterly dividend of $0.10 per common share, payable October 9, 2006 to shareholders of record on September 8, 2006.</w:t>
      </w:r>
    </w:p>
    <w:p>
      <w:pPr>
        <w:sectPr>
          <w:pgSz w:w="11900" w:h="16838" w:orient="portrait"/>
          <w:cols w:equalWidth="0" w:num="1">
            <w:col w:w="11400"/>
          </w:cols>
          <w:pgMar w:left="240" w:top="114" w:right="259" w:bottom="108" w:gutter="0" w:footer="0" w:header="0"/>
        </w:sectPr>
      </w:pPr>
    </w:p>
    <w:bookmarkStart w:id="9" w:name="page10"/>
    <w:bookmarkEnd w:id="9"/>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Repurchase of Outstanding Stock</w:t>
      </w:r>
    </w:p>
    <w:p>
      <w:pPr>
        <w:spacing w:after="0" w:line="299" w:lineRule="exact"/>
        <w:rPr>
          <w:sz w:val="20"/>
          <w:szCs w:val="20"/>
          <w:color w:val="auto"/>
        </w:rPr>
      </w:pPr>
    </w:p>
    <w:p>
      <w:pPr>
        <w:jc w:val="both"/>
        <w:ind w:left="580" w:right="120"/>
        <w:spacing w:after="0" w:line="306" w:lineRule="auto"/>
        <w:rPr>
          <w:sz w:val="20"/>
          <w:szCs w:val="20"/>
          <w:color w:val="auto"/>
        </w:rPr>
      </w:pPr>
      <w:r>
        <w:rPr>
          <w:rFonts w:ascii="Arial" w:cs="Arial" w:eastAsia="Arial" w:hAnsi="Arial"/>
          <w:sz w:val="16"/>
          <w:szCs w:val="16"/>
          <w:color w:val="auto"/>
        </w:rPr>
        <w:t>On June 15, 2005, the Board of Directors authorized the repurchase of outstanding shares of our common stock, at the discretion of management, for an aggregate consideration of up to $30.0 million. In April 2006, this authorization was completed with approximately 1,007,000 shares being repurchased for $30.0 million of which approximately 715,000 shares were repurchased during the third quarter of Fiscal 2006 for $21.7 million.</w:t>
      </w:r>
    </w:p>
    <w:p>
      <w:pPr>
        <w:spacing w:after="0" w:line="188"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On April 12, 2006, the Board of Directors authorized the repurchase of outstanding shares of our common stock, at the discretion of management, for an aggregate consideration of up to $50.0 million. During the third quarter of Fiscal 2006, approximately 751,000 shares under this authorization were repurchased for $21.6 million. (See Part II, Item 2 on page 21.)</w:t>
      </w:r>
    </w:p>
    <w:p>
      <w:pPr>
        <w:spacing w:after="0" w:line="22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During the third quarter and first nine months of Fiscal 2006, we repurchased approximately 1,466,000 and approximately 1,758,000 shares, respectively, of our common stock for $43.3 million and $51.6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Per Common Share</w:t>
      </w:r>
    </w:p>
    <w:p>
      <w:pPr>
        <w:spacing w:after="0" w:line="299" w:lineRule="exact"/>
        <w:rPr>
          <w:sz w:val="20"/>
          <w:szCs w:val="20"/>
          <w:color w:val="auto"/>
        </w:rPr>
      </w:pPr>
    </w:p>
    <w:p>
      <w:pPr>
        <w:ind w:left="580" w:right="380"/>
        <w:spacing w:after="0" w:line="268" w:lineRule="auto"/>
        <w:rPr>
          <w:sz w:val="20"/>
          <w:szCs w:val="20"/>
          <w:color w:val="auto"/>
        </w:rPr>
      </w:pPr>
      <w:r>
        <w:rPr>
          <w:rFonts w:ascii="Arial" w:cs="Arial" w:eastAsia="Arial" w:hAnsi="Arial"/>
          <w:sz w:val="18"/>
          <w:szCs w:val="18"/>
          <w:color w:val="auto"/>
        </w:rPr>
        <w:t>The following table reflects the calculation of basic and diluted income per share for the quarters and nine months ended May 27, 2006 and May 28, 2005.</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w w:val="94"/>
              </w:rPr>
              <w:t>May 27,</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b w:val="1"/>
                <w:bCs w:val="1"/>
                <w:color w:val="auto"/>
                <w:w w:val="86"/>
              </w:rPr>
              <w:t>May 28,</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8"/>
              <w:spacing w:after="0"/>
              <w:rPr>
                <w:sz w:val="20"/>
                <w:szCs w:val="20"/>
                <w:color w:val="auto"/>
              </w:rPr>
            </w:pPr>
            <w:r>
              <w:rPr>
                <w:rFonts w:ascii="Arial" w:cs="Arial" w:eastAsia="Arial" w:hAnsi="Arial"/>
                <w:sz w:val="14"/>
                <w:szCs w:val="14"/>
                <w:b w:val="1"/>
                <w:bCs w:val="1"/>
                <w:color w:val="auto"/>
                <w:w w:val="94"/>
              </w:rPr>
              <w:t>May 27,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28,</w:t>
            </w:r>
          </w:p>
        </w:tc>
        <w:tc>
          <w:tcPr>
            <w:tcW w:w="0" w:type="dxa"/>
            <w:vAlign w:val="bottom"/>
          </w:tcPr>
          <w:p>
            <w:pPr>
              <w:spacing w:after="0"/>
              <w:rPr>
                <w:sz w:val="1"/>
                <w:szCs w:val="1"/>
                <w:color w:val="auto"/>
              </w:rPr>
            </w:pPr>
          </w:p>
        </w:tc>
      </w:tr>
      <w:tr>
        <w:trPr>
          <w:trHeight w:val="174"/>
        </w:trPr>
        <w:tc>
          <w:tcPr>
            <w:tcW w:w="5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5"/>
                <w:szCs w:val="15"/>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8"/>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5060" w:type="dxa"/>
            <w:vAlign w:val="bottom"/>
            <w:gridSpan w:val="4"/>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3"/>
            <w:shd w:val="clear" w:color="auto" w:fill="D6F3E8"/>
          </w:tcPr>
          <w:p>
            <w:pPr>
              <w:spacing w:after="0" w:line="176" w:lineRule="exact"/>
              <w:rPr>
                <w:sz w:val="20"/>
                <w:szCs w:val="20"/>
                <w:color w:val="auto"/>
              </w:rPr>
            </w:pPr>
            <w:r>
              <w:rPr>
                <w:rFonts w:ascii="Arial" w:cs="Arial" w:eastAsia="Arial" w:hAnsi="Arial"/>
                <w:sz w:val="18"/>
                <w:szCs w:val="18"/>
                <w:color w:val="auto"/>
              </w:rPr>
              <w:t>Income per share – basic</w:t>
            </w:r>
          </w:p>
        </w:tc>
        <w:tc>
          <w:tcPr>
            <w:tcW w:w="140" w:type="dxa"/>
            <w:vAlign w:val="bottom"/>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4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3320" w:type="dxa"/>
            <w:vAlign w:val="bottom"/>
            <w:tcBorders>
              <w:top w:val="single" w:sz="8" w:color="D6F3E8"/>
            </w:tcBorders>
            <w:gridSpan w:val="2"/>
          </w:tcPr>
          <w:p>
            <w:pPr>
              <w:spacing w:after="0"/>
              <w:rPr>
                <w:sz w:val="19"/>
                <w:szCs w:val="19"/>
                <w:color w:val="auto"/>
              </w:rPr>
            </w:pPr>
          </w:p>
        </w:tc>
        <w:tc>
          <w:tcPr>
            <w:tcW w:w="14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13,157</w:t>
            </w:r>
          </w:p>
        </w:tc>
        <w:tc>
          <w:tcPr>
            <w:tcW w:w="680" w:type="dxa"/>
            <w:vAlign w:val="bottom"/>
            <w:tcBorders>
              <w:top w:val="single" w:sz="8" w:color="D6F3E8"/>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17,580</w:t>
            </w:r>
          </w:p>
        </w:tc>
        <w:tc>
          <w:tcPr>
            <w:tcW w:w="840" w:type="dxa"/>
            <w:vAlign w:val="bottom"/>
            <w:tcBorders>
              <w:top w:val="single" w:sz="8" w:color="D6F3E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35,427</w:t>
            </w:r>
          </w:p>
        </w:tc>
        <w:tc>
          <w:tcPr>
            <w:tcW w:w="640" w:type="dxa"/>
            <w:vAlign w:val="bottom"/>
            <w:tcBorders>
              <w:top w:val="single" w:sz="8" w:color="D6F3E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49,695</w:t>
            </w:r>
          </w:p>
        </w:tc>
        <w:tc>
          <w:tcPr>
            <w:tcW w:w="200" w:type="dxa"/>
            <w:vAlign w:val="bottom"/>
            <w:tcBorders>
              <w:top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32,195</w:t>
            </w:r>
          </w:p>
        </w:tc>
        <w:tc>
          <w:tcPr>
            <w:tcW w:w="5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33,289</w:t>
            </w:r>
          </w:p>
        </w:tc>
        <w:tc>
          <w:tcPr>
            <w:tcW w:w="7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32,645</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33,528</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60" w:type="dxa"/>
            <w:vAlign w:val="bottom"/>
            <w:gridSpan w:val="4"/>
          </w:tcPr>
          <w:p>
            <w:pPr>
              <w:spacing w:after="0"/>
              <w:rPr>
                <w:sz w:val="20"/>
                <w:szCs w:val="20"/>
                <w:color w:val="auto"/>
              </w:rPr>
            </w:pPr>
            <w:r>
              <w:rPr>
                <w:rFonts w:ascii="Arial" w:cs="Arial" w:eastAsia="Arial" w:hAnsi="Arial"/>
                <w:sz w:val="18"/>
                <w:szCs w:val="18"/>
                <w:color w:val="auto"/>
              </w:rPr>
              <w:t>Income per share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0.41</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gridSpan w:val="2"/>
            <w:shd w:val="clear" w:color="auto" w:fill="D6F3E8"/>
          </w:tcPr>
          <w:p>
            <w:pPr>
              <w:spacing w:after="0" w:line="176" w:lineRule="exact"/>
              <w:rPr>
                <w:sz w:val="20"/>
                <w:szCs w:val="20"/>
                <w:color w:val="auto"/>
              </w:rPr>
            </w:pPr>
            <w:r>
              <w:rPr>
                <w:rFonts w:ascii="Arial" w:cs="Arial" w:eastAsia="Arial" w:hAnsi="Arial"/>
                <w:sz w:val="18"/>
                <w:szCs w:val="18"/>
                <w:color w:val="auto"/>
                <w:w w:val="86"/>
              </w:rPr>
              <w:t>Income per share – assuming dilution</w:t>
            </w:r>
          </w:p>
        </w:tc>
        <w:tc>
          <w:tcPr>
            <w:tcW w:w="242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D6F3E8"/>
            </w:tcBorders>
            <w:shd w:val="clear" w:color="auto" w:fill="D6F3E8"/>
          </w:tcPr>
          <w:p>
            <w:pPr>
              <w:spacing w:after="0"/>
              <w:rPr>
                <w:sz w:val="17"/>
                <w:szCs w:val="17"/>
                <w:color w:val="auto"/>
              </w:rPr>
            </w:pPr>
          </w:p>
        </w:tc>
        <w:tc>
          <w:tcPr>
            <w:tcW w:w="700" w:type="dxa"/>
            <w:vAlign w:val="bottom"/>
            <w:tcBorders>
              <w:bottom w:val="single" w:sz="8" w:color="D6F3E8"/>
            </w:tcBorders>
            <w:shd w:val="clear" w:color="auto" w:fill="D6F3E8"/>
          </w:tcPr>
          <w:p>
            <w:pPr>
              <w:spacing w:after="0"/>
              <w:rPr>
                <w:sz w:val="17"/>
                <w:szCs w:val="17"/>
                <w:color w:val="auto"/>
              </w:rPr>
            </w:pPr>
          </w:p>
        </w:tc>
        <w:tc>
          <w:tcPr>
            <w:tcW w:w="520" w:type="dxa"/>
            <w:vAlign w:val="bottom"/>
            <w:tcBorders>
              <w:bottom w:val="single" w:sz="8" w:color="D6F3E8"/>
            </w:tcBorders>
            <w:shd w:val="clear" w:color="auto" w:fill="D6F3E8"/>
          </w:tcPr>
          <w:p>
            <w:pPr>
              <w:spacing w:after="0"/>
              <w:rPr>
                <w:sz w:val="17"/>
                <w:szCs w:val="17"/>
                <w:color w:val="auto"/>
              </w:rPr>
            </w:pPr>
          </w:p>
        </w:tc>
        <w:tc>
          <w:tcPr>
            <w:tcW w:w="160" w:type="dxa"/>
            <w:vAlign w:val="bottom"/>
            <w:tcBorders>
              <w:bottom w:val="single" w:sz="8" w:color="D6F3E8"/>
            </w:tcBorders>
            <w:shd w:val="clear" w:color="auto" w:fill="D6F3E8"/>
          </w:tcPr>
          <w:p>
            <w:pPr>
              <w:spacing w:after="0"/>
              <w:rPr>
                <w:sz w:val="17"/>
                <w:szCs w:val="17"/>
                <w:color w:val="auto"/>
              </w:rPr>
            </w:pPr>
          </w:p>
        </w:tc>
        <w:tc>
          <w:tcPr>
            <w:tcW w:w="640" w:type="dxa"/>
            <w:vAlign w:val="bottom"/>
            <w:tcBorders>
              <w:bottom w:val="single" w:sz="8" w:color="D6F3E8"/>
            </w:tcBorders>
            <w:shd w:val="clear" w:color="auto" w:fill="D6F3E8"/>
          </w:tcPr>
          <w:p>
            <w:pPr>
              <w:spacing w:after="0"/>
              <w:rPr>
                <w:sz w:val="17"/>
                <w:szCs w:val="17"/>
                <w:color w:val="auto"/>
              </w:rPr>
            </w:pPr>
          </w:p>
        </w:tc>
        <w:tc>
          <w:tcPr>
            <w:tcW w:w="720" w:type="dxa"/>
            <w:vAlign w:val="bottom"/>
            <w:tcBorders>
              <w:bottom w:val="single" w:sz="8" w:color="D6F3E8"/>
            </w:tcBorders>
            <w:shd w:val="clear" w:color="auto" w:fill="D6F3E8"/>
          </w:tcPr>
          <w:p>
            <w:pPr>
              <w:spacing w:after="0"/>
              <w:rPr>
                <w:sz w:val="17"/>
                <w:szCs w:val="17"/>
                <w:color w:val="auto"/>
              </w:rPr>
            </w:pPr>
          </w:p>
        </w:tc>
        <w:tc>
          <w:tcPr>
            <w:tcW w:w="120" w:type="dxa"/>
            <w:vAlign w:val="bottom"/>
            <w:tcBorders>
              <w:bottom w:val="single" w:sz="8" w:color="D6F3E8"/>
            </w:tcBorders>
            <w:shd w:val="clear" w:color="auto" w:fill="D6F3E8"/>
          </w:tcPr>
          <w:p>
            <w:pPr>
              <w:spacing w:after="0"/>
              <w:rPr>
                <w:sz w:val="17"/>
                <w:szCs w:val="17"/>
                <w:color w:val="auto"/>
              </w:rPr>
            </w:pPr>
          </w:p>
        </w:tc>
        <w:tc>
          <w:tcPr>
            <w:tcW w:w="680" w:type="dxa"/>
            <w:vAlign w:val="bottom"/>
            <w:tcBorders>
              <w:bottom w:val="single" w:sz="8" w:color="D6F3E8"/>
            </w:tcBorders>
            <w:shd w:val="clear" w:color="auto" w:fill="D6F3E8"/>
          </w:tcPr>
          <w:p>
            <w:pPr>
              <w:spacing w:after="0"/>
              <w:rPr>
                <w:sz w:val="17"/>
                <w:szCs w:val="17"/>
                <w:color w:val="auto"/>
              </w:rPr>
            </w:pPr>
          </w:p>
        </w:tc>
        <w:tc>
          <w:tcPr>
            <w:tcW w:w="520" w:type="dxa"/>
            <w:vAlign w:val="bottom"/>
            <w:tcBorders>
              <w:bottom w:val="single" w:sz="8" w:color="D6F3E8"/>
            </w:tcBorders>
            <w:shd w:val="clear" w:color="auto" w:fill="D6F3E8"/>
          </w:tcPr>
          <w:p>
            <w:pPr>
              <w:spacing w:after="0"/>
              <w:rPr>
                <w:sz w:val="17"/>
                <w:szCs w:val="17"/>
                <w:color w:val="auto"/>
              </w:rPr>
            </w:pPr>
          </w:p>
        </w:tc>
        <w:tc>
          <w:tcPr>
            <w:tcW w:w="120" w:type="dxa"/>
            <w:vAlign w:val="bottom"/>
            <w:tcBorders>
              <w:bottom w:val="single" w:sz="8" w:color="D6F3E8"/>
            </w:tcBorders>
            <w:shd w:val="clear" w:color="auto" w:fill="D6F3E8"/>
          </w:tcPr>
          <w:p>
            <w:pPr>
              <w:spacing w:after="0"/>
              <w:rPr>
                <w:sz w:val="17"/>
                <w:szCs w:val="17"/>
                <w:color w:val="auto"/>
              </w:rPr>
            </w:pPr>
          </w:p>
        </w:tc>
        <w:tc>
          <w:tcPr>
            <w:tcW w:w="700" w:type="dxa"/>
            <w:vAlign w:val="bottom"/>
            <w:tcBorders>
              <w:bottom w:val="single" w:sz="8" w:color="D6F3E8"/>
            </w:tcBorders>
            <w:shd w:val="clear" w:color="auto" w:fill="D6F3E8"/>
          </w:tcPr>
          <w:p>
            <w:pPr>
              <w:spacing w:after="0"/>
              <w:rPr>
                <w:sz w:val="17"/>
                <w:szCs w:val="17"/>
                <w:color w:val="auto"/>
              </w:rPr>
            </w:pPr>
          </w:p>
        </w:tc>
        <w:tc>
          <w:tcPr>
            <w:tcW w:w="20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13,157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17,580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35,427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49,695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32,195</w:t>
            </w:r>
          </w:p>
        </w:tc>
        <w:tc>
          <w:tcPr>
            <w:tcW w:w="5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33,289</w:t>
            </w:r>
          </w:p>
        </w:tc>
        <w:tc>
          <w:tcPr>
            <w:tcW w:w="7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32,645</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33,528</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and potential</w:t>
            </w:r>
          </w:p>
        </w:tc>
        <w:tc>
          <w:tcPr>
            <w:tcW w:w="14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dilutive shares outstanding</w:t>
            </w:r>
          </w:p>
        </w:tc>
        <w:tc>
          <w:tcPr>
            <w:tcW w:w="14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32,496</w:t>
            </w:r>
          </w:p>
        </w:tc>
        <w:tc>
          <w:tcPr>
            <w:tcW w:w="52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33,747</w:t>
            </w:r>
          </w:p>
        </w:tc>
        <w:tc>
          <w:tcPr>
            <w:tcW w:w="7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32,937</w:t>
            </w:r>
          </w:p>
        </w:tc>
        <w:tc>
          <w:tcPr>
            <w:tcW w:w="5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34,065</w:t>
            </w:r>
          </w:p>
        </w:tc>
        <w:tc>
          <w:tcPr>
            <w:tcW w:w="20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60" w:type="dxa"/>
            <w:vAlign w:val="bottom"/>
            <w:gridSpan w:val="4"/>
          </w:tcPr>
          <w:p>
            <w:pPr>
              <w:spacing w:after="0"/>
              <w:rPr>
                <w:sz w:val="20"/>
                <w:szCs w:val="20"/>
                <w:color w:val="auto"/>
              </w:rPr>
            </w:pPr>
            <w:r>
              <w:rPr>
                <w:rFonts w:ascii="Arial" w:cs="Arial" w:eastAsia="Arial" w:hAnsi="Arial"/>
                <w:sz w:val="18"/>
                <w:szCs w:val="18"/>
                <w:color w:val="auto"/>
              </w:rPr>
              <w:t>Income per share - assuming dilution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580" w:right="140"/>
        <w:spacing w:after="0" w:line="306" w:lineRule="auto"/>
        <w:rPr>
          <w:sz w:val="20"/>
          <w:szCs w:val="20"/>
          <w:color w:val="auto"/>
        </w:rPr>
      </w:pPr>
      <w:r>
        <w:rPr>
          <w:rFonts w:ascii="Arial" w:cs="Arial" w:eastAsia="Arial" w:hAnsi="Arial"/>
          <w:sz w:val="16"/>
          <w:szCs w:val="16"/>
          <w:color w:val="auto"/>
        </w:rPr>
        <w:t xml:space="preserve">For the quarter and nine months ended May 27, 2006, there were options outstanding to purchase 585,646 and 672,281 shares, respectively, of common stock at an average exercise price of $31.32 and $30.76,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88"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As of May 28, 2005, there were options’ outstanding to purchase 84,000 shares of common stock at an average exercise price of $34.99, which were not included in the computation of diluted income per share because the options’ exercise price was greater than the average market price of the common stock.</w:t>
      </w:r>
    </w:p>
    <w:p>
      <w:pPr>
        <w:sectPr>
          <w:pgSz w:w="11900" w:h="16838" w:orient="portrait"/>
          <w:cols w:equalWidth="0" w:num="1">
            <w:col w:w="11380"/>
          </w:cols>
          <w:pgMar w:left="240" w:top="125" w:right="279" w:bottom="1440" w:gutter="0" w:footer="0" w:header="0"/>
        </w:sectPr>
      </w:pPr>
    </w:p>
    <w:bookmarkStart w:id="10" w:name="page11"/>
    <w:bookmarkEnd w:id="10"/>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9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 decline in consumer confidence,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27,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right="220"/>
        <w:spacing w:after="0" w:line="223"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(RV) used primarily in leisure travel and outdoor recreation activities. Winnebago Industries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was incorporated under the laws of the state of Iowa on February 12, 1958, and adopted its present name on February 28, 1961.</w:t>
      </w:r>
    </w:p>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manufacture and sell Class A and Class C motor homes as well as retail parts and accessories. We market our recreation vehicles on a wholesale basis to independent dealers in approximately 295 dealer locations in the U.S. and Canada as of May 27, 2006. As reported by Statistical Surveys, Inc., an independent retail reporting service, we are the leader in the combined retail sales of Class A and Class C motor homes, with a retail market share of 19.1 percent for the first four months of Calendar 2006.</w:t>
      </w:r>
    </w:p>
    <w:p>
      <w:pPr>
        <w:spacing w:after="0" w:line="19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Motorized products represented 54 percent of the RV industry revenues in Calendar 2005. We continue to focus on the motorized segment of the RV industry because it comprises such a large portion of the RV industry and we believe there are further growth opportunities in this segment. Funds for RV purchases, especially the motorized segment, usually come from a buyer’s discretionary income. The RV industry, long known as a cyclical market, is historically impacted by two economic factors: consumer confidence levels and interest rates. As consumer confidence levels decline, so may the number of units sold. In the same respect, motor home sales tend to decline as interest rates rise. Recent experience has also led us to believe that volatility in fuel prices also has a dampening effect on motor home sales. The RV industry as a whole is currently experiencing decreased sales of units in the motorized segment. We will continue to adjust our factory schedule as necessary to reflect the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9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of America, which in many cases require us to make assumptions, estimates and judgments that affect the amounts reported. Actual results could differ from estimates in amounts that may be material to our financial statements. Some of our accounting policies are critical because they are important in determining our financial condition and results of operations. These policies are described below and involve significant management judgment due to the sensitivity of the methods, assumptions and estimates necessary in determining the related income statement, asset and/or liability amounts.</w:t>
      </w:r>
    </w:p>
    <w:p>
      <w:pPr>
        <w:spacing w:after="0" w:line="164"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Revenue</w:t>
      </w:r>
      <w:r>
        <w:rPr>
          <w:rFonts w:ascii="Arial" w:cs="Arial" w:eastAsia="Arial" w:hAnsi="Arial"/>
          <w:sz w:val="15"/>
          <w:szCs w:val="15"/>
          <w:color w:val="auto"/>
        </w:rPr>
        <w:t>. Generally, revenues for motor homes are recorded when all of the following conditions are met: an order for a product has been received from a</w:t>
      </w:r>
      <w:r>
        <w:rPr>
          <w:rFonts w:ascii="Arial" w:cs="Arial" w:eastAsia="Arial" w:hAnsi="Arial"/>
          <w:sz w:val="15"/>
          <w:szCs w:val="15"/>
          <w:b w:val="1"/>
          <w:bCs w:val="1"/>
          <w:color w:val="auto"/>
        </w:rPr>
        <w:t xml:space="preserve"> </w:t>
      </w:r>
      <w:r>
        <w:rPr>
          <w:rFonts w:ascii="Arial" w:cs="Arial" w:eastAsia="Arial" w:hAnsi="Arial"/>
          <w:sz w:val="15"/>
          <w:szCs w:val="15"/>
          <w:color w:val="auto"/>
        </w:rPr>
        <w:t>dealer; written or verbal approval for payment has been received from the dealer’s floorplan financing institution; and the product has been delivered to the dealer who placed the order. Sales are generally made to dealers who finance their purchases under floorplan financing arrangements with banks or finance companies.</w:t>
      </w:r>
    </w:p>
    <w:p>
      <w:pPr>
        <w:sectPr>
          <w:pgSz w:w="11900" w:h="16952" w:orient="portrait"/>
          <w:cols w:equalWidth="0" w:num="1">
            <w:col w:w="11380"/>
          </w:cols>
          <w:pgMar w:left="240" w:top="1440" w:right="279" w:bottom="0" w:gutter="0" w:footer="0" w:header="0"/>
        </w:sectPr>
      </w:pPr>
    </w:p>
    <w:bookmarkStart w:id="11" w:name="page12"/>
    <w:bookmarkEnd w:id="11"/>
    <w:p>
      <w:pPr>
        <w:spacing w:after="0" w:line="6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Revenues for our original equipment manufacturing (OEM) components and recreation vehicle 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Postretirement Benefits Obligations and Costs</w:t>
      </w:r>
      <w:r>
        <w:rPr>
          <w:rFonts w:ascii="Arial" w:cs="Arial" w:eastAsia="Arial" w:hAnsi="Arial"/>
          <w:sz w:val="18"/>
          <w:szCs w:val="18"/>
          <w:color w:val="auto"/>
        </w:rPr>
        <w:t>. We provide certain health care and other benefits for retired employees, hired before April 1, 2001,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fulfilled eligibility requirements at age 55 with at least 15 years of continuous service. Postretirement benefit liabilities are determined by actuaries using assumptions about the discount rate and health care cost-trend rates. A significant increase or decrease in interest rates could have a significant impact on the calculation of the postretirement benefit liability and, therefore, on our operating results. For further discussion of our postretirement benefit plan and related assumptions, see Note 6 to our 2005 Annual Report to Shareholders and Note 7 of the Unaudited Notes to Condensed Financial Statements for the periods ended May 27, 2006.</w:t>
      </w:r>
    </w:p>
    <w:p>
      <w:pPr>
        <w:spacing w:after="0" w:line="2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We offer with the purchase of any new Winnebago</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Itasca</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motor home, a comprehensive 12-month/15,000-mile warranty and a 3-year/36,000-mile warranty on sidewalls and floors. Estimated costs related to product warranty are accrued at the time of sale and included in cost of sales in the Company’s Statements of Income and as a separate line item, product warranties, in the Company’s Balance Sheets. Estimates of future warranty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6 of the Unaudited Notes to Condensed Consolidated Financial Statements for the periods ended May 27, 2006.)</w:t>
      </w:r>
    </w:p>
    <w:p>
      <w:pPr>
        <w:spacing w:after="0" w:line="21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incur costs as a result of additional service actions not covered by our warranties, including product recalls and customer satisfaction actions. We estimate the cost of these service actions using past claim rate experiences and the estimated cost of the repairs. Estimated costs are accrued at the time the service action is announced and included in cost of sales in the Company’s Statements of Income and as other accrued expenses in the Company’s Balance Sheets.</w:t>
      </w:r>
    </w:p>
    <w:p>
      <w:pPr>
        <w:spacing w:after="0" w:line="16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Generally, companies in the RV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floorplan financing to dealers. Our repurchase agreements provide that, in the 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 exposure under these repurchase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8 of the Unaudited Notes to Condensed Consolidated Financial Statements for the periods ended May 27, 2006.)</w:t>
      </w:r>
    </w:p>
    <w:p>
      <w:pPr>
        <w:spacing w:after="0" w:line="1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 We grant stock options to our employees and non-employee directors as part of their compensation. The amount of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incurred and to be incurred in future periods is dependent upon a number of factors, such as the number of options granted, the timing of incentive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the determination of stock option compensation expense. These assumptions include our expected stock price volatility and the expected life of our stock options, which are based primarily on our historical experience. The fair value of each option is amortized into compensation expense on a straight-line basis over the requisite service period or to an employee’s eligible retirement date, if earlier. This is because our options typically vest over three years or upon retirement, thus, options are expensed immediately upon grant for retirement eligible employees which results in relatively higher expense in the period of grant (typically our first fiscal quarter) and relatively less expense in the remaining quarters in a fiscal year. (See Note 2 of the Unaudited Notes to Condensed Consolidated Financial Statements for the periods ended May 27, 2006.)</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 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in these areas using consistent and appropriate methods; however, changes in assumptions could materially affect our recorded liabilities for loss.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Compared to the Same Quarter Last Year</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May 27, 2006 compared to the quarter ended May 28,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May 27,</w:t>
            </w: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28,</w:t>
            </w: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of Net</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(Decrease)</w:t>
            </w: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5"/>
                <w:szCs w:val="15"/>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Revenues</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9"/>
        </w:trPr>
        <w:tc>
          <w:tcPr>
            <w:tcW w:w="3460" w:type="dxa"/>
            <w:vAlign w:val="bottom"/>
            <w:gridSpan w:val="2"/>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38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w w:val="99"/>
              </w:rPr>
              <w:t>$   220,312</w:t>
            </w:r>
          </w:p>
        </w:tc>
        <w:tc>
          <w:tcPr>
            <w:tcW w:w="14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255,022</w:t>
            </w:r>
          </w:p>
        </w:tc>
        <w:tc>
          <w:tcPr>
            <w:tcW w:w="13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   (34,710)</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goods sold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192,236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219,828</w:t>
            </w:r>
          </w:p>
        </w:tc>
        <w:tc>
          <w:tcPr>
            <w:tcW w:w="900" w:type="dxa"/>
            <w:vAlign w:val="bottom"/>
          </w:tcPr>
          <w:p>
            <w:pPr>
              <w:jc w:val="right"/>
              <w:spacing w:after="0"/>
              <w:rPr>
                <w:sz w:val="20"/>
                <w:szCs w:val="20"/>
                <w:color w:val="auto"/>
              </w:rPr>
            </w:pPr>
            <w:r>
              <w:rPr>
                <w:rFonts w:ascii="Arial" w:cs="Arial" w:eastAsia="Arial" w:hAnsi="Arial"/>
                <w:sz w:val="18"/>
                <w:szCs w:val="18"/>
                <w:color w:val="auto"/>
              </w:rPr>
              <w:t>86.2</w:t>
            </w:r>
          </w:p>
        </w:tc>
        <w:tc>
          <w:tcPr>
            <w:tcW w:w="4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(27,592)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28,076</w:t>
            </w:r>
          </w:p>
        </w:tc>
        <w:tc>
          <w:tcPr>
            <w:tcW w:w="14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35,194</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(7,118)</w:t>
            </w: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Selling</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4,536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4,302</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234</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5,160</w:t>
            </w:r>
          </w:p>
        </w:tc>
        <w:tc>
          <w:tcPr>
            <w:tcW w:w="14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4,537</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623</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60" w:type="dxa"/>
            <w:vAlign w:val="bottom"/>
            <w:gridSpan w:val="2"/>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3460" w:type="dxa"/>
            <w:vAlign w:val="bottom"/>
            <w:tcBorders>
              <w:bottom w:val="single" w:sz="8" w:color="D6F3E8"/>
            </w:tcBorders>
            <w:gridSpan w:val="2"/>
          </w:tcPr>
          <w:p>
            <w:pPr>
              <w:spacing w:after="0"/>
              <w:rPr>
                <w:sz w:val="20"/>
                <w:szCs w:val="20"/>
                <w:color w:val="auto"/>
              </w:rPr>
            </w:pPr>
            <w:r>
              <w:rPr>
                <w:rFonts w:ascii="Arial" w:cs="Arial" w:eastAsia="Arial" w:hAnsi="Arial"/>
                <w:sz w:val="18"/>
                <w:szCs w:val="18"/>
                <w:color w:val="auto"/>
              </w:rPr>
              <w:t>Operating income</w:t>
            </w:r>
          </w:p>
        </w:tc>
        <w:tc>
          <w:tcPr>
            <w:tcW w:w="1380" w:type="dxa"/>
            <w:vAlign w:val="bottom"/>
            <w:tcBorders>
              <w:bottom w:val="single" w:sz="8" w:color="D6F3E8"/>
            </w:tcBorders>
            <w:gridSpan w:val="2"/>
          </w:tcPr>
          <w:p>
            <w:pPr>
              <w:jc w:val="right"/>
              <w:ind w:right="460"/>
              <w:spacing w:after="0"/>
              <w:rPr>
                <w:sz w:val="20"/>
                <w:szCs w:val="20"/>
                <w:color w:val="auto"/>
              </w:rPr>
            </w:pPr>
            <w:r>
              <w:rPr>
                <w:rFonts w:ascii="Arial" w:cs="Arial" w:eastAsia="Arial" w:hAnsi="Arial"/>
                <w:sz w:val="18"/>
                <w:szCs w:val="18"/>
                <w:color w:val="auto"/>
              </w:rPr>
              <w:t>18,380</w:t>
            </w:r>
          </w:p>
        </w:tc>
        <w:tc>
          <w:tcPr>
            <w:tcW w:w="1400" w:type="dxa"/>
            <w:vAlign w:val="bottom"/>
            <w:tcBorders>
              <w:bottom w:val="single" w:sz="8" w:color="D6F3E8"/>
            </w:tcBorders>
            <w:gridSpan w:val="2"/>
          </w:tcPr>
          <w:p>
            <w:pPr>
              <w:jc w:val="right"/>
              <w:ind w:right="46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D6F3E8"/>
            </w:tcBorders>
          </w:tcPr>
          <w:p>
            <w:pPr>
              <w:spacing w:after="0"/>
              <w:rPr>
                <w:sz w:val="24"/>
                <w:szCs w:val="24"/>
                <w:color w:val="auto"/>
              </w:rPr>
            </w:pPr>
          </w:p>
        </w:tc>
        <w:tc>
          <w:tcPr>
            <w:tcW w:w="1160" w:type="dxa"/>
            <w:vAlign w:val="bottom"/>
            <w:tcBorders>
              <w:bottom w:val="single" w:sz="8" w:color="D6F3E8"/>
            </w:tcBorders>
            <w:gridSpan w:val="2"/>
          </w:tcPr>
          <w:p>
            <w:pPr>
              <w:jc w:val="right"/>
              <w:ind w:right="440"/>
              <w:spacing w:after="0"/>
              <w:rPr>
                <w:sz w:val="20"/>
                <w:szCs w:val="20"/>
                <w:color w:val="auto"/>
              </w:rPr>
            </w:pPr>
            <w:r>
              <w:rPr>
                <w:rFonts w:ascii="Arial" w:cs="Arial" w:eastAsia="Arial" w:hAnsi="Arial"/>
                <w:sz w:val="18"/>
                <w:szCs w:val="18"/>
                <w:color w:val="auto"/>
              </w:rPr>
              <w:t>26,355</w:t>
            </w:r>
          </w:p>
        </w:tc>
        <w:tc>
          <w:tcPr>
            <w:tcW w:w="900" w:type="dxa"/>
            <w:vAlign w:val="bottom"/>
            <w:tcBorders>
              <w:bottom w:val="single" w:sz="8" w:color="D6F3E8"/>
            </w:tcBorders>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Borders>
              <w:bottom w:val="single" w:sz="8" w:color="D6F3E8"/>
            </w:tcBorders>
          </w:tcPr>
          <w:p>
            <w:pPr>
              <w:spacing w:after="0"/>
              <w:rPr>
                <w:sz w:val="24"/>
                <w:szCs w:val="24"/>
                <w:color w:val="auto"/>
              </w:rPr>
            </w:pPr>
          </w:p>
        </w:tc>
        <w:tc>
          <w:tcPr>
            <w:tcW w:w="1360" w:type="dxa"/>
            <w:vAlign w:val="bottom"/>
            <w:tcBorders>
              <w:bottom w:val="single" w:sz="8" w:color="D6F3E8"/>
            </w:tcBorders>
            <w:gridSpan w:val="2"/>
          </w:tcPr>
          <w:p>
            <w:pPr>
              <w:jc w:val="right"/>
              <w:ind w:right="380"/>
              <w:spacing w:after="0"/>
              <w:rPr>
                <w:sz w:val="20"/>
                <w:szCs w:val="20"/>
                <w:color w:val="auto"/>
              </w:rPr>
            </w:pPr>
            <w:r>
              <w:rPr>
                <w:rFonts w:ascii="Arial" w:cs="Arial" w:eastAsia="Arial" w:hAnsi="Arial"/>
                <w:sz w:val="18"/>
                <w:szCs w:val="18"/>
                <w:color w:val="auto"/>
              </w:rPr>
              <w:t>(7,975)</w:t>
            </w:r>
          </w:p>
        </w:tc>
        <w:tc>
          <w:tcPr>
            <w:tcW w:w="1120" w:type="dxa"/>
            <w:vAlign w:val="bottom"/>
            <w:tcBorders>
              <w:bottom w:val="single" w:sz="8" w:color="D6F3E8"/>
            </w:tcBorders>
            <w:gridSpan w:val="2"/>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1,418</w:t>
            </w:r>
          </w:p>
        </w:tc>
        <w:tc>
          <w:tcPr>
            <w:tcW w:w="460" w:type="dxa"/>
            <w:vAlign w:val="bottom"/>
            <w:shd w:val="clear" w:color="auto" w:fill="D6F3E8"/>
          </w:tcPr>
          <w:p>
            <w:pPr>
              <w:spacing w:after="0"/>
              <w:rPr>
                <w:sz w:val="18"/>
                <w:szCs w:val="18"/>
                <w:color w:val="auto"/>
              </w:rPr>
            </w:pPr>
          </w:p>
        </w:tc>
        <w:tc>
          <w:tcPr>
            <w:tcW w:w="9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761</w:t>
            </w:r>
          </w:p>
        </w:tc>
        <w:tc>
          <w:tcPr>
            <w:tcW w:w="4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00" w:type="dxa"/>
            <w:vAlign w:val="bottom"/>
            <w:shd w:val="clear" w:color="auto" w:fill="D6F3E8"/>
          </w:tcPr>
          <w:p>
            <w:pPr>
              <w:ind w:left="480"/>
              <w:spacing w:after="0"/>
              <w:rPr>
                <w:sz w:val="20"/>
                <w:szCs w:val="20"/>
                <w:color w:val="auto"/>
              </w:rPr>
            </w:pPr>
            <w:r>
              <w:rPr>
                <w:rFonts w:ascii="Arial" w:cs="Arial" w:eastAsia="Arial" w:hAnsi="Arial"/>
                <w:sz w:val="18"/>
                <w:szCs w:val="18"/>
                <w:color w:val="auto"/>
                <w:w w:val="79"/>
              </w:rPr>
              <w:t>0.3</w:t>
            </w:r>
          </w:p>
        </w:tc>
        <w:tc>
          <w:tcPr>
            <w:tcW w:w="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6,641</w:t>
            </w:r>
          </w:p>
        </w:tc>
        <w:tc>
          <w:tcPr>
            <w:tcW w:w="4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9,536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w w:val="79"/>
              </w:rPr>
              <w:t>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(2,895)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13,157</w:t>
            </w:r>
          </w:p>
        </w:tc>
        <w:tc>
          <w:tcPr>
            <w:tcW w:w="460" w:type="dxa"/>
            <w:vAlign w:val="bottom"/>
            <w:shd w:val="clear" w:color="auto" w:fill="D6F3E8"/>
          </w:tcPr>
          <w:p>
            <w:pPr>
              <w:spacing w:after="0"/>
              <w:rPr>
                <w:sz w:val="18"/>
                <w:szCs w:val="18"/>
                <w:color w:val="auto"/>
              </w:rPr>
            </w:pPr>
          </w:p>
        </w:tc>
        <w:tc>
          <w:tcPr>
            <w:tcW w:w="1260" w:type="dxa"/>
            <w:vAlign w:val="bottom"/>
            <w:gridSpan w:val="3"/>
            <w:shd w:val="clear" w:color="auto" w:fill="D6F3E8"/>
          </w:tcPr>
          <w:p>
            <w:pPr>
              <w:jc w:val="right"/>
              <w:ind w:right="112"/>
              <w:spacing w:after="0"/>
              <w:rPr>
                <w:sz w:val="20"/>
                <w:szCs w:val="20"/>
                <w:color w:val="auto"/>
              </w:rPr>
            </w:pPr>
            <w:r>
              <w:rPr>
                <w:rFonts w:ascii="Arial" w:cs="Arial" w:eastAsia="Arial" w:hAnsi="Arial"/>
                <w:sz w:val="18"/>
                <w:szCs w:val="18"/>
                <w:color w:val="auto"/>
              </w:rPr>
              <w:t>6.0%</w:t>
            </w:r>
          </w:p>
        </w:tc>
        <w:tc>
          <w:tcPr>
            <w:tcW w:w="14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17,580</w:t>
            </w:r>
          </w:p>
        </w:tc>
        <w:tc>
          <w:tcPr>
            <w:tcW w:w="4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00" w:type="dxa"/>
            <w:vAlign w:val="bottom"/>
            <w:gridSpan w:val="3"/>
            <w:shd w:val="clear" w:color="auto" w:fill="D6F3E8"/>
          </w:tcPr>
          <w:p>
            <w:pPr>
              <w:ind w:left="480"/>
              <w:spacing w:after="0"/>
              <w:rPr>
                <w:sz w:val="20"/>
                <w:szCs w:val="20"/>
                <w:color w:val="auto"/>
              </w:rPr>
            </w:pPr>
            <w:r>
              <w:rPr>
                <w:rFonts w:ascii="Arial" w:cs="Arial" w:eastAsia="Arial" w:hAnsi="Arial"/>
                <w:sz w:val="18"/>
                <w:szCs w:val="18"/>
                <w:color w:val="auto"/>
                <w:w w:val="97"/>
              </w:rPr>
              <w:t>6.9%</w:t>
            </w:r>
          </w:p>
        </w:tc>
        <w:tc>
          <w:tcPr>
            <w:tcW w:w="4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D6F3E8"/>
          </w:tcPr>
          <w:p>
            <w:pPr>
              <w:jc w:val="right"/>
              <w:ind w:right="380"/>
              <w:spacing w:after="0"/>
              <w:rPr>
                <w:sz w:val="20"/>
                <w:szCs w:val="20"/>
                <w:color w:val="auto"/>
              </w:rPr>
            </w:pPr>
            <w:r>
              <w:rPr>
                <w:rFonts w:ascii="Arial" w:cs="Arial" w:eastAsia="Arial" w:hAnsi="Arial"/>
                <w:sz w:val="18"/>
                <w:szCs w:val="18"/>
                <w:color w:val="auto"/>
              </w:rPr>
              <w:t>(4,423)</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32"/>
        </w:trPr>
        <w:tc>
          <w:tcPr>
            <w:tcW w:w="34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3460" w:type="dxa"/>
            <w:vAlign w:val="bottom"/>
            <w:gridSpan w:val="3"/>
          </w:tcPr>
          <w:p>
            <w:pPr>
              <w:spacing w:after="0"/>
              <w:rPr>
                <w:sz w:val="20"/>
                <w:szCs w:val="20"/>
                <w:color w:val="auto"/>
              </w:rPr>
            </w:pPr>
            <w:r>
              <w:rPr>
                <w:rFonts w:ascii="Arial" w:cs="Arial" w:eastAsia="Arial" w:hAnsi="Arial"/>
                <w:sz w:val="18"/>
                <w:szCs w:val="18"/>
                <w:color w:val="auto"/>
              </w:rPr>
              <w:t>Diluted income per share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Fully diluted average</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shares outstanding</w:t>
            </w:r>
          </w:p>
        </w:tc>
        <w:tc>
          <w:tcPr>
            <w:tcW w:w="280" w:type="dxa"/>
            <w:vAlign w:val="bottom"/>
            <w:shd w:val="clear" w:color="auto" w:fill="D6F3E8"/>
          </w:tcPr>
          <w:p>
            <w:pPr>
              <w:spacing w:after="0"/>
              <w:rPr>
                <w:sz w:val="19"/>
                <w:szCs w:val="19"/>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32,496</w:t>
            </w:r>
          </w:p>
        </w:tc>
        <w:tc>
          <w:tcPr>
            <w:tcW w:w="46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62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33,747</w:t>
            </w:r>
          </w:p>
        </w:tc>
        <w:tc>
          <w:tcPr>
            <w:tcW w:w="44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7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180" w:type="dxa"/>
            <w:vAlign w:val="bottom"/>
            <w:gridSpan w:val="3"/>
            <w:shd w:val="clear" w:color="auto" w:fill="D6F3E8"/>
          </w:tcPr>
          <w:p>
            <w:pPr>
              <w:jc w:val="right"/>
              <w:ind w:right="380"/>
              <w:spacing w:after="0"/>
              <w:rPr>
                <w:sz w:val="20"/>
                <w:szCs w:val="20"/>
                <w:color w:val="auto"/>
              </w:rPr>
            </w:pPr>
            <w:r>
              <w:rPr>
                <w:rFonts w:ascii="Arial" w:cs="Arial" w:eastAsia="Arial" w:hAnsi="Arial"/>
                <w:sz w:val="18"/>
                <w:szCs w:val="18"/>
                <w:color w:val="auto"/>
              </w:rPr>
              <w:t>(1,251)</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spacing w:after="0"/>
              <w:rPr>
                <w:sz w:val="8"/>
                <w:szCs w:val="8"/>
                <w:color w:val="auto"/>
              </w:rPr>
            </w:pPr>
          </w:p>
        </w:tc>
        <w:tc>
          <w:tcPr>
            <w:tcW w:w="80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Motor Home Deliveries:</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May 27,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May 28,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4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gridSpan w:val="3"/>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8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1,058</w:t>
            </w:r>
          </w:p>
        </w:tc>
        <w:tc>
          <w:tcPr>
            <w:tcW w:w="7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w w:val="99"/>
              </w:rPr>
              <w:t>(276)</w:t>
            </w:r>
          </w:p>
        </w:tc>
        <w:tc>
          <w:tcPr>
            <w:tcW w:w="4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Class A motor homes (diesel)</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561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(220)</w:t>
            </w:r>
          </w:p>
        </w:tc>
        <w:tc>
          <w:tcPr>
            <w:tcW w:w="4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gridSpan w:val="3"/>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Total Class A motor homes</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8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1,619</w:t>
            </w:r>
          </w:p>
        </w:tc>
        <w:tc>
          <w:tcPr>
            <w:tcW w:w="7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w w:val="99"/>
              </w:rPr>
              <w:t>(496)</w:t>
            </w:r>
          </w:p>
        </w:tc>
        <w:tc>
          <w:tcPr>
            <w:tcW w:w="4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Class C motor homes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1,088</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gridSpan w:val="3"/>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Total deliveries</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6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2,566</w:t>
            </w:r>
          </w:p>
        </w:tc>
        <w:tc>
          <w:tcPr>
            <w:tcW w:w="1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80" w:type="dxa"/>
            <w:vAlign w:val="bottom"/>
            <w:gridSpan w:val="4"/>
            <w:shd w:val="clear" w:color="auto" w:fill="D6F3E8"/>
          </w:tcPr>
          <w:p>
            <w:pPr>
              <w:jc w:val="right"/>
              <w:spacing w:after="0"/>
              <w:rPr>
                <w:sz w:val="20"/>
                <w:szCs w:val="20"/>
                <w:color w:val="auto"/>
              </w:rPr>
            </w:pPr>
            <w:r>
              <w:rPr>
                <w:rFonts w:ascii="Arial" w:cs="Arial" w:eastAsia="Arial" w:hAnsi="Arial"/>
                <w:sz w:val="18"/>
                <w:szCs w:val="18"/>
                <w:color w:val="auto"/>
              </w:rPr>
              <w:t>2,707</w:t>
            </w:r>
          </w:p>
        </w:tc>
        <w:tc>
          <w:tcPr>
            <w:tcW w:w="7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w w:val="99"/>
              </w:rPr>
              <w:t>(141)</w:t>
            </w:r>
          </w:p>
        </w:tc>
        <w:tc>
          <w:tcPr>
            <w:tcW w:w="4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-2464435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-2464435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-2464435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-2464435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-2464435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-2464435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-2464435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-2464435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-2464435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-2464435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-2464435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-2464435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Net revenues for the quarter ended May 27, 2006 decreased $34.7 million, or 13.6 percent primarily as a result of the shift in product mix weighted more heavily towards lower-priced products, which resulted in an 11.0 percent decrease in our average selling price of motor homes when compared to last year’s comparable quarter. Also, unit deliveries decreased by 5.2 percent during the same comparable period.</w:t>
      </w:r>
    </w:p>
    <w:p>
      <w:pPr>
        <w:spacing w:after="0" w:line="194"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Gross profit margin decreased from 13.8 percent in the third quarter of Fiscal 2005 to 12.7 percent in the third quarter of Fiscal 2006. The deterioration of margin was primarily due to the change in our mix to lower-priced products with lower margins and higher fixed costs per unit of production resulting from lower production volumes. Also, contributing to a lesser extent to the reduced margin was stock option expense recorded as a result of the adoption of SFAS No. 123R.</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expenses increased $234,000, or 5.4 percent, during the third quarter ended May 27, 2006. As a percent of net revenues, selling expenses were 2.1 percent during the second quarter ended May 27, 2006 and 1.7 percent during the quarter ended May 28, 2005. The increase in dollars was due primarily to stock option expense and an increase in sales employee incentive compensation costs.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General and administrative expenses increased $623,000, or 13.7 percent, during the third quarter ended May 27, 2006. The increase in this expense was due primarily to stock option expense.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Financial income increased $657,000, or 86.3 percent, during the third quarter ended May 27, 2006. The increase in financial income during the third quarter of Fiscal 2006 was due to a higher average interest rate earned on investments and a higher average short-term investment balance.</w:t>
      </w:r>
    </w:p>
    <w:p>
      <w:pPr>
        <w:spacing w:after="0" w:line="13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overall effective income tax rate decreased to 33.5 percent for the third quarter ended May 27, 2006 from 35.2 percent for the third quarter ended May 28, 2005. The decrease was primarily a result of the domestic production activities credit of the American Jobs Creation Act and an increase in tax-free investment income.</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income decreased by 25.2 percent and income per diluted share decreased by 23.1 percent when comparing the third quarter ended May 27, 2006 to the third quarter ended May 28, 2005. The smaller percentage decrease in income per diluted share was due to a lower number of shares of common stock outstanding during the third quarter ended May 27, 2006, as a result of shares of common stock repurchased by the Company. (See Note 10 of the Unaudited Notes to Condensed Consolidated Financial Statements for the periods ended May 27,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Year-to-Date Compared to the Same Period Last Year</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nine months ended May 27, 2006 compared to the nine months ended May 28,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May 27,</w:t>
            </w: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28,</w:t>
            </w: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of Net</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(Decrease)</w:t>
            </w: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Revenues</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9"/>
        </w:trPr>
        <w:tc>
          <w:tcPr>
            <w:tcW w:w="3460" w:type="dxa"/>
            <w:vAlign w:val="bottom"/>
            <w:gridSpan w:val="2"/>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38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w w:val="99"/>
              </w:rPr>
              <w:t>$   658,992</w:t>
            </w:r>
          </w:p>
        </w:tc>
        <w:tc>
          <w:tcPr>
            <w:tcW w:w="14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760,514</w:t>
            </w:r>
          </w:p>
        </w:tc>
        <w:tc>
          <w:tcPr>
            <w:tcW w:w="13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w w:val="98"/>
              </w:rPr>
              <w:t>$  (101,522)</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Cost of goods sold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579,432</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655,995</w:t>
            </w:r>
          </w:p>
        </w:tc>
        <w:tc>
          <w:tcPr>
            <w:tcW w:w="900" w:type="dxa"/>
            <w:vAlign w:val="bottom"/>
          </w:tcPr>
          <w:p>
            <w:pPr>
              <w:jc w:val="right"/>
              <w:spacing w:after="0"/>
              <w:rPr>
                <w:sz w:val="20"/>
                <w:szCs w:val="20"/>
                <w:color w:val="auto"/>
              </w:rPr>
            </w:pPr>
            <w:r>
              <w:rPr>
                <w:rFonts w:ascii="Arial" w:cs="Arial" w:eastAsia="Arial" w:hAnsi="Arial"/>
                <w:sz w:val="18"/>
                <w:szCs w:val="18"/>
                <w:color w:val="auto"/>
              </w:rPr>
              <w:t>86.3</w:t>
            </w:r>
          </w:p>
        </w:tc>
        <w:tc>
          <w:tcPr>
            <w:tcW w:w="4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(76,563)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79,560</w:t>
            </w:r>
          </w:p>
        </w:tc>
        <w:tc>
          <w:tcPr>
            <w:tcW w:w="14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104,519</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(24,959)</w:t>
            </w: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Selling</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13,714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13,420</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294</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15,493</w:t>
            </w:r>
          </w:p>
        </w:tc>
        <w:tc>
          <w:tcPr>
            <w:tcW w:w="14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15,892</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(399)</w:t>
            </w:r>
          </w:p>
        </w:tc>
        <w:tc>
          <w:tcPr>
            <w:tcW w:w="11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3460" w:type="dxa"/>
            <w:vAlign w:val="bottom"/>
            <w:gridSpan w:val="2"/>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3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50,353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75,207</w:t>
            </w: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(24,854)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shd w:val="clear" w:color="auto" w:fill="D6F3E8"/>
          </w:tcPr>
          <w:p>
            <w:pPr>
              <w:spacing w:after="0"/>
              <w:rPr>
                <w:sz w:val="14"/>
                <w:szCs w:val="14"/>
                <w:color w:val="auto"/>
              </w:rPr>
            </w:pPr>
          </w:p>
        </w:tc>
        <w:tc>
          <w:tcPr>
            <w:tcW w:w="920" w:type="dxa"/>
            <w:vAlign w:val="bottom"/>
            <w:shd w:val="clear" w:color="auto" w:fill="D6F3E8"/>
          </w:tcPr>
          <w:p>
            <w:pPr>
              <w:spacing w:after="0"/>
              <w:rPr>
                <w:sz w:val="14"/>
                <w:szCs w:val="14"/>
                <w:color w:val="auto"/>
              </w:rPr>
            </w:pPr>
          </w:p>
        </w:tc>
        <w:tc>
          <w:tcPr>
            <w:tcW w:w="460" w:type="dxa"/>
            <w:vAlign w:val="bottom"/>
            <w:shd w:val="clear" w:color="auto" w:fill="D6F3E8"/>
          </w:tcPr>
          <w:p>
            <w:pPr>
              <w:spacing w:after="0"/>
              <w:rPr>
                <w:sz w:val="14"/>
                <w:szCs w:val="14"/>
                <w:color w:val="auto"/>
              </w:rPr>
            </w:pPr>
          </w:p>
        </w:tc>
        <w:tc>
          <w:tcPr>
            <w:tcW w:w="940" w:type="dxa"/>
            <w:vAlign w:val="bottom"/>
            <w:shd w:val="clear" w:color="auto" w:fill="D6F3E8"/>
          </w:tcPr>
          <w:p>
            <w:pPr>
              <w:spacing w:after="0"/>
              <w:rPr>
                <w:sz w:val="14"/>
                <w:szCs w:val="14"/>
                <w:color w:val="auto"/>
              </w:rPr>
            </w:pPr>
          </w:p>
        </w:tc>
        <w:tc>
          <w:tcPr>
            <w:tcW w:w="460" w:type="dxa"/>
            <w:vAlign w:val="bottom"/>
            <w:shd w:val="clear" w:color="auto" w:fill="D6F3E8"/>
          </w:tcPr>
          <w:p>
            <w:pPr>
              <w:spacing w:after="0"/>
              <w:rPr>
                <w:sz w:val="14"/>
                <w:szCs w:val="14"/>
                <w:color w:val="auto"/>
              </w:rPr>
            </w:pPr>
          </w:p>
        </w:tc>
        <w:tc>
          <w:tcPr>
            <w:tcW w:w="160" w:type="dxa"/>
            <w:vAlign w:val="bottom"/>
            <w:shd w:val="clear" w:color="auto" w:fill="D6F3E8"/>
          </w:tcPr>
          <w:p>
            <w:pPr>
              <w:spacing w:after="0"/>
              <w:rPr>
                <w:sz w:val="14"/>
                <w:szCs w:val="14"/>
                <w:color w:val="auto"/>
              </w:rPr>
            </w:pPr>
          </w:p>
        </w:tc>
        <w:tc>
          <w:tcPr>
            <w:tcW w:w="760" w:type="dxa"/>
            <w:vAlign w:val="bottom"/>
            <w:shd w:val="clear" w:color="auto" w:fill="D6F3E8"/>
          </w:tcPr>
          <w:p>
            <w:pPr>
              <w:spacing w:after="0"/>
              <w:rPr>
                <w:sz w:val="14"/>
                <w:szCs w:val="14"/>
                <w:color w:val="auto"/>
              </w:rPr>
            </w:pPr>
          </w:p>
        </w:tc>
        <w:tc>
          <w:tcPr>
            <w:tcW w:w="440" w:type="dxa"/>
            <w:vAlign w:val="bottom"/>
            <w:shd w:val="clear" w:color="auto" w:fill="D6F3E8"/>
          </w:tcPr>
          <w:p>
            <w:pPr>
              <w:spacing w:after="0"/>
              <w:rPr>
                <w:sz w:val="14"/>
                <w:szCs w:val="14"/>
                <w:color w:val="auto"/>
              </w:rPr>
            </w:pPr>
          </w:p>
        </w:tc>
        <w:tc>
          <w:tcPr>
            <w:tcW w:w="900" w:type="dxa"/>
            <w:vAlign w:val="bottom"/>
            <w:shd w:val="clear" w:color="auto" w:fill="D6F3E8"/>
          </w:tcPr>
          <w:p>
            <w:pPr>
              <w:spacing w:after="0"/>
              <w:rPr>
                <w:sz w:val="14"/>
                <w:szCs w:val="14"/>
                <w:color w:val="auto"/>
              </w:rPr>
            </w:pPr>
          </w:p>
        </w:tc>
        <w:tc>
          <w:tcPr>
            <w:tcW w:w="440" w:type="dxa"/>
            <w:vAlign w:val="bottom"/>
            <w:shd w:val="clear" w:color="auto" w:fill="D6F3E8"/>
          </w:tcPr>
          <w:p>
            <w:pPr>
              <w:spacing w:after="0"/>
              <w:rPr>
                <w:sz w:val="14"/>
                <w:szCs w:val="14"/>
                <w:color w:val="auto"/>
              </w:rPr>
            </w:pPr>
          </w:p>
        </w:tc>
        <w:tc>
          <w:tcPr>
            <w:tcW w:w="920" w:type="dxa"/>
            <w:vAlign w:val="bottom"/>
            <w:shd w:val="clear" w:color="auto" w:fill="D6F3E8"/>
          </w:tcPr>
          <w:p>
            <w:pPr>
              <w:spacing w:after="0"/>
              <w:rPr>
                <w:sz w:val="14"/>
                <w:szCs w:val="14"/>
                <w:color w:val="auto"/>
              </w:rPr>
            </w:pPr>
          </w:p>
        </w:tc>
        <w:tc>
          <w:tcPr>
            <w:tcW w:w="440" w:type="dxa"/>
            <w:vAlign w:val="bottom"/>
            <w:shd w:val="clear" w:color="auto" w:fill="D6F3E8"/>
          </w:tcPr>
          <w:p>
            <w:pPr>
              <w:spacing w:after="0"/>
              <w:rPr>
                <w:sz w:val="14"/>
                <w:szCs w:val="14"/>
                <w:color w:val="auto"/>
              </w:rPr>
            </w:pPr>
          </w:p>
        </w:tc>
        <w:tc>
          <w:tcPr>
            <w:tcW w:w="900" w:type="dxa"/>
            <w:vAlign w:val="bottom"/>
            <w:shd w:val="clear" w:color="auto" w:fill="D6F3E8"/>
          </w:tcPr>
          <w:p>
            <w:pPr>
              <w:spacing w:after="0"/>
              <w:rPr>
                <w:sz w:val="14"/>
                <w:szCs w:val="14"/>
                <w:color w:val="auto"/>
              </w:rPr>
            </w:pPr>
          </w:p>
        </w:tc>
        <w:tc>
          <w:tcPr>
            <w:tcW w:w="22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3,654</w:t>
            </w:r>
          </w:p>
        </w:tc>
        <w:tc>
          <w:tcPr>
            <w:tcW w:w="460" w:type="dxa"/>
            <w:vAlign w:val="bottom"/>
            <w:shd w:val="clear" w:color="auto" w:fill="D6F3E8"/>
          </w:tcPr>
          <w:p>
            <w:pPr>
              <w:spacing w:after="0"/>
              <w:rPr>
                <w:sz w:val="18"/>
                <w:szCs w:val="18"/>
                <w:color w:val="auto"/>
              </w:rPr>
            </w:pPr>
          </w:p>
        </w:tc>
        <w:tc>
          <w:tcPr>
            <w:tcW w:w="940" w:type="dxa"/>
            <w:vAlign w:val="bottom"/>
            <w:shd w:val="clear" w:color="auto" w:fill="D6F3E8"/>
          </w:tcPr>
          <w:p>
            <w:pPr>
              <w:ind w:left="720"/>
              <w:spacing w:after="0"/>
              <w:rPr>
                <w:sz w:val="20"/>
                <w:szCs w:val="20"/>
                <w:color w:val="auto"/>
              </w:rPr>
            </w:pPr>
            <w:r>
              <w:rPr>
                <w:rFonts w:ascii="Arial" w:cs="Arial" w:eastAsia="Arial" w:hAnsi="Arial"/>
                <w:sz w:val="18"/>
                <w:szCs w:val="18"/>
                <w:color w:val="auto"/>
                <w:w w:val="79"/>
              </w:rPr>
              <w:t>0.6</w:t>
            </w:r>
          </w:p>
        </w:tc>
        <w:tc>
          <w:tcPr>
            <w:tcW w:w="4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1,894</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ind w:left="680"/>
              <w:spacing w:after="0"/>
              <w:rPr>
                <w:sz w:val="20"/>
                <w:szCs w:val="20"/>
                <w:color w:val="auto"/>
              </w:rPr>
            </w:pPr>
            <w:r>
              <w:rPr>
                <w:rFonts w:ascii="Arial" w:cs="Arial" w:eastAsia="Arial" w:hAnsi="Arial"/>
                <w:sz w:val="18"/>
                <w:szCs w:val="18"/>
                <w:color w:val="auto"/>
                <w:w w:val="79"/>
              </w:rPr>
              <w:t>0.2</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1,760</w:t>
            </w: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Provision for taxes</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18,580</w:t>
            </w:r>
          </w:p>
        </w:tc>
        <w:tc>
          <w:tcPr>
            <w:tcW w:w="46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Arial" w:cs="Arial" w:eastAsia="Arial" w:hAnsi="Arial"/>
                <w:sz w:val="18"/>
                <w:szCs w:val="18"/>
                <w:color w:val="auto"/>
                <w:w w:val="79"/>
              </w:rPr>
              <w:t>2.8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27,406</w:t>
            </w:r>
          </w:p>
        </w:tc>
        <w:tc>
          <w:tcPr>
            <w:tcW w:w="440" w:type="dxa"/>
            <w:vAlign w:val="bottom"/>
          </w:tcPr>
          <w:p>
            <w:pPr>
              <w:spacing w:after="0"/>
              <w:rPr>
                <w:sz w:val="19"/>
                <w:szCs w:val="19"/>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w w:val="79"/>
              </w:rPr>
              <w:t>3.6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(8,826)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35,427</w:t>
            </w:r>
          </w:p>
        </w:tc>
        <w:tc>
          <w:tcPr>
            <w:tcW w:w="46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ind w:left="72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49,695</w:t>
            </w:r>
          </w:p>
        </w:tc>
        <w:tc>
          <w:tcPr>
            <w:tcW w:w="4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ind w:left="68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(14,268)</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32"/>
        </w:trPr>
        <w:tc>
          <w:tcPr>
            <w:tcW w:w="1260" w:type="dxa"/>
            <w:vAlign w:val="bottom"/>
            <w:gridSpan w:val="2"/>
          </w:tcPr>
          <w:p>
            <w:pPr>
              <w:spacing w:after="0"/>
              <w:rPr>
                <w:sz w:val="11"/>
                <w:szCs w:val="11"/>
                <w:color w:val="auto"/>
              </w:rPr>
            </w:pPr>
          </w:p>
        </w:tc>
        <w:tc>
          <w:tcPr>
            <w:tcW w:w="2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3460" w:type="dxa"/>
            <w:vAlign w:val="bottom"/>
            <w:gridSpan w:val="4"/>
          </w:tcPr>
          <w:p>
            <w:pPr>
              <w:spacing w:after="0"/>
              <w:rPr>
                <w:sz w:val="20"/>
                <w:szCs w:val="20"/>
                <w:color w:val="auto"/>
              </w:rPr>
            </w:pPr>
            <w:r>
              <w:rPr>
                <w:rFonts w:ascii="Arial" w:cs="Arial" w:eastAsia="Arial" w:hAnsi="Arial"/>
                <w:sz w:val="18"/>
                <w:szCs w:val="18"/>
                <w:color w:val="auto"/>
              </w:rPr>
              <w:t>Diluted income per share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(0.38)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Fully diluted average</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3"/>
            <w:shd w:val="clear" w:color="auto" w:fill="D6F3E8"/>
          </w:tcPr>
          <w:p>
            <w:pPr>
              <w:ind w:left="120"/>
              <w:spacing w:after="0"/>
              <w:rPr>
                <w:sz w:val="20"/>
                <w:szCs w:val="20"/>
                <w:color w:val="auto"/>
              </w:rPr>
            </w:pPr>
            <w:r>
              <w:rPr>
                <w:rFonts w:ascii="Arial" w:cs="Arial" w:eastAsia="Arial" w:hAnsi="Arial"/>
                <w:sz w:val="18"/>
                <w:szCs w:val="18"/>
                <w:color w:val="auto"/>
              </w:rPr>
              <w:t>shares outstanding</w:t>
            </w:r>
          </w:p>
        </w:tc>
        <w:tc>
          <w:tcPr>
            <w:tcW w:w="280" w:type="dxa"/>
            <w:vAlign w:val="bottom"/>
            <w:shd w:val="clear" w:color="auto" w:fill="D6F3E8"/>
          </w:tcPr>
          <w:p>
            <w:pPr>
              <w:spacing w:after="0"/>
              <w:rPr>
                <w:sz w:val="19"/>
                <w:szCs w:val="19"/>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32,937</w:t>
            </w:r>
          </w:p>
        </w:tc>
        <w:tc>
          <w:tcPr>
            <w:tcW w:w="460" w:type="dxa"/>
            <w:vAlign w:val="bottom"/>
            <w:shd w:val="clear" w:color="auto" w:fill="D6F3E8"/>
          </w:tcPr>
          <w:p>
            <w:pPr>
              <w:spacing w:after="0"/>
              <w:rPr>
                <w:sz w:val="19"/>
                <w:szCs w:val="19"/>
                <w:color w:val="auto"/>
              </w:rPr>
            </w:pPr>
          </w:p>
        </w:tc>
        <w:tc>
          <w:tcPr>
            <w:tcW w:w="94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280" w:type="dxa"/>
            <w:vAlign w:val="bottom"/>
            <w:shd w:val="clear" w:color="auto" w:fill="D6F3E8"/>
          </w:tcPr>
          <w:p>
            <w:pPr>
              <w:spacing w:after="0"/>
              <w:rPr>
                <w:sz w:val="19"/>
                <w:szCs w:val="19"/>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34,065</w:t>
            </w:r>
          </w:p>
        </w:tc>
        <w:tc>
          <w:tcPr>
            <w:tcW w:w="440" w:type="dxa"/>
            <w:vAlign w:val="bottom"/>
            <w:shd w:val="clear" w:color="auto" w:fill="D6F3E8"/>
          </w:tcPr>
          <w:p>
            <w:pPr>
              <w:spacing w:after="0"/>
              <w:rPr>
                <w:sz w:val="19"/>
                <w:szCs w:val="19"/>
                <w:color w:val="auto"/>
              </w:rPr>
            </w:pPr>
          </w:p>
        </w:tc>
        <w:tc>
          <w:tcPr>
            <w:tcW w:w="90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1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(1,128)</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1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bottom w:val="single" w:sz="8" w:color="808080"/>
            </w:tcBorders>
            <w:gridSpan w:val="2"/>
          </w:tcPr>
          <w:p>
            <w:pPr>
              <w:spacing w:after="0"/>
              <w:rPr>
                <w:sz w:val="21"/>
                <w:szCs w:val="21"/>
                <w:color w:val="auto"/>
              </w:rPr>
            </w:pPr>
          </w:p>
        </w:tc>
        <w:tc>
          <w:tcPr>
            <w:tcW w:w="2200" w:type="dxa"/>
            <w:vAlign w:val="bottom"/>
            <w:tcBorders>
              <w:bottom w:val="single" w:sz="8" w:color="808080"/>
            </w:tcBorders>
            <w:gridSpan w:val="2"/>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22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-1664970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-1664970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-1664970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-1664970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-1664970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-1664970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-1664970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-1664970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-1664970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-1664970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-1664970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-1664970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-284480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-284480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Motor Home Deliveries: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2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95"/>
        </w:trPr>
        <w:tc>
          <w:tcPr>
            <w:tcW w:w="7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37"/>
        </w:trPr>
        <w:tc>
          <w:tcPr>
            <w:tcW w:w="700" w:type="dxa"/>
            <w:vAlign w:val="bottom"/>
          </w:tcPr>
          <w:p>
            <w:pPr>
              <w:jc w:val="center"/>
              <w:ind w:left="132"/>
              <w:spacing w:after="0"/>
              <w:rPr>
                <w:sz w:val="20"/>
                <w:szCs w:val="20"/>
                <w:color w:val="auto"/>
              </w:rPr>
            </w:pPr>
            <w:r>
              <w:rPr>
                <w:rFonts w:ascii="Arial" w:cs="Arial" w:eastAsia="Arial" w:hAnsi="Arial"/>
                <w:sz w:val="14"/>
                <w:szCs w:val="14"/>
                <w:b w:val="1"/>
                <w:bCs w:val="1"/>
                <w:color w:val="auto"/>
                <w:w w:val="90"/>
              </w:rPr>
              <w:t>May 27,</w:t>
            </w:r>
          </w:p>
        </w:tc>
        <w:tc>
          <w:tcPr>
            <w:tcW w:w="1880" w:type="dxa"/>
            <w:vAlign w:val="bottom"/>
          </w:tcPr>
          <w:p>
            <w:pPr>
              <w:jc w:val="center"/>
              <w:ind w:left="912"/>
              <w:spacing w:after="0"/>
              <w:rPr>
                <w:sz w:val="20"/>
                <w:szCs w:val="20"/>
                <w:color w:val="auto"/>
              </w:rPr>
            </w:pPr>
            <w:r>
              <w:rPr>
                <w:rFonts w:ascii="Arial" w:cs="Arial" w:eastAsia="Arial" w:hAnsi="Arial"/>
                <w:sz w:val="14"/>
                <w:szCs w:val="14"/>
                <w:b w:val="1"/>
                <w:bCs w:val="1"/>
                <w:color w:val="auto"/>
                <w:w w:val="90"/>
              </w:rPr>
              <w:t>May 28,</w:t>
            </w:r>
          </w:p>
        </w:tc>
        <w:tc>
          <w:tcPr>
            <w:tcW w:w="2120" w:type="dxa"/>
            <w:vAlign w:val="bottom"/>
          </w:tcPr>
          <w:p>
            <w:pPr>
              <w:jc w:val="center"/>
              <w:ind w:left="292"/>
              <w:spacing w:after="0"/>
              <w:rPr>
                <w:sz w:val="20"/>
                <w:szCs w:val="20"/>
                <w:color w:val="auto"/>
              </w:rPr>
            </w:pPr>
            <w:r>
              <w:rPr>
                <w:rFonts w:ascii="Arial" w:cs="Arial" w:eastAsia="Arial" w:hAnsi="Arial"/>
                <w:sz w:val="14"/>
                <w:szCs w:val="14"/>
                <w:b w:val="1"/>
                <w:bCs w:val="1"/>
                <w:color w:val="auto"/>
                <w:w w:val="83"/>
              </w:rPr>
              <w:t>(Decrease)</w:t>
            </w: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r>
      <w:tr>
        <w:trPr>
          <w:trHeight w:val="174"/>
        </w:trPr>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8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120" w:type="dxa"/>
            <w:vAlign w:val="bottom"/>
          </w:tcPr>
          <w:p>
            <w:pPr>
              <w:jc w:val="center"/>
              <w:ind w:left="292"/>
              <w:spacing w:after="0"/>
              <w:rPr>
                <w:sz w:val="20"/>
                <w:szCs w:val="20"/>
                <w:color w:val="auto"/>
              </w:rPr>
            </w:pPr>
            <w:r>
              <w:rPr>
                <w:rFonts w:ascii="Arial" w:cs="Arial" w:eastAsia="Arial" w:hAnsi="Arial"/>
                <w:sz w:val="14"/>
                <w:szCs w:val="14"/>
                <w:b w:val="1"/>
                <w:bCs w:val="1"/>
                <w:color w:val="auto"/>
                <w:w w:val="84"/>
              </w:rPr>
              <w:t>Increase</w:t>
            </w:r>
          </w:p>
        </w:tc>
        <w:tc>
          <w:tcPr>
            <w:tcW w:w="1040" w:type="dxa"/>
            <w:vAlign w:val="bottom"/>
          </w:tcPr>
          <w:p>
            <w:pPr>
              <w:jc w:val="center"/>
              <w:ind w:left="532"/>
              <w:spacing w:after="0"/>
              <w:rPr>
                <w:sz w:val="20"/>
                <w:szCs w:val="20"/>
                <w:color w:val="auto"/>
              </w:rPr>
            </w:pPr>
            <w:r>
              <w:rPr>
                <w:rFonts w:ascii="Arial" w:cs="Arial" w:eastAsia="Arial" w:hAnsi="Arial"/>
                <w:sz w:val="14"/>
                <w:szCs w:val="14"/>
                <w:b w:val="1"/>
                <w:bCs w:val="1"/>
                <w:color w:val="auto"/>
                <w:w w:val="85"/>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60325</wp:posOffset>
            </wp:positionV>
            <wp:extent cx="5746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60325</wp:posOffset>
            </wp:positionV>
            <wp:extent cx="5746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60325</wp:posOffset>
            </wp:positionV>
            <wp:extent cx="5746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60325</wp:posOffset>
            </wp:positionV>
            <wp:extent cx="5746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180"/>
          </w:cols>
          <w:pgMar w:left="240" w:top="140" w:right="239" w:bottom="101"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2,341</w:t>
            </w:r>
          </w:p>
        </w:tc>
        <w:tc>
          <w:tcPr>
            <w:tcW w:w="170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3,501</w:t>
            </w:r>
          </w:p>
        </w:tc>
        <w:tc>
          <w:tcPr>
            <w:tcW w:w="7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(1,160)</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900" w:type="dxa"/>
            <w:vAlign w:val="bottom"/>
          </w:tcPr>
          <w:p>
            <w:pPr>
              <w:jc w:val="right"/>
              <w:spacing w:after="0"/>
              <w:rPr>
                <w:sz w:val="20"/>
                <w:szCs w:val="20"/>
                <w:color w:val="auto"/>
              </w:rPr>
            </w:pPr>
            <w:r>
              <w:rPr>
                <w:rFonts w:ascii="Arial" w:cs="Arial" w:eastAsia="Arial" w:hAnsi="Arial"/>
                <w:sz w:val="18"/>
                <w:szCs w:val="18"/>
                <w:color w:val="auto"/>
              </w:rPr>
              <w:t>1,234</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1,707</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(473)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D6F3E8"/>
          </w:tcPr>
          <w:p>
            <w:pPr>
              <w:spacing w:after="0"/>
              <w:rPr>
                <w:sz w:val="20"/>
                <w:szCs w:val="20"/>
                <w:color w:val="auto"/>
              </w:rPr>
            </w:pPr>
            <w:r>
              <w:rPr>
                <w:rFonts w:ascii="Arial" w:cs="Arial" w:eastAsia="Arial" w:hAnsi="Arial"/>
                <w:sz w:val="18"/>
                <w:szCs w:val="18"/>
                <w:color w:val="auto"/>
              </w:rPr>
              <w:t>Total Class A motor homes</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3,575</w:t>
            </w:r>
          </w:p>
        </w:tc>
        <w:tc>
          <w:tcPr>
            <w:tcW w:w="170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5,208</w:t>
            </w:r>
          </w:p>
        </w:tc>
        <w:tc>
          <w:tcPr>
            <w:tcW w:w="7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(1,633)</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Class C motor homes</w:t>
            </w:r>
          </w:p>
        </w:tc>
        <w:tc>
          <w:tcPr>
            <w:tcW w:w="900" w:type="dxa"/>
            <w:vAlign w:val="bottom"/>
          </w:tcPr>
          <w:p>
            <w:pPr>
              <w:jc w:val="right"/>
              <w:spacing w:after="0"/>
              <w:rPr>
                <w:sz w:val="20"/>
                <w:szCs w:val="20"/>
                <w:color w:val="auto"/>
              </w:rPr>
            </w:pPr>
            <w:r>
              <w:rPr>
                <w:rFonts w:ascii="Arial" w:cs="Arial" w:eastAsia="Arial" w:hAnsi="Arial"/>
                <w:sz w:val="18"/>
                <w:szCs w:val="18"/>
                <w:color w:val="auto"/>
              </w:rPr>
              <w:t>3,753</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2,878</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w:t>
            </w:r>
          </w:p>
        </w:tc>
        <w:tc>
          <w:tcPr>
            <w:tcW w:w="7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D6F3E8"/>
          </w:tcPr>
          <w:p>
            <w:pPr>
              <w:ind w:left="200"/>
              <w:spacing w:after="0"/>
              <w:rPr>
                <w:sz w:val="20"/>
                <w:szCs w:val="20"/>
                <w:color w:val="auto"/>
              </w:rPr>
            </w:pPr>
            <w:r>
              <w:rPr>
                <w:rFonts w:ascii="Arial" w:cs="Arial" w:eastAsia="Arial" w:hAnsi="Arial"/>
                <w:sz w:val="18"/>
                <w:szCs w:val="18"/>
                <w:color w:val="auto"/>
              </w:rPr>
              <w:t>Total deliveries</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7,328</w:t>
            </w:r>
          </w:p>
        </w:tc>
        <w:tc>
          <w:tcPr>
            <w:tcW w:w="170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8,086</w:t>
            </w:r>
          </w:p>
        </w:tc>
        <w:tc>
          <w:tcPr>
            <w:tcW w:w="7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(758)</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for the nine months ended May 27, 2006 decreased $101.5 million, or 13.3 percent, primarily as a result of an 9.4 percent decrease in unit deliveries. Net revenues declined at a higher rate than deliveries due to a shift in product mix weighted more heavily towards lower-priced products, which resulted in a 6.3 percent decrease in our average selling price of motor homes during the period.</w:t>
      </w:r>
    </w:p>
    <w:p>
      <w:pPr>
        <w:spacing w:after="0" w:line="19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Gross profit margin decreased from 13.7 percent during the first nine months of Fiscal 2005 to 12.1 percent in the first nine months of Fiscal 2006. The decline in margin was primarily due to the change in our mix to lower-priced product with lower margins and higher fixed costs per unit of production resulting from lower production volumes. Also, negatively impacting gross profit was stock option expense recorded as a result of the adoption of SFAS No. 123R.</w:t>
      </w:r>
    </w:p>
    <w:p>
      <w:pPr>
        <w:spacing w:after="0" w:line="16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Selling expenses increased $294,000, or 2.2 percent, during the nine months ended May 27, 2006. As a percent of net revenues, selling expenses were 2.1 percent during the period ended May 27, 2006 and 1.7 percent during the period ended May 28, 2005. The increase in dollars was due primarily to the recording of stock option expense as a result of the adoption of SFAS No. 123R.</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General and administrative expenses decreased $399,000, or 2.5 percent, during the nine months ended May 27, 2006. The decrease in expense was due primarily to a reduction in management incentive compensation expense, partially offset by stock option expense.</w:t>
      </w:r>
    </w:p>
    <w:p>
      <w:pPr>
        <w:spacing w:after="0" w:line="18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Financial income increased $1.8 million, or 92.9 percent, during the nine months ended May 27, 2006. The increase in financial income during the first nine months of Fiscal 2006 was due to a higher average interest rate earned on investments and a higher average short-term investment balance.</w:t>
      </w:r>
    </w:p>
    <w:p>
      <w:pPr>
        <w:spacing w:after="0" w:line="13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overall effective income tax rate decreased to 34.4 percent for the nine months ended May 27, 2006 from 35.5 percent for the nine months ended May 28, 2005. The decrease was primarily a result of the domestic production activities credit of the American Jobs Creation Act and an increase in tax-free investment income.</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Net income decreased by 28.7 percent and income per diluted share decreased by 26.0 percent when comparing the nine months ended May 27, 2006 to the nine months ended May 28, 2005. The smaller percentage decrease in income per diluted share was due to a lower number of shares of common stock outstanding during the nine months ended May 27, 2006, as a result of shares of common stock repurchased by the Company. (See Note 10 of the Unaudited Notes to Condensed Consolidated Financial Statements for the periods ended May 27, 2006.)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historically generated substantial cash from operations, which has enabled us to meet our working capital needs and make appropriate investments in manufacturing equipment and facilities. In recent years, cash generated from operations has also enabled us to pay increased cash dividends and repurchase stock. Cash and cash equivalents totaled $15.4 million and $19.5 million as of May 27, 2006 and August 27, 2005, respectively. Short-term investments, consisting primarily of highly liquid investments, totaled $125.0 million and $93.1 million as of May 27, 2006 and August 27, 2005, respectively. Working capital at May 27, 2006 and August 27, 2005 was $184.0 million and $197.5 million, respectively, a decrease of $13.5 million. We have no long-term debt.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0" w:right="239" w:bottom="101"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40" w:right="239" w:bottom="101" w:gutter="0" w:footer="0" w:header="0"/>
          <w:type w:val="continuous"/>
        </w:sectPr>
      </w:pPr>
    </w:p>
    <w:bookmarkStart w:id="14" w:name="page15"/>
    <w:bookmarkEnd w:id="14"/>
    <w:p>
      <w:pPr>
        <w:ind w:right="140"/>
        <w:spacing w:after="0" w:line="262"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color w:val="auto"/>
        </w:rPr>
        <w:t>. Cash provided by operating activities was $89.8 million during the nine months ended May 27, 2006, or $13.3 million higher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nine months ended May 28, 2005. The increase in net cash provided by operating activities was primarily attributable to a decrease in our finished goods and work-in-process inventories offset partially by lower net income.</w:t>
      </w:r>
    </w:p>
    <w:p>
      <w:pPr>
        <w:spacing w:after="0" w:line="18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Investing Activities</w:t>
      </w:r>
      <w:r>
        <w:rPr>
          <w:rFonts w:ascii="Arial" w:cs="Arial" w:eastAsia="Arial" w:hAnsi="Arial"/>
          <w:sz w:val="16"/>
          <w:szCs w:val="16"/>
          <w:color w:val="auto"/>
        </w:rPr>
        <w:t>. The primary uses of cash for investing activities were for manufacturing equipment and facilities of $3.2 million for the nine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May 27, 2006 compared to $6.7 million during the nine months ended May 28, 2005. We purchased $150.5 million of short-term investments and received proceeds of $118.6 million from the sale or maturity of short-term investments during the nine months ended May 27, 2006. During the nine months ended May 28, 2005, we purchased $196.4 million of short-term investments and received proceeds of $143.5 million from the sale or maturity of short-term investments.</w:t>
      </w:r>
    </w:p>
    <w:p>
      <w:pPr>
        <w:spacing w:after="0" w:line="15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Financing Activities</w:t>
      </w:r>
      <w:r>
        <w:rPr>
          <w:rFonts w:ascii="Arial" w:cs="Arial" w:eastAsia="Arial" w:hAnsi="Arial"/>
          <w:sz w:val="18"/>
          <w:szCs w:val="18"/>
          <w:color w:val="auto"/>
        </w:rPr>
        <w:t>. Primary uses of cash in financing activities for the nine months ended May 27, 2006 were $51.6 million for repurchases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and payments of $8.9 million in dividends. Primary uses of cash in financing activities for the nine months ended May 28, 2005 were $26.8 million for repurchases of the Company’s common stock and $7.1 million for the payment of dividends. (See Unaudited Condensed Consolidated Statement of Cash Flows.)</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Stock Repurchases</w:t>
      </w:r>
      <w:r>
        <w:rPr>
          <w:rFonts w:ascii="Arial" w:cs="Arial" w:eastAsia="Arial" w:hAnsi="Arial"/>
          <w:sz w:val="18"/>
          <w:szCs w:val="18"/>
          <w:color w:val="auto"/>
        </w:rPr>
        <w:t>. As of May 27, 2006, we have $28.4 million remaining under the April 12, 2006 Board of Directors authorization to repurchase up to $50.0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our common stock.</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Estimated demands as of May 27, 2006 on our liquid assets for the remainder of Fiscal 2006 include $2.9 million for payments of cash dividends and $1.1 million for estimated capital expenditures, primarily for manufacturing equipment and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currently expect our cash on hand and funds from operations to be sufficient to cover both short-term and long-term operational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and availability of credit and consumer confidence. An extended decline in consumer confidence would materially adversely affect our business, results of operations and financial condition.</w:t>
      </w:r>
    </w:p>
    <w:p>
      <w:pPr>
        <w:spacing w:after="0" w:line="1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Revenues and net income for the quarter and nine months ended May 27, 2006 were negatively impacted primarily by lower motor home industry retail demand resulting in lower motor home deliveries as well as a continued shift in product mix weighted more heavily towards lower-priced products. The shift in product mix is occurring industry-wide. Based on statistics from the Recreation Vehicle Industry Association for the first four months of Calendar 2006, Class A motor home shipments decreased 19.9 percent while Class C shipments for the industry decreased only 4.8 percent for the same period compared to the first four months of Calendar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evidenced by the following table, we continue to see a shift in the mix of products on order to lower-priced Class C motor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May 27,</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May 28,</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6"/>
              </w:rPr>
              <w:t>(Decrease)</w:t>
            </w: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060" w:type="dxa"/>
            <w:vAlign w:val="bottom"/>
            <w:gridSpan w:val="4"/>
          </w:tcPr>
          <w:p>
            <w:pPr>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8"/>
              </w:rPr>
              <w:t>Increase</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408</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566</w:t>
            </w: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(158)</w:t>
            </w:r>
          </w:p>
        </w:tc>
        <w:tc>
          <w:tcPr>
            <w:tcW w:w="12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Class A motor homes (diesel)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Total Class A motor homes</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556</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689</w:t>
            </w: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(133)</w:t>
            </w:r>
          </w:p>
        </w:tc>
        <w:tc>
          <w:tcPr>
            <w:tcW w:w="12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Class C motor homes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1,086</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834</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8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Total backlog</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1,642</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1,523</w:t>
            </w: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80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32"/>
        </w:trPr>
        <w:tc>
          <w:tcPr>
            <w:tcW w:w="5060" w:type="dxa"/>
            <w:vAlign w:val="bottom"/>
            <w:gridSpan w:val="4"/>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6"/>
        </w:trPr>
        <w:tc>
          <w:tcPr>
            <w:tcW w:w="5060" w:type="dxa"/>
            <w:vAlign w:val="bottom"/>
            <w:gridSpan w:val="4"/>
          </w:tcPr>
          <w:p>
            <w:pPr>
              <w:spacing w:after="0"/>
              <w:rPr>
                <w:sz w:val="20"/>
                <w:szCs w:val="20"/>
                <w:color w:val="auto"/>
              </w:rPr>
            </w:pPr>
            <w:r>
              <w:rPr>
                <w:rFonts w:ascii="Arial" w:cs="Arial" w:eastAsia="Arial" w:hAnsi="Arial"/>
                <w:sz w:val="18"/>
                <w:szCs w:val="18"/>
                <w:color w:val="auto"/>
              </w:rPr>
              <w:t>Total approximate revenue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60" w:type="dxa"/>
            <w:vAlign w:val="bottom"/>
            <w:gridSpan w:val="4"/>
          </w:tcPr>
          <w:p>
            <w:pPr>
              <w:spacing w:after="0"/>
              <w:rPr>
                <w:sz w:val="20"/>
                <w:szCs w:val="20"/>
                <w:color w:val="auto"/>
              </w:rPr>
            </w:pPr>
            <w:r>
              <w:rPr>
                <w:rFonts w:ascii="Arial" w:cs="Arial" w:eastAsia="Arial" w:hAnsi="Arial"/>
                <w:sz w:val="18"/>
                <w:szCs w:val="18"/>
                <w:color w:val="auto"/>
              </w:rPr>
              <w:t>dollars (in millions)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8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-621030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-621030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-621030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-621030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-621030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-621030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-621030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-621030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40" w:lineRule="exact"/>
        <w:rPr>
          <w:sz w:val="20"/>
          <w:szCs w:val="20"/>
          <w:color w:val="auto"/>
        </w:rPr>
      </w:pPr>
    </w:p>
    <w:p>
      <w:pPr>
        <w:spacing w:after="0"/>
        <w:tabs>
          <w:tab w:leader="none" w:pos="5560" w:val="left"/>
          <w:tab w:leader="none" w:pos="7260" w:val="left"/>
          <w:tab w:leader="none" w:pos="9040" w:val="left"/>
          <w:tab w:leader="none" w:pos="10780" w:val="left"/>
        </w:tabs>
        <w:rPr>
          <w:sz w:val="20"/>
          <w:szCs w:val="20"/>
          <w:color w:val="auto"/>
        </w:rPr>
      </w:pPr>
      <w:r>
        <w:rPr>
          <w:rFonts w:ascii="Arial" w:cs="Arial" w:eastAsia="Arial" w:hAnsi="Arial"/>
          <w:sz w:val="18"/>
          <w:szCs w:val="18"/>
          <w:color w:val="auto"/>
        </w:rPr>
        <w:t>Dealer inventory</w:t>
      </w:r>
      <w:r>
        <w:rPr>
          <w:sz w:val="20"/>
          <w:szCs w:val="20"/>
          <w:color w:val="auto"/>
        </w:rPr>
        <w:tab/>
      </w:r>
      <w:r>
        <w:rPr>
          <w:rFonts w:ascii="Arial" w:cs="Arial" w:eastAsia="Arial" w:hAnsi="Arial"/>
          <w:sz w:val="18"/>
          <w:szCs w:val="18"/>
          <w:color w:val="auto"/>
        </w:rPr>
        <w:t>4,881</w:t>
      </w:r>
      <w:r>
        <w:rPr>
          <w:sz w:val="20"/>
          <w:szCs w:val="20"/>
          <w:color w:val="auto"/>
        </w:rPr>
        <w:tab/>
      </w:r>
      <w:r>
        <w:rPr>
          <w:rFonts w:ascii="Arial" w:cs="Arial" w:eastAsia="Arial" w:hAnsi="Arial"/>
          <w:sz w:val="18"/>
          <w:szCs w:val="18"/>
          <w:color w:val="auto"/>
        </w:rPr>
        <w:t>5,209</w:t>
      </w:r>
      <w:r>
        <w:rPr>
          <w:sz w:val="20"/>
          <w:szCs w:val="20"/>
          <w:color w:val="auto"/>
        </w:rPr>
        <w:tab/>
      </w: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77470</wp:posOffset>
            </wp:positionV>
            <wp:extent cx="5873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77470</wp:posOffset>
            </wp:positionV>
            <wp:extent cx="57848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77470</wp:posOffset>
            </wp:positionV>
            <wp:extent cx="57848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77470</wp:posOffset>
            </wp:positionV>
            <wp:extent cx="57848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ind w:right="260"/>
        <w:spacing w:after="0" w:line="332" w:lineRule="auto"/>
        <w:rPr>
          <w:sz w:val="20"/>
          <w:szCs w:val="20"/>
          <w:color w:val="auto"/>
        </w:rPr>
      </w:pPr>
      <w:r>
        <w:rPr>
          <w:rFonts w:ascii="Arial" w:cs="Arial" w:eastAsia="Arial" w:hAnsi="Arial"/>
          <w:sz w:val="16"/>
          <w:szCs w:val="16"/>
          <w:color w:val="auto"/>
        </w:rPr>
        <w:t>We include in our backlog all accepted purchase orders from dealers scheduled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Long-term demographics, however, are favorable for us as our target market of consumers age 50 and older is expected to substantially increase over the next 30 years. Additionally, according to a 2005 study conducted by the University of Michigan, the median age of motor home owners in 2005 is 54 compared to the median age of 59 in 2001, indicating that younger buyers are increasing their ownership of motor homes. The study also reported that more households own motor homes today than at any other time during the past 25 years.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306"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As of May 27, 2006, we had $140.4 million of cash and short-term investments consisting of $15.4 million of cash and cash equivalents and available-for-sale securities of $125.0 million. Taking into account the credit risk criteria of our investments policies, the primary market risk associated with these investments is interest rate risk and a decline in value if market interest rates increase. However, we have the ability to hold our fixed income investments until maturity or for the typical Dutch auction period (an average of 67 days) and based upon historical experience do not believe there are significant risks of a failed Dutch auction. Therefore, we would not expect a material adverse impact in income or cash flows in the event of an increase in market interest rates.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30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end of the period covered by this report, our management, with the participation of the Company’s Chief Executive Officer and Chief Financial Officer, conducted an evaluation of the effectiveness of the design and operation of our disclosure controls and procedures, as required by Securities Exchange Act of 1934, as amended (the “Exchange Act”) Rule 13a-15 (f). Based on this evaluation, the Chief Executive Officer and Chief Financial Officer have concluded that our disclosure controls and procedures were effective to ensure that information required to be disclosed by us in the reports we file or submit under the Exchange Act is recorded, processed, summarized and reported within the time periods specified by the SEC’s rules and forms.</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management, including the Chief Executive Officer and the Chief Financial Officer, do not expect that our disclosure controls and procedures will prevent all errors or all fraud. A control system, no matter how well conceived and operated, can only provide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within the Company, if any, have been detected. These inherent limitations include the realities that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judgments in decision 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(1) any design will succeed in achieving its stated goals under all potential future conditions, (2) over time controls may become inadequate because of changes in conditions, or (3) the degree of compliance with the policies or procedures may deteriorate. Because of the inherent limitations in a cost-effective control system, misstatements due to error or fraud may occur and not be detected.</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during the fiscal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90" w:right="259" w:bottom="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590" w:right="25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We have reviewed the accompanying consolidated balance sheet of Winnebago Industries, Inc. and subsidiaries (the “Company”) as of May 27, 2006, and the related consolidated statements of income for the quarters and nine months ended May 27, 2006 and May 28, 2005 and the condensed consolidated statements of cash flows for the nine months ended May 27, 2006 and May 28, 2005. These interim financial statements are the responsibility of the Company’s management.</w:t>
      </w:r>
    </w:p>
    <w:p>
      <w:pPr>
        <w:spacing w:after="0" w:line="142"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conducted our reviews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discussed in Note 2 to the condensed consolidated financial statements, the Company changed its method of accounting for share-based payments to conform to Statement of Financial Accounting Standards No. 123R effective August 28, 2005.</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27, 2005, and the related consolidated statements of income, stockholders’ equity, and cash flows for the year then ended (not presented herein); and in our report dated November 10, 2005, we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23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2" w:lineRule="exact"/>
        <w:rPr>
          <w:sz w:val="20"/>
          <w:szCs w:val="20"/>
          <w:color w:val="auto"/>
        </w:rPr>
      </w:pPr>
    </w:p>
    <w:p>
      <w:pPr>
        <w:ind w:left="1160" w:right="260"/>
        <w:spacing w:after="0" w:line="259" w:lineRule="auto"/>
        <w:rPr>
          <w:sz w:val="20"/>
          <w:szCs w:val="20"/>
          <w:color w:val="auto"/>
        </w:rPr>
      </w:pPr>
      <w:r>
        <w:rPr>
          <w:rFonts w:ascii="Arial" w:cs="Arial" w:eastAsia="Arial" w:hAnsi="Arial"/>
          <w:sz w:val="18"/>
          <w:szCs w:val="18"/>
          <w:color w:val="auto"/>
        </w:rPr>
        <w:t xml:space="preserve">Reference is made to Item 3 (Legal Proceedings) in the Company’s Annual Report on Form 10-K for the year ended August 27, 2005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 On April 12, 2006, the Company settled this litigation. The settlement had no material effect on the financial condition of the Company.</w:t>
      </w:r>
    </w:p>
    <w:p>
      <w:pPr>
        <w:spacing w:after="0" w:line="221"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We are also involved in various legal proceedings which are ordinary routine litigation to our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52" w:lineRule="exact"/>
        <w:rPr>
          <w:sz w:val="20"/>
          <w:szCs w:val="20"/>
          <w:color w:val="auto"/>
        </w:rPr>
      </w:pPr>
    </w:p>
    <w:p>
      <w:pPr>
        <w:ind w:left="1160" w:right="40"/>
        <w:spacing w:after="0" w:line="254" w:lineRule="auto"/>
        <w:rPr>
          <w:sz w:val="20"/>
          <w:szCs w:val="20"/>
          <w:color w:val="auto"/>
        </w:rPr>
      </w:pPr>
      <w:r>
        <w:rPr>
          <w:rFonts w:ascii="Arial" w:cs="Arial" w:eastAsia="Arial" w:hAnsi="Arial"/>
          <w:sz w:val="18"/>
          <w:szCs w:val="18"/>
          <w:color w:val="auto"/>
        </w:rPr>
        <w:t>On June 15, 2005, the Board of Directors authorized the repurchase of outstanding shares of our common stock, at the discretion of management, for an aggregate consideration of up to $30.0 million. In April 2006, this authorization was completed with an aggregate purchase of approximately 1,007,000 shares for an aggregate consideration of $30.0 million. On April 12, 2006, the Board of Directors authorized the repurchase of outstanding shares of our common stock, at the discretion of management, for an aggregate consideration of up to $50.0 million with no expiration date. During the third quarter of Fiscal 2006, approximately 751,000 shares were repurchased under this authorization for an aggregate consideration of $21.6 million.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third quarter of</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Fiscal 2006:</w:t>
      </w:r>
    </w:p>
    <w:p>
      <w:pPr>
        <w:sectPr>
          <w:pgSz w:w="11900" w:h="16838" w:orient="portrait"/>
          <w:cols w:equalWidth="0" w:num="1">
            <w:col w:w="11400"/>
          </w:cols>
          <w:pgMar w:left="240" w:top="125" w:right="259" w:bottom="0" w:gutter="0" w:footer="0" w:header="0"/>
        </w:sectPr>
      </w:pPr>
    </w:p>
    <w:bookmarkStart w:id="17" w:name="page18"/>
    <w:bookmarkEnd w:id="17"/>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ind w:left="1000"/>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Total Number of</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Average Price</w:t>
            </w:r>
          </w:p>
        </w:tc>
        <w:tc>
          <w:tcPr>
            <w:tcW w:w="4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44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89"/>
              </w:rPr>
              <w:t>Paid per Share</w:t>
            </w: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440" w:type="dxa"/>
            <w:vAlign w:val="bottom"/>
          </w:tcPr>
          <w:p>
            <w:pPr>
              <w:spacing w:after="0"/>
              <w:rPr>
                <w:sz w:val="12"/>
                <w:szCs w:val="12"/>
                <w:color w:val="auto"/>
              </w:rPr>
            </w:pPr>
          </w:p>
        </w:tc>
        <w:tc>
          <w:tcPr>
            <w:tcW w:w="13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Programs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the Plans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or 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D6F3E8"/>
          </w:tcPr>
          <w:p>
            <w:pPr>
              <w:spacing w:after="0"/>
              <w:rPr>
                <w:sz w:val="20"/>
                <w:szCs w:val="20"/>
                <w:color w:val="auto"/>
              </w:rPr>
            </w:pPr>
            <w:r>
              <w:rPr>
                <w:rFonts w:ascii="Arial" w:cs="Arial" w:eastAsia="Arial" w:hAnsi="Arial"/>
                <w:sz w:val="18"/>
                <w:szCs w:val="18"/>
                <w:color w:val="auto"/>
              </w:rPr>
              <w:t>02/26/06 – 04/01/06</w:t>
            </w:r>
          </w:p>
        </w:tc>
        <w:tc>
          <w:tcPr>
            <w:tcW w:w="16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222,976</w:t>
            </w:r>
          </w:p>
        </w:tc>
        <w:tc>
          <w:tcPr>
            <w:tcW w:w="58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30.73</w:t>
            </w:r>
          </w:p>
        </w:tc>
        <w:tc>
          <w:tcPr>
            <w:tcW w:w="16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222,976</w:t>
            </w:r>
          </w:p>
        </w:tc>
        <w:tc>
          <w:tcPr>
            <w:tcW w:w="540" w:type="dxa"/>
            <w:vAlign w:val="bottom"/>
            <w:gridSpan w:val="2"/>
            <w:shd w:val="clear" w:color="auto" w:fill="D6F3E8"/>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14,864,500</w:t>
            </w: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04/02/06 – 04/29/06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590,170</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590,170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47,133,400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6F3E8"/>
          </w:tcPr>
          <w:p>
            <w:pPr>
              <w:spacing w:after="0"/>
              <w:rPr>
                <w:sz w:val="20"/>
                <w:szCs w:val="20"/>
                <w:color w:val="auto"/>
              </w:rPr>
            </w:pPr>
            <w:r>
              <w:rPr>
                <w:rFonts w:ascii="Arial" w:cs="Arial" w:eastAsia="Arial" w:hAnsi="Arial"/>
                <w:sz w:val="18"/>
                <w:szCs w:val="18"/>
                <w:color w:val="auto"/>
              </w:rPr>
              <w:t>04/30/06 – 05/27/06</w:t>
            </w:r>
          </w:p>
        </w:tc>
        <w:tc>
          <w:tcPr>
            <w:tcW w:w="16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652,600</w:t>
            </w:r>
          </w:p>
        </w:tc>
        <w:tc>
          <w:tcPr>
            <w:tcW w:w="580" w:type="dxa"/>
            <w:vAlign w:val="bottom"/>
            <w:gridSpan w:val="3"/>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28.67</w:t>
            </w:r>
          </w:p>
        </w:tc>
        <w:tc>
          <w:tcPr>
            <w:tcW w:w="16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652,900</w:t>
            </w:r>
          </w:p>
        </w:tc>
        <w:tc>
          <w:tcPr>
            <w:tcW w:w="540" w:type="dxa"/>
            <w:vAlign w:val="bottom"/>
            <w:gridSpan w:val="2"/>
            <w:shd w:val="clear" w:color="auto" w:fill="D6F3E8"/>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28,423,700</w:t>
            </w: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380" w:type="dxa"/>
            <w:vAlign w:val="bottom"/>
          </w:tcPr>
          <w:p>
            <w:pPr>
              <w:ind w:left="380"/>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1,465,746</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1,465,746</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28,423,700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252" w:lineRule="exact"/>
        <w:rPr>
          <w:sz w:val="20"/>
          <w:szCs w:val="20"/>
          <w:color w:val="auto"/>
        </w:rPr>
      </w:pPr>
    </w:p>
    <w:p>
      <w:pPr>
        <w:ind w:left="1760" w:hanging="631"/>
        <w:spacing w:after="0"/>
        <w:tabs>
          <w:tab w:leader="none" w:pos="1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 See Exhibit Index on page 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25984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2006</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97155</wp:posOffset>
            </wp:positionV>
            <wp:extent cx="10293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97155</wp:posOffset>
            </wp:positionV>
            <wp:extent cx="25984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and Chief Executive Officer</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spacing w:after="0"/>
        <w:tabs>
          <w:tab w:leader="none" w:pos="84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2006</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97155</wp:posOffset>
            </wp:positionV>
            <wp:extent cx="10293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97155</wp:posOffset>
            </wp:positionV>
            <wp:extent cx="25984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July 5, 2006.</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July 5, 2006.</w:t>
      </w:r>
    </w:p>
    <w:p>
      <w:pPr>
        <w:sectPr>
          <w:pgSz w:w="11900" w:h="16853" w:orient="portrait"/>
          <w:cols w:equalWidth="0" w:num="1">
            <w:col w:w="10940"/>
          </w:cols>
          <w:pgMar w:left="240" w:top="114" w:right="719" w:bottom="0" w:gutter="0" w:footer="0" w:header="0"/>
        </w:sectPr>
      </w:pPr>
    </w:p>
    <w:bookmarkStart w:id="18" w:name="page19"/>
    <w:bookmarkEnd w:id="18"/>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by the Chief Executive Officer pursuant to Section 1350, as adopted pursuant to Section 906 of the Sarbanes-Oxley Act of 2002 dated July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5, 2006.</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by the Chief Financial Officer pursuant to Section 1350, as adopted pursuant to Section 906 of the Sarbanes-Oxley Act of 2002 dated July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374" w:right="35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made a review, in accordance with the standards of the Public Company Accounting Oversight Board (United States), of the unaudited interim financial information of Winnebago Industries, Inc. and subsidiaries for the quarters and nine months ended May 27, 2006, and May 28, 2005, as indicated in our report dated July 5, 2006; because we did not perform an audit, we expressed no opinion on that information.</w:t>
      </w:r>
    </w:p>
    <w:p>
      <w:pPr>
        <w:spacing w:after="0" w:line="16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are aware that our report referred to above, which is included in your Quarterly Report on Form 10-Q for the quarter ended May 27, 2006, is incorporated by reference in Registration Statements No. 2-40316, No. 2-82109, No. 33-21757, No. 33-59930, No. 333-31595, and No. 333-113246 on Form S-8.</w:t>
      </w:r>
    </w:p>
    <w:p>
      <w:pPr>
        <w:spacing w:after="0" w:line="13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951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1154430</wp:posOffset>
            </wp:positionV>
            <wp:extent cx="725043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31.1</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100" w:hanging="618"/>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right="80" w:hanging="618"/>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and internal control over financial reporting </w:t>
      </w:r>
      <w:r>
        <w:rPr>
          <w:rFonts w:ascii="Arial" w:cs="Arial" w:eastAsia="Arial" w:hAnsi="Arial"/>
          <w:sz w:val="18"/>
          <w:szCs w:val="18"/>
          <w:b w:val="1"/>
          <w:bCs w:val="1"/>
          <w:color w:val="auto"/>
        </w:rPr>
        <w:t>(</w:t>
      </w:r>
      <w:r>
        <w:rPr>
          <w:rFonts w:ascii="Arial" w:cs="Arial" w:eastAsia="Arial" w:hAnsi="Arial"/>
          <w:sz w:val="18"/>
          <w:szCs w:val="18"/>
          <w:color w:val="auto"/>
        </w:rPr>
        <w:t>as defined in Exchange Act Rules 13a-15(f) and 15d-15(f)</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Registrant and have:</w:t>
      </w:r>
    </w:p>
    <w:p>
      <w:pPr>
        <w:spacing w:after="0" w:line="221" w:lineRule="exact"/>
        <w:rPr>
          <w:rFonts w:ascii="Arial" w:cs="Arial" w:eastAsia="Arial" w:hAnsi="Arial"/>
          <w:sz w:val="18"/>
          <w:szCs w:val="18"/>
          <w:color w:val="auto"/>
        </w:rPr>
      </w:pPr>
    </w:p>
    <w:p>
      <w:pPr>
        <w:ind w:left="1760" w:right="80" w:hanging="631"/>
        <w:spacing w:after="0" w:line="306" w:lineRule="auto"/>
        <w:tabs>
          <w:tab w:leader="none" w:pos="176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60" w:hanging="631"/>
        <w:spacing w:after="0" w:line="259"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221" w:lineRule="exact"/>
        <w:rPr>
          <w:rFonts w:ascii="Arial" w:cs="Arial" w:eastAsia="Arial" w:hAnsi="Arial"/>
          <w:sz w:val="18"/>
          <w:szCs w:val="18"/>
          <w:color w:val="auto"/>
        </w:rPr>
      </w:pPr>
    </w:p>
    <w:p>
      <w:pPr>
        <w:ind w:left="1760" w:right="260" w:hanging="631"/>
        <w:spacing w:after="0" w:line="259"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80" w:hanging="631"/>
        <w:spacing w:after="0" w:line="259"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460" w:hanging="631"/>
        <w:spacing w:after="0" w:line="332" w:lineRule="auto"/>
        <w:tabs>
          <w:tab w:leader="none" w:pos="17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100" w:hanging="631"/>
        <w:spacing w:after="0" w:line="268" w:lineRule="auto"/>
        <w:tabs>
          <w:tab w:leader="none" w:pos="1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80" w:val="left"/>
          <w:tab w:leader="none" w:pos="616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97155</wp:posOffset>
            </wp:positionV>
            <wp:extent cx="22726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31.2</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10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right="8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Registrant’s other certifying officer and I are responsible for establishing and maintaining disclosure controls and procedures (as defined in Exchange Act Rules 13a-15(e) and 15d-15(e)) and internal control over financial reporting </w:t>
      </w:r>
      <w:r>
        <w:rPr>
          <w:rFonts w:ascii="Arial" w:cs="Arial" w:eastAsia="Arial" w:hAnsi="Arial"/>
          <w:sz w:val="18"/>
          <w:szCs w:val="18"/>
          <w:b w:val="1"/>
          <w:bCs w:val="1"/>
          <w:color w:val="auto"/>
        </w:rPr>
        <w:t>(</w:t>
      </w:r>
      <w:r>
        <w:rPr>
          <w:rFonts w:ascii="Arial" w:cs="Arial" w:eastAsia="Arial" w:hAnsi="Arial"/>
          <w:sz w:val="18"/>
          <w:szCs w:val="18"/>
          <w:color w:val="auto"/>
        </w:rPr>
        <w:t>as defined in Exchange Act Rules 13a-15(f) and 15d-15(f)</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Registrant and have:</w:t>
      </w:r>
    </w:p>
    <w:p>
      <w:pPr>
        <w:spacing w:after="0" w:line="221" w:lineRule="exact"/>
        <w:rPr>
          <w:rFonts w:ascii="Arial" w:cs="Arial" w:eastAsia="Arial" w:hAnsi="Arial"/>
          <w:sz w:val="18"/>
          <w:szCs w:val="18"/>
          <w:color w:val="auto"/>
        </w:rPr>
      </w:pPr>
    </w:p>
    <w:p>
      <w:pPr>
        <w:ind w:left="1760" w:right="80" w:hanging="631"/>
        <w:spacing w:after="0" w:line="306" w:lineRule="auto"/>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6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221" w:lineRule="exact"/>
        <w:rPr>
          <w:rFonts w:ascii="Arial" w:cs="Arial" w:eastAsia="Arial" w:hAnsi="Arial"/>
          <w:sz w:val="18"/>
          <w:szCs w:val="18"/>
          <w:color w:val="auto"/>
        </w:rPr>
      </w:pPr>
    </w:p>
    <w:p>
      <w:pPr>
        <w:ind w:left="1760" w:right="26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8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460" w:hanging="631"/>
        <w:spacing w:after="0" w:line="332" w:lineRule="auto"/>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100" w:hanging="631"/>
        <w:spacing w:after="0" w:line="268"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80" w:val="left"/>
          <w:tab w:leader="none" w:pos="616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97155</wp:posOffset>
            </wp:positionV>
            <wp:extent cx="22726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32.1</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Bruce D. Hertzke, Chief Executive Officer, certifies that pursuant to 18 U.S.C. §1350 as adopted pursuant to §906 of the Sarbanes-Oxley Act of 2002, that:</w:t>
      </w:r>
    </w:p>
    <w:p>
      <w:pPr>
        <w:spacing w:after="0" w:line="248" w:lineRule="exact"/>
        <w:rPr>
          <w:sz w:val="20"/>
          <w:szCs w:val="20"/>
          <w:color w:val="auto"/>
        </w:rPr>
      </w:pPr>
    </w:p>
    <w:p>
      <w:pPr>
        <w:ind w:left="1180" w:right="4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27, 2006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80" w:val="left"/>
          <w:tab w:leader="none" w:pos="616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97155</wp:posOffset>
            </wp:positionV>
            <wp:extent cx="22726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1617345</wp:posOffset>
            </wp:positionV>
            <wp:extent cx="725043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32.2</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Sarah N. Nielsen, Chief Financial Officer, certifies that pursuant to 18 U.S.C. §1350 as adopted pursuant to §906 of the Sarbanes-Oxley Act of 2002, that:</w:t>
      </w:r>
    </w:p>
    <w:p>
      <w:pPr>
        <w:spacing w:after="0" w:line="248" w:lineRule="exact"/>
        <w:rPr>
          <w:sz w:val="20"/>
          <w:szCs w:val="20"/>
          <w:color w:val="auto"/>
        </w:rPr>
      </w:pPr>
    </w:p>
    <w:p>
      <w:pPr>
        <w:ind w:left="1180" w:right="40" w:hanging="618"/>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27, 2006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380" w:val="left"/>
          <w:tab w:leader="none" w:pos="616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97155</wp:posOffset>
            </wp:positionV>
            <wp:extent cx="22726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1463040</wp:posOffset>
            </wp:positionV>
            <wp:extent cx="72504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5"/>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2019-12-11T19:24:38Z</dcterms:created>
  <dcterms:modified xsi:type="dcterms:W3CDTF">2019-12-11T19:24:38Z</dcterms:modified>
</cp:coreProperties>
</file>