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10/13/2015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15,000</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0.00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10/13/2015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ind w:left="169"/>
              <w:spacing w:after="0"/>
              <w:rPr>
                <w:sz w:val="20"/>
                <w:szCs w:val="20"/>
                <w:color w:val="auto"/>
              </w:rPr>
            </w:pPr>
            <w:r>
              <w:rPr>
                <w:rFonts w:ascii="Arial" w:cs="Arial" w:eastAsia="Arial" w:hAnsi="Arial"/>
                <w:sz w:val="18"/>
                <w:szCs w:val="18"/>
                <w:color w:val="0000FF"/>
                <w:w w:val="83"/>
              </w:rPr>
              <w:t>833</w:t>
            </w:r>
            <w:r>
              <w:rPr>
                <w:rFonts w:ascii="Arial" w:cs="Arial" w:eastAsia="Arial" w:hAnsi="Arial"/>
                <w:sz w:val="22"/>
                <w:szCs w:val="22"/>
                <w:color w:val="008000"/>
                <w:w w:val="83"/>
                <w:vertAlign w:val="superscript"/>
              </w:rPr>
              <w:t>(2)</w:t>
            </w:r>
          </w:p>
        </w:tc>
        <w:tc>
          <w:tcPr>
            <w:tcW w:w="3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15,833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10/13/2015</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Pr>
          <w:p>
            <w:pPr>
              <w:jc w:val="center"/>
              <w:ind w:left="149"/>
              <w:spacing w:after="0"/>
              <w:rPr>
                <w:sz w:val="20"/>
                <w:szCs w:val="20"/>
                <w:color w:val="auto"/>
              </w:rPr>
            </w:pPr>
            <w:r>
              <w:rPr>
                <w:rFonts w:ascii="Arial" w:cs="Arial" w:eastAsia="Arial" w:hAnsi="Arial"/>
                <w:sz w:val="18"/>
                <w:szCs w:val="18"/>
                <w:color w:val="0000FF"/>
                <w:w w:val="86"/>
              </w:rPr>
              <w:t>278</w:t>
            </w:r>
          </w:p>
        </w:tc>
        <w:tc>
          <w:tcPr>
            <w:tcW w:w="34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15,555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10/13/2015 under the Winnebago Industries, Inc. 2014 Omnibus Equity, Performance Awards, and Incentive Compensation Plan. Restricted shares vest in annual increments of one-third beginning 10/13/2016.</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2015.</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2019-12-05T17:58:13Z</dcterms:created>
  <dcterms:modified xsi:type="dcterms:W3CDTF">2019-12-05T17:58:13Z</dcterms:modified>
</cp:coreProperties>
</file>