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5"/>
        <w:spacing w:after="0"/>
        <w:rPr>
          <w:sz w:val="20"/>
          <w:szCs w:val="20"/>
          <w:color w:val="auto"/>
        </w:rPr>
      </w:pPr>
      <w:r>
        <w:rPr>
          <w:rFonts w:ascii="Courier New" w:cs="Courier New" w:eastAsia="Courier New" w:hAnsi="Courier New"/>
          <w:sz w:val="16"/>
          <w:szCs w:val="16"/>
          <w:color w:val="auto"/>
        </w:rPr>
        <w:t>UNITED STATES</w:t>
      </w: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SCHEDULE 14A</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Proxy Statement Pursuant to Section 14(a) of the</w:t>
      </w:r>
    </w:p>
    <w:p>
      <w:pPr>
        <w:jc w:val="center"/>
        <w:ind w:right="2715"/>
        <w:spacing w:after="0"/>
        <w:tabs>
          <w:tab w:leader="none" w:pos="260" w:val="left"/>
        </w:tabs>
        <w:rPr>
          <w:sz w:val="20"/>
          <w:szCs w:val="20"/>
          <w:color w:val="auto"/>
        </w:rPr>
      </w:pPr>
      <w:r>
        <w:rPr>
          <w:rFonts w:ascii="Courier New" w:cs="Courier New" w:eastAsia="Courier New" w:hAnsi="Courier New"/>
          <w:sz w:val="16"/>
          <w:szCs w:val="16"/>
          <w:color w:val="auto"/>
        </w:rPr>
        <w:t>Securities Exchange Act of 1934 (Amendment No.</w:t>
        <w:tab/>
        <w:t>)</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the Registrant [X]</w:t>
      </w:r>
    </w:p>
    <w:p>
      <w:pPr>
        <w:ind w:left="4"/>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pacing w:after="0" w:line="179" w:lineRule="exact"/>
        <w:rPr>
          <w:sz w:val="24"/>
          <w:szCs w:val="24"/>
          <w:color w:val="auto"/>
        </w:rPr>
      </w:pPr>
    </w:p>
    <w:p>
      <w:pPr>
        <w:ind w:left="4"/>
        <w:spacing w:after="0"/>
        <w:tabs>
          <w:tab w:leader="none" w:pos="443" w:val="left"/>
          <w:tab w:leader="none" w:pos="3923" w:val="left"/>
          <w:tab w:leader="none" w:pos="4383" w:val="left"/>
        </w:tabs>
        <w:rPr>
          <w:sz w:val="20"/>
          <w:szCs w:val="20"/>
          <w:color w:val="auto"/>
        </w:rPr>
      </w:pPr>
      <w:r>
        <w:rPr>
          <w:rFonts w:ascii="Courier New" w:cs="Courier New" w:eastAsia="Courier New" w:hAnsi="Courier New"/>
          <w:sz w:val="16"/>
          <w:szCs w:val="16"/>
          <w:color w:val="auto"/>
        </w:rPr>
        <w:t>[_]</w:t>
        <w:tab/>
        <w:t>Preliminary Proxy Statement</w:t>
      </w:r>
      <w:r>
        <w:rPr>
          <w:sz w:val="20"/>
          <w:szCs w:val="20"/>
          <w:color w:val="auto"/>
        </w:rPr>
        <w:tab/>
      </w: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Soliciting Material Pursuant to</w:t>
      </w:r>
    </w:p>
    <w:p>
      <w:pPr>
        <w:ind w:left="4"/>
        <w:spacing w:after="0"/>
        <w:tabs>
          <w:tab w:leader="none" w:pos="443" w:val="left"/>
          <w:tab w:leader="none" w:pos="4383" w:val="left"/>
        </w:tabs>
        <w:rPr>
          <w:sz w:val="20"/>
          <w:szCs w:val="20"/>
          <w:color w:val="auto"/>
        </w:rPr>
      </w:pPr>
      <w:r>
        <w:rPr>
          <w:rFonts w:ascii="Courier New" w:cs="Courier New" w:eastAsia="Courier New" w:hAnsi="Courier New"/>
          <w:sz w:val="16"/>
          <w:szCs w:val="16"/>
          <w:color w:val="auto"/>
        </w:rPr>
        <w:t>[_]</w:t>
        <w:tab/>
        <w:t>Confidential, For Use of the</w:t>
      </w:r>
      <w:r>
        <w:rPr>
          <w:sz w:val="20"/>
          <w:szCs w:val="20"/>
          <w:color w:val="auto"/>
        </w:rPr>
        <w:tab/>
      </w:r>
      <w:r>
        <w:rPr>
          <w:rFonts w:ascii="Courier New" w:cs="Courier New" w:eastAsia="Courier New" w:hAnsi="Courier New"/>
          <w:sz w:val="15"/>
          <w:szCs w:val="15"/>
          <w:color w:val="auto"/>
        </w:rPr>
        <w:t>SS.240.14a-11(c) or SS.240.14a-12</w:t>
      </w:r>
    </w:p>
    <w:p>
      <w:pPr>
        <w:ind w:left="464"/>
        <w:spacing w:after="0" w:line="237" w:lineRule="auto"/>
        <w:rPr>
          <w:sz w:val="20"/>
          <w:szCs w:val="20"/>
          <w:color w:val="auto"/>
        </w:rPr>
      </w:pPr>
      <w:r>
        <w:rPr>
          <w:rFonts w:ascii="Courier New" w:cs="Courier New" w:eastAsia="Courier New" w:hAnsi="Courier New"/>
          <w:sz w:val="16"/>
          <w:szCs w:val="16"/>
          <w:color w:val="auto"/>
        </w:rPr>
        <w:t>Commission Only (as permitted</w:t>
      </w:r>
    </w:p>
    <w:p>
      <w:pPr>
        <w:ind w:left="464"/>
        <w:spacing w:after="0"/>
        <w:rPr>
          <w:sz w:val="20"/>
          <w:szCs w:val="20"/>
          <w:color w:val="auto"/>
        </w:rPr>
      </w:pPr>
      <w:r>
        <w:rPr>
          <w:rFonts w:ascii="Courier New" w:cs="Courier New" w:eastAsia="Courier New" w:hAnsi="Courier New"/>
          <w:sz w:val="16"/>
          <w:szCs w:val="16"/>
          <w:color w:val="auto"/>
        </w:rPr>
        <w:t>by Rule 14a-6(e)(2))</w:t>
      </w:r>
    </w:p>
    <w:p>
      <w:pPr>
        <w:ind w:left="4"/>
        <w:spacing w:after="0" w:line="238" w:lineRule="auto"/>
        <w:tabs>
          <w:tab w:leader="none" w:pos="443" w:val="left"/>
        </w:tabs>
        <w:rPr>
          <w:sz w:val="20"/>
          <w:szCs w:val="20"/>
          <w:color w:val="auto"/>
        </w:rPr>
      </w:pPr>
      <w:r>
        <w:rPr>
          <w:rFonts w:ascii="Courier New" w:cs="Courier New" w:eastAsia="Courier New" w:hAnsi="Courier New"/>
          <w:sz w:val="16"/>
          <w:szCs w:val="16"/>
          <w:color w:val="auto"/>
        </w:rPr>
        <w:t>[X]</w:t>
        <w:tab/>
        <w:t>Definitive Proxy Statement</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Definitive Additional Materials</w:t>
      </w:r>
    </w:p>
    <w:p>
      <w:pPr>
        <w:spacing w:after="0" w:line="200" w:lineRule="exact"/>
        <w:rPr>
          <w:sz w:val="24"/>
          <w:szCs w:val="24"/>
          <w:color w:val="auto"/>
        </w:rPr>
      </w:pPr>
    </w:p>
    <w:p>
      <w:pPr>
        <w:spacing w:after="0" w:line="340"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WINNEBAGO INDUSTRIES, INC.</w:t>
      </w:r>
    </w:p>
    <w:p>
      <w:pPr>
        <w:spacing w:after="0" w:line="4"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44"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35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Fee computed on table below per Exchange Act Rules 14a-6(i)(4) and 0-11.</w:t>
      </w:r>
    </w:p>
    <w:p>
      <w:pPr>
        <w:spacing w:after="0" w:line="179" w:lineRule="exact"/>
        <w:rPr>
          <w:sz w:val="24"/>
          <w:szCs w:val="24"/>
          <w:color w:val="auto"/>
        </w:rPr>
      </w:pPr>
    </w:p>
    <w:p>
      <w:pPr>
        <w:ind w:left="464" w:hanging="464"/>
        <w:spacing w:after="0"/>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4" w:lineRule="exact"/>
        <w:rPr>
          <w:sz w:val="24"/>
          <w:szCs w:val="24"/>
          <w:color w:val="auto"/>
        </w:rPr>
      </w:pPr>
    </w:p>
    <w:p>
      <w:pPr>
        <w:ind w:left="464" w:right="2819" w:hanging="464"/>
        <w:spacing w:after="0" w:line="237" w:lineRule="auto"/>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64" w:hanging="464"/>
        <w:spacing w:after="0"/>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464" w:hanging="464"/>
        <w:spacing w:after="0"/>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8"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79" w:lineRule="exact"/>
        <w:rPr>
          <w:sz w:val="24"/>
          <w:szCs w:val="24"/>
          <w:color w:val="auto"/>
        </w:rPr>
      </w:pPr>
    </w:p>
    <w:tbl>
      <w:tblPr>
        <w:tblLayout w:type="fixed"/>
        <w:tblInd w:w="464" w:type="dxa"/>
        <w:tblCellMar>
          <w:top w:w="0" w:type="dxa"/>
          <w:left w:w="0" w:type="dxa"/>
          <w:bottom w:w="0" w:type="dxa"/>
          <w:right w:w="0" w:type="dxa"/>
        </w:tblCellMar>
      </w:tblPr>
      <w:tr>
        <w:trPr>
          <w:trHeight w:val="181"/>
        </w:trPr>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[_]</w:t>
            </w: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Fee</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paid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previously</w:t>
            </w:r>
          </w:p>
        </w:tc>
        <w:tc>
          <w:tcPr>
            <w:tcW w:w="2760" w:type="dxa"/>
            <w:vAlign w:val="bottom"/>
            <w:gridSpan w:val="6"/>
          </w:tcPr>
          <w:p>
            <w:pPr>
              <w:jc w:val="right"/>
              <w:ind w:right="162"/>
              <w:spacing w:after="0"/>
              <w:rPr>
                <w:sz w:val="20"/>
                <w:szCs w:val="20"/>
                <w:color w:val="auto"/>
              </w:rPr>
            </w:pPr>
            <w:r>
              <w:rPr>
                <w:rFonts w:ascii="Courier New" w:cs="Courier New" w:eastAsia="Courier New" w:hAnsi="Courier New"/>
                <w:sz w:val="16"/>
                <w:szCs w:val="16"/>
                <w:color w:val="auto"/>
                <w:w w:val="96"/>
              </w:rPr>
              <w:t>with preliminary materials:</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0"/>
              </w:rPr>
              <w:t>[_]</w:t>
            </w:r>
          </w:p>
        </w:tc>
        <w:tc>
          <w:tcPr>
            <w:tcW w:w="240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8"/>
              </w:rPr>
              <w:t>Check box if any part of</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fee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is offset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provided</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w w:val="95"/>
              </w:rPr>
              <w:t>Exchange Act</w:t>
            </w:r>
          </w:p>
        </w:tc>
      </w:tr>
      <w:tr>
        <w:trPr>
          <w:trHeight w:val="180"/>
        </w:trPr>
        <w:tc>
          <w:tcPr>
            <w:tcW w:w="380" w:type="dxa"/>
            <w:vAlign w:val="bottom"/>
          </w:tcPr>
          <w:p>
            <w:pPr>
              <w:spacing w:after="0"/>
              <w:rPr>
                <w:sz w:val="15"/>
                <w:szCs w:val="15"/>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Rule 0-11(a)(2) and</w:t>
            </w: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3"/>
              </w:rPr>
              <w:t>identify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the</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filing for which</w:t>
            </w:r>
          </w:p>
        </w:tc>
        <w:tc>
          <w:tcPr>
            <w:tcW w:w="1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offsetting fee</w:t>
            </w:r>
          </w:p>
        </w:tc>
      </w:tr>
      <w:tr>
        <w:trPr>
          <w:trHeight w:val="180"/>
        </w:trPr>
        <w:tc>
          <w:tcPr>
            <w:tcW w:w="3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6"/>
                <w:szCs w:val="16"/>
                <w:color w:val="auto"/>
              </w:rPr>
              <w:t>was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paid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previously.</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Identify</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previous</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filing</w:t>
            </w:r>
          </w:p>
        </w:tc>
        <w:tc>
          <w:tcPr>
            <w:tcW w:w="1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by registration</w:t>
            </w:r>
          </w:p>
        </w:tc>
      </w:tr>
      <w:tr>
        <w:trPr>
          <w:trHeight w:val="180"/>
        </w:trPr>
        <w:tc>
          <w:tcPr>
            <w:tcW w:w="380" w:type="dxa"/>
            <w:vAlign w:val="bottom"/>
          </w:tcPr>
          <w:p>
            <w:pPr>
              <w:spacing w:after="0"/>
              <w:rPr>
                <w:sz w:val="15"/>
                <w:szCs w:val="15"/>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statement number, or</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the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form</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schedule 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its filing.</w:t>
            </w:r>
          </w:p>
        </w:tc>
      </w:tr>
    </w:tbl>
    <w:p>
      <w:pPr>
        <w:spacing w:after="0" w:line="179" w:lineRule="exact"/>
        <w:rPr>
          <w:sz w:val="24"/>
          <w:szCs w:val="24"/>
          <w:color w:val="auto"/>
        </w:rPr>
      </w:pPr>
    </w:p>
    <w:p>
      <w:pPr>
        <w:ind w:left="1404" w:hanging="466"/>
        <w:spacing w:after="0"/>
        <w:tabs>
          <w:tab w:leader="none" w:pos="140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1404" w:hanging="466"/>
        <w:spacing w:after="0"/>
        <w:tabs>
          <w:tab w:leader="none" w:pos="1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1404" w:hanging="466"/>
        <w:spacing w:after="0"/>
        <w:tabs>
          <w:tab w:leader="none" w:pos="1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ind w:left="1404" w:hanging="466"/>
        <w:spacing w:after="0"/>
        <w:tabs>
          <w:tab w:leader="none" w:pos="140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8"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464"/>
        <w:spacing w:after="0"/>
        <w:rPr>
          <w:sz w:val="20"/>
          <w:szCs w:val="20"/>
          <w:color w:val="auto"/>
        </w:rPr>
      </w:pPr>
      <w:r>
        <w:rPr>
          <w:rFonts w:ascii="Courier New" w:cs="Courier New" w:eastAsia="Courier New" w:hAnsi="Courier New"/>
          <w:sz w:val="16"/>
          <w:szCs w:val="16"/>
          <w:color w:val="auto"/>
        </w:rPr>
        <w:t>[LOGO]</w:t>
      </w:r>
    </w:p>
    <w:p>
      <w:pPr>
        <w:ind w:left="3284"/>
        <w:spacing w:after="0"/>
        <w:rPr>
          <w:sz w:val="20"/>
          <w:szCs w:val="20"/>
          <w:color w:val="auto"/>
        </w:rPr>
      </w:pPr>
      <w:r>
        <w:rPr>
          <w:rFonts w:ascii="Courier New" w:cs="Courier New" w:eastAsia="Courier New" w:hAnsi="Courier New"/>
          <w:sz w:val="16"/>
          <w:szCs w:val="16"/>
          <w:color w:val="auto"/>
        </w:rPr>
        <w:t>WINNEBAGO</w:t>
      </w:r>
    </w:p>
    <w:p>
      <w:pPr>
        <w:ind w:left="3284"/>
        <w:spacing w:after="0" w:line="237" w:lineRule="auto"/>
        <w:rPr>
          <w:sz w:val="20"/>
          <w:szCs w:val="20"/>
          <w:color w:val="auto"/>
        </w:rPr>
      </w:pPr>
      <w:r>
        <w:rPr>
          <w:rFonts w:ascii="Courier New" w:cs="Courier New" w:eastAsia="Courier New" w:hAnsi="Courier New"/>
          <w:sz w:val="16"/>
          <w:szCs w:val="16"/>
          <w:color w:val="auto"/>
        </w:rPr>
        <w:t>INDUSTRIES</w:t>
      </w:r>
    </w:p>
    <w:p>
      <w:pPr>
        <w:spacing w:after="0" w:line="360" w:lineRule="exact"/>
        <w:rPr>
          <w:sz w:val="24"/>
          <w:szCs w:val="24"/>
          <w:color w:val="auto"/>
        </w:rPr>
      </w:pPr>
    </w:p>
    <w:p>
      <w:pPr>
        <w:ind w:left="1784"/>
        <w:spacing w:after="0"/>
        <w:rPr>
          <w:sz w:val="20"/>
          <w:szCs w:val="20"/>
          <w:color w:val="auto"/>
        </w:rPr>
      </w:pPr>
      <w:r>
        <w:rPr>
          <w:rFonts w:ascii="Courier New" w:cs="Courier New" w:eastAsia="Courier New" w:hAnsi="Courier New"/>
          <w:sz w:val="16"/>
          <w:szCs w:val="16"/>
          <w:color w:val="auto"/>
        </w:rPr>
        <w:t>NOTICE OF ANNUAL MEETING OF SHAREHOLDERS</w:t>
      </w:r>
    </w:p>
    <w:p>
      <w:pPr>
        <w:ind w:left="2444"/>
        <w:spacing w:after="0"/>
        <w:rPr>
          <w:sz w:val="20"/>
          <w:szCs w:val="20"/>
          <w:color w:val="auto"/>
        </w:rPr>
      </w:pPr>
      <w:r>
        <w:rPr>
          <w:rFonts w:ascii="Courier New" w:cs="Courier New" w:eastAsia="Courier New" w:hAnsi="Courier New"/>
          <w:sz w:val="16"/>
          <w:szCs w:val="16"/>
          <w:color w:val="auto"/>
        </w:rPr>
        <w:t>TO BE HELD JANUARY 15, 2002</w:t>
      </w:r>
    </w:p>
    <w:p>
      <w:pPr>
        <w:sectPr>
          <w:pgSz w:w="11900" w:h="16838" w:orient="portrait"/>
          <w:cols w:equalWidth="0" w:num="1">
            <w:col w:w="10223"/>
          </w:cols>
          <w:pgMar w:left="236" w:top="233" w:right="1440" w:bottom="0" w:gutter="0" w:footer="0" w:header="0"/>
        </w:sectPr>
      </w:pPr>
    </w:p>
    <w:p>
      <w:pPr>
        <w:spacing w:after="0" w:line="200" w:lineRule="exact"/>
        <w:rPr>
          <w:sz w:val="24"/>
          <w:szCs w:val="24"/>
          <w:color w:val="auto"/>
        </w:rPr>
      </w:pPr>
    </w:p>
    <w:p>
      <w:pPr>
        <w:spacing w:after="0" w:line="34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To the Shareholders of WINNEBAGO INDUSTRIES, INC.</w:t>
      </w:r>
    </w:p>
    <w:p>
      <w:pPr>
        <w:sectPr>
          <w:pgSz w:w="11900" w:h="16838" w:orient="portrait"/>
          <w:cols w:equalWidth="0" w:num="1">
            <w:col w:w="10223"/>
          </w:cols>
          <w:pgMar w:left="236" w:top="233" w:right="1440" w:bottom="0" w:gutter="0" w:footer="0" w:header="0"/>
          <w:type w:val="continuous"/>
        </w:sectPr>
      </w:pPr>
    </w:p>
    <w:bookmarkStart w:id="1" w:name="page2"/>
    <w:bookmarkEnd w:id="1"/>
    <w:p>
      <w:pPr>
        <w:ind w:right="2999" w:firstLine="469"/>
        <w:spacing w:after="0" w:line="237" w:lineRule="auto"/>
        <w:rPr>
          <w:sz w:val="20"/>
          <w:szCs w:val="20"/>
          <w:color w:val="auto"/>
        </w:rPr>
      </w:pPr>
      <w:r>
        <w:rPr>
          <w:rFonts w:ascii="Courier New" w:cs="Courier New" w:eastAsia="Courier New" w:hAnsi="Courier New"/>
          <w:sz w:val="16"/>
          <w:szCs w:val="16"/>
          <w:color w:val="auto"/>
        </w:rPr>
        <w:t>The Annual Meeting of Shareholders of Winnebago Industries, Inc. will be held on Tuesday, January 15, 2002, at 7:30 p.m., Central Standard Time, at Friendship Hall, Highway 69 South, Forest City, Iowa, for the following purposes:</w:t>
      </w:r>
    </w:p>
    <w:p>
      <w:pPr>
        <w:spacing w:after="0" w:line="186" w:lineRule="exact"/>
        <w:rPr>
          <w:sz w:val="20"/>
          <w:szCs w:val="20"/>
          <w:color w:val="auto"/>
        </w:rPr>
      </w:pPr>
    </w:p>
    <w:p>
      <w:pPr>
        <w:ind w:left="940" w:right="2719" w:hanging="475"/>
        <w:spacing w:after="0" w:line="236" w:lineRule="auto"/>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Class II directors to hold office for three-year terms; and</w:t>
      </w:r>
    </w:p>
    <w:p>
      <w:pPr>
        <w:spacing w:after="0" w:line="184" w:lineRule="exact"/>
        <w:rPr>
          <w:rFonts w:ascii="Courier New" w:cs="Courier New" w:eastAsia="Courier New" w:hAnsi="Courier New"/>
          <w:sz w:val="16"/>
          <w:szCs w:val="16"/>
          <w:color w:val="auto"/>
        </w:rPr>
      </w:pPr>
    </w:p>
    <w:p>
      <w:pPr>
        <w:ind w:left="940" w:right="3379" w:hanging="475"/>
        <w:spacing w:after="0" w:line="236" w:lineRule="auto"/>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adjournments thereof.</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Board of Directors of the Company has fixed the close of business on November 19, 2001, as the record date for the determination of shareholders entitled to notice of and to vote at this meeting and at any and all adjournments thereof.</w:t>
      </w:r>
    </w:p>
    <w:p>
      <w:pPr>
        <w:spacing w:after="0" w:line="366"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 Raymond M. Beebe</w:t>
      </w:r>
    </w:p>
    <w:p>
      <w:pPr>
        <w:ind w:left="5160"/>
        <w:spacing w:after="0"/>
        <w:rPr>
          <w:sz w:val="20"/>
          <w:szCs w:val="20"/>
          <w:color w:val="auto"/>
        </w:rPr>
      </w:pPr>
      <w:r>
        <w:rPr>
          <w:rFonts w:ascii="Courier New" w:cs="Courier New" w:eastAsia="Courier New" w:hAnsi="Courier New"/>
          <w:sz w:val="16"/>
          <w:szCs w:val="16"/>
          <w:color w:val="auto"/>
        </w:rPr>
        <w:t>RAYMOND M. BEEBE</w:t>
      </w:r>
    </w:p>
    <w:p>
      <w:pPr>
        <w:ind w:left="554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Forest City, Iowa</w:t>
      </w:r>
    </w:p>
    <w:p>
      <w:pPr>
        <w:spacing w:after="0"/>
        <w:rPr>
          <w:sz w:val="20"/>
          <w:szCs w:val="20"/>
          <w:color w:val="auto"/>
        </w:rPr>
      </w:pPr>
      <w:r>
        <w:rPr>
          <w:rFonts w:ascii="Courier New" w:cs="Courier New" w:eastAsia="Courier New" w:hAnsi="Courier New"/>
          <w:sz w:val="16"/>
          <w:szCs w:val="16"/>
          <w:color w:val="auto"/>
        </w:rPr>
        <w:t>November 28, 2001</w:t>
      </w:r>
    </w:p>
    <w:p>
      <w:pPr>
        <w:spacing w:after="0" w:line="200" w:lineRule="exact"/>
        <w:rPr>
          <w:sz w:val="20"/>
          <w:szCs w:val="20"/>
          <w:color w:val="auto"/>
        </w:rPr>
      </w:pPr>
    </w:p>
    <w:p>
      <w:pPr>
        <w:spacing w:after="0" w:line="33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YOUR VOTE IS IMPORTANT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WHETHER OR NOT YOU EXPECT TO ATTEND THE MEETING IN PERSON, PLEASE DATE, SIGN AND RETURN THE PROXY CARD IN THE ENCLOSED ENVELOPE SO YOUR SHARES WILL BE VOTED AT THE ANNUAL MEETING. A PROMPT RESPONSE IS HELPFUL AND YOUR COOPERATION IS APPRECIATED.</w:t>
      </w:r>
    </w:p>
    <w:p>
      <w:pPr>
        <w:sectPr>
          <w:pgSz w:w="11900" w:h="16838" w:orient="portrait"/>
          <w:cols w:equalWidth="0" w:num="1">
            <w:col w:w="10219"/>
          </w:cols>
          <w:pgMar w:left="240" w:top="322" w:right="1440" w:bottom="1440" w:gutter="0" w:footer="0" w:header="0"/>
        </w:sectPr>
      </w:pPr>
    </w:p>
    <w:bookmarkStart w:id="2" w:name="page3"/>
    <w:bookmarkEnd w:id="2"/>
    <w:p>
      <w:pPr>
        <w:jc w:val="center"/>
        <w:ind w:right="2899"/>
        <w:spacing w:after="0"/>
        <w:rPr>
          <w:sz w:val="20"/>
          <w:szCs w:val="20"/>
          <w:color w:val="auto"/>
        </w:rPr>
      </w:pPr>
      <w:r>
        <w:rPr>
          <w:rFonts w:ascii="Courier New" w:cs="Courier New" w:eastAsia="Courier New" w:hAnsi="Courier New"/>
          <w:sz w:val="16"/>
          <w:szCs w:val="16"/>
          <w:color w:val="auto"/>
        </w:rPr>
        <w:t>WINNEBAGO INDUSTRIES, INC.</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ind w:left="3100"/>
        <w:spacing w:after="0"/>
        <w:rPr>
          <w:sz w:val="20"/>
          <w:szCs w:val="20"/>
          <w:color w:val="auto"/>
        </w:rPr>
      </w:pPr>
      <w:r>
        <w:rPr>
          <w:rFonts w:ascii="Courier New" w:cs="Courier New" w:eastAsia="Courier New" w:hAnsi="Courier New"/>
          <w:sz w:val="16"/>
          <w:szCs w:val="16"/>
          <w:color w:val="auto"/>
        </w:rPr>
        <w:t>PROXY STATEMENT</w:t>
      </w:r>
    </w:p>
    <w:p>
      <w:pPr>
        <w:ind w:left="2820"/>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January 15, 2002, at 7:30 p.m., Central Standard Time, and at any and all adjournments thereof. This Proxy Statement was first mailed to shareholders on or about November 28, 2001.</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Only holders of Common Stock of record at the close of business on November 19, 2001, will be entitled to vote at the Annual Meeting of Shareholders. At such date, the Company had outstanding 20,620,294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and approval of any other matters that may properly come before the Annual Meeting require the affirmative vote of the holders of a majority of the shares of the Company's Common Stock present or represented by proxy and voted at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191"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 form of proxy is enclosed for use at the meeting. If the proxy is executed and returned, it may nevertheless be revoked at any time insofar as it has not been exercised. A person giving the enclosed proxy may revoke it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Withholding authority to vote on a director nominee will in effect count as a vote against the director nominee.</w:t>
      </w:r>
    </w:p>
    <w:p>
      <w:pPr>
        <w:spacing w:after="0" w:line="17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IF NO INSTRUCTIONS ARE INDICATED ON THE PROXY, IT WILL BE VOTED: (i) FOR THE ELECTION OF THE THREE NOMINEES FOR DIRECTOR NAMED BELOW; AND (ii) IN THE DISCRETION OF THE NAMED PROXIES UPON SUCH OTHER MATTERS AS MAY PROPERLY COME BEFORE THE MEETING.</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34" w:right="1440" w:bottom="1440" w:gutter="0" w:footer="0" w:header="0"/>
        </w:sectPr>
      </w:pPr>
    </w:p>
    <w:bookmarkStart w:id="3" w:name="page4"/>
    <w:bookmarkEnd w:id="3"/>
    <w:p>
      <w:pPr>
        <w:ind w:left="1504"/>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following table contains information with respect to the ownership of the Common Stock by each person known to the Company who is the beneficial owner of more than five percent of the outstanding Common Stock.</w:t>
      </w:r>
    </w:p>
    <w:p>
      <w:pPr>
        <w:sectPr>
          <w:pgSz w:w="11900" w:h="16838" w:orient="portrait"/>
          <w:cols w:equalWidth="0" w:num="1">
            <w:col w:w="10223"/>
          </w:cols>
          <w:pgMar w:left="236" w:top="834" w:right="1440" w:bottom="2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NAME AND ADDRESS OF</w:t>
      </w:r>
    </w:p>
    <w:p>
      <w:pPr>
        <w:ind w:left="4"/>
        <w:spacing w:after="0"/>
        <w:rPr>
          <w:sz w:val="20"/>
          <w:szCs w:val="20"/>
          <w:color w:val="auto"/>
        </w:rPr>
      </w:pPr>
      <w:r>
        <w:rPr>
          <w:rFonts w:ascii="Courier New" w:cs="Courier New" w:eastAsia="Courier New" w:hAnsi="Courier New"/>
          <w:sz w:val="16"/>
          <w:szCs w:val="16"/>
          <w:color w:val="auto"/>
        </w:rPr>
        <w:t>BENEFICIAL OWNER</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w:t>
      </w:r>
    </w:p>
    <w:p>
      <w:pPr>
        <w:spacing w:after="0"/>
        <w:rPr>
          <w:sz w:val="20"/>
          <w:szCs w:val="20"/>
          <w:color w:val="auto"/>
        </w:rPr>
      </w:pPr>
      <w:r>
        <w:rPr>
          <w:rFonts w:ascii="Courier New" w:cs="Courier New" w:eastAsia="Courier New" w:hAnsi="Courier New"/>
          <w:sz w:val="16"/>
          <w:szCs w:val="16"/>
          <w:color w:val="auto"/>
        </w:rPr>
        <w:t>OWNED BENEFICIALLY AT</w:t>
      </w:r>
    </w:p>
    <w:p>
      <w:pPr>
        <w:ind w:left="180"/>
        <w:spacing w:after="0" w:line="237" w:lineRule="auto"/>
        <w:rPr>
          <w:sz w:val="20"/>
          <w:szCs w:val="20"/>
          <w:color w:val="auto"/>
        </w:rPr>
      </w:pPr>
      <w:r>
        <w:rPr>
          <w:rFonts w:ascii="Courier New" w:cs="Courier New" w:eastAsia="Courier New" w:hAnsi="Courier New"/>
          <w:sz w:val="16"/>
          <w:szCs w:val="16"/>
          <w:color w:val="auto"/>
        </w:rPr>
        <w:t>NOVEMBER 19, 2001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PERCENT OF</w:t>
      </w:r>
    </w:p>
    <w:p>
      <w:pPr>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3">
            <w:col w:w="5544" w:space="180"/>
            <w:col w:w="2240" w:space="200"/>
            <w:col w:w="2059"/>
          </w:cols>
          <w:pgMar w:left="236" w:top="834" w:right="1440" w:bottom="287" w:gutter="0" w:footer="0" w:header="0"/>
          <w:type w:val="continuous"/>
        </w:sectPr>
      </w:pPr>
    </w:p>
    <w:p>
      <w:pPr>
        <w:ind w:left="104"/>
        <w:spacing w:after="0"/>
        <w:rPr>
          <w:sz w:val="20"/>
          <w:szCs w:val="20"/>
          <w:color w:val="auto"/>
        </w:rPr>
      </w:pPr>
      <w:r>
        <w:rPr>
          <w:rFonts w:ascii="Courier New" w:cs="Courier New" w:eastAsia="Courier New" w:hAnsi="Courier New"/>
          <w:sz w:val="15"/>
          <w:szCs w:val="15"/>
          <w:color w:val="auto"/>
        </w:rPr>
        <w:t>Hanson Capital Partners, L.L.C. and</w:t>
      </w:r>
    </w:p>
    <w:p>
      <w:pPr>
        <w:spacing w:after="0" w:line="5"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Luise V. Hanson</w:t>
      </w:r>
    </w:p>
    <w:p>
      <w:pPr>
        <w:ind w:left="284"/>
        <w:spacing w:after="0"/>
        <w:rPr>
          <w:sz w:val="20"/>
          <w:szCs w:val="20"/>
          <w:color w:val="auto"/>
        </w:rPr>
      </w:pPr>
      <w:r>
        <w:rPr>
          <w:rFonts w:ascii="Courier New" w:cs="Courier New" w:eastAsia="Courier New" w:hAnsi="Courier New"/>
          <w:sz w:val="16"/>
          <w:szCs w:val="16"/>
          <w:color w:val="auto"/>
        </w:rPr>
        <w:t>c/o Mr. John V. Hanson</w:t>
      </w:r>
    </w:p>
    <w:p>
      <w:pPr>
        <w:ind w:left="284"/>
        <w:spacing w:after="0" w:line="237" w:lineRule="auto"/>
        <w:rPr>
          <w:sz w:val="20"/>
          <w:szCs w:val="20"/>
          <w:color w:val="auto"/>
        </w:rPr>
      </w:pPr>
      <w:r>
        <w:rPr>
          <w:rFonts w:ascii="Courier New" w:cs="Courier New" w:eastAsia="Courier New" w:hAnsi="Courier New"/>
          <w:sz w:val="16"/>
          <w:szCs w:val="16"/>
          <w:color w:val="auto"/>
        </w:rPr>
        <w:t>8880 South Ocean Drive #1110</w:t>
      </w:r>
    </w:p>
    <w:p>
      <w:pPr>
        <w:sectPr>
          <w:pgSz w:w="11900" w:h="16838" w:orient="portrait"/>
          <w:cols w:equalWidth="0" w:num="1">
            <w:col w:w="10223"/>
          </w:cols>
          <w:pgMar w:left="236" w:top="834" w:right="1440" w:bottom="287" w:gutter="0" w:footer="0" w:header="0"/>
          <w:type w:val="continuous"/>
        </w:sectPr>
      </w:pPr>
    </w:p>
    <w:p>
      <w:pPr>
        <w:spacing w:after="0" w:line="5"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Jensen Beach, Florida 34957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7,396,306(1)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35.9</w:t>
      </w:r>
    </w:p>
    <w:p>
      <w:pPr>
        <w:spacing w:after="0" w:line="10" w:lineRule="exact"/>
        <w:rPr>
          <w:sz w:val="20"/>
          <w:szCs w:val="20"/>
          <w:color w:val="auto"/>
        </w:rPr>
      </w:pPr>
    </w:p>
    <w:p>
      <w:pPr>
        <w:sectPr>
          <w:pgSz w:w="11900" w:h="16838" w:orient="portrait"/>
          <w:cols w:equalWidth="0" w:num="3">
            <w:col w:w="5564" w:space="720"/>
            <w:col w:w="1120" w:space="660"/>
            <w:col w:w="2159"/>
          </w:cols>
          <w:pgMar w:left="236" w:top="834" w:right="1440" w:bottom="287" w:gutter="0" w:footer="0" w:header="0"/>
          <w:type w:val="continuous"/>
        </w:sectPr>
      </w:pPr>
    </w:p>
    <w:p>
      <w:pPr>
        <w:ind w:left="104"/>
        <w:spacing w:after="0"/>
        <w:rPr>
          <w:sz w:val="20"/>
          <w:szCs w:val="20"/>
          <w:color w:val="auto"/>
        </w:rPr>
      </w:pPr>
      <w:r>
        <w:rPr>
          <w:rFonts w:ascii="Courier New" w:cs="Courier New" w:eastAsia="Courier New" w:hAnsi="Courier New"/>
          <w:sz w:val="15"/>
          <w:szCs w:val="15"/>
          <w:color w:val="auto"/>
        </w:rPr>
        <w:t>Edward C. Johnson III, Abigail P. Johnson and FMR Corp.</w:t>
      </w:r>
    </w:p>
    <w:p>
      <w:pPr>
        <w:spacing w:after="0" w:line="5"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82 Devonshire Street</w:t>
      </w:r>
    </w:p>
    <w:p>
      <w:pPr>
        <w:sectPr>
          <w:pgSz w:w="11900" w:h="16838" w:orient="portrait"/>
          <w:cols w:equalWidth="0" w:num="1">
            <w:col w:w="10223"/>
          </w:cols>
          <w:pgMar w:left="236" w:top="834" w:right="1440" w:bottom="287" w:gutter="0" w:footer="0" w:header="0"/>
          <w:type w:val="continuous"/>
        </w:sectPr>
      </w:pPr>
    </w:p>
    <w:p>
      <w:pPr>
        <w:spacing w:after="0" w:line="4" w:lineRule="exact"/>
        <w:rPr>
          <w:sz w:val="20"/>
          <w:szCs w:val="20"/>
          <w:color w:val="auto"/>
        </w:rPr>
      </w:pPr>
    </w:p>
    <w:p>
      <w:pPr>
        <w:ind w:left="284"/>
        <w:spacing w:after="0"/>
        <w:rPr>
          <w:sz w:val="20"/>
          <w:szCs w:val="20"/>
          <w:color w:val="auto"/>
        </w:rPr>
      </w:pPr>
      <w:r>
        <w:rPr>
          <w:rFonts w:ascii="Courier New" w:cs="Courier New" w:eastAsia="Courier New" w:hAnsi="Courier New"/>
          <w:sz w:val="15"/>
          <w:szCs w:val="15"/>
          <w:color w:val="auto"/>
        </w:rPr>
        <w:t>Boston, Massachusetts 02109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2,238,390(2)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10.9</w:t>
      </w:r>
    </w:p>
    <w:p>
      <w:pPr>
        <w:spacing w:after="0" w:line="200" w:lineRule="exact"/>
        <w:rPr>
          <w:sz w:val="20"/>
          <w:szCs w:val="20"/>
          <w:color w:val="auto"/>
        </w:rPr>
      </w:pPr>
    </w:p>
    <w:p>
      <w:pPr>
        <w:sectPr>
          <w:pgSz w:w="11900" w:h="16838" w:orient="portrait"/>
          <w:cols w:equalWidth="0" w:num="3">
            <w:col w:w="5564" w:space="720"/>
            <w:col w:w="1120" w:space="660"/>
            <w:col w:w="2159"/>
          </w:cols>
          <w:pgMar w:left="236" w:top="834" w:right="1440" w:bottom="287" w:gutter="0" w:footer="0" w:header="0"/>
          <w:type w:val="continuous"/>
        </w:sectPr>
      </w:pP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3"/>
          </w:cols>
          <w:pgMar w:left="236" w:top="834" w:right="1440" w:bottom="287" w:gutter="0" w:footer="0" w:header="0"/>
          <w:type w:val="continuous"/>
        </w:sectPr>
      </w:pPr>
    </w:p>
    <w:p>
      <w:pPr>
        <w:spacing w:after="0" w:line="191" w:lineRule="exact"/>
        <w:rPr>
          <w:sz w:val="20"/>
          <w:szCs w:val="20"/>
          <w:color w:val="auto"/>
        </w:rPr>
      </w:pPr>
    </w:p>
    <w:p>
      <w:pPr>
        <w:ind w:left="464" w:right="2719" w:hanging="464"/>
        <w:spacing w:after="0" w:line="255" w:lineRule="auto"/>
        <w:tabs>
          <w:tab w:leader="none" w:pos="46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Capital Partners, L.L.C. ("HCP") is a Delaware limited liability company whose members are the Luise V. Hanson Qualified Terminable Interest Property Marital Deduction Trust (the "QTIP Trust"), which has a 34.9% membership interest in HCP, and the Luise V. Hanson Revocable Trust, dated September 22, 1984 (the "Revocable Trust"), which has a 65.1% membership interest in HCP. John V. Hanson (a director of the Company), Mary Joan Boman (the wife of Gerald E. Boman, a director of the Company), Paul D. Hanson and Bessemer Trust Company, N.A. act as co-trustees under the QTIP Trust. Mrs. Luise V. Hanson is trustee of the Revocable Trust. By virtue of the Revocable Trust's 65.1% membership interest in HCP and Mrs. Hanson's role as trustee of the Revocable Trust, Mrs. Hanson has (a) sole voting power with respect to the 7,396,306 shares owned of record by HCP and (b) dispositive power with respect to the 7,396,306 shares owned of record by HCP, except that disposition of all or substantially all of those shares requires the unanimous approval of all members of HCP. As a result of the foregoing, Mrs. Hanson is deemed a beneficial owner of the 7,396,306 shares and consequently a controlling person of the Company. Mrs. Hanson is the mother of John V. Hanson, Mary Joan Boman and Paul D. Hanson and the mother-in-law of Gerald E. Boman.</w:t>
      </w:r>
    </w:p>
    <w:p>
      <w:pPr>
        <w:spacing w:after="0" w:line="357" w:lineRule="exact"/>
        <w:rPr>
          <w:rFonts w:ascii="Courier New" w:cs="Courier New" w:eastAsia="Courier New" w:hAnsi="Courier New"/>
          <w:sz w:val="15"/>
          <w:szCs w:val="15"/>
          <w:color w:val="auto"/>
        </w:rPr>
      </w:pPr>
    </w:p>
    <w:p>
      <w:pPr>
        <w:ind w:left="464" w:right="2719" w:hanging="464"/>
        <w:spacing w:after="0" w:line="238"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as of August 10, 2001 according to a statement on Schedule 13G filed with the Securities and Exchange Commission on August 10, 2001. Mr. Johnson serves as Chairman and Abigail P. Johnson is a Director of FMR Corp. Mr. Johnson owns 12.0% and Abigail P. Johnson owns 24.5% of the outstanding voting stock of FMR Corp. Members of the Edward C. Johnson III family own shares of common stock representing approximately 49% of the voting power of FMR Corp. Mr. Johnson and members of his family may be deemed to form a controlling group with respect to the common voting stock of FMR Corp.</w:t>
      </w:r>
    </w:p>
    <w:p>
      <w:pPr>
        <w:spacing w:after="0" w:line="181"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these 2,238,390 shares of Common Stock:</w:t>
      </w:r>
    </w:p>
    <w:p>
      <w:pPr>
        <w:spacing w:after="0" w:line="185" w:lineRule="exact"/>
        <w:rPr>
          <w:sz w:val="20"/>
          <w:szCs w:val="20"/>
          <w:color w:val="auto"/>
        </w:rPr>
      </w:pPr>
    </w:p>
    <w:p>
      <w:pPr>
        <w:ind w:left="944" w:right="2819" w:hanging="475"/>
        <w:spacing w:after="0" w:line="237" w:lineRule="auto"/>
        <w:tabs>
          <w:tab w:leader="none" w:pos="9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1,982,590 are owned by Fidelity Management &amp; Research Company, an investment advisor and a wholly owned subsidiary of FMR Corp. Edward J. Johnson, III, and FMR Corp. through its control of Fidelity Management &amp; Research Company each has sole power to dispose of these shares.</w:t>
      </w:r>
    </w:p>
    <w:p>
      <w:pPr>
        <w:spacing w:after="0" w:line="187"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184,400 are owned by Fidelity Management Trust Company, a bank and a wholly owned subsidiary of FMR Corp. Mr. Johnson and FMR Corp. through its control of Fidelity Management Trust Company each has sole power to dispose of these shares and sole power to vote or direct the vote of these shares.</w:t>
      </w:r>
    </w:p>
    <w:p>
      <w:pPr>
        <w:spacing w:after="0" w:line="187" w:lineRule="exact"/>
        <w:rPr>
          <w:rFonts w:ascii="Courier New" w:cs="Courier New" w:eastAsia="Courier New" w:hAnsi="Courier New"/>
          <w:sz w:val="16"/>
          <w:szCs w:val="16"/>
          <w:color w:val="auto"/>
        </w:rPr>
      </w:pPr>
    </w:p>
    <w:p>
      <w:pPr>
        <w:ind w:left="944" w:right="2719" w:hanging="475"/>
        <w:spacing w:after="0" w:line="237" w:lineRule="auto"/>
        <w:tabs>
          <w:tab w:leader="none" w:pos="9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71,400 are owned by Fidelity International Limited, an investment advisor, which has the sole power to vote and dispose of these shares. A partnership controlled by Mr. Johnson and members of his family owns shares of Fidelity International Limited voting stock with the right to cast 39.9% of the total votes which may be cast by all holders of Fidelity International Limited voting stock.</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No one client owns more than 5% of such shares.</w:t>
      </w:r>
    </w:p>
    <w:p>
      <w:pPr>
        <w:spacing w:after="0" w:line="185" w:lineRule="exact"/>
        <w:rPr>
          <w:sz w:val="20"/>
          <w:szCs w:val="20"/>
          <w:color w:val="auto"/>
        </w:rPr>
      </w:pPr>
    </w:p>
    <w:p>
      <w:pPr>
        <w:ind w:left="464" w:right="3279"/>
        <w:spacing w:after="0" w:line="237" w:lineRule="auto"/>
        <w:rPr>
          <w:sz w:val="20"/>
          <w:szCs w:val="20"/>
          <w:color w:val="auto"/>
        </w:rPr>
      </w:pPr>
      <w:r>
        <w:rPr>
          <w:rFonts w:ascii="Courier New" w:cs="Courier New" w:eastAsia="Courier New" w:hAnsi="Courier New"/>
          <w:sz w:val="16"/>
          <w:szCs w:val="16"/>
          <w:color w:val="auto"/>
        </w:rPr>
        <w:t>The information contained in this footnote has been derived from information contained in the Schedule 13G filed by FMR Corp. with the Securities and Exchange Commission referred to above.</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834" w:right="1440" w:bottom="287" w:gutter="0" w:footer="0" w:header="0"/>
          <w:type w:val="continuous"/>
        </w:sectPr>
      </w:pPr>
    </w:p>
    <w:bookmarkStart w:id="4" w:name="page5"/>
    <w:bookmarkEnd w:id="4"/>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following table contains information with respect to the ownership of Common Stock by (i) each director, (ii) each nominee for election as a director,</w:t>
      </w:r>
    </w:p>
    <w:p>
      <w:pPr>
        <w:spacing w:after="0" w:line="1" w:lineRule="exact"/>
        <w:rPr>
          <w:sz w:val="20"/>
          <w:szCs w:val="20"/>
          <w:color w:val="auto"/>
        </w:rPr>
      </w:pPr>
    </w:p>
    <w:p>
      <w:pPr>
        <w:ind w:left="4" w:right="2899" w:hanging="4"/>
        <w:spacing w:after="0" w:line="236" w:lineRule="auto"/>
        <w:tabs>
          <w:tab w:leader="none" w:pos="56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executive officer listed in the Summary Compensation Table and (iv) the group named below.</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 OF COMMON STOCK</w:t>
            </w:r>
          </w:p>
        </w:tc>
        <w:tc>
          <w:tcPr>
            <w:tcW w:w="1420" w:type="dxa"/>
            <w:vAlign w:val="bottom"/>
          </w:tcPr>
          <w:p>
            <w:pPr>
              <w:spacing w:after="0"/>
              <w:rPr>
                <w:sz w:val="15"/>
                <w:szCs w:val="15"/>
                <w:color w:val="auto"/>
              </w:rPr>
            </w:pPr>
          </w:p>
        </w:tc>
      </w:tr>
      <w:tr>
        <w:trPr>
          <w:trHeight w:val="180"/>
        </w:trPr>
        <w:tc>
          <w:tcPr>
            <w:tcW w:w="5240" w:type="dxa"/>
            <w:vAlign w:val="bottom"/>
          </w:tcPr>
          <w:p>
            <w:pPr>
              <w:spacing w:after="0"/>
              <w:rPr>
                <w:sz w:val="15"/>
                <w:szCs w:val="15"/>
                <w:color w:val="auto"/>
              </w:rPr>
            </w:pPr>
          </w:p>
        </w:tc>
        <w:tc>
          <w:tcPr>
            <w:tcW w:w="24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OWNED BENEFICIALLY AT</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PERCENT OF</w:t>
            </w: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4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NOVEMBER 19, 2001(1)</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52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Edwin F. Barker</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62,994(4)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Raymond M. Beebe</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57,994(4)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Gerald E. Boman</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153,882(2)(4)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Jerry N. Currie</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16,000(4)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Joseph W. England</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11,236(4)(5)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John V. Hanson</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16,630(2)(4)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Bruce D. Hertzke</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148,570(4)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James P. Jaskoviak</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34,328(4)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Gerald C. Kitch</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24,997(4)(5)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Robert J. Olson</w:t>
            </w:r>
          </w:p>
        </w:tc>
        <w:tc>
          <w:tcPr>
            <w:tcW w:w="24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38,983(4)</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Richard C. Scott</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13,826(4)(5)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Frederick M. Zimmerman</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12,903(4)(5)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w:t>
            </w:r>
          </w:p>
        </w:tc>
      </w:tr>
      <w:tr>
        <w:trPr>
          <w:trHeight w:val="180"/>
        </w:trPr>
        <w:tc>
          <w:tcPr>
            <w:tcW w:w="5240" w:type="dxa"/>
            <w:vAlign w:val="bottom"/>
          </w:tcPr>
          <w:p>
            <w:pPr>
              <w:ind w:left="460"/>
              <w:spacing w:after="0"/>
              <w:rPr>
                <w:sz w:val="20"/>
                <w:szCs w:val="20"/>
                <w:color w:val="auto"/>
              </w:rPr>
            </w:pPr>
            <w:r>
              <w:rPr>
                <w:rFonts w:ascii="Courier New" w:cs="Courier New" w:eastAsia="Courier New" w:hAnsi="Courier New"/>
                <w:sz w:val="16"/>
                <w:szCs w:val="16"/>
                <w:color w:val="auto"/>
              </w:rPr>
              <w:t>Directors and officers as a group (16 persons)</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650,094(4)(5)</w:t>
            </w:r>
          </w:p>
        </w:tc>
        <w:tc>
          <w:tcPr>
            <w:tcW w:w="14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3659" w:hanging="464"/>
        <w:spacing w:after="0" w:line="236"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jointly with or by spouse and shares held as custodian, beneficial ownership of which is disclaimed.</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 to the preceding table.</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84" w:lineRule="exact"/>
        <w:rPr>
          <w:rFonts w:ascii="Courier New" w:cs="Courier New" w:eastAsia="Courier New" w:hAnsi="Courier New"/>
          <w:sz w:val="16"/>
          <w:szCs w:val="16"/>
          <w:color w:val="auto"/>
        </w:rPr>
      </w:pPr>
    </w:p>
    <w:p>
      <w:pPr>
        <w:ind w:left="464" w:right="2819" w:hanging="464"/>
        <w:spacing w:after="0" w:line="237"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43,333, 43,333, 16,000, 11,000, 10,000, 16,000, 105,916, 13,335, 16,000, 25,333, 6,000, 8,000 and 349,416 shares, respectively, which Messrs. Barker, Beebe, Boman, Currie, England, Hanson, Hertzke, Jaskoviak, Kitch, Olson, Scott, Zimmerman and the directors and officers as a group have the right to acquire within 60 days of November 19, 2001, through the exercise of stock options.</w:t>
      </w:r>
    </w:p>
    <w:p>
      <w:pPr>
        <w:spacing w:after="0" w:line="188" w:lineRule="exact"/>
        <w:rPr>
          <w:rFonts w:ascii="Courier New" w:cs="Courier New" w:eastAsia="Courier New" w:hAnsi="Courier New"/>
          <w:sz w:val="16"/>
          <w:szCs w:val="16"/>
          <w:color w:val="auto"/>
        </w:rPr>
      </w:pPr>
    </w:p>
    <w:p>
      <w:pPr>
        <w:ind w:left="464" w:right="2719" w:hanging="464"/>
        <w:spacing w:after="0" w:line="256" w:lineRule="auto"/>
        <w:tabs>
          <w:tab w:leader="none" w:pos="46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1,236, 7,997, 7,826 and 3,653 Winnebago Stock Units, respectively, held by Messrs. England, Kitch, Scott and Zimmerman, respectively, under the Company's Directors' Deferred Compensation Plan as of November 1, 2001. The Winnebago Stock Units are payable in an equal number of shares of Common Stock upon the respective directors' termination of service as a director, or January 1, 2008 in the case of Mr. England.</w:t>
      </w:r>
    </w:p>
    <w:p>
      <w:pPr>
        <w:spacing w:after="0" w:line="35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ITEM 1</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ELECTION OF DIRECTORS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of Shareholders, the term of office of the Class II directors will expire, and three persons will be nominated to serve in that class until the Company's Annual Meeting of Shareholders in 2005 or until their respective successors are elected. The terms of office of the Class III and Class I directors will expire at the Company's Annual Meetings of Shareholders in 2003 and 2004, respectively.</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Discretionary authority is solicited to vote for the election of a substitute for any of said nominees who, for any reason currently unknown, cannot be a candidate for election. THE SHARES REPRESENTED BY THE ENCLOSED PROXY WILL BE VOTED FOR THE ELECTION AS DIRECTORS OF THE NOMINEES FOR CLASS II DIRECTORS NAMED BELOW IF NO DIRECTION IS MADE OTHERWISE.</w:t>
      </w:r>
    </w:p>
    <w:p>
      <w:pPr>
        <w:spacing w:after="0" w:line="363"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839" w:right="1440"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5060" w:type="dxa"/>
            <w:vAlign w:val="bottom"/>
          </w:tcPr>
          <w:p>
            <w:pPr>
              <w:ind w:left="1500"/>
              <w:spacing w:after="0"/>
              <w:rPr>
                <w:sz w:val="20"/>
                <w:szCs w:val="20"/>
                <w:color w:val="auto"/>
              </w:rPr>
            </w:pPr>
            <w:r>
              <w:rPr>
                <w:rFonts w:ascii="Courier New" w:cs="Courier New" w:eastAsia="Courier New" w:hAnsi="Courier New"/>
                <w:sz w:val="16"/>
                <w:szCs w:val="16"/>
                <w:color w:val="auto"/>
              </w:rPr>
              <w:t>PRINCIPAL OCCUPATION</w:t>
            </w:r>
          </w:p>
        </w:tc>
        <w:tc>
          <w:tcPr>
            <w:tcW w:w="1880" w:type="dxa"/>
            <w:vAlign w:val="bottom"/>
          </w:tcPr>
          <w:p>
            <w:pPr>
              <w:ind w:left="380"/>
              <w:spacing w:after="0"/>
              <w:rPr>
                <w:sz w:val="20"/>
                <w:szCs w:val="20"/>
                <w:color w:val="auto"/>
              </w:rPr>
            </w:pPr>
            <w:r>
              <w:rPr>
                <w:rFonts w:ascii="Courier New" w:cs="Courier New" w:eastAsia="Courier New" w:hAnsi="Courier New"/>
                <w:sz w:val="16"/>
                <w:szCs w:val="16"/>
                <w:color w:val="auto"/>
              </w:rPr>
              <w:t>YEAR FIRST</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 (AGE)(1)</w:t>
            </w:r>
          </w:p>
        </w:tc>
        <w:tc>
          <w:tcPr>
            <w:tcW w:w="5060" w:type="dxa"/>
            <w:vAlign w:val="bottom"/>
          </w:tcPr>
          <w:p>
            <w:pPr>
              <w:ind w:left="1120"/>
              <w:spacing w:after="0"/>
              <w:rPr>
                <w:sz w:val="20"/>
                <w:szCs w:val="20"/>
                <w:color w:val="auto"/>
              </w:rPr>
            </w:pPr>
            <w:r>
              <w:rPr>
                <w:rFonts w:ascii="Courier New" w:cs="Courier New" w:eastAsia="Courier New" w:hAnsi="Courier New"/>
                <w:sz w:val="16"/>
                <w:szCs w:val="16"/>
                <w:color w:val="auto"/>
              </w:rPr>
              <w:t>AND OTHER DIRECTORSHIPS HELD</w:t>
            </w:r>
          </w:p>
        </w:tc>
        <w:tc>
          <w:tcPr>
            <w:tcW w:w="1880" w:type="dxa"/>
            <w:vAlign w:val="bottom"/>
          </w:tcPr>
          <w:p>
            <w:pPr>
              <w:ind w:left="100"/>
              <w:spacing w:after="0"/>
              <w:rPr>
                <w:sz w:val="20"/>
                <w:szCs w:val="20"/>
                <w:color w:val="auto"/>
              </w:rPr>
            </w:pPr>
            <w:r>
              <w:rPr>
                <w:rFonts w:ascii="Courier New" w:cs="Courier New" w:eastAsia="Courier New" w:hAnsi="Courier New"/>
                <w:sz w:val="16"/>
                <w:szCs w:val="16"/>
                <w:color w:val="auto"/>
              </w:rPr>
              <w:t>BECAME A DIRECTOR</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6"/>
              </w:rPr>
              <w:t>- -----------------------------</w:t>
            </w:r>
          </w:p>
        </w:tc>
        <w:tc>
          <w:tcPr>
            <w:tcW w:w="506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9840" w:type="dxa"/>
            <w:vAlign w:val="bottom"/>
            <w:gridSpan w:val="3"/>
          </w:tcPr>
          <w:p>
            <w:pPr>
              <w:spacing w:after="0"/>
              <w:rPr>
                <w:sz w:val="20"/>
                <w:szCs w:val="20"/>
                <w:color w:val="auto"/>
              </w:rPr>
            </w:pPr>
            <w:r>
              <w:rPr>
                <w:rFonts w:ascii="Courier New" w:cs="Courier New" w:eastAsia="Courier New" w:hAnsi="Courier New"/>
                <w:sz w:val="16"/>
                <w:szCs w:val="16"/>
                <w:color w:val="auto"/>
              </w:rPr>
              <w:t>CLASS II -- NOMINEES FOR DIRECTORS TO BE ELECTED TO SERVE UNTIL THE 2005 ANNUAL MEETING</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Gerald E. Boman (66)</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Retired; former Senior Vice President,</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1962</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Winnebago Industries, Inc.</w:t>
            </w:r>
          </w:p>
        </w:tc>
        <w:tc>
          <w:tcPr>
            <w:tcW w:w="1880" w:type="dxa"/>
            <w:vAlign w:val="bottom"/>
          </w:tcPr>
          <w:p>
            <w:pPr>
              <w:spacing w:after="0"/>
              <w:rPr>
                <w:sz w:val="15"/>
                <w:szCs w:val="15"/>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Jerry N. Currie (56)</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President &amp; Chief Executive Officer of both</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CURRIES Company, manufacturer of steel</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doors and frames for nonresidential construction</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and GRAHAM Manufacturing, manufacturer of</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wood doors for nonresidential construction</w:t>
            </w:r>
          </w:p>
        </w:tc>
        <w:tc>
          <w:tcPr>
            <w:tcW w:w="1880" w:type="dxa"/>
            <w:vAlign w:val="bottom"/>
          </w:tcPr>
          <w:p>
            <w:pPr>
              <w:spacing w:after="0"/>
              <w:rPr>
                <w:sz w:val="15"/>
                <w:szCs w:val="15"/>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Frederick M. Zimmerman (65)</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Professor of Manufacturing Systems</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1992</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Engineering at The University of St. Thomas,</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Courier New" w:cs="Courier New" w:eastAsia="Courier New" w:hAnsi="Courier New"/>
                <w:sz w:val="16"/>
                <w:szCs w:val="16"/>
                <w:color w:val="auto"/>
              </w:rPr>
              <w:t>St. Paul, Minnesota</w:t>
            </w:r>
          </w:p>
        </w:tc>
        <w:tc>
          <w:tcPr>
            <w:tcW w:w="1880" w:type="dxa"/>
            <w:vAlign w:val="bottom"/>
          </w:tcPr>
          <w:p>
            <w:pPr>
              <w:spacing w:after="0"/>
              <w:rPr>
                <w:sz w:val="15"/>
                <w:szCs w:val="15"/>
                <w:color w:val="auto"/>
              </w:rPr>
            </w:pPr>
          </w:p>
        </w:tc>
      </w:tr>
      <w:tr>
        <w:trPr>
          <w:trHeight w:val="361"/>
        </w:trPr>
        <w:tc>
          <w:tcPr>
            <w:tcW w:w="7960" w:type="dxa"/>
            <w:vAlign w:val="bottom"/>
            <w:gridSpan w:val="2"/>
          </w:tcPr>
          <w:p>
            <w:pPr>
              <w:spacing w:after="0"/>
              <w:rPr>
                <w:sz w:val="20"/>
                <w:szCs w:val="20"/>
                <w:color w:val="auto"/>
              </w:rPr>
            </w:pPr>
            <w:r>
              <w:rPr>
                <w:rFonts w:ascii="Courier New" w:cs="Courier New" w:eastAsia="Courier New" w:hAnsi="Courier New"/>
                <w:sz w:val="16"/>
                <w:szCs w:val="16"/>
                <w:color w:val="auto"/>
              </w:rPr>
              <w:t>CLASS III -- DIRECTORS WHOSE TERMS EXPIRE AT THE 2003 ANNUAL MEETING</w:t>
            </w:r>
          </w:p>
        </w:tc>
        <w:tc>
          <w:tcPr>
            <w:tcW w:w="1880" w:type="dxa"/>
            <w:vAlign w:val="bottom"/>
          </w:tcPr>
          <w:p>
            <w:pPr>
              <w:spacing w:after="0"/>
              <w:rPr>
                <w:sz w:val="24"/>
                <w:szCs w:val="24"/>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John V. Hanson (59)</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Retired; former Deputy Chairman of the Board</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1996(2)</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of Directors of Winnebago Industries, Inc.</w:t>
            </w:r>
          </w:p>
        </w:tc>
        <w:tc>
          <w:tcPr>
            <w:tcW w:w="1880" w:type="dxa"/>
            <w:vAlign w:val="bottom"/>
          </w:tcPr>
          <w:p>
            <w:pPr>
              <w:spacing w:after="0"/>
              <w:rPr>
                <w:sz w:val="15"/>
                <w:szCs w:val="15"/>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Bruce D. Hertzke (50)</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Chief Executive Officer</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and President, Winnebago Industries, Inc.</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Mr. Hertzke is a director of MTS Systems Corp.</w:t>
            </w:r>
          </w:p>
        </w:tc>
        <w:tc>
          <w:tcPr>
            <w:tcW w:w="1880" w:type="dxa"/>
            <w:vAlign w:val="bottom"/>
          </w:tcPr>
          <w:p>
            <w:pPr>
              <w:spacing w:after="0"/>
              <w:rPr>
                <w:sz w:val="15"/>
                <w:szCs w:val="15"/>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Gerald C. Kitch (63)</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Retired; former Executive Vice President,</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Pentair, Inc., diversified manufacturer of tools,</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equipment and ammunition</w:t>
            </w:r>
          </w:p>
        </w:tc>
        <w:tc>
          <w:tcPr>
            <w:tcW w:w="1880" w:type="dxa"/>
            <w:vAlign w:val="bottom"/>
          </w:tcPr>
          <w:p>
            <w:pPr>
              <w:spacing w:after="0"/>
              <w:rPr>
                <w:sz w:val="15"/>
                <w:szCs w:val="15"/>
                <w:color w:val="auto"/>
              </w:rPr>
            </w:pPr>
          </w:p>
        </w:tc>
      </w:tr>
      <w:tr>
        <w:trPr>
          <w:trHeight w:val="361"/>
        </w:trPr>
        <w:tc>
          <w:tcPr>
            <w:tcW w:w="7960" w:type="dxa"/>
            <w:vAlign w:val="bottom"/>
            <w:gridSpan w:val="2"/>
          </w:tcPr>
          <w:p>
            <w:pPr>
              <w:spacing w:after="0"/>
              <w:rPr>
                <w:sz w:val="20"/>
                <w:szCs w:val="20"/>
                <w:color w:val="auto"/>
              </w:rPr>
            </w:pPr>
            <w:r>
              <w:rPr>
                <w:rFonts w:ascii="Courier New" w:cs="Courier New" w:eastAsia="Courier New" w:hAnsi="Courier New"/>
                <w:sz w:val="16"/>
                <w:szCs w:val="16"/>
                <w:color w:val="auto"/>
              </w:rPr>
              <w:t>CLASS I -- DIRECTORS WHOSE TERMS EXPIRE AT THE 2004 ANNUAL MEETING</w:t>
            </w:r>
          </w:p>
        </w:tc>
        <w:tc>
          <w:tcPr>
            <w:tcW w:w="1880" w:type="dxa"/>
            <w:vAlign w:val="bottom"/>
          </w:tcPr>
          <w:p>
            <w:pPr>
              <w:spacing w:after="0"/>
              <w:rPr>
                <w:sz w:val="24"/>
                <w:szCs w:val="24"/>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Joseph W. England (61)</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Retired; former Senior Vice President of Deere</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2001</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&amp; Company (a mobile power equipment</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manufacturer). Mr. England is a director of</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First Midwest Bancorp, Inc.</w:t>
            </w:r>
          </w:p>
        </w:tc>
        <w:tc>
          <w:tcPr>
            <w:tcW w:w="1880" w:type="dxa"/>
            <w:vAlign w:val="bottom"/>
          </w:tcPr>
          <w:p>
            <w:pPr>
              <w:spacing w:after="0"/>
              <w:rPr>
                <w:sz w:val="15"/>
                <w:szCs w:val="15"/>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Richard C. Scott (67)</w:t>
            </w: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University Development at</w:t>
            </w:r>
          </w:p>
        </w:tc>
        <w:tc>
          <w:tcPr>
            <w:tcW w:w="1880" w:type="dxa"/>
            <w:vAlign w:val="bottom"/>
          </w:tcPr>
          <w:p>
            <w:pPr>
              <w:ind w:left="5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Baylor University, Waco, Texas. Mr. Scott is a</w:t>
            </w:r>
          </w:p>
        </w:tc>
        <w:tc>
          <w:tcPr>
            <w:tcW w:w="188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director of Citizens, Inc.</w:t>
            </w:r>
          </w:p>
        </w:tc>
        <w:tc>
          <w:tcPr>
            <w:tcW w:w="188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4" w:hanging="464"/>
        <w:spacing w:after="0"/>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"Voting Securities and Principal Holders Thereof."</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served as a director from 1967 to 1979 and from 1985 to 1989.</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John V. Hanson and Gerald E. Boman are brothers-in-law.</w:t>
      </w:r>
    </w:p>
    <w:p>
      <w:pPr>
        <w:spacing w:after="0" w:line="360"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BOARD OF DIRECTORS AND COMMITTEES OF THE BOARD</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Board has established Audit, Human Resources and Nominating Committees to assist it in the discharge of its responsibilities. The principal responsibilities of each of these committees are described below.</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members of the Audit Committee are Messrs. England, Scott and Zimmerman.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w:t>
      </w:r>
    </w:p>
    <w:p>
      <w:pPr>
        <w:spacing w:after="0" w:line="36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1195" w:right="1440" w:bottom="1440" w:gutter="0" w:footer="0" w:header="0"/>
        </w:sectPr>
      </w:pPr>
    </w:p>
    <w:bookmarkStart w:id="6" w:name="page7"/>
    <w:bookmarkEnd w:id="6"/>
    <w:p>
      <w:pPr>
        <w:ind w:right="2819"/>
        <w:spacing w:after="0" w:line="237" w:lineRule="auto"/>
        <w:rPr>
          <w:sz w:val="20"/>
          <w:szCs w:val="20"/>
          <w:color w:val="auto"/>
        </w:rPr>
      </w:pPr>
      <w:r>
        <w:rPr>
          <w:rFonts w:ascii="Courier New" w:cs="Courier New" w:eastAsia="Courier New" w:hAnsi="Courier New"/>
          <w:sz w:val="16"/>
          <w:szCs w:val="16"/>
          <w:color w:val="auto"/>
        </w:rPr>
        <w:t>to review any special situation arising on any of the above subjects. Reference is made to the "Report of the Audit Committee." The committee met three times in fiscal 2001.</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Human Resources Committee, consisting of Messrs. Kitch, Scott and Zimmerman, met four times in fiscal 2001. This committee makes recommendations to the Board of Directors as to the salary of the Chief Executive Officer (CEO) and sets the salaries and bonus payments, if any, of all other employee-directors and elected officers. It also has responsibility for administration of the Company's Incentive Compensation Plan and certain other employee incentive plans.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members of the Nominating Committee are Messrs. Hanson, Hertzke and Kitch.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See "2003 SHAREHOLDER PROPOSALS" for a summary of the procedures that shareholders must follow. The committee met once in fiscal 2001.</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Board of Directors of the Company held five meetings during fiscal 2001. Actions taken by any committee of the Board are reported to the Board of Directors, usually at its next meeting. During fiscal 2001, all of the directors attended more than 75 percent of the aggregate of Board of Directors' meetings and meetings of committees of the Board on which they served (while such directors were members of the Board of Directors).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Employee directors receive no additional compensation for serving on the Board or its Committees. Non-employee directors receive a retainer of $1,600 per month and a $500 per day attendance fee for Board and Committee meetings. Committee Chairmen receive a $750 per day attendance fee. Effective January 1, 2002, non-employee directors will receive a retainer of $1,666 per month and a $750 per day attendance fee for Board and Committee meetings, with Committee Chairmen to receive a $1,000 per day attendance fee. In addition, each Outside Director under the 1997 Stock Option Plan (as those terms are defined below) annually receives options for 2,000 shares. Directors are also reimbursed for customary and usual travel expenses.</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Effective April 1, 1997, the Board of Directors adopted the Winnebago Industries, Inc. Directors' Deferred Compensation Plan (the "DIRECTORS' DEFERRED COMPENSATION PLAN"). The purpose of the Directors' Deferred Compensation Plan is to enable non-employee directors (the "PARTICIPANTS") to receive their fees and retainers as members of the Board of Directors and Committees of the Board (the "DEFERRED COMPENSATION" )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from the Company equal to 25% of the Deferred Compensation so invested.</w:t>
      </w:r>
    </w:p>
    <w:p>
      <w:pPr>
        <w:spacing w:after="0" w:line="35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 Participant's Winnebago Stock Unit account will vest at the rate of 33-1/3% for each of the first three complete 12 month periods of service as a Director following the time such Winnebago Stock Units are credited to the Director's Winnebago Stock Unit Account. Notwithstanding the above, the Participant's Winnebago Stock Unit account will become fully vested upon his or her attainment of age</w:t>
      </w: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9" w:right="1440" w:bottom="1440" w:gutter="0" w:footer="0" w:header="0"/>
        </w:sectPr>
      </w:pPr>
    </w:p>
    <w:bookmarkStart w:id="7" w:name="page8"/>
    <w:bookmarkEnd w:id="7"/>
    <w:p>
      <w:pPr>
        <w:ind w:right="2719"/>
        <w:spacing w:after="0" w:line="237" w:lineRule="auto"/>
        <w:rPr>
          <w:sz w:val="20"/>
          <w:szCs w:val="20"/>
          <w:color w:val="auto"/>
        </w:rPr>
      </w:pPr>
      <w:r>
        <w:rPr>
          <w:rFonts w:ascii="Courier New" w:cs="Courier New" w:eastAsia="Courier New" w:hAnsi="Courier New"/>
          <w:sz w:val="16"/>
          <w:szCs w:val="16"/>
          <w:color w:val="auto"/>
        </w:rPr>
        <w:t>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Winnebago Industries, Inc. 1997 Stock Option Plan (the "1997 STOCK OPTION PLAN" ) provides that directors who do not hold a position of employment with the Company or a subsidiary (the "OUTSIDE DIRECTORS" ) shall receive nonqualified stock options and may not be granted incentive stock options. The exercise price per share of options granted to Outside Directors shall be the mean between the high and low prices for a share of the Company's Common Stock on the New York Stock Exchange on the date of grant. Except for vesting upon the occurrence of certain events which result in a change in control, unless otherwise set forth in an agreement granting options under the 1997 Stock Option Plan, no option is exercisable for six months after the date such option is granted. Thereafter, nonqualified stock options are exercisable for a period of not to exceed ten years from the date each such option is granted. Each Outside Director of the Company on the effective date of the 1997 Stock Option Plan who was not granted an option to purchase 10,000 shares under the Winnebago Industries, Inc. Stock Option Plan for Outside Directors was automatically granted nonqualified options to purchase 10,000 shares. Each Outside Director who, after the effective date of the 1997 Stock Option Plan is elected or appointed to the Board of Directors for the first time will, at the time such Director is so elected or appointed and duly qualified, be granted automatically a nonqualified stock option to purchase 10,000 shares at a per share price equal to the fair market value of a share on the date of grant.</w:t>
      </w:r>
    </w:p>
    <w:p>
      <w:pPr>
        <w:spacing w:after="0" w:line="200" w:lineRule="exact"/>
        <w:rPr>
          <w:sz w:val="20"/>
          <w:szCs w:val="20"/>
          <w:color w:val="auto"/>
        </w:rPr>
      </w:pPr>
    </w:p>
    <w:p>
      <w:pPr>
        <w:spacing w:after="0" w:line="33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39" w:right="1440" w:bottom="1440" w:gutter="0" w:footer="0" w:header="0"/>
        </w:sectPr>
      </w:pPr>
    </w:p>
    <w:bookmarkStart w:id="8" w:name="page9"/>
    <w:bookmarkEnd w:id="8"/>
    <w:p>
      <w:pPr>
        <w:ind w:left="2724"/>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4" w:right="3560" w:firstLine="469"/>
        <w:spacing w:after="0" w:line="237" w:lineRule="auto"/>
        <w:rPr>
          <w:sz w:val="20"/>
          <w:szCs w:val="20"/>
          <w:color w:val="auto"/>
        </w:rPr>
      </w:pPr>
      <w:r>
        <w:rPr>
          <w:rFonts w:ascii="Courier New" w:cs="Courier New" w:eastAsia="Courier New" w:hAnsi="Courier New"/>
          <w:sz w:val="16"/>
          <w:szCs w:val="16"/>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25, 2001, and (ii) each of the four other most highly compensated executive officers of the Company serving at August 25, 2001.</w:t>
      </w:r>
    </w:p>
    <w:p>
      <w:pPr>
        <w:spacing w:after="0" w:line="364" w:lineRule="exact"/>
        <w:rPr>
          <w:sz w:val="20"/>
          <w:szCs w:val="20"/>
          <w:color w:val="auto"/>
        </w:rPr>
      </w:pPr>
    </w:p>
    <w:p>
      <w:pPr>
        <w:ind w:left="2524"/>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340" w:lineRule="exact"/>
        <w:rPr>
          <w:sz w:val="20"/>
          <w:szCs w:val="20"/>
          <w:color w:val="auto"/>
        </w:rPr>
      </w:pPr>
    </w:p>
    <w:p>
      <w:pPr>
        <w:ind w:left="3744"/>
        <w:spacing w:after="0"/>
        <w:tabs>
          <w:tab w:leader="none" w:pos="7303" w:val="left"/>
        </w:tabs>
        <w:rPr>
          <w:sz w:val="20"/>
          <w:szCs w:val="20"/>
          <w:color w:val="auto"/>
        </w:rPr>
      </w:pPr>
      <w:r>
        <w:rPr>
          <w:rFonts w:ascii="Courier New" w:cs="Courier New" w:eastAsia="Courier New" w:hAnsi="Courier New"/>
          <w:sz w:val="16"/>
          <w:szCs w:val="16"/>
          <w:color w:val="auto"/>
        </w:rPr>
        <w:t>ANNUAL COMPENSATION(1)</w:t>
      </w:r>
      <w:r>
        <w:rPr>
          <w:sz w:val="20"/>
          <w:szCs w:val="20"/>
          <w:color w:val="auto"/>
        </w:rPr>
        <w:tab/>
      </w:r>
      <w:r>
        <w:rPr>
          <w:rFonts w:ascii="Courier New" w:cs="Courier New" w:eastAsia="Courier New" w:hAnsi="Courier New"/>
          <w:sz w:val="15"/>
          <w:szCs w:val="15"/>
          <w:color w:val="auto"/>
        </w:rPr>
        <w:t>LONG TERM COMPENSATION</w:t>
      </w:r>
    </w:p>
    <w:p>
      <w:pPr>
        <w:ind w:left="3664"/>
        <w:spacing w:after="0"/>
        <w:rPr>
          <w:sz w:val="20"/>
          <w:szCs w:val="20"/>
          <w:color w:val="auto"/>
        </w:rPr>
      </w:pPr>
      <w:r>
        <w:rPr>
          <w:rFonts w:ascii="Courier New" w:cs="Courier New" w:eastAsia="Courier New" w:hAnsi="Courier New"/>
          <w:sz w:val="16"/>
          <w:szCs w:val="16"/>
          <w:color w:val="auto"/>
        </w:rPr>
        <w:t>------------------------- -------------------------------------------------</w:t>
      </w:r>
    </w:p>
    <w:p>
      <w:pPr>
        <w:ind w:left="6284"/>
        <w:spacing w:after="0" w:line="237" w:lineRule="auto"/>
        <w:rPr>
          <w:sz w:val="20"/>
          <w:szCs w:val="20"/>
          <w:color w:val="auto"/>
        </w:rPr>
      </w:pPr>
      <w:r>
        <w:rPr>
          <w:rFonts w:ascii="Courier New" w:cs="Courier New" w:eastAsia="Courier New" w:hAnsi="Courier New"/>
          <w:sz w:val="16"/>
          <w:szCs w:val="16"/>
          <w:color w:val="auto"/>
        </w:rPr>
        <w:t>RESTRICTED</w:t>
      </w:r>
    </w:p>
    <w:p>
      <w:pPr>
        <w:ind w:left="2904"/>
        <w:spacing w:after="0"/>
        <w:tabs>
          <w:tab w:leader="none" w:pos="6543" w:val="left"/>
          <w:tab w:leader="none" w:pos="9363" w:val="left"/>
        </w:tabs>
        <w:rPr>
          <w:sz w:val="20"/>
          <w:szCs w:val="20"/>
          <w:color w:val="auto"/>
        </w:rPr>
      </w:pPr>
      <w:r>
        <w:rPr>
          <w:rFonts w:ascii="Courier New" w:cs="Courier New" w:eastAsia="Courier New" w:hAnsi="Courier New"/>
          <w:sz w:val="16"/>
          <w:szCs w:val="16"/>
          <w:color w:val="auto"/>
        </w:rPr>
        <w:t>FISCAL</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ALL OTHER</w:t>
      </w:r>
    </w:p>
    <w:p>
      <w:pPr>
        <w:ind w:left="4"/>
        <w:spacing w:after="0"/>
        <w:tabs>
          <w:tab w:leader="none" w:pos="2983" w:val="left"/>
          <w:tab w:leader="none" w:pos="3723" w:val="left"/>
          <w:tab w:leader="none" w:pos="4863" w:val="left"/>
          <w:tab w:leader="none" w:pos="6163" w:val="left"/>
          <w:tab w:leader="none" w:pos="7663" w:val="left"/>
          <w:tab w:leader="none" w:pos="8883" w:val="left"/>
        </w:tabs>
        <w:rPr>
          <w:sz w:val="20"/>
          <w:szCs w:val="20"/>
          <w:color w:val="auto"/>
        </w:rPr>
      </w:pPr>
      <w:r>
        <w:rPr>
          <w:rFonts w:ascii="Courier New" w:cs="Courier New" w:eastAsia="Courier New" w:hAnsi="Courier New"/>
          <w:sz w:val="16"/>
          <w:szCs w:val="16"/>
          <w:color w:val="auto"/>
        </w:rPr>
        <w:t>NAME AND PRINCIPAL POSITION</w:t>
      </w:r>
      <w:r>
        <w:rPr>
          <w:sz w:val="20"/>
          <w:szCs w:val="20"/>
          <w:color w:val="auto"/>
        </w:rPr>
        <w:tab/>
      </w: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SALARY($)</w:t>
        <w:tab/>
        <w:t>BONUS($)(2)</w:t>
        <w:tab/>
        <w:t>AWARDS ($)(3)</w:t>
        <w:tab/>
        <w:t>OPTIONS(4)</w:t>
      </w:r>
      <w:r>
        <w:rPr>
          <w:sz w:val="20"/>
          <w:szCs w:val="20"/>
          <w:color w:val="auto"/>
        </w:rPr>
        <w:tab/>
      </w:r>
      <w:r>
        <w:rPr>
          <w:rFonts w:ascii="Courier New" w:cs="Courier New" w:eastAsia="Courier New" w:hAnsi="Courier New"/>
          <w:sz w:val="15"/>
          <w:szCs w:val="15"/>
          <w:color w:val="auto"/>
        </w:rPr>
        <w:t>COMPENSATION ($)(5)</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 ------------ --------------------</w:t>
      </w:r>
    </w:p>
    <w:p>
      <w:pPr>
        <w:spacing w:after="0" w:line="186" w:lineRule="exact"/>
        <w:rPr>
          <w:sz w:val="20"/>
          <w:szCs w:val="20"/>
          <w:color w:val="auto"/>
        </w:rPr>
      </w:pPr>
    </w:p>
    <w:tbl>
      <w:tblPr>
        <w:tblLayout w:type="fixed"/>
        <w:tblInd w:w="104" w:type="dxa"/>
        <w:tblCellMar>
          <w:top w:w="0" w:type="dxa"/>
          <w:left w:w="0" w:type="dxa"/>
          <w:bottom w:w="0" w:type="dxa"/>
          <w:right w:w="0" w:type="dxa"/>
        </w:tblCellMar>
      </w:tblPr>
      <w:tr>
        <w:trPr>
          <w:trHeight w:val="181"/>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Bruce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D. Hertzke</w:t>
            </w:r>
          </w:p>
        </w:tc>
        <w:tc>
          <w:tcPr>
            <w:tcW w:w="10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399,039</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256,836</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493,451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1,121</w:t>
            </w:r>
          </w:p>
        </w:tc>
      </w:tr>
      <w:tr>
        <w:trPr>
          <w:trHeight w:val="180"/>
        </w:trPr>
        <w:tc>
          <w:tcPr>
            <w:tcW w:w="154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9"/>
              </w:rPr>
              <w:t>Chairman, Chief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Executive</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332,693</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454,099</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327,050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993</w:t>
            </w:r>
          </w:p>
        </w:tc>
      </w:tr>
      <w:tr>
        <w:trPr>
          <w:trHeight w:val="180"/>
        </w:trPr>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Officer and President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286,154</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380,563</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240,282</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41,250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877</w:t>
            </w:r>
          </w:p>
        </w:tc>
      </w:tr>
      <w:tr>
        <w:trPr>
          <w:trHeight w:val="361"/>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Edwin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F. Barker</w:t>
            </w:r>
          </w:p>
        </w:tc>
        <w:tc>
          <w:tcPr>
            <w:tcW w:w="108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193,077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85,220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188,369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1,427</w:t>
            </w:r>
          </w:p>
        </w:tc>
      </w:tr>
      <w:tr>
        <w:trPr>
          <w:trHeight w:val="180"/>
        </w:trPr>
        <w:tc>
          <w:tcPr>
            <w:tcW w:w="500" w:type="dxa"/>
            <w:vAlign w:val="bottom"/>
          </w:tcPr>
          <w:p>
            <w:pPr>
              <w:ind w:left="80"/>
              <w:spacing w:after="0"/>
              <w:rPr>
                <w:sz w:val="20"/>
                <w:szCs w:val="20"/>
                <w:color w:val="auto"/>
              </w:rPr>
            </w:pPr>
            <w:r>
              <w:rPr>
                <w:rFonts w:ascii="Courier New" w:cs="Courier New" w:eastAsia="Courier New" w:hAnsi="Courier New"/>
                <w:sz w:val="16"/>
                <w:szCs w:val="16"/>
                <w:color w:val="auto"/>
              </w:rPr>
              <w:t>Vice</w:t>
            </w:r>
          </w:p>
        </w:tc>
        <w:tc>
          <w:tcPr>
            <w:tcW w:w="21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President and</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174,808</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163,620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81,810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1,284</w:t>
            </w:r>
          </w:p>
        </w:tc>
      </w:tr>
      <w:tr>
        <w:trPr>
          <w:trHeight w:val="180"/>
        </w:trPr>
        <w:tc>
          <w:tcPr>
            <w:tcW w:w="154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9"/>
              </w:rPr>
              <w:t>Chief Financial</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Officer</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159,801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145,739</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72,869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1,158</w:t>
            </w:r>
          </w:p>
        </w:tc>
      </w:tr>
      <w:tr>
        <w:trPr>
          <w:trHeight w:val="361"/>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Raymond M. Beebe</w:t>
            </w:r>
          </w:p>
        </w:tc>
        <w:tc>
          <w:tcPr>
            <w:tcW w:w="108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193,077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85,220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188,369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2,132</w:t>
            </w:r>
          </w:p>
        </w:tc>
      </w:tr>
      <w:tr>
        <w:trPr>
          <w:trHeight w:val="180"/>
        </w:trPr>
        <w:tc>
          <w:tcPr>
            <w:tcW w:w="500" w:type="dxa"/>
            <w:vAlign w:val="bottom"/>
          </w:tcPr>
          <w:p>
            <w:pPr>
              <w:ind w:left="80"/>
              <w:spacing w:after="0"/>
              <w:rPr>
                <w:sz w:val="20"/>
                <w:szCs w:val="20"/>
                <w:color w:val="auto"/>
              </w:rPr>
            </w:pPr>
            <w:r>
              <w:rPr>
                <w:rFonts w:ascii="Courier New" w:cs="Courier New" w:eastAsia="Courier New" w:hAnsi="Courier New"/>
                <w:sz w:val="16"/>
                <w:szCs w:val="16"/>
                <w:color w:val="auto"/>
              </w:rPr>
              <w:t>Vice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President,</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General</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174,808</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163,620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81,810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1,887</w:t>
            </w:r>
          </w:p>
        </w:tc>
      </w:tr>
      <w:tr>
        <w:trPr>
          <w:trHeight w:val="180"/>
        </w:trPr>
        <w:tc>
          <w:tcPr>
            <w:tcW w:w="26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Counsel and Secretary</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159,801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145,739</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72,869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1,659</w:t>
            </w:r>
          </w:p>
        </w:tc>
      </w:tr>
      <w:tr>
        <w:trPr>
          <w:trHeight w:val="361"/>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James</w:t>
            </w:r>
          </w:p>
        </w:tc>
        <w:tc>
          <w:tcPr>
            <w:tcW w:w="21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 Jaskoviak</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193,077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85,220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188,369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616</w:t>
            </w:r>
          </w:p>
        </w:tc>
      </w:tr>
      <w:tr>
        <w:trPr>
          <w:trHeight w:val="180"/>
        </w:trPr>
        <w:tc>
          <w:tcPr>
            <w:tcW w:w="500" w:type="dxa"/>
            <w:vAlign w:val="bottom"/>
          </w:tcPr>
          <w:p>
            <w:pPr>
              <w:ind w:left="80"/>
              <w:spacing w:after="0"/>
              <w:rPr>
                <w:sz w:val="20"/>
                <w:szCs w:val="20"/>
                <w:color w:val="auto"/>
              </w:rPr>
            </w:pPr>
            <w:r>
              <w:rPr>
                <w:rFonts w:ascii="Courier New" w:cs="Courier New" w:eastAsia="Courier New" w:hAnsi="Courier New"/>
                <w:sz w:val="16"/>
                <w:szCs w:val="16"/>
                <w:color w:val="auto"/>
              </w:rPr>
              <w:t>Vice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President,</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174,808</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163,620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81,810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530</w:t>
            </w:r>
          </w:p>
        </w:tc>
      </w:tr>
      <w:tr>
        <w:trPr>
          <w:trHeight w:val="180"/>
        </w:trPr>
        <w:tc>
          <w:tcPr>
            <w:tcW w:w="1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and Marketing</w:t>
            </w:r>
          </w:p>
        </w:tc>
        <w:tc>
          <w:tcPr>
            <w:tcW w:w="10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159,801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145,739</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72,869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488</w:t>
            </w:r>
          </w:p>
        </w:tc>
      </w:tr>
      <w:tr>
        <w:trPr>
          <w:trHeight w:val="361"/>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Robert J. Olson</w:t>
            </w:r>
          </w:p>
        </w:tc>
        <w:tc>
          <w:tcPr>
            <w:tcW w:w="108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193,077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85,220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188,369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424</w:t>
            </w:r>
          </w:p>
        </w:tc>
      </w:tr>
      <w:tr>
        <w:trPr>
          <w:trHeight w:val="180"/>
        </w:trPr>
        <w:tc>
          <w:tcPr>
            <w:tcW w:w="500" w:type="dxa"/>
            <w:vAlign w:val="bottom"/>
          </w:tcPr>
          <w:p>
            <w:pPr>
              <w:ind w:left="80"/>
              <w:spacing w:after="0"/>
              <w:rPr>
                <w:sz w:val="20"/>
                <w:szCs w:val="20"/>
                <w:color w:val="auto"/>
              </w:rPr>
            </w:pPr>
            <w:r>
              <w:rPr>
                <w:rFonts w:ascii="Courier New" w:cs="Courier New" w:eastAsia="Courier New" w:hAnsi="Courier New"/>
                <w:sz w:val="16"/>
                <w:szCs w:val="16"/>
                <w:color w:val="auto"/>
              </w:rPr>
              <w:t>Vice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President,</w:t>
            </w:r>
          </w:p>
        </w:tc>
        <w:tc>
          <w:tcPr>
            <w:tcW w:w="10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174,808</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163,620</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81,810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383</w:t>
            </w:r>
          </w:p>
        </w:tc>
      </w:tr>
      <w:tr>
        <w:trPr>
          <w:trHeight w:val="180"/>
        </w:trPr>
        <w:tc>
          <w:tcPr>
            <w:tcW w:w="1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Manufacturing</w:t>
            </w:r>
          </w:p>
        </w:tc>
        <w:tc>
          <w:tcPr>
            <w:tcW w:w="108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159,801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145,739</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72,869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3480" w:hanging="464"/>
        <w:spacing w:after="0" w:line="236"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executive officer received personal benefits in excess of the lesser of 10% of cash compensation or $50,000.</w:t>
      </w:r>
    </w:p>
    <w:p>
      <w:pPr>
        <w:spacing w:after="0" w:line="184" w:lineRule="exact"/>
        <w:rPr>
          <w:rFonts w:ascii="Courier New" w:cs="Courier New" w:eastAsia="Courier New" w:hAnsi="Courier New"/>
          <w:sz w:val="16"/>
          <w:szCs w:val="16"/>
          <w:color w:val="auto"/>
        </w:rPr>
      </w:pPr>
    </w:p>
    <w:p>
      <w:pPr>
        <w:ind w:left="464" w:right="3560" w:hanging="464"/>
        <w:spacing w:after="0" w:line="257" w:lineRule="auto"/>
        <w:tabs>
          <w:tab w:leader="none" w:pos="4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74" w:lineRule="exact"/>
        <w:rPr>
          <w:rFonts w:ascii="Courier New" w:cs="Courier New" w:eastAsia="Courier New" w:hAnsi="Courier New"/>
          <w:sz w:val="15"/>
          <w:szCs w:val="15"/>
          <w:color w:val="auto"/>
        </w:rPr>
      </w:pPr>
    </w:p>
    <w:p>
      <w:pPr>
        <w:ind w:left="464" w:right="3380" w:hanging="464"/>
        <w:spacing w:after="0" w:line="237"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consisted of restricted Common Stock and are valued at the aggregate market value of the Common Stock as of the respective determination dates. The awards in were made pursuant to the Officers Incentive Compensation Plan, [except that the awards to Mr. Hertzke also included stock awards made in the discretion of the Board of Directors.] All awards of the restricted Common Stock vested immediately.</w:t>
      </w:r>
    </w:p>
    <w:p>
      <w:pPr>
        <w:spacing w:after="0" w:line="188" w:lineRule="exact"/>
        <w:rPr>
          <w:rFonts w:ascii="Courier New" w:cs="Courier New" w:eastAsia="Courier New" w:hAnsi="Courier New"/>
          <w:sz w:val="16"/>
          <w:szCs w:val="16"/>
          <w:color w:val="auto"/>
        </w:rPr>
      </w:pPr>
    </w:p>
    <w:p>
      <w:pPr>
        <w:ind w:left="464" w:right="3380" w:hanging="464"/>
        <w:spacing w:after="0" w:line="237"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numbers in the table above represent options for the purchase of shares of the Company's Common Stock granted to the named persons under the Company's 1997 Stock Option Plan.</w:t>
      </w:r>
    </w:p>
    <w:p>
      <w:pPr>
        <w:spacing w:after="0" w:line="184" w:lineRule="exact"/>
        <w:rPr>
          <w:rFonts w:ascii="Courier New" w:cs="Courier New" w:eastAsia="Courier New" w:hAnsi="Courier New"/>
          <w:sz w:val="16"/>
          <w:szCs w:val="16"/>
          <w:color w:val="auto"/>
        </w:rPr>
      </w:pPr>
    </w:p>
    <w:p>
      <w:pPr>
        <w:ind w:left="464" w:right="3380" w:hanging="464"/>
        <w:spacing w:after="0" w:line="237"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of All Other Compensation are the portions of the premiums paid by the Company pursuant to the Company's Executive Split-Dollar Life Insurance Plan which constitute the economic benefit to the named executive officers. The Plan provides for preretirement death benefits for the named executives and certain other executive officers and annual or lump sum payment upon retirement at age 65.</w:t>
      </w:r>
    </w:p>
    <w:p>
      <w:pPr>
        <w:spacing w:after="0" w:line="36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884"/>
          </w:cols>
          <w:pgMar w:left="236" w:top="834" w:right="779" w:bottom="1440" w:gutter="0" w:footer="0" w:header="0"/>
        </w:sectPr>
      </w:pPr>
    </w:p>
    <w:bookmarkStart w:id="9" w:name="page10"/>
    <w:bookmarkEnd w:id="9"/>
    <w:p>
      <w:pPr>
        <w:ind w:left="1964"/>
        <w:spacing w:after="0"/>
        <w:rPr>
          <w:sz w:val="20"/>
          <w:szCs w:val="20"/>
          <w:color w:val="auto"/>
        </w:rPr>
      </w:pPr>
      <w:r>
        <w:rPr>
          <w:rFonts w:ascii="Courier New" w:cs="Courier New" w:eastAsia="Courier New" w:hAnsi="Courier New"/>
          <w:sz w:val="16"/>
          <w:szCs w:val="16"/>
          <w:color w:val="auto"/>
        </w:rPr>
        <w:t>STOCK OPTIONS GRANTED IN FISCAL 2001</w:t>
      </w:r>
    </w:p>
    <w:p>
      <w:pPr>
        <w:spacing w:after="0" w:line="185" w:lineRule="exact"/>
        <w:rPr>
          <w:sz w:val="20"/>
          <w:szCs w:val="20"/>
          <w:color w:val="auto"/>
        </w:rPr>
      </w:pPr>
    </w:p>
    <w:p>
      <w:pPr>
        <w:ind w:left="4" w:right="3660" w:firstLine="469"/>
        <w:spacing w:after="0" w:line="237" w:lineRule="auto"/>
        <w:rPr>
          <w:sz w:val="20"/>
          <w:szCs w:val="20"/>
          <w:color w:val="auto"/>
        </w:rPr>
      </w:pPr>
      <w:r>
        <w:rPr>
          <w:rFonts w:ascii="Courier New" w:cs="Courier New" w:eastAsia="Courier New" w:hAnsi="Courier New"/>
          <w:sz w:val="16"/>
          <w:szCs w:val="16"/>
          <w:color w:val="auto"/>
        </w:rPr>
        <w:t>The following table provides information on options to purchase shares of the Company's Common Stock granted to the executive officers named in the Summary Compensation Table.</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POTENTIAL</w:t>
            </w:r>
          </w:p>
        </w:tc>
      </w:tr>
      <w:tr>
        <w:trPr>
          <w:trHeight w:val="180"/>
        </w:trPr>
        <w:tc>
          <w:tcPr>
            <w:tcW w:w="2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INDIVIDUAL GRANTS</w:t>
            </w:r>
          </w:p>
        </w:tc>
        <w:tc>
          <w:tcPr>
            <w:tcW w:w="1420" w:type="dxa"/>
            <w:vAlign w:val="bottom"/>
          </w:tcPr>
          <w:p>
            <w:pPr>
              <w:spacing w:after="0"/>
              <w:rPr>
                <w:sz w:val="15"/>
                <w:szCs w:val="15"/>
                <w:color w:val="auto"/>
              </w:rPr>
            </w:pPr>
          </w:p>
        </w:tc>
        <w:tc>
          <w:tcPr>
            <w:tcW w:w="19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REALIZABLE VALUE</w:t>
            </w:r>
          </w:p>
        </w:tc>
      </w:tr>
      <w:tr>
        <w:trPr>
          <w:trHeight w:val="180"/>
        </w:trPr>
        <w:tc>
          <w:tcPr>
            <w:tcW w:w="266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5"/>
              </w:rPr>
              <w:t>AT ASSUMED ANNUAL</w:t>
            </w:r>
          </w:p>
        </w:tc>
      </w:tr>
      <w:tr>
        <w:trPr>
          <w:trHeight w:val="180"/>
        </w:trPr>
        <w:tc>
          <w:tcPr>
            <w:tcW w:w="2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rPr>
              <w:t>PERCENT OF</w:t>
            </w: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RATES OF STOCK</w:t>
            </w:r>
          </w:p>
        </w:tc>
      </w:tr>
      <w:tr>
        <w:trPr>
          <w:trHeight w:val="180"/>
        </w:trPr>
        <w:tc>
          <w:tcPr>
            <w:tcW w:w="2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TOTAL OPTIONS</w:t>
            </w: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PRICE APPRECIATION</w:t>
            </w:r>
          </w:p>
        </w:tc>
      </w:tr>
      <w:tr>
        <w:trPr>
          <w:trHeight w:val="180"/>
        </w:trPr>
        <w:tc>
          <w:tcPr>
            <w:tcW w:w="2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rPr>
              <w:t>GRANTED TO</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spacing w:after="0"/>
              <w:rPr>
                <w:sz w:val="15"/>
                <w:szCs w:val="15"/>
                <w:color w:val="auto"/>
              </w:rPr>
            </w:pPr>
          </w:p>
        </w:tc>
        <w:tc>
          <w:tcPr>
            <w:tcW w:w="19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FOR OPTION TERM</w:t>
            </w:r>
          </w:p>
        </w:tc>
      </w:tr>
      <w:tr>
        <w:trPr>
          <w:trHeight w:val="180"/>
        </w:trPr>
        <w:tc>
          <w:tcPr>
            <w:tcW w:w="2660" w:type="dxa"/>
            <w:vAlign w:val="bottom"/>
          </w:tcPr>
          <w:p>
            <w:pPr>
              <w:spacing w:after="0"/>
              <w:rPr>
                <w:sz w:val="15"/>
                <w:szCs w:val="15"/>
                <w:color w:val="auto"/>
              </w:rPr>
            </w:pPr>
          </w:p>
        </w:tc>
        <w:tc>
          <w:tcPr>
            <w:tcW w:w="1660" w:type="dxa"/>
            <w:vAlign w:val="bottom"/>
          </w:tcPr>
          <w:p>
            <w:pPr>
              <w:jc w:val="right"/>
              <w:ind w:right="504"/>
              <w:spacing w:after="0"/>
              <w:rPr>
                <w:sz w:val="20"/>
                <w:szCs w:val="20"/>
                <w:color w:val="auto"/>
              </w:rPr>
            </w:pPr>
            <w:r>
              <w:rPr>
                <w:rFonts w:ascii="Courier New" w:cs="Courier New" w:eastAsia="Courier New" w:hAnsi="Courier New"/>
                <w:sz w:val="16"/>
                <w:szCs w:val="16"/>
                <w:color w:val="auto"/>
              </w:rPr>
              <w:t>OPTIONS</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EMPLOYEES IN</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PRICE PER</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EXPIRATION  ---------------------</w:t>
            </w:r>
          </w:p>
        </w:tc>
        <w:tc>
          <w:tcPr>
            <w:tcW w:w="1180" w:type="dxa"/>
            <w:vAlign w:val="bottom"/>
          </w:tcPr>
          <w:p>
            <w:pPr>
              <w:spacing w:after="0"/>
              <w:rPr>
                <w:sz w:val="15"/>
                <w:szCs w:val="15"/>
                <w:color w:val="auto"/>
              </w:rPr>
            </w:pP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60" w:type="dxa"/>
            <w:vAlign w:val="bottom"/>
          </w:tcPr>
          <w:p>
            <w:pPr>
              <w:jc w:val="right"/>
              <w:ind w:right="504"/>
              <w:spacing w:after="0"/>
              <w:rPr>
                <w:sz w:val="20"/>
                <w:szCs w:val="20"/>
                <w:color w:val="auto"/>
              </w:rPr>
            </w:pPr>
            <w:r>
              <w:rPr>
                <w:rFonts w:ascii="Courier New" w:cs="Courier New" w:eastAsia="Courier New" w:hAnsi="Courier New"/>
                <w:sz w:val="16"/>
                <w:szCs w:val="16"/>
                <w:color w:val="auto"/>
              </w:rPr>
              <w:t>GRANTED</w:t>
            </w: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rPr>
              <w:t>FISCAL 2001</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SHARE ($)</w:t>
            </w:r>
          </w:p>
        </w:tc>
        <w:tc>
          <w:tcPr>
            <w:tcW w:w="142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DATE</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 ($)</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 ($)</w:t>
            </w:r>
          </w:p>
        </w:tc>
      </w:tr>
      <w:tr>
        <w:trPr>
          <w:trHeight w:val="180"/>
        </w:trPr>
        <w:tc>
          <w:tcPr>
            <w:tcW w:w="8540" w:type="dxa"/>
            <w:vAlign w:val="bottom"/>
            <w:gridSpan w:val="5"/>
          </w:tcPr>
          <w:p>
            <w:pPr>
              <w:spacing w:after="0"/>
              <w:rPr>
                <w:sz w:val="20"/>
                <w:szCs w:val="20"/>
                <w:color w:val="auto"/>
              </w:rPr>
            </w:pPr>
            <w:r>
              <w:rPr>
                <w:rFonts w:ascii="Courier New" w:cs="Courier New" w:eastAsia="Courier New" w:hAnsi="Courier New"/>
                <w:sz w:val="16"/>
                <w:szCs w:val="16"/>
                <w:color w:val="auto"/>
                <w:w w:val="97"/>
              </w:rPr>
              <w:t>- ---------------------------- --------------- -------------- ---------------- ------------</w:t>
            </w: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 ----------</w:t>
            </w:r>
          </w:p>
        </w:tc>
      </w:tr>
      <w:tr>
        <w:trPr>
          <w:trHeight w:val="361"/>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Bruce D. Hertzke ...........</w:t>
            </w:r>
          </w:p>
        </w:tc>
        <w:tc>
          <w:tcPr>
            <w:tcW w:w="1660" w:type="dxa"/>
            <w:vAlign w:val="bottom"/>
          </w:tcPr>
          <w:p>
            <w:pPr>
              <w:jc w:val="right"/>
              <w:ind w:right="224"/>
              <w:spacing w:after="0"/>
              <w:rPr>
                <w:sz w:val="20"/>
                <w:szCs w:val="20"/>
                <w:color w:val="auto"/>
              </w:rPr>
            </w:pPr>
            <w:r>
              <w:rPr>
                <w:rFonts w:ascii="Courier New" w:cs="Courier New" w:eastAsia="Courier New" w:hAnsi="Courier New"/>
                <w:sz w:val="16"/>
                <w:szCs w:val="16"/>
                <w:color w:val="auto"/>
              </w:rPr>
              <w:t>50,000(1)</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16.0(2)</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12.4375(3)</w:t>
            </w:r>
          </w:p>
        </w:tc>
        <w:tc>
          <w:tcPr>
            <w:tcW w:w="142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10/11/2010</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391,095</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991,110</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Edwin F. Barker ............</w:t>
            </w:r>
          </w:p>
        </w:tc>
        <w:tc>
          <w:tcPr>
            <w:tcW w:w="1660" w:type="dxa"/>
            <w:vAlign w:val="bottom"/>
          </w:tcPr>
          <w:p>
            <w:pPr>
              <w:jc w:val="right"/>
              <w:ind w:right="224"/>
              <w:spacing w:after="0"/>
              <w:rPr>
                <w:sz w:val="20"/>
                <w:szCs w:val="20"/>
                <w:color w:val="auto"/>
              </w:rPr>
            </w:pPr>
            <w:r>
              <w:rPr>
                <w:rFonts w:ascii="Courier New" w:cs="Courier New" w:eastAsia="Courier New" w:hAnsi="Courier New"/>
                <w:sz w:val="16"/>
                <w:szCs w:val="16"/>
                <w:color w:val="auto"/>
              </w:rPr>
              <w:t>10,000(1)</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12.4375(3)</w:t>
            </w:r>
          </w:p>
        </w:tc>
        <w:tc>
          <w:tcPr>
            <w:tcW w:w="142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10/11/2010</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78,219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198,222</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Raymond M. Beebe ...........</w:t>
            </w:r>
          </w:p>
        </w:tc>
        <w:tc>
          <w:tcPr>
            <w:tcW w:w="1660" w:type="dxa"/>
            <w:vAlign w:val="bottom"/>
          </w:tcPr>
          <w:p>
            <w:pPr>
              <w:jc w:val="right"/>
              <w:ind w:right="224"/>
              <w:spacing w:after="0"/>
              <w:rPr>
                <w:sz w:val="20"/>
                <w:szCs w:val="20"/>
                <w:color w:val="auto"/>
              </w:rPr>
            </w:pPr>
            <w:r>
              <w:rPr>
                <w:rFonts w:ascii="Courier New" w:cs="Courier New" w:eastAsia="Courier New" w:hAnsi="Courier New"/>
                <w:sz w:val="16"/>
                <w:szCs w:val="16"/>
                <w:color w:val="auto"/>
              </w:rPr>
              <w:t>10,000(1)</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12.4375(3)</w:t>
            </w:r>
          </w:p>
        </w:tc>
        <w:tc>
          <w:tcPr>
            <w:tcW w:w="142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10/11/2010</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78,219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198,222</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James P. Jaskoviak .........</w:t>
            </w:r>
          </w:p>
        </w:tc>
        <w:tc>
          <w:tcPr>
            <w:tcW w:w="1660" w:type="dxa"/>
            <w:vAlign w:val="bottom"/>
          </w:tcPr>
          <w:p>
            <w:pPr>
              <w:jc w:val="right"/>
              <w:ind w:right="224"/>
              <w:spacing w:after="0"/>
              <w:rPr>
                <w:sz w:val="20"/>
                <w:szCs w:val="20"/>
                <w:color w:val="auto"/>
              </w:rPr>
            </w:pPr>
            <w:r>
              <w:rPr>
                <w:rFonts w:ascii="Courier New" w:cs="Courier New" w:eastAsia="Courier New" w:hAnsi="Courier New"/>
                <w:sz w:val="16"/>
                <w:szCs w:val="16"/>
                <w:color w:val="auto"/>
              </w:rPr>
              <w:t>10,000(1)</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12.4375(3)</w:t>
            </w:r>
          </w:p>
        </w:tc>
        <w:tc>
          <w:tcPr>
            <w:tcW w:w="142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10/11/2010</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78,219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198,222</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Robert J. Olson ............</w:t>
            </w:r>
          </w:p>
        </w:tc>
        <w:tc>
          <w:tcPr>
            <w:tcW w:w="1660" w:type="dxa"/>
            <w:vAlign w:val="bottom"/>
          </w:tcPr>
          <w:p>
            <w:pPr>
              <w:jc w:val="right"/>
              <w:ind w:right="224"/>
              <w:spacing w:after="0"/>
              <w:rPr>
                <w:sz w:val="20"/>
                <w:szCs w:val="20"/>
                <w:color w:val="auto"/>
              </w:rPr>
            </w:pPr>
            <w:r>
              <w:rPr>
                <w:rFonts w:ascii="Courier New" w:cs="Courier New" w:eastAsia="Courier New" w:hAnsi="Courier New"/>
                <w:sz w:val="16"/>
                <w:szCs w:val="16"/>
                <w:color w:val="auto"/>
              </w:rPr>
              <w:t>10,000(1)</w:t>
            </w: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12.4375(3)</w:t>
            </w:r>
          </w:p>
        </w:tc>
        <w:tc>
          <w:tcPr>
            <w:tcW w:w="142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10/11/2010</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78,219</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198,222</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3660" w:hanging="464"/>
        <w:spacing w:after="0" w:line="237"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October 11, 2000, under the Company's 1997 Stock Option Plan. One-third of the options became exercisable on October 11, 2001, an additional one-third become exercisable on October 11, 2002, and the final one-third on October 11, 2003.</w:t>
      </w:r>
    </w:p>
    <w:p>
      <w:pPr>
        <w:spacing w:after="0" w:line="180"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total grants during fiscal 2001 of 312,000 shares.</w:t>
      </w:r>
    </w:p>
    <w:p>
      <w:pPr>
        <w:spacing w:after="0" w:line="184" w:lineRule="exact"/>
        <w:rPr>
          <w:rFonts w:ascii="Courier New" w:cs="Courier New" w:eastAsia="Courier New" w:hAnsi="Courier New"/>
          <w:sz w:val="16"/>
          <w:szCs w:val="16"/>
          <w:color w:val="auto"/>
        </w:rPr>
      </w:pPr>
    </w:p>
    <w:p>
      <w:pPr>
        <w:ind w:left="464" w:right="3660" w:hanging="464"/>
        <w:spacing w:after="0" w:line="237"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represents the mean between the high and low prices for a share of the Company's Common Stock on the New York Stock Exchange on October 11, 2000.</w:t>
      </w:r>
    </w:p>
    <w:p>
      <w:pPr>
        <w:spacing w:after="0" w:line="360" w:lineRule="exact"/>
        <w:rPr>
          <w:sz w:val="20"/>
          <w:szCs w:val="20"/>
          <w:color w:val="auto"/>
        </w:rPr>
      </w:pPr>
    </w:p>
    <w:p>
      <w:pPr>
        <w:ind w:left="1964"/>
        <w:spacing w:after="0"/>
        <w:rPr>
          <w:sz w:val="20"/>
          <w:szCs w:val="20"/>
          <w:color w:val="auto"/>
        </w:rPr>
      </w:pPr>
      <w:r>
        <w:rPr>
          <w:rFonts w:ascii="Courier New" w:cs="Courier New" w:eastAsia="Courier New" w:hAnsi="Courier New"/>
          <w:sz w:val="16"/>
          <w:szCs w:val="16"/>
          <w:color w:val="auto"/>
        </w:rPr>
        <w:t>AGGREGATED OPTION SHARES EXERCISED IN</w:t>
      </w:r>
    </w:p>
    <w:p>
      <w:pPr>
        <w:ind w:left="1304"/>
        <w:spacing w:after="0"/>
        <w:rPr>
          <w:sz w:val="20"/>
          <w:szCs w:val="20"/>
          <w:color w:val="auto"/>
        </w:rPr>
      </w:pPr>
      <w:r>
        <w:rPr>
          <w:rFonts w:ascii="Courier New" w:cs="Courier New" w:eastAsia="Courier New" w:hAnsi="Courier New"/>
          <w:sz w:val="16"/>
          <w:szCs w:val="16"/>
          <w:color w:val="auto"/>
        </w:rPr>
        <w:t>LAST FISCAL YEAR AND FISCAL YEAR-END OPTION VALUES</w:t>
      </w:r>
    </w:p>
    <w:p>
      <w:pPr>
        <w:spacing w:after="0" w:line="184" w:lineRule="exact"/>
        <w:rPr>
          <w:sz w:val="20"/>
          <w:szCs w:val="20"/>
          <w:color w:val="auto"/>
        </w:rPr>
      </w:pPr>
    </w:p>
    <w:p>
      <w:pPr>
        <w:ind w:left="4" w:right="3580" w:firstLine="469"/>
        <w:spacing w:after="0" w:line="237" w:lineRule="auto"/>
        <w:rPr>
          <w:sz w:val="20"/>
          <w:szCs w:val="20"/>
          <w:color w:val="auto"/>
        </w:rPr>
      </w:pPr>
      <w:r>
        <w:rPr>
          <w:rFonts w:ascii="Courier New" w:cs="Courier New" w:eastAsia="Courier New" w:hAnsi="Courier New"/>
          <w:sz w:val="16"/>
          <w:szCs w:val="16"/>
          <w:color w:val="auto"/>
        </w:rPr>
        <w:t>The following table provides information related to the stock options exercised during fiscal 2001 and the number and value of unexercised options at August 25, 2001, by the named executive officers.</w:t>
      </w:r>
    </w:p>
    <w:p>
      <w:pPr>
        <w:spacing w:after="0" w:line="200" w:lineRule="exact"/>
        <w:rPr>
          <w:sz w:val="20"/>
          <w:szCs w:val="20"/>
          <w:color w:val="auto"/>
        </w:rPr>
      </w:pPr>
    </w:p>
    <w:p>
      <w:pPr>
        <w:spacing w:after="0" w:line="340" w:lineRule="exact"/>
        <w:rPr>
          <w:sz w:val="20"/>
          <w:szCs w:val="20"/>
          <w:color w:val="auto"/>
        </w:rPr>
      </w:pPr>
    </w:p>
    <w:p>
      <w:pPr>
        <w:ind w:left="5724"/>
        <w:spacing w:after="0"/>
        <w:tabs>
          <w:tab w:leader="none" w:pos="8423" w:val="left"/>
        </w:tabs>
        <w:rPr>
          <w:sz w:val="20"/>
          <w:szCs w:val="20"/>
          <w:color w:val="auto"/>
        </w:rPr>
      </w:pPr>
      <w:r>
        <w:rPr>
          <w:rFonts w:ascii="Courier New" w:cs="Courier New" w:eastAsia="Courier New" w:hAnsi="Courier New"/>
          <w:sz w:val="16"/>
          <w:szCs w:val="16"/>
          <w:color w:val="auto"/>
        </w:rPr>
        <w:t>NUMBER OF UNEXERCISED</w:t>
      </w:r>
      <w:r>
        <w:rPr>
          <w:sz w:val="20"/>
          <w:szCs w:val="20"/>
          <w:color w:val="auto"/>
        </w:rPr>
        <w:tab/>
      </w:r>
      <w:r>
        <w:rPr>
          <w:rFonts w:ascii="Courier New" w:cs="Courier New" w:eastAsia="Courier New" w:hAnsi="Courier New"/>
          <w:sz w:val="15"/>
          <w:szCs w:val="15"/>
          <w:color w:val="auto"/>
        </w:rPr>
        <w:t>VALUE OF UNEXERCISED,</w:t>
      </w:r>
    </w:p>
    <w:p>
      <w:pPr>
        <w:ind w:left="2904"/>
        <w:spacing w:after="0"/>
        <w:tabs>
          <w:tab w:leader="none" w:pos="5983" w:val="left"/>
          <w:tab w:leader="none" w:pos="8423" w:val="left"/>
        </w:tabs>
        <w:rPr>
          <w:sz w:val="20"/>
          <w:szCs w:val="20"/>
          <w:color w:val="auto"/>
        </w:rPr>
      </w:pPr>
      <w:r>
        <w:rPr>
          <w:rFonts w:ascii="Courier New" w:cs="Courier New" w:eastAsia="Courier New" w:hAnsi="Courier New"/>
          <w:sz w:val="16"/>
          <w:szCs w:val="16"/>
          <w:color w:val="auto"/>
        </w:rPr>
        <w:t>NUMBER OF</w:t>
      </w:r>
      <w:r>
        <w:rPr>
          <w:sz w:val="20"/>
          <w:szCs w:val="20"/>
          <w:color w:val="auto"/>
        </w:rPr>
        <w:tab/>
      </w:r>
      <w:r>
        <w:rPr>
          <w:rFonts w:ascii="Courier New" w:cs="Courier New" w:eastAsia="Courier New" w:hAnsi="Courier New"/>
          <w:sz w:val="16"/>
          <w:szCs w:val="16"/>
          <w:color w:val="auto"/>
        </w:rPr>
        <w:t>OPTIONS HELD AT</w:t>
      </w:r>
      <w:r>
        <w:rPr>
          <w:sz w:val="20"/>
          <w:szCs w:val="20"/>
          <w:color w:val="auto"/>
        </w:rPr>
        <w:tab/>
      </w:r>
      <w:r>
        <w:rPr>
          <w:rFonts w:ascii="Courier New" w:cs="Courier New" w:eastAsia="Courier New" w:hAnsi="Courier New"/>
          <w:sz w:val="15"/>
          <w:szCs w:val="15"/>
          <w:color w:val="auto"/>
        </w:rPr>
        <w:t>IN-THE-MONEY OPTIONS AT</w:t>
      </w:r>
    </w:p>
    <w:p>
      <w:pPr>
        <w:ind w:left="3104"/>
        <w:spacing w:after="0"/>
        <w:tabs>
          <w:tab w:leader="none" w:pos="5983" w:val="left"/>
          <w:tab w:leader="none" w:pos="870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AUGUST 25, 2001</w:t>
      </w:r>
      <w:r>
        <w:rPr>
          <w:sz w:val="20"/>
          <w:szCs w:val="20"/>
          <w:color w:val="auto"/>
        </w:rPr>
        <w:tab/>
      </w:r>
      <w:r>
        <w:rPr>
          <w:rFonts w:ascii="Courier New" w:cs="Courier New" w:eastAsia="Courier New" w:hAnsi="Courier New"/>
          <w:sz w:val="15"/>
          <w:szCs w:val="15"/>
          <w:color w:val="auto"/>
        </w:rPr>
        <w:t>AUGUST 25, 2001(2)</w:t>
      </w:r>
    </w:p>
    <w:p>
      <w:pPr>
        <w:ind w:left="2824"/>
        <w:spacing w:after="0"/>
        <w:tabs>
          <w:tab w:leader="none" w:pos="4383" w:val="left"/>
          <w:tab w:leader="none" w:pos="5323" w:val="left"/>
        </w:tabs>
        <w:rPr>
          <w:sz w:val="20"/>
          <w:szCs w:val="20"/>
          <w:color w:val="auto"/>
        </w:rPr>
      </w:pPr>
      <w:r>
        <w:rPr>
          <w:rFonts w:ascii="Courier New" w:cs="Courier New" w:eastAsia="Courier New" w:hAnsi="Courier New"/>
          <w:sz w:val="16"/>
          <w:szCs w:val="16"/>
          <w:color w:val="auto"/>
        </w:rPr>
        <w:t>ACQUIRED ON</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5"/>
          <w:szCs w:val="15"/>
          <w:color w:val="auto"/>
        </w:rPr>
        <w:t>----------------------------- -----------------------------</w:t>
      </w:r>
    </w:p>
    <w:p>
      <w:pPr>
        <w:ind w:left="4"/>
        <w:spacing w:after="0"/>
        <w:tabs>
          <w:tab w:leader="none" w:pos="2983" w:val="left"/>
          <w:tab w:leader="none" w:pos="4103" w:val="left"/>
          <w:tab w:leader="none" w:pos="5423" w:val="left"/>
          <w:tab w:leader="none" w:pos="6723" w:val="left"/>
          <w:tab w:leader="none" w:pos="8243" w:val="left"/>
          <w:tab w:leader="none" w:pos="9543"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REALIZED(1)</w:t>
        <w:tab/>
        <w:t>EXERCISABLE</w:t>
        <w:tab/>
        <w:t>UNEXERCISABLE</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 -------------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20" w:type="dxa"/>
            <w:vAlign w:val="bottom"/>
            <w:gridSpan w:val="2"/>
          </w:tcPr>
          <w:p>
            <w:pPr>
              <w:spacing w:after="0"/>
              <w:rPr>
                <w:sz w:val="20"/>
                <w:szCs w:val="20"/>
                <w:color w:val="auto"/>
              </w:rPr>
            </w:pPr>
            <w:r>
              <w:rPr>
                <w:rFonts w:ascii="Courier New" w:cs="Courier New" w:eastAsia="Courier New" w:hAnsi="Courier New"/>
                <w:sz w:val="16"/>
                <w:szCs w:val="16"/>
                <w:color w:val="auto"/>
              </w:rPr>
              <w:t>Bruce D. Hertzke ...........</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24,000</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$413,780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105,916</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42,334</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$1,755,374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$605,107</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Edwin</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F. Barker ............</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31,000</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508,333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43,333</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8,667</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777,611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122,929</w:t>
            </w:r>
          </w:p>
        </w:tc>
      </w:tr>
      <w:tr>
        <w:trPr>
          <w:trHeight w:val="180"/>
        </w:trPr>
        <w:tc>
          <w:tcPr>
            <w:tcW w:w="2820" w:type="dxa"/>
            <w:vAlign w:val="bottom"/>
            <w:gridSpan w:val="2"/>
          </w:tcPr>
          <w:p>
            <w:pPr>
              <w:spacing w:after="0"/>
              <w:rPr>
                <w:sz w:val="20"/>
                <w:szCs w:val="20"/>
                <w:color w:val="auto"/>
              </w:rPr>
            </w:pPr>
            <w:r>
              <w:rPr>
                <w:rFonts w:ascii="Courier New" w:cs="Courier New" w:eastAsia="Courier New" w:hAnsi="Courier New"/>
                <w:sz w:val="16"/>
                <w:szCs w:val="16"/>
                <w:color w:val="auto"/>
              </w:rPr>
              <w:t>Raymond M. Beebe ...........</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31,000</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508,333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43,333</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8,667</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777,611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122,929</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James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P. Jaskoviak .........</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12,000</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324,240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13,335</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8,667</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201,383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122,929</w:t>
            </w:r>
          </w:p>
        </w:tc>
      </w:tr>
      <w:tr>
        <w:trPr>
          <w:trHeight w:val="180"/>
        </w:trPr>
        <w:tc>
          <w:tcPr>
            <w:tcW w:w="2820" w:type="dxa"/>
            <w:vAlign w:val="bottom"/>
            <w:gridSpan w:val="2"/>
          </w:tcPr>
          <w:p>
            <w:pPr>
              <w:spacing w:after="0"/>
              <w:rPr>
                <w:sz w:val="20"/>
                <w:szCs w:val="20"/>
                <w:color w:val="auto"/>
              </w:rPr>
            </w:pPr>
            <w:r>
              <w:rPr>
                <w:rFonts w:ascii="Courier New" w:cs="Courier New" w:eastAsia="Courier New" w:hAnsi="Courier New"/>
                <w:sz w:val="16"/>
                <w:szCs w:val="16"/>
                <w:color w:val="auto"/>
              </w:rPr>
              <w:t>Robert J. Olson ............</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178,640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25,333</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8,667</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424,001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122,929</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4040" w:hanging="384"/>
        <w:spacing w:after="0" w:line="237" w:lineRule="auto"/>
        <w:tabs>
          <w:tab w:leader="none" w:pos="3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realized is the difference between the market price of the Company's Common Stock on the date such options were exercised and the exercise price.</w:t>
      </w:r>
    </w:p>
    <w:p>
      <w:pPr>
        <w:spacing w:after="0" w:line="184" w:lineRule="exact"/>
        <w:rPr>
          <w:rFonts w:ascii="Courier New" w:cs="Courier New" w:eastAsia="Courier New" w:hAnsi="Courier New"/>
          <w:sz w:val="16"/>
          <w:szCs w:val="16"/>
          <w:color w:val="auto"/>
        </w:rPr>
      </w:pPr>
    </w:p>
    <w:p>
      <w:pPr>
        <w:ind w:left="384" w:right="3580" w:hanging="384"/>
        <w:spacing w:after="0" w:line="257" w:lineRule="auto"/>
        <w:tabs>
          <w:tab w:leader="none" w:pos="38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amount by which $28.02 (the closing price of the Company's Common Stock on August 24, 2001 (August 25, 2001 being a non-business day)) exceeded the exercise prices of unexercised options. There is no guarantee that, if and when these options are exercised, they will have this value.</w:t>
      </w:r>
    </w:p>
    <w:p>
      <w:pPr>
        <w:spacing w:after="0" w:line="34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PENSION PLANS</w:t>
      </w:r>
    </w:p>
    <w:p>
      <w:pPr>
        <w:spacing w:after="0" w:line="185" w:lineRule="exact"/>
        <w:rPr>
          <w:sz w:val="20"/>
          <w:szCs w:val="20"/>
          <w:color w:val="auto"/>
        </w:rPr>
      </w:pPr>
    </w:p>
    <w:p>
      <w:pPr>
        <w:ind w:left="4" w:right="3580" w:firstLine="469"/>
        <w:spacing w:after="0" w:line="236" w:lineRule="auto"/>
        <w:rPr>
          <w:sz w:val="20"/>
          <w:szCs w:val="20"/>
          <w:color w:val="auto"/>
        </w:rPr>
      </w:pPr>
      <w:r>
        <w:rPr>
          <w:rFonts w:ascii="Courier New" w:cs="Courier New" w:eastAsia="Courier New" w:hAnsi="Courier New"/>
          <w:sz w:val="16"/>
          <w:szCs w:val="16"/>
          <w:color w:val="auto"/>
        </w:rPr>
        <w:t>The Company does not provide pension benefits for its employees, including executive officers.</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984"/>
          </w:cols>
          <w:pgMar w:left="236" w:top="834" w:right="679" w:bottom="828"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REPORT OF THE HUMAN RESOURCES COMMITTEE ON EXECUTIVE COMPENSATION</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1" w:lineRule="exact"/>
        <w:rPr>
          <w:sz w:val="20"/>
          <w:szCs w:val="20"/>
          <w:color w:val="auto"/>
        </w:rPr>
      </w:pPr>
    </w:p>
    <w:p>
      <w:pPr>
        <w:ind w:left="940" w:hanging="475"/>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Align the interests of management with those of shareholders;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fair and competitive compensation;</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Integrate compensation with the Company's business plans;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Reward both business and individual performance; and</w:t>
      </w:r>
    </w:p>
    <w:p>
      <w:pPr>
        <w:spacing w:after="0" w:line="184" w:lineRule="exact"/>
        <w:rPr>
          <w:rFonts w:ascii="Courier New" w:cs="Courier New" w:eastAsia="Courier New" w:hAnsi="Courier New"/>
          <w:sz w:val="16"/>
          <w:szCs w:val="16"/>
          <w:color w:val="auto"/>
        </w:rPr>
      </w:pPr>
    </w:p>
    <w:p>
      <w:pPr>
        <w:ind w:left="940" w:right="3279" w:hanging="475"/>
        <w:spacing w:after="0" w:line="236"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and retain key executives critical to the success of the Company.</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Base salary levels for the Company's executive officers are set by the Committee and approved by the Board of Directors. In determining base salary levels and annual salary adjustments for executive officers, including the Chief Executive Officer (CEO), the Committee considers market compensation levels of similarly sized manufacturing companies as well as individual performance and contributions.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base salary of Mr. Hertzke as the CEO was $350,000 for the period from the beginning of fiscal 2001 until January 1, 2001 and 425,000 thereafter and in fiscal 2000 was $300,000 for the period from the beginning of fiscal 2000 until January 1, 2000 and $350,000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Company's officers including the CEO are eligible for quarterly incentive awards under the Company's Officers Incentive Compensation Plan (the "INCENTIVE COMPENSATION PLAN" ). Under the Incentive Compensation Plan, the incentive awards are based upon financial performance of the Company, as established by the Board of Directors. The Compensation Plan is an annual program that provides for quarterly cumulative measurements of financial performance and an opportunity for quarterly incentive payments based on financial results measured against the management plan adopted by the Board of Directors (the "MANAGEMENT PLAN" ).</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financial performance measurements for the Incentive Compensation Plan are earnings per share (EPS) and return on equity (ROE)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Incentive Compensation Plan provides an excellent link between the value created for shareholders and incentives paid to participants.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Under the Incentive Compensation Plan, the amount of the participants' incentive compensation for the quarter shall be in direct proportion to the Company's financial performance expressed as a percentage (Financial Factor) against the base salary bonus (Target) for each participant as determined by the Board of Directors prior to the commencement of the fiscal year.</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Incentive Compensation Plan provides for a bonus (Target) of 60% of base salary, comprised of (2/3) cash and (1/3) stock at 100% achievement of the financial objectives of EPS and ROE for</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34" w:right="1440" w:bottom="828" w:gutter="0" w:footer="0" w:header="0"/>
        </w:sectPr>
      </w:pPr>
    </w:p>
    <w:bookmarkStart w:id="11" w:name="page12"/>
    <w:bookmarkEnd w:id="11"/>
    <w:p>
      <w:pPr>
        <w:ind w:right="2719"/>
        <w:spacing w:after="0" w:line="237" w:lineRule="auto"/>
        <w:rPr>
          <w:sz w:val="20"/>
          <w:szCs w:val="20"/>
          <w:color w:val="auto"/>
        </w:rPr>
      </w:pPr>
      <w:r>
        <w:rPr>
          <w:rFonts w:ascii="Courier New" w:cs="Courier New" w:eastAsia="Courier New" w:hAnsi="Courier New"/>
          <w:sz w:val="16"/>
          <w:szCs w:val="16"/>
          <w:color w:val="auto"/>
        </w:rPr>
        <w:t>participating officers, except the CEO. The Incentive Compensation Plan provides for a bonus (Target) of 87.5% of base salary, comprised of (2/3) cash and (1/3) stock at 100% achievement of the financial objectives of EPS and ROE for the CEO.</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8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25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Revenue Growth</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o</w:t>
            </w:r>
          </w:p>
        </w:tc>
        <w:tc>
          <w:tcPr>
            <w:tcW w:w="2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Customer Satisfaction</w:t>
            </w:r>
          </w:p>
        </w:tc>
      </w:tr>
      <w:tr>
        <w:trPr>
          <w:trHeight w:val="180"/>
        </w:trPr>
        <w:tc>
          <w:tcPr>
            <w:tcW w:w="28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25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Market Share</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o</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Inventory</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Management</w:t>
            </w:r>
          </w:p>
        </w:tc>
      </w:tr>
      <w:tr>
        <w:trPr>
          <w:trHeight w:val="180"/>
        </w:trPr>
        <w:tc>
          <w:tcPr>
            <w:tcW w:w="28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Product</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Quality</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o</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Technical</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Innovation</w:t>
            </w:r>
          </w:p>
        </w:tc>
      </w:tr>
      <w:tr>
        <w:trPr>
          <w:trHeight w:val="180"/>
        </w:trPr>
        <w:tc>
          <w:tcPr>
            <w:tcW w:w="280" w:type="dxa"/>
            <w:vAlign w:val="bottom"/>
          </w:tcPr>
          <w:p>
            <w:pPr>
              <w:spacing w:after="0"/>
              <w:rPr>
                <w:sz w:val="20"/>
                <w:szCs w:val="20"/>
                <w:color w:val="auto"/>
              </w:rPr>
            </w:pPr>
            <w:r>
              <w:rPr>
                <w:rFonts w:ascii="Courier New" w:cs="Courier New" w:eastAsia="Courier New" w:hAnsi="Courier New"/>
                <w:sz w:val="16"/>
                <w:szCs w:val="16"/>
                <w:color w:val="auto"/>
              </w:rPr>
              <w:t>o</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Product</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Introductions</w:t>
            </w:r>
          </w:p>
        </w:tc>
        <w:tc>
          <w:tcPr>
            <w:tcW w:w="660" w:type="dxa"/>
            <w:vAlign w:val="bottom"/>
          </w:tcPr>
          <w:p>
            <w:pPr>
              <w:ind w:left="380"/>
              <w:spacing w:after="0"/>
              <w:rPr>
                <w:sz w:val="20"/>
                <w:szCs w:val="20"/>
                <w:color w:val="auto"/>
              </w:rPr>
            </w:pPr>
            <w:r>
              <w:rPr>
                <w:rFonts w:ascii="Courier New" w:cs="Courier New" w:eastAsia="Courier New" w:hAnsi="Courier New"/>
                <w:sz w:val="16"/>
                <w:szCs w:val="16"/>
                <w:color w:val="auto"/>
              </w:rPr>
              <w:t>o</w:t>
            </w:r>
          </w:p>
        </w:tc>
        <w:tc>
          <w:tcPr>
            <w:tcW w:w="26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Ethical Business Practices</w:t>
            </w:r>
          </w:p>
        </w:tc>
      </w:tr>
    </w:tbl>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Incentive Compensation Plan, 50% of the total cash incentives earned for the year are matched annually and paid in restricted stock to encourage stock ownership and promote the long-term growth and profitability of the Company.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event of a "Change in Control" (as defined in the Incentive Compensation Plan) participants are entitled to receive awards (including the annual stock match payment) within 15 days of the Effective Date (as defined in the Incentive Compensation Plan) based on the Committee's estimate of the Company's financial performance through the end of the fiscal year in which such Change in Control occurs.</w:t>
      </w:r>
    </w:p>
    <w:p>
      <w:pPr>
        <w:spacing w:after="0" w:line="189"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Financial performance of less than 80% of the Management Plan for both EPS and ROE results in no bonus and the maximum bonus will be paid at attainment of 125% of the Management Plan for both elements.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As provided by the Incentive Compensation Plan, the Committee has the discretion and authority to make any and all determinations necessary or advisable for administration of the Incentive Compensation Plan. The Committee decided and the Board of Directors approved the measurement of financial performance for the third and fourth quarters of fiscal 2001 using only the EPS element of the Incentive Compensation Plan against the financial plan as previously established.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Mr. Hertzke received $256,836 in cash and $128,418 in restricted Common Stock in fiscal 2001 and $454,099 in cash and $227,050 in restricted Common Stock in fiscal 2000 pursuant to the Incentive Compensation Plan. In addition, Mr. Hertzke was awarded discretionary bonuses of $100,000 in both fiscal 2001 and fiscal 2000 in restricted Common Stock based on the Committee's positive assessment of his performance and contributions as CEO.</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Company's officers (including the CEO) are eligible for annual incentive awards under the Company's Officers Long-Term Incentive Plan (the "LONG-TERM INCENTIVE PLAN" ). The purpose of the Long-Term Incentive Plan is to promote the long-term growth and profitability of the Company and to attract and retain officers by providing the officers of the Company an opportunity for an incentive award consisting of stock grants made in restricted shares of the Company's Common Stock based on the achievement of long-term performance results as measured at the end of a three year fiscal period.</w:t>
      </w:r>
    </w:p>
    <w:p>
      <w:pPr>
        <w:spacing w:after="0" w:line="173"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9" w:right="1440" w:bottom="1440" w:gutter="0" w:footer="0" w:header="0"/>
        </w:sectPr>
      </w:pPr>
    </w:p>
    <w:bookmarkStart w:id="12" w:name="page13"/>
    <w:bookmarkEnd w:id="12"/>
    <w:p>
      <w:pPr>
        <w:ind w:right="2719" w:firstLine="469"/>
        <w:spacing w:after="0" w:line="238" w:lineRule="auto"/>
        <w:rPr>
          <w:sz w:val="20"/>
          <w:szCs w:val="20"/>
          <w:color w:val="auto"/>
        </w:rPr>
      </w:pPr>
      <w:r>
        <w:rPr>
          <w:rFonts w:ascii="Courier New" w:cs="Courier New" w:eastAsia="Courier New" w:hAnsi="Courier New"/>
          <w:sz w:val="16"/>
          <w:szCs w:val="16"/>
          <w:color w:val="auto"/>
        </w:rPr>
        <w:t>The long-term incentive for the officers provides for an opportunity of 25% of the annualized base salary (Target) to be awarded in restricted stock at 100% achievement of the financial long-term objectives of EPS and ROE. The annualized base salary figure used is the salary in place for each participant as of January 2001. The stock target opportunity is established by dividing the base salary target by the mean stock price as of the first business day of the three fiscal year period. The resultant stock unit share opportunity (at 100% of the three fiscal year management plan) will be adjusted up or down as determined by actual financial performance expressed as a percentage (Financial Factor) at the end of the three fiscal year period.</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 participant must be employed by the Company at the end of the three fiscal year period to be eligible for any long-term incentive award except as waived by the Committee for normal retirement and disability.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Mr. Hertzke received $265,033 in fiscal 2001 in restricted Common Stock pursuant to the Long-Term Incentive Plan for the three year fiscal period ending August 25, 2001.</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50,000 shares of the Company's Common Stock in fiscal 2001 and stock options for 27,000 shares of the Company's Common Stock in fiscal 2000 under the 1997 Stock Option Plan.</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7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No member of the Human Resources Committee is a current or former officer or employee of the Company or any of its subsidiaries.</w:t>
      </w:r>
    </w:p>
    <w:p>
      <w:pPr>
        <w:spacing w:after="0" w:line="180" w:lineRule="exact"/>
        <w:rPr>
          <w:sz w:val="20"/>
          <w:szCs w:val="20"/>
          <w:color w:val="auto"/>
        </w:rPr>
      </w:pPr>
    </w:p>
    <w:p>
      <w:pPr>
        <w:ind w:left="940"/>
        <w:spacing w:after="0"/>
        <w:tabs>
          <w:tab w:leader="none" w:pos="2600" w:val="left"/>
          <w:tab w:leader="none" w:pos="4380" w:val="left"/>
        </w:tabs>
        <w:rPr>
          <w:sz w:val="20"/>
          <w:szCs w:val="20"/>
          <w:color w:val="auto"/>
        </w:rPr>
      </w:pPr>
      <w:r>
        <w:rPr>
          <w:rFonts w:ascii="Courier New" w:cs="Courier New" w:eastAsia="Courier New" w:hAnsi="Courier New"/>
          <w:sz w:val="16"/>
          <w:szCs w:val="16"/>
          <w:color w:val="auto"/>
        </w:rPr>
        <w:t>Gerald C. Kitch</w:t>
        <w:tab/>
        <w:t>Richard C. Scott</w:t>
      </w:r>
      <w:r>
        <w:rPr>
          <w:sz w:val="20"/>
          <w:szCs w:val="20"/>
          <w:color w:val="auto"/>
        </w:rPr>
        <w:tab/>
      </w:r>
      <w:r>
        <w:rPr>
          <w:rFonts w:ascii="Courier New" w:cs="Courier New" w:eastAsia="Courier New" w:hAnsi="Courier New"/>
          <w:sz w:val="15"/>
          <w:szCs w:val="15"/>
          <w:color w:val="auto"/>
        </w:rPr>
        <w:t>Frederick M. Zimmerman</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Members of the Human Resources Committee</w:t>
      </w:r>
    </w:p>
    <w:p>
      <w:pPr>
        <w:ind w:left="2620"/>
        <w:spacing w:after="0"/>
        <w:rPr>
          <w:sz w:val="20"/>
          <w:szCs w:val="20"/>
          <w:color w:val="auto"/>
        </w:rPr>
      </w:pPr>
      <w:r>
        <w:rPr>
          <w:rFonts w:ascii="Courier New" w:cs="Courier New" w:eastAsia="Courier New" w:hAnsi="Courier New"/>
          <w:sz w:val="16"/>
          <w:szCs w:val="16"/>
          <w:color w:val="auto"/>
        </w:rPr>
        <w:t>of the Board of Directors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39" w:right="1440" w:bottom="1440" w:gutter="0" w:footer="0" w:header="0"/>
        </w:sectPr>
      </w:pPr>
    </w:p>
    <w:bookmarkStart w:id="13" w:name="page14"/>
    <w:bookmarkEnd w:id="13"/>
    <w:p>
      <w:pPr>
        <w:jc w:val="center"/>
        <w:ind w:right="3916"/>
        <w:spacing w:after="0"/>
        <w:rPr>
          <w:sz w:val="20"/>
          <w:szCs w:val="20"/>
          <w:color w:val="auto"/>
        </w:rPr>
      </w:pPr>
      <w:r>
        <w:rPr>
          <w:rFonts w:ascii="Courier New" w:cs="Courier New" w:eastAsia="Courier New" w:hAnsi="Courier New"/>
          <w:sz w:val="16"/>
          <w:szCs w:val="16"/>
          <w:color w:val="auto"/>
        </w:rPr>
        <w:t>PERFORMANCE GRAPH</w:t>
      </w:r>
    </w:p>
    <w:p>
      <w:pPr>
        <w:spacing w:after="0" w:line="185" w:lineRule="exact"/>
        <w:rPr>
          <w:sz w:val="20"/>
          <w:szCs w:val="20"/>
          <w:color w:val="auto"/>
        </w:rPr>
      </w:pPr>
    </w:p>
    <w:p>
      <w:pPr>
        <w:ind w:left="4" w:right="4020" w:firstLine="469"/>
        <w:spacing w:after="0" w:line="255" w:lineRule="auto"/>
        <w:rPr>
          <w:sz w:val="20"/>
          <w:szCs w:val="20"/>
          <w:color w:val="auto"/>
        </w:rPr>
      </w:pPr>
      <w:r>
        <w:rPr>
          <w:rFonts w:ascii="Courier New" w:cs="Courier New" w:eastAsia="Courier New" w:hAnsi="Courier New"/>
          <w:sz w:val="15"/>
          <w:szCs w:val="15"/>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 on August 30, 1996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354" w:lineRule="exact"/>
        <w:rPr>
          <w:sz w:val="20"/>
          <w:szCs w:val="20"/>
          <w:color w:val="auto"/>
        </w:rPr>
      </w:pPr>
    </w:p>
    <w:p>
      <w:pPr>
        <w:ind w:left="1604"/>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COMPANY NAME/INDEX</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8/30/96</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8/29/97</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8/28/98</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8/27/99</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8/25/00</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8/24/01</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w w:val="94"/>
              </w:rPr>
              <w:t>-----------</w:t>
            </w:r>
          </w:p>
        </w:tc>
      </w:tr>
      <w:tr>
        <w:trPr>
          <w:trHeight w:val="36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Winnebago Industries, Inc. .........</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105.98</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143.81</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313.74</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170.04</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376.60</w:t>
            </w: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S&amp;P 500 Index ......................</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140.65</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152.03</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212.58</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247.27</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186.97</w:t>
            </w:r>
          </w:p>
        </w:tc>
      </w:tr>
      <w:tr>
        <w:trPr>
          <w:trHeight w:val="180"/>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Peer Group .........................</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118.17</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137.45</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130.96</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88.55</w:t>
            </w:r>
          </w:p>
        </w:tc>
        <w:tc>
          <w:tcPr>
            <w:tcW w:w="11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112.73</w:t>
            </w:r>
          </w:p>
        </w:tc>
      </w:tr>
    </w:tbl>
    <w:p>
      <w:pPr>
        <w:spacing w:after="0" w:line="365" w:lineRule="exact"/>
        <w:rPr>
          <w:sz w:val="20"/>
          <w:szCs w:val="20"/>
          <w:color w:val="auto"/>
        </w:rPr>
      </w:pPr>
    </w:p>
    <w:p>
      <w:pPr>
        <w:ind w:left="464" w:right="4300" w:hanging="464"/>
        <w:spacing w:after="0" w:line="236" w:lineRule="auto"/>
        <w:tabs>
          <w:tab w:leader="none" w:pos="46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invested on 8/30/1996 in stock or index - including reinvestment of dividends.</w:t>
      </w:r>
    </w:p>
    <w:p>
      <w:pPr>
        <w:spacing w:after="0" w:line="185" w:lineRule="exact"/>
        <w:rPr>
          <w:sz w:val="20"/>
          <w:szCs w:val="20"/>
          <w:color w:val="auto"/>
        </w:rPr>
      </w:pPr>
    </w:p>
    <w:p>
      <w:pPr>
        <w:ind w:left="464" w:right="4020" w:hanging="464"/>
        <w:spacing w:after="0" w:line="237" w:lineRule="auto"/>
        <w:tabs>
          <w:tab w:leader="none" w:pos="4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companies, consisting of Coachmen Industries, Inc., Fleetwood Enterprises, Inc., Monaco Coach Corporation, National R.V. Holdings, Inc., Thor Industries, Inc. and Winnebago Industries, Inc. were selected by the Company on the basis of the similarity of their business to that of the Company.</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524"/>
          </w:cols>
          <w:pgMar w:left="236" w:top="834" w:right="139" w:bottom="1440" w:gutter="0" w:footer="0" w:header="0"/>
        </w:sectPr>
      </w:pPr>
    </w:p>
    <w:bookmarkStart w:id="14" w:name="page15"/>
    <w:bookmarkEnd w:id="14"/>
    <w:p>
      <w:pPr>
        <w:ind w:left="2444"/>
        <w:spacing w:after="0"/>
        <w:rPr>
          <w:sz w:val="20"/>
          <w:szCs w:val="20"/>
          <w:color w:val="auto"/>
        </w:rPr>
      </w:pPr>
      <w:r>
        <w:rPr>
          <w:rFonts w:ascii="Courier New" w:cs="Courier New" w:eastAsia="Courier New" w:hAnsi="Courier New"/>
          <w:sz w:val="16"/>
          <w:szCs w:val="16"/>
          <w:color w:val="auto"/>
        </w:rPr>
        <w:t>REPORT OF THE AUDIT COMMITTEE</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AUDIT COMMITTEE CHARTER ATTACHED HERETO AS APPENDIX A SHALL NOT BE DEEMED TO BE INCORPORATED BY REFERENCE INTO ANY SUCH FILINGS.</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Audit Committee hereby reports as follows:</w:t>
      </w:r>
    </w:p>
    <w:p>
      <w:pPr>
        <w:spacing w:after="0" w:line="185" w:lineRule="exact"/>
        <w:rPr>
          <w:sz w:val="20"/>
          <w:szCs w:val="20"/>
          <w:color w:val="auto"/>
        </w:rPr>
      </w:pPr>
    </w:p>
    <w:p>
      <w:pPr>
        <w:jc w:val="both"/>
        <w:ind w:left="4" w:right="3099" w:firstLine="465"/>
        <w:spacing w:after="0" w:line="259" w:lineRule="auto"/>
        <w:tabs>
          <w:tab w:leader="none" w:pos="754"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has reviewed and discussed the audited financial statements for the fiscal year ended August 25, 2001 (the "Audited Financial Statements") with Winnebago Industries, Inc.'s management.</w:t>
      </w:r>
    </w:p>
    <w:p>
      <w:pPr>
        <w:spacing w:after="0" w:line="171" w:lineRule="exact"/>
        <w:rPr>
          <w:rFonts w:ascii="Courier New" w:cs="Courier New" w:eastAsia="Courier New" w:hAnsi="Courier New"/>
          <w:sz w:val="15"/>
          <w:szCs w:val="15"/>
          <w:color w:val="auto"/>
        </w:rPr>
      </w:pPr>
    </w:p>
    <w:p>
      <w:pPr>
        <w:ind w:left="4" w:right="2719" w:firstLine="465"/>
        <w:spacing w:after="0" w:line="237" w:lineRule="auto"/>
        <w:tabs>
          <w:tab w:leader="none" w:pos="75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has discussed with Deloitte &amp; Touche LLP, the Company's independent accountants, the matters required to be discussed by Statement on Auditing Standards No. 61 (Communication with Audit Committees), as in effect on the date of this Proxy Statement.</w:t>
      </w:r>
    </w:p>
    <w:p>
      <w:pPr>
        <w:spacing w:after="0" w:line="185" w:lineRule="exact"/>
        <w:rPr>
          <w:rFonts w:ascii="Courier New" w:cs="Courier New" w:eastAsia="Courier New" w:hAnsi="Courier New"/>
          <w:sz w:val="16"/>
          <w:szCs w:val="16"/>
          <w:color w:val="auto"/>
        </w:rPr>
      </w:pPr>
    </w:p>
    <w:p>
      <w:pPr>
        <w:ind w:left="4" w:right="2719" w:firstLine="465"/>
        <w:spacing w:after="0" w:line="237" w:lineRule="auto"/>
        <w:tabs>
          <w:tab w:leader="none" w:pos="75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has received the written disclosures and the letter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87" w:lineRule="exact"/>
        <w:rPr>
          <w:rFonts w:ascii="Courier New" w:cs="Courier New" w:eastAsia="Courier New" w:hAnsi="Courier New"/>
          <w:sz w:val="16"/>
          <w:szCs w:val="16"/>
          <w:color w:val="auto"/>
        </w:rPr>
      </w:pPr>
    </w:p>
    <w:p>
      <w:pPr>
        <w:ind w:left="744" w:hanging="275"/>
        <w:spacing w:after="0"/>
        <w:tabs>
          <w:tab w:leader="none" w:pos="744"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review and discussion referred to in paragraphs (1) through</w:t>
      </w:r>
    </w:p>
    <w:p>
      <w:pPr>
        <w:spacing w:after="0" w:line="10" w:lineRule="exact"/>
        <w:rPr>
          <w:rFonts w:ascii="Courier New" w:cs="Courier New" w:eastAsia="Courier New" w:hAnsi="Courier New"/>
          <w:sz w:val="15"/>
          <w:szCs w:val="15"/>
          <w:color w:val="auto"/>
        </w:rPr>
      </w:pPr>
    </w:p>
    <w:p>
      <w:pPr>
        <w:ind w:left="4" w:right="2899" w:hanging="4"/>
        <w:spacing w:after="0" w:line="237" w:lineRule="auto"/>
        <w:tabs>
          <w:tab w:leader="none" w:pos="37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Audit Committee recommended to the Board of Directors of Winnebago Industries, Inc., and the Board has approved, that the Audited Financial Statements be included in Winnebago Industries, Inc.'s Annual Report on Form 10-K for the fiscal year ended August 25, 2001, for filing with the Securities and Exchange Commission.</w:t>
      </w:r>
    </w:p>
    <w:p>
      <w:pPr>
        <w:spacing w:after="0" w:line="187"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A copy of the Audit Committee Charter, as last updated as of November 28, 2001, is attached to this Proxy Statement as Appendix A.</w:t>
      </w:r>
    </w:p>
    <w:p>
      <w:pPr>
        <w:spacing w:after="0" w:line="180" w:lineRule="exact"/>
        <w:rPr>
          <w:sz w:val="20"/>
          <w:szCs w:val="20"/>
          <w:color w:val="auto"/>
        </w:rPr>
      </w:pPr>
    </w:p>
    <w:p>
      <w:pPr>
        <w:ind w:left="5164"/>
        <w:spacing w:after="0"/>
        <w:rPr>
          <w:sz w:val="20"/>
          <w:szCs w:val="20"/>
          <w:color w:val="auto"/>
        </w:rPr>
      </w:pPr>
      <w:r>
        <w:rPr>
          <w:rFonts w:ascii="Courier New" w:cs="Courier New" w:eastAsia="Courier New" w:hAnsi="Courier New"/>
          <w:sz w:val="16"/>
          <w:szCs w:val="16"/>
          <w:color w:val="auto"/>
        </w:rPr>
        <w:t>THE AUDIT COMMITTEE:</w:t>
      </w:r>
    </w:p>
    <w:p>
      <w:pPr>
        <w:spacing w:after="0" w:line="4" w:lineRule="exact"/>
        <w:rPr>
          <w:sz w:val="20"/>
          <w:szCs w:val="20"/>
          <w:color w:val="auto"/>
        </w:rPr>
      </w:pPr>
    </w:p>
    <w:p>
      <w:pPr>
        <w:ind w:left="5164"/>
        <w:spacing w:after="0"/>
        <w:rPr>
          <w:sz w:val="20"/>
          <w:szCs w:val="20"/>
          <w:color w:val="auto"/>
        </w:rPr>
      </w:pPr>
      <w:r>
        <w:rPr>
          <w:rFonts w:ascii="Courier New" w:cs="Courier New" w:eastAsia="Courier New" w:hAnsi="Courier New"/>
          <w:sz w:val="15"/>
          <w:szCs w:val="15"/>
          <w:color w:val="auto"/>
        </w:rPr>
        <w:t>Joseph W. England (Chair)</w:t>
      </w:r>
    </w:p>
    <w:p>
      <w:pPr>
        <w:spacing w:after="0" w:line="5" w:lineRule="exact"/>
        <w:rPr>
          <w:sz w:val="20"/>
          <w:szCs w:val="20"/>
          <w:color w:val="auto"/>
        </w:rPr>
      </w:pPr>
    </w:p>
    <w:p>
      <w:pPr>
        <w:ind w:left="5164"/>
        <w:spacing w:after="0"/>
        <w:rPr>
          <w:sz w:val="20"/>
          <w:szCs w:val="20"/>
          <w:color w:val="auto"/>
        </w:rPr>
      </w:pPr>
      <w:r>
        <w:rPr>
          <w:rFonts w:ascii="Courier New" w:cs="Courier New" w:eastAsia="Courier New" w:hAnsi="Courier New"/>
          <w:sz w:val="16"/>
          <w:szCs w:val="16"/>
          <w:color w:val="auto"/>
        </w:rPr>
        <w:t>Frederick M. Zimmerman</w:t>
      </w:r>
    </w:p>
    <w:p>
      <w:pPr>
        <w:ind w:left="5164"/>
        <w:spacing w:after="0"/>
        <w:rPr>
          <w:sz w:val="20"/>
          <w:szCs w:val="20"/>
          <w:color w:val="auto"/>
        </w:rPr>
      </w:pPr>
      <w:r>
        <w:rPr>
          <w:rFonts w:ascii="Courier New" w:cs="Courier New" w:eastAsia="Courier New" w:hAnsi="Courier New"/>
          <w:sz w:val="16"/>
          <w:szCs w:val="16"/>
          <w:color w:val="auto"/>
        </w:rPr>
        <w:t>Richard C. Scott</w:t>
      </w:r>
    </w:p>
    <w:p>
      <w:pPr>
        <w:spacing w:after="0" w:line="35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AUDIT AND NON-AUDIT FEES</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For the fiscal year ended August 25, 2001, fees for services provided by</w:t>
      </w:r>
    </w:p>
    <w:p>
      <w:pPr>
        <w:ind w:left="4"/>
        <w:spacing w:after="0"/>
        <w:rPr>
          <w:sz w:val="20"/>
          <w:szCs w:val="20"/>
          <w:color w:val="auto"/>
        </w:rPr>
      </w:pPr>
      <w:r>
        <w:rPr>
          <w:rFonts w:ascii="Courier New" w:cs="Courier New" w:eastAsia="Courier New" w:hAnsi="Courier New"/>
          <w:sz w:val="16"/>
          <w:szCs w:val="16"/>
          <w:color w:val="auto"/>
        </w:rPr>
        <w:t>Deloitte &amp; Touche LLP were as follows:</w:t>
      </w:r>
    </w:p>
    <w:p>
      <w:pPr>
        <w:spacing w:after="0" w:line="179"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A. Audit Fees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$158,700</w:t>
            </w:r>
          </w:p>
        </w:tc>
      </w:tr>
      <w:tr>
        <w:trPr>
          <w:trHeight w:val="361"/>
        </w:trPr>
        <w:tc>
          <w:tcPr>
            <w:tcW w:w="1180" w:type="dxa"/>
            <w:vAlign w:val="bottom"/>
          </w:tcPr>
          <w:p>
            <w:pPr>
              <w:spacing w:after="0"/>
              <w:rPr>
                <w:sz w:val="20"/>
                <w:szCs w:val="20"/>
                <w:color w:val="auto"/>
              </w:rPr>
            </w:pPr>
            <w:r>
              <w:rPr>
                <w:rFonts w:ascii="Courier New" w:cs="Courier New" w:eastAsia="Courier New" w:hAnsi="Courier New"/>
                <w:sz w:val="16"/>
                <w:szCs w:val="16"/>
                <w:color w:val="auto"/>
              </w:rPr>
              <w:t>B. Financial</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Information Systems Design and Implementation Fees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61"/>
        </w:trPr>
        <w:tc>
          <w:tcPr>
            <w:tcW w:w="1180" w:type="dxa"/>
            <w:vAlign w:val="bottom"/>
          </w:tcPr>
          <w:p>
            <w:pPr>
              <w:spacing w:after="0"/>
              <w:rPr>
                <w:sz w:val="20"/>
                <w:szCs w:val="20"/>
                <w:color w:val="auto"/>
              </w:rPr>
            </w:pPr>
            <w:r>
              <w:rPr>
                <w:rFonts w:ascii="Courier New" w:cs="Courier New" w:eastAsia="Courier New" w:hAnsi="Courier New"/>
                <w:sz w:val="16"/>
                <w:szCs w:val="16"/>
                <w:color w:val="auto"/>
              </w:rPr>
              <w:t>C. All Other</w:t>
            </w:r>
          </w:p>
        </w:tc>
        <w:tc>
          <w:tcPr>
            <w:tcW w:w="4920" w:type="dxa"/>
            <w:vAlign w:val="bottom"/>
          </w:tcPr>
          <w:p>
            <w:pPr>
              <w:ind w:left="40"/>
              <w:spacing w:after="0"/>
              <w:rPr>
                <w:sz w:val="20"/>
                <w:szCs w:val="20"/>
                <w:color w:val="auto"/>
              </w:rPr>
            </w:pPr>
            <w:r>
              <w:rPr>
                <w:rFonts w:ascii="Courier New" w:cs="Courier New" w:eastAsia="Courier New" w:hAnsi="Courier New"/>
                <w:sz w:val="16"/>
                <w:szCs w:val="16"/>
                <w:color w:val="auto"/>
              </w:rPr>
              <w:t>Fees: Tax, Actuarial and Benefit Services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$112,700</w:t>
            </w:r>
          </w:p>
        </w:tc>
      </w:tr>
    </w:tbl>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Audit Committee considered whether the provision of tax, actuarial and benefit services by Deloitte &amp; Touche LLP, Winnebago Industries, Inc.'s independent accountants, to Winnebago is compatible with maintaining Deloitte &amp; Touche's independence.</w:t>
      </w:r>
    </w:p>
    <w:p>
      <w:pPr>
        <w:spacing w:after="0" w:line="361"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CHANGE IN CONTROL ARRANGEMENTS</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During fiscal 2001, the Board of Directors approved Executive Change of Control Agreements (the "AGREEMENTS" ) for each of the named executive officers in the "Summary Compensation Table" as well as certain other executive officers.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w:t>
      </w:r>
    </w:p>
    <w:p>
      <w:pPr>
        <w:spacing w:after="0" w:line="34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834" w:right="1440" w:bottom="1440" w:gutter="0" w:footer="0" w:header="0"/>
        </w:sectPr>
      </w:pPr>
    </w:p>
    <w:bookmarkStart w:id="15" w:name="page16"/>
    <w:bookmarkEnd w:id="15"/>
    <w:p>
      <w:pPr>
        <w:ind w:left="4" w:right="2819"/>
        <w:spacing w:after="0" w:line="238" w:lineRule="auto"/>
        <w:rPr>
          <w:sz w:val="20"/>
          <w:szCs w:val="20"/>
          <w:color w:val="auto"/>
        </w:rPr>
      </w:pPr>
      <w:r>
        <w:rPr>
          <w:rFonts w:ascii="Courier New" w:cs="Courier New" w:eastAsia="Courier New" w:hAnsi="Courier New"/>
          <w:sz w:val="16"/>
          <w:szCs w:val="16"/>
          <w:color w:val="auto"/>
        </w:rPr>
        <w:t>each such executive (PROVIDED such Change of Control occurs when the executive is in the employ of the Company) would receive, in the event 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In addition, under the Agreements, if an executive's employment is terminated (other than as described above) within three years following a Change of Control (PROVIDED the Change of Control occurs when the executive is in the employ of the Company) the executive would be entitled to (i) life, dental, vision, long term disability and health insurance benefits for three years following such "Change of Control" (PROVIDED that in the case of the dental, vision and health insurance benefits, such benefits shall be extended to the time the executive reaches age 65), (ii) transfer of title to the company car, if 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 (iv) immediate vesting under the Company's Deferred Compensation and Deferred Bonus Plans and immediate vesting of all stock options and rights, (v) 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200" w:lineRule="exact"/>
        <w:rPr>
          <w:sz w:val="20"/>
          <w:szCs w:val="20"/>
          <w:color w:val="auto"/>
        </w:rPr>
      </w:pPr>
    </w:p>
    <w:p>
      <w:pPr>
        <w:spacing w:after="0" w:line="338"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Under the Agreements, a "Change of Control" occurs when (i) any person or other entity (except for the Company and certain Hanson family members or certain related persons or entities to the Company or such Hanson family members) acquires 20% or more of the outstanding stock of the Company or (ii) individuals who shall qualify as Continuing Directors (as defined below) shall have ceased for any reason to constitute at least a majority of the Board of Directors of the Company; PROVIDED, HOWEVER, that in the case of either clause</w:t>
      </w:r>
    </w:p>
    <w:p>
      <w:pPr>
        <w:ind w:left="384" w:hanging="384"/>
        <w:spacing w:after="0" w:line="238" w:lineRule="auto"/>
        <w:tabs>
          <w:tab w:leader="none" w:pos="38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a Change of Control shall not be deemed to have occurred if the</w:t>
      </w:r>
    </w:p>
    <w:p>
      <w:pPr>
        <w:spacing w:after="0" w:line="4" w:lineRule="exact"/>
        <w:rPr>
          <w:rFonts w:ascii="Courier New" w:cs="Courier New" w:eastAsia="Courier New" w:hAnsi="Courier New"/>
          <w:sz w:val="16"/>
          <w:szCs w:val="16"/>
          <w:color w:val="auto"/>
        </w:rPr>
      </w:pPr>
    </w:p>
    <w:p>
      <w:pPr>
        <w:ind w:left="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event shall have been approved prior to the occurrence thereof by a majority of the Continuing Directors who shall then be members of such Board of Directors. "CONTINUING DIRECTOR" means (i) any member of the Company's Board of Directors, while such person is a member of the Board, who is not an affiliate or associate of any person or group described in clause (i) of the preceding sentence (an "ACQUIRING PERSON" )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54"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CERTAIN TRANSACTIONS WITH MANAGEMENT</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maintains normal banking relations on customary terms with Manufacturer's Bank &amp; Trust Company, Forest City and Crystal Lake, Iowa. Manufacturer's Bank &amp; Trust Company is a wholly owned subsidiary of MBT Corp. Mr. John V. Hanson owns approximately 33-1/3 percent of record and beneficially of MBT Corp.'s outstanding stock. Mr. John V. Hanson is also a director of the Bank and MBT Corp. In addition, Mary Jo Boman, the wife of Gerald E. Boman, owns approximately 33-1/3 percent of record and beneficially of MBT Corp.'s outstanding stock and is a director of the Bank and MBT Corp.</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839" w:right="1440" w:bottom="1440" w:gutter="0" w:footer="0" w:header="0"/>
        </w:sectPr>
      </w:pPr>
    </w:p>
    <w:bookmarkStart w:id="16" w:name="page17"/>
    <w:bookmarkEnd w:id="16"/>
    <w:p>
      <w:pPr>
        <w:jc w:val="center"/>
        <w:ind w:right="2815"/>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 requires the Company's officers and directors and persons who own more than ten percent of the Company's Common Stock (collectively "REPORTING PERSONS" ) to file reports of ownership and changes in ownership with the Securities and Exchange Commission (the "SEC" )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2001, all the Reporting Persons complied with all applicable filing requirements, except that Hanson Capital Partners, L.L.C. ("HCP" ), Luise V. Hanson, John V. Hanson, Gerald E. Boman, Mary Jo Boman and Paul D. Hanson each inadvertently filed a late Form 4 relating to the July 2001 distribution by HCP of a total of 585,000 shares of Common Stock to its members and the sale in July 2001 by its members of such shares in a total of eight transactions.</w:t>
      </w:r>
    </w:p>
    <w:p>
      <w:pPr>
        <w:spacing w:after="0" w:line="366"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2003 SHAREHOLDER PROPOSALS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If a shareholder intends to present a proposal at the Company's January 2003 Annual Meeting of Shareholders and desires that the proposal be included in the Company's proxy statement and form of proxy for that meeting, the proposal must be in compliance with Rule 14a-8 under the Exchange Act and received at the Company's principal executive offices no earlier than September 18, 2002 and no later than October 17, 2002.</w:t>
      </w:r>
    </w:p>
    <w:p>
      <w:pPr>
        <w:spacing w:after="0" w:line="189"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Company's bylaws require that in order to nominate persons to the Company's Board of Directors, a shareholder must provide advance written notice to the secretary of the Company, which notice must be delivered to or mailed and received at the Company's principal executive offices not less than 90 days nor more than 120 days before the anniversary of the preceding year's annual meeting of shareholders.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of shareholders. As to any proposal that a shareholder intends to present to shareholders without inclusion in the Company's proxy statement for the Company's January 2003 Annual Meeting of Shareholders,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w:t>
      </w:r>
    </w:p>
    <w:p>
      <w:pPr>
        <w:spacing w:after="0" w:line="200" w:lineRule="exact"/>
        <w:rPr>
          <w:sz w:val="20"/>
          <w:szCs w:val="20"/>
          <w:color w:val="auto"/>
        </w:rPr>
      </w:pPr>
    </w:p>
    <w:p>
      <w:pPr>
        <w:spacing w:after="0" w:line="333"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Deloitte &amp; Touche LLP has been selected as the Company's accountants for the current fiscal year upon the recommendation of the Audit Committee. Deloitte</w:t>
      </w:r>
    </w:p>
    <w:p>
      <w:pPr>
        <w:spacing w:after="0" w:line="1" w:lineRule="exact"/>
        <w:rPr>
          <w:sz w:val="20"/>
          <w:szCs w:val="20"/>
          <w:color w:val="auto"/>
        </w:rPr>
      </w:pPr>
    </w:p>
    <w:p>
      <w:pPr>
        <w:ind w:left="4" w:right="2899" w:hanging="4"/>
        <w:spacing w:after="0" w:line="237" w:lineRule="auto"/>
        <w:tabs>
          <w:tab w:leader="none" w:pos="19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have been the Company's accountants for 16 years. Representatives of that firm are expected to be present at the Annual Meeting with the opportunity to make a statement if they desire to do so and to be available to respond to appropriate questions.</w:t>
      </w:r>
    </w:p>
    <w:p>
      <w:pPr>
        <w:spacing w:after="0" w:line="186"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35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834" w:right="1440" w:bottom="1440" w:gutter="0" w:footer="0" w:header="0"/>
        </w:sectPr>
      </w:pPr>
    </w:p>
    <w:bookmarkStart w:id="17" w:name="page18"/>
    <w:bookmarkEnd w:id="17"/>
    <w:p>
      <w:pPr>
        <w:ind w:right="2719" w:firstLine="469"/>
        <w:spacing w:after="0" w:line="237" w:lineRule="auto"/>
        <w:rPr>
          <w:sz w:val="20"/>
          <w:szCs w:val="20"/>
          <w:color w:val="auto"/>
        </w:rPr>
      </w:pPr>
      <w:r>
        <w:rPr>
          <w:rFonts w:ascii="Courier New" w:cs="Courier New" w:eastAsia="Courier New" w:hAnsi="Courier New"/>
          <w:sz w:val="16"/>
          <w:szCs w:val="16"/>
          <w:color w:val="auto"/>
        </w:rPr>
        <w:t>A copy of the Company's Annual Report for the fiscal year ended August 25, 2001,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368"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 Raymond M. Beebe</w:t>
      </w:r>
    </w:p>
    <w:p>
      <w:pPr>
        <w:ind w:left="5160"/>
        <w:spacing w:after="0"/>
        <w:rPr>
          <w:sz w:val="20"/>
          <w:szCs w:val="20"/>
          <w:color w:val="auto"/>
        </w:rPr>
      </w:pPr>
      <w:r>
        <w:rPr>
          <w:rFonts w:ascii="Courier New" w:cs="Courier New" w:eastAsia="Courier New" w:hAnsi="Courier New"/>
          <w:sz w:val="16"/>
          <w:szCs w:val="16"/>
          <w:color w:val="auto"/>
        </w:rPr>
        <w:t>RAYMOND M. BEEBE</w:t>
      </w:r>
    </w:p>
    <w:p>
      <w:pPr>
        <w:ind w:left="554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28, 2001</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39" w:right="1440" w:bottom="1440" w:gutter="0" w:footer="0" w:header="0"/>
        </w:sectPr>
      </w:pPr>
    </w:p>
    <w:bookmarkStart w:id="18" w:name="page19"/>
    <w:bookmarkEnd w:id="18"/>
    <w:p>
      <w:pPr>
        <w:ind w:left="6460"/>
        <w:spacing w:after="0"/>
        <w:rPr>
          <w:sz w:val="20"/>
          <w:szCs w:val="20"/>
          <w:color w:val="auto"/>
        </w:rPr>
      </w:pPr>
      <w:r>
        <w:rPr>
          <w:rFonts w:ascii="Courier New" w:cs="Courier New" w:eastAsia="Courier New" w:hAnsi="Courier New"/>
          <w:sz w:val="16"/>
          <w:szCs w:val="16"/>
          <w:color w:val="auto"/>
        </w:rPr>
        <w:t>APPENDIX A</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WINNEBAGO INDUSTRIES, INC.</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AUDIT COMMITTEE CHARTER</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Audit Committee of the Board of Directors assists the Board in fulfilling its responsibility for oversight of the quality and integrity of the accounting, auditing and reporting practices of the Company and such other duties as directed by the Board. The Committee is expected to maintain free and open communication (including private executive sessions at least annually) with the independent accountants and the management of the Company. In discharging this oversight role, the Committee is empowered to investigate any matter brought to its attention, with full power to retain external auditors, outside counsel or other experts for this purpose. The Audit Committee shall review this Charter annually and recommend any proposed changes to the Board for approval.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COMPOSITION AND MEETINGS:</w:t>
      </w:r>
    </w:p>
    <w:p>
      <w:pPr>
        <w:spacing w:after="0" w:line="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Audit Committee shall be comprised of three or more directors as determined by the Board, each of whom shall be independent directors, free from any relationship that, in the opinion of the Board, may interfere with the exercise of his or her independent judgment. All members of the Committee shall meet the requirements as required by the New York Stock Exchange or other applicable regulatory requirements.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Audit Committee members shall be appointed by the Board on recommendation of the Nominating Committee. If an Audit Committee Chair is not designated or present, the members of the Committee may designate a Chair by majority vote of the Committee membership.</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Committee shall meet at least four times annually (in the absence of unusual circumstances), or more frequently as circumstances dictate. The Audit Committee Chair shall approve an agenda in advance of each meeting. The Audit Committee shall report its activities to the Board of Directors on a regular basis and make such recommendations as the Audit Committee may deem necessary or appropriate.</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RESPONSIBILITIES AND DUTIES:</w:t>
      </w:r>
    </w:p>
    <w:p>
      <w:pPr>
        <w:spacing w:after="0" w:line="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Recommend to the Board the appointment of the independent auditor that audits the financial statements of the Company, which firm is ultimately accountable to the Board (as assisted by the Audit Committee) . In the process, the Committee will discuss and consider the auditor's written affirmation that the auditor is in fact independent, will discuss the nature and rigor of the audit process, receive and review all reports and will provide to the independent auditors full access to the Committee (and the Board) to report on any and all appropriate matters. The Board, as assisted by the Audit Committee, shall have the ultimate authority and responsibility to evaluate the performance of the independent auditor and, where appropriate, replace the independent auditor.</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Review the independent auditors audit plan -- discuss scope, staffing, locations, reliance upon management, and internal audit and general audit approach. Approve the fees and other significant compensation to be paid to the independent auditors.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Review the Company's annual audited financial statements prior to filing or distribution. Review should include discussion with management and independent auditors of significant issues regarding accounting principles, practices, and judgments. Advise management and the external auditors that they are expected to provide to the Audit Committee a timely analysis of significant financial reporting issues and practices; and obtain from the external auditors' assurance that the audit was conducted in a manner consistent with Section 10A of the Securities Exchange Act of 1934, as amended, which sets forth certain procedures to be followed in any audit of financial statements required under the Securities Exchange Act of 1934, as amended.</w:t>
      </w:r>
    </w:p>
    <w:p>
      <w:pPr>
        <w:spacing w:after="0" w:line="35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34" w:right="1440" w:bottom="1440" w:gutter="0" w:footer="0" w:header="0"/>
        </w:sectPr>
      </w:pPr>
    </w:p>
    <w:bookmarkStart w:id="19" w:name="page20"/>
    <w:bookmarkEnd w:id="19"/>
    <w:p>
      <w:pPr>
        <w:ind w:right="2719" w:firstLine="469"/>
        <w:spacing w:after="0" w:line="237" w:lineRule="auto"/>
        <w:rPr>
          <w:sz w:val="20"/>
          <w:szCs w:val="20"/>
          <w:color w:val="auto"/>
        </w:rPr>
      </w:pPr>
      <w:r>
        <w:rPr>
          <w:rFonts w:ascii="Courier New" w:cs="Courier New" w:eastAsia="Courier New" w:hAnsi="Courier New"/>
          <w:sz w:val="16"/>
          <w:szCs w:val="16"/>
          <w:color w:val="auto"/>
        </w:rPr>
        <w:t>Review with financial management and the independent auditors the Company's quarterly financial results prior to the release of earnings and/or the Company's quarterly financial statements prior to filing or distribution. Discuss any significant changes to the Company's accounting principles and any items required to be communicated by the independent auditors in accordance with Statement of Auditing Standards 61.</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consultation with the management and the independent auditors, consider the adequacy and effectiveness of the Company's financial reporting processes and controls. Discuss significant financial risk exposures and the steps management has taken to monitor, control, and report such exposures. Review significant findings prepared by the independent auditors together with management's responses. The review shall include any significant problems and material disputes between management and the independent auditors and a discussion with the independent auditors out of management's presence of the quality of the Company's accounting principles as applied in its financial reporting, the clarity of the Company's financial disclosures and a discussion of other significant decisions made by management in preparing the financial disclosure and reviewed by the independent auditors.</w:t>
      </w:r>
    </w:p>
    <w:p>
      <w:pPr>
        <w:spacing w:after="0" w:line="18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86"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Meet at least annually with the Chief Financial Officer and the independent auditors in separate executive sessions.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Receive periodic reports from the independent auditor regarding the auditor's independence, discuss such reports with the auditor, and if so determined by the Audit Committee, recommend that the Board take appropriate action to satisfy itself of the independence of the auditor.</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Review Company's policies and practices related to compliance with the law, Code of Ethical Conduct, and conflicts of interest, to be satisfied that such policies are adequate and adhered to by the Company and its executive officers and directors.</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Annually prepare a report to shareholders as required by the Securities and Exchange Commission. The report should be included in the Company's annual proxy statement.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Although the Audit Committee has the responsibilities and powers set forth in this Charter, the function of the Audit Committee is oversight. The members of the Audit Committee are not full-time employees of Winnebago Industries, Inc. and may not be, and may not represent themselves to be or to serve as, accountants or auditors by profession or experts in the fields of accounting or auditing. Consequently, in carrying out its oversight responsibilities, the Audit Committee is not providing any expert or special assurance as to Winnebago Industries' financial statements or any professional certification as to the work of the independent auditors. It is not the duty of the Audit Committee to conduct investigations, to resolve disagreements, if any, between management and the independent auditor or to assure compliance with laws and regulations and the Company's Code of Ethical Conduct. The Audit Committee shall be entitled to rely on (i) the integrity of those persons and organizations within and outside the Company from which it receives information, (ii) the accuracy of the financial and other information provided to the Audit Committee by such persons or organizations absent actual knowledge to the contrary, and (iii) representations made by management as to any information technology, internal audit and other non-audit services provided by the auditors to the Company.</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39" w:right="1440" w:bottom="1440" w:gutter="0" w:footer="0" w:header="0"/>
        </w:sectPr>
      </w:pPr>
    </w:p>
    <w:bookmarkStart w:id="20" w:name="page21"/>
    <w:bookmarkEnd w:id="20"/>
    <w:p>
      <w:pPr>
        <w:ind w:left="3464"/>
        <w:spacing w:after="0"/>
        <w:rPr>
          <w:sz w:val="20"/>
          <w:szCs w:val="20"/>
          <w:color w:val="auto"/>
        </w:rPr>
      </w:pPr>
      <w:r>
        <w:rPr>
          <w:rFonts w:ascii="Courier New" w:cs="Courier New" w:eastAsia="Courier New" w:hAnsi="Courier New"/>
          <w:sz w:val="16"/>
          <w:szCs w:val="16"/>
          <w:color w:val="auto"/>
        </w:rPr>
        <w:t>[LOGO]</w:t>
      </w:r>
    </w:p>
    <w:p>
      <w:pPr>
        <w:ind w:left="3284"/>
        <w:spacing w:after="0"/>
        <w:rPr>
          <w:sz w:val="20"/>
          <w:szCs w:val="20"/>
          <w:color w:val="auto"/>
        </w:rPr>
      </w:pPr>
      <w:r>
        <w:rPr>
          <w:rFonts w:ascii="Courier New" w:cs="Courier New" w:eastAsia="Courier New" w:hAnsi="Courier New"/>
          <w:sz w:val="16"/>
          <w:szCs w:val="16"/>
          <w:color w:val="auto"/>
        </w:rPr>
        <w:t>WINNEBAGO</w:t>
      </w:r>
    </w:p>
    <w:p>
      <w:pPr>
        <w:ind w:left="3284"/>
        <w:spacing w:after="0" w:line="237" w:lineRule="auto"/>
        <w:rPr>
          <w:sz w:val="20"/>
          <w:szCs w:val="20"/>
          <w:color w:val="auto"/>
        </w:rPr>
      </w:pPr>
      <w:r>
        <w:rPr>
          <w:rFonts w:ascii="Courier New" w:cs="Courier New" w:eastAsia="Courier New" w:hAnsi="Courier New"/>
          <w:sz w:val="16"/>
          <w:szCs w:val="16"/>
          <w:color w:val="auto"/>
        </w:rPr>
        <w:t>INDUSTRIES</w:t>
      </w:r>
    </w:p>
    <w:p>
      <w:pPr>
        <w:spacing w:after="0" w:line="180"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ANNUAL MEETING OF SHAREHOLDERS</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TUESDAY, JANUARY 15, 2002</w:t>
      </w:r>
    </w:p>
    <w:p>
      <w:pPr>
        <w:jc w:val="center"/>
        <w:ind w:right="2815"/>
        <w:spacing w:after="0"/>
        <w:rPr>
          <w:sz w:val="20"/>
          <w:szCs w:val="20"/>
          <w:color w:val="auto"/>
        </w:rPr>
      </w:pPr>
      <w:r>
        <w:rPr>
          <w:rFonts w:ascii="Courier New" w:cs="Courier New" w:eastAsia="Courier New" w:hAnsi="Courier New"/>
          <w:sz w:val="16"/>
          <w:szCs w:val="16"/>
          <w:color w:val="auto"/>
        </w:rPr>
        <w:t>7:30 P.M. CENTRAL STANDARD TIME</w:t>
      </w:r>
    </w:p>
    <w:p>
      <w:pPr>
        <w:spacing w:after="0" w:line="179"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FRIENDSHIP HALL</w:t>
      </w:r>
    </w:p>
    <w:p>
      <w:pPr>
        <w:ind w:left="3004"/>
        <w:spacing w:after="0"/>
        <w:rPr>
          <w:sz w:val="20"/>
          <w:szCs w:val="20"/>
          <w:color w:val="auto"/>
        </w:rPr>
      </w:pPr>
      <w:r>
        <w:rPr>
          <w:rFonts w:ascii="Courier New" w:cs="Courier New" w:eastAsia="Courier New" w:hAnsi="Courier New"/>
          <w:sz w:val="16"/>
          <w:szCs w:val="16"/>
          <w:color w:val="auto"/>
        </w:rPr>
        <w:t>HIGHWAY 69 SOUTH</w:t>
      </w:r>
    </w:p>
    <w:p>
      <w:pPr>
        <w:ind w:left="3004"/>
        <w:spacing w:after="0" w:line="237" w:lineRule="auto"/>
        <w:rPr>
          <w:sz w:val="20"/>
          <w:szCs w:val="20"/>
          <w:color w:val="auto"/>
        </w:rPr>
      </w:pPr>
      <w:r>
        <w:rPr>
          <w:rFonts w:ascii="Courier New" w:cs="Courier New" w:eastAsia="Courier New" w:hAnsi="Courier New"/>
          <w:sz w:val="16"/>
          <w:szCs w:val="16"/>
          <w:color w:val="auto"/>
        </w:rPr>
        <w:t>FOREST CITY,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WINNEBAGO INDUSTRIES, INC.</w:t>
      </w:r>
    </w:p>
    <w:p>
      <w:pPr>
        <w:ind w:left="4"/>
        <w:spacing w:after="0"/>
        <w:tabs>
          <w:tab w:leader="none" w:pos="7023" w:val="left"/>
        </w:tabs>
        <w:rPr>
          <w:sz w:val="20"/>
          <w:szCs w:val="20"/>
          <w:color w:val="auto"/>
        </w:rPr>
      </w:pPr>
      <w:r>
        <w:rPr>
          <w:rFonts w:ascii="Courier New" w:cs="Courier New" w:eastAsia="Courier New" w:hAnsi="Courier New"/>
          <w:sz w:val="16"/>
          <w:szCs w:val="16"/>
          <w:color w:val="auto"/>
        </w:rPr>
        <w:t>FOREST CITY, IOWA</w:t>
      </w:r>
      <w:r>
        <w:rPr>
          <w:sz w:val="20"/>
          <w:szCs w:val="20"/>
          <w:color w:val="auto"/>
        </w:rPr>
        <w:tab/>
      </w:r>
      <w:r>
        <w:rPr>
          <w:rFonts w:ascii="Courier New" w:cs="Courier New" w:eastAsia="Courier New" w:hAnsi="Courier New"/>
          <w:sz w:val="15"/>
          <w:szCs w:val="15"/>
          <w:color w:val="auto"/>
        </w:rPr>
        <w:t>PROXY</w:t>
      </w:r>
    </w:p>
    <w:p>
      <w:pPr>
        <w:spacing w:after="0" w:line="3" w:lineRule="exact"/>
        <w:rPr>
          <w:sz w:val="20"/>
          <w:szCs w:val="20"/>
          <w:color w:val="auto"/>
        </w:rPr>
      </w:pPr>
    </w:p>
    <w:p>
      <w:pPr>
        <w:ind w:left="184" w:hanging="184"/>
        <w:spacing w:after="0"/>
        <w:tabs>
          <w:tab w:leader="none" w:pos="18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right="29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PROXY SOLICITED ON BEHALF OF THE BOARD OF DIRECTORS OF THE COMPANY FOR ANNUAL MEETING ON JANUARY 15, 2002.</w:t>
      </w:r>
    </w:p>
    <w:p>
      <w:pPr>
        <w:spacing w:after="0" w:line="36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15th day of January, 2002, at 7:30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(CONTINUED, AND TO BE SIGNED AND DATED, ON THE OTHER SIDE.)</w:t>
      </w:r>
    </w:p>
    <w:p>
      <w:pPr>
        <w:sectPr>
          <w:pgSz w:w="11900" w:h="16838" w:orient="portrait"/>
          <w:cols w:equalWidth="0" w:num="1">
            <w:col w:w="10223"/>
          </w:cols>
          <w:pgMar w:left="236" w:top="834" w:right="1440" w:bottom="1440" w:gutter="0" w:footer="0" w:header="0"/>
        </w:sectPr>
      </w:pPr>
    </w:p>
    <w:bookmarkStart w:id="21" w:name="page22"/>
    <w:bookmarkEnd w:id="21"/>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2340" w:type="dxa"/>
            <w:vAlign w:val="bottom"/>
          </w:tcPr>
          <w:p>
            <w:pPr>
              <w:ind w:left="1060"/>
              <w:spacing w:after="0"/>
              <w:rPr>
                <w:sz w:val="20"/>
                <w:szCs w:val="20"/>
                <w:color w:val="auto"/>
              </w:rPr>
            </w:pPr>
            <w:r>
              <w:rPr>
                <w:rFonts w:ascii="Courier New" w:cs="Courier New" w:eastAsia="Courier New" w:hAnsi="Courier New"/>
                <w:sz w:val="16"/>
                <w:szCs w:val="16"/>
                <w:color w:val="auto"/>
              </w:rPr>
              <w:t>[DOWN ARROW]</w:t>
            </w:r>
          </w:p>
        </w:tc>
        <w:tc>
          <w:tcPr>
            <w:tcW w:w="2060" w:type="dxa"/>
            <w:vAlign w:val="bottom"/>
          </w:tcPr>
          <w:p>
            <w:pPr>
              <w:ind w:left="140"/>
              <w:spacing w:after="0"/>
              <w:rPr>
                <w:sz w:val="20"/>
                <w:szCs w:val="20"/>
                <w:color w:val="auto"/>
              </w:rPr>
            </w:pPr>
            <w:r>
              <w:rPr>
                <w:rFonts w:ascii="Courier New" w:cs="Courier New" w:eastAsia="Courier New" w:hAnsi="Courier New"/>
                <w:sz w:val="16"/>
                <w:szCs w:val="16"/>
                <w:color w:val="auto"/>
              </w:rPr>
              <w:t>PLEASE DETACH HERE</w:t>
            </w:r>
          </w:p>
        </w:tc>
        <w:tc>
          <w:tcPr>
            <w:tcW w:w="2760" w:type="dxa"/>
            <w:vAlign w:val="bottom"/>
            <w:gridSpan w:val="2"/>
          </w:tcPr>
          <w:p>
            <w:pPr>
              <w:jc w:val="right"/>
              <w:ind w:right="1502"/>
              <w:spacing w:after="0"/>
              <w:rPr>
                <w:sz w:val="20"/>
                <w:szCs w:val="20"/>
                <w:color w:val="auto"/>
              </w:rPr>
            </w:pPr>
            <w:r>
              <w:rPr>
                <w:rFonts w:ascii="Courier New" w:cs="Courier New" w:eastAsia="Courier New" w:hAnsi="Courier New"/>
                <w:sz w:val="16"/>
                <w:szCs w:val="16"/>
                <w:color w:val="auto"/>
              </w:rPr>
              <w:t>[DOWN ARROW]</w:t>
            </w:r>
          </w:p>
        </w:tc>
        <w:tc>
          <w:tcPr>
            <w:tcW w:w="100" w:type="dxa"/>
            <w:vAlign w:val="bottom"/>
          </w:tcPr>
          <w:p>
            <w:pPr>
              <w:spacing w:after="0"/>
              <w:rPr>
                <w:sz w:val="15"/>
                <w:szCs w:val="15"/>
                <w:color w:val="auto"/>
              </w:rPr>
            </w:pPr>
          </w:p>
        </w:tc>
      </w:tr>
      <w:tr>
        <w:trPr>
          <w:trHeight w:val="361"/>
        </w:trPr>
        <w:tc>
          <w:tcPr>
            <w:tcW w:w="2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 - - -</w:t>
            </w: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 - - - -</w:t>
            </w:r>
          </w:p>
        </w:tc>
        <w:tc>
          <w:tcPr>
            <w:tcW w:w="100" w:type="dxa"/>
            <w:vAlign w:val="bottom"/>
          </w:tcPr>
          <w:p>
            <w:pPr>
              <w:spacing w:after="0"/>
              <w:rPr>
                <w:sz w:val="24"/>
                <w:szCs w:val="24"/>
                <w:color w:val="auto"/>
              </w:rPr>
            </w:pP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160" w:type="dxa"/>
            <w:vAlign w:val="bottom"/>
            <w:gridSpan w:val="4"/>
          </w:tcPr>
          <w:p>
            <w:pPr>
              <w:ind w:left="980"/>
              <w:spacing w:after="0"/>
              <w:rPr>
                <w:sz w:val="20"/>
                <w:szCs w:val="20"/>
                <w:color w:val="auto"/>
              </w:rPr>
            </w:pPr>
            <w:r>
              <w:rPr>
                <w:rFonts w:ascii="Courier New" w:cs="Courier New" w:eastAsia="Courier New" w:hAnsi="Courier New"/>
                <w:sz w:val="16"/>
                <w:szCs w:val="16"/>
                <w:color w:val="auto"/>
              </w:rPr>
              <w:t>THE BOARD OF DIRECTORS RECOMMENDS A VOTE FOR ITEM 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361"/>
        </w:trPr>
        <w:tc>
          <w:tcPr>
            <w:tcW w:w="2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Election of directors:</w:t>
            </w: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240" w:type="dxa"/>
            <w:vAlign w:val="bottom"/>
          </w:tcPr>
          <w:p>
            <w:pPr>
              <w:spacing w:after="0"/>
              <w:rPr>
                <w:sz w:val="20"/>
                <w:szCs w:val="20"/>
                <w:color w:val="auto"/>
              </w:rPr>
            </w:pPr>
            <w:r>
              <w:rPr>
                <w:rFonts w:ascii="Courier New" w:cs="Courier New" w:eastAsia="Courier New" w:hAnsi="Courier New"/>
                <w:sz w:val="16"/>
                <w:szCs w:val="16"/>
                <w:color w:val="auto"/>
              </w:rPr>
              <w:t>01</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Gerald E. Boman</w:t>
            </w: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]Vote FOR all nominees</w:t>
            </w:r>
          </w:p>
        </w:tc>
        <w:tc>
          <w:tcPr>
            <w:tcW w:w="2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]Vote WITHHELD</w:t>
            </w:r>
          </w:p>
        </w:tc>
        <w:tc>
          <w:tcPr>
            <w:tcW w:w="100" w:type="dxa"/>
            <w:vAlign w:val="bottom"/>
          </w:tcPr>
          <w:p>
            <w:pPr>
              <w:spacing w:after="0"/>
              <w:rPr>
                <w:sz w:val="24"/>
                <w:szCs w:val="24"/>
                <w:color w:val="auto"/>
              </w:rPr>
            </w:pP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02</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Jerry N. Currie</w:t>
            </w:r>
          </w:p>
        </w:tc>
        <w:tc>
          <w:tcPr>
            <w:tcW w:w="248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6"/>
              </w:rPr>
              <w:t>listed at left (except</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from all nominees</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03</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Frederick M. Zimmerman</w:t>
            </w:r>
          </w:p>
        </w:tc>
        <w:tc>
          <w:tcPr>
            <w:tcW w:w="482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as marked to the contrary</w:t>
            </w:r>
          </w:p>
        </w:tc>
        <w:tc>
          <w:tcPr>
            <w:tcW w:w="100" w:type="dxa"/>
            <w:vAlign w:val="bottom"/>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60" w:type="dxa"/>
            <w:vAlign w:val="bottom"/>
          </w:tcPr>
          <w:p>
            <w:pPr>
              <w:ind w:left="420"/>
              <w:spacing w:after="0"/>
              <w:rPr>
                <w:sz w:val="20"/>
                <w:szCs w:val="20"/>
                <w:color w:val="auto"/>
              </w:rPr>
            </w:pPr>
            <w:r>
              <w:rPr>
                <w:rFonts w:ascii="Courier New" w:cs="Courier New" w:eastAsia="Courier New" w:hAnsi="Courier New"/>
                <w:sz w:val="16"/>
                <w:szCs w:val="16"/>
                <w:color w:val="auto"/>
              </w:rPr>
              <w:t>below)</w:t>
            </w:r>
          </w:p>
        </w:tc>
        <w:tc>
          <w:tcPr>
            <w:tcW w:w="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1"/>
        </w:trPr>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w w:val="96"/>
              </w:rPr>
              <w:t>_________________________</w:t>
            </w:r>
          </w:p>
        </w:tc>
        <w:tc>
          <w:tcPr>
            <w:tcW w:w="100" w:type="dxa"/>
            <w:vAlign w:val="bottom"/>
          </w:tcPr>
          <w:p>
            <w:pPr>
              <w:spacing w:after="0"/>
              <w:rPr>
                <w:sz w:val="24"/>
                <w:szCs w:val="24"/>
                <w:color w:val="auto"/>
              </w:rPr>
            </w:pPr>
          </w:p>
        </w:tc>
      </w:tr>
      <w:tr>
        <w:trPr>
          <w:trHeight w:val="180"/>
        </w:trPr>
        <w:tc>
          <w:tcPr>
            <w:tcW w:w="4640" w:type="dxa"/>
            <w:vAlign w:val="bottom"/>
            <w:gridSpan w:val="3"/>
          </w:tcPr>
          <w:p>
            <w:pPr>
              <w:spacing w:after="0"/>
              <w:rPr>
                <w:sz w:val="20"/>
                <w:szCs w:val="20"/>
                <w:color w:val="auto"/>
              </w:rPr>
            </w:pPr>
            <w:r>
              <w:rPr>
                <w:rFonts w:ascii="Courier New" w:cs="Courier New" w:eastAsia="Courier New" w:hAnsi="Courier New"/>
                <w:sz w:val="16"/>
                <w:szCs w:val="16"/>
                <w:color w:val="auto"/>
              </w:rPr>
              <w:t>(INSTRUCTIONS: TO WITHHOLD AUTHORITY TO VOTE FOR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640" w:type="dxa"/>
            <w:vAlign w:val="bottom"/>
            <w:gridSpan w:val="3"/>
          </w:tcPr>
          <w:p>
            <w:pPr>
              <w:spacing w:after="0"/>
              <w:rPr>
                <w:sz w:val="20"/>
                <w:szCs w:val="20"/>
                <w:color w:val="auto"/>
              </w:rPr>
            </w:pPr>
            <w:r>
              <w:rPr>
                <w:rFonts w:ascii="Courier New" w:cs="Courier New" w:eastAsia="Courier New" w:hAnsi="Courier New"/>
                <w:sz w:val="16"/>
                <w:szCs w:val="16"/>
                <w:color w:val="auto"/>
                <w:w w:val="98"/>
              </w:rPr>
              <w:t>ANY INDICATED NOMINEE, WRITE THE NUMBER(S) OF THE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4640" w:type="dxa"/>
            <w:vAlign w:val="bottom"/>
            <w:gridSpan w:val="3"/>
          </w:tcPr>
          <w:p>
            <w:pPr>
              <w:spacing w:after="0"/>
              <w:rPr>
                <w:sz w:val="20"/>
                <w:szCs w:val="20"/>
                <w:color w:val="auto"/>
              </w:rPr>
            </w:pPr>
            <w:r>
              <w:rPr>
                <w:rFonts w:ascii="Courier New" w:cs="Courier New" w:eastAsia="Courier New" w:hAnsi="Courier New"/>
                <w:sz w:val="16"/>
                <w:szCs w:val="16"/>
                <w:color w:val="auto"/>
              </w:rPr>
              <w:t>NOMINEE(S) IN THE BOX PROVIDED TO THE RIGHT.)</w:t>
            </w:r>
          </w:p>
        </w:tc>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|_________________________|</w:t>
            </w:r>
          </w:p>
        </w:tc>
      </w:tr>
    </w:tbl>
    <w:p>
      <w:pPr>
        <w:spacing w:after="0" w:line="200" w:lineRule="exact"/>
        <w:rPr>
          <w:sz w:val="20"/>
          <w:szCs w:val="20"/>
          <w:color w:val="auto"/>
        </w:rPr>
      </w:pPr>
    </w:p>
    <w:p>
      <w:pPr>
        <w:spacing w:after="0" w:line="34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shareholder. IF NO DIRECTION IS GIVEN, THIS PROXY WILL BE VOTED (i) FOR THE ELECTION OF THE NOMINEES LISTED IN ITEM 1; AND (ii) IN THE DISCRETION OF THE NAMED PROXIES UPON SUCH OTHER MATTERS AS MAY PROPERLY COME BEFORE THE MEETING.</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Courier New" w:cs="Courier New" w:eastAsia="Courier New" w:hAnsi="Courier New"/>
                <w:sz w:val="16"/>
                <w:szCs w:val="16"/>
                <w:color w:val="auto"/>
              </w:rPr>
              <w:t>Address Change? Mark Box [ ]</w:t>
            </w:r>
          </w:p>
        </w:tc>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Indicate changes below:</w:t>
            </w: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w w:val="97"/>
              </w:rPr>
              <w:t>Date ________________________________</w:t>
            </w:r>
          </w:p>
        </w:tc>
      </w:tr>
      <w:tr>
        <w:trPr>
          <w:trHeight w:val="361"/>
        </w:trPr>
        <w:tc>
          <w:tcPr>
            <w:tcW w:w="3320" w:type="dxa"/>
            <w:vAlign w:val="bottom"/>
          </w:tcPr>
          <w:p>
            <w:pPr>
              <w:spacing w:after="0"/>
              <w:rPr>
                <w:sz w:val="24"/>
                <w:szCs w:val="24"/>
                <w:color w:val="auto"/>
              </w:rPr>
            </w:pPr>
          </w:p>
        </w:tc>
        <w:tc>
          <w:tcPr>
            <w:tcW w:w="4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___________________________________</w:t>
            </w:r>
          </w:p>
        </w:tc>
      </w:tr>
      <w:tr>
        <w:trPr>
          <w:trHeight w:val="180"/>
        </w:trPr>
        <w:tc>
          <w:tcPr>
            <w:tcW w:w="3320" w:type="dxa"/>
            <w:vAlign w:val="bottom"/>
          </w:tcPr>
          <w:p>
            <w:pPr>
              <w:spacing w:after="0"/>
              <w:rPr>
                <w:sz w:val="15"/>
                <w:szCs w:val="15"/>
                <w:color w:val="auto"/>
              </w:rPr>
            </w:pPr>
          </w:p>
        </w:tc>
        <w:tc>
          <w:tcPr>
            <w:tcW w:w="29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20" w:type="dxa"/>
            <w:vAlign w:val="bottom"/>
          </w:tcPr>
          <w:p>
            <w:pPr>
              <w:spacing w:after="0"/>
              <w:rPr>
                <w:sz w:val="15"/>
                <w:szCs w:val="15"/>
                <w:color w:val="auto"/>
              </w:rPr>
            </w:pPr>
          </w:p>
        </w:tc>
        <w:tc>
          <w:tcPr>
            <w:tcW w:w="29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20" w:type="dxa"/>
            <w:vAlign w:val="bottom"/>
          </w:tcPr>
          <w:p>
            <w:pPr>
              <w:spacing w:after="0"/>
              <w:rPr>
                <w:sz w:val="15"/>
                <w:szCs w:val="15"/>
                <w:color w:val="auto"/>
              </w:rPr>
            </w:pPr>
          </w:p>
        </w:tc>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|___________________________________|</w:t>
            </w:r>
          </w:p>
        </w:tc>
      </w:tr>
      <w:tr>
        <w:trPr>
          <w:trHeight w:val="180"/>
        </w:trPr>
        <w:tc>
          <w:tcPr>
            <w:tcW w:w="3320" w:type="dxa"/>
            <w:vAlign w:val="bottom"/>
          </w:tcPr>
          <w:p>
            <w:pPr>
              <w:spacing w:after="0"/>
              <w:rPr>
                <w:sz w:val="15"/>
                <w:szCs w:val="15"/>
                <w:color w:val="auto"/>
              </w:rPr>
            </w:pPr>
          </w:p>
        </w:tc>
        <w:tc>
          <w:tcPr>
            <w:tcW w:w="2960" w:type="dxa"/>
            <w:vAlign w:val="bottom"/>
          </w:tcPr>
          <w:p>
            <w:pPr>
              <w:ind w:left="700"/>
              <w:spacing w:after="0"/>
              <w:rPr>
                <w:sz w:val="20"/>
                <w:szCs w:val="20"/>
                <w:color w:val="auto"/>
              </w:rPr>
            </w:pPr>
            <w:r>
              <w:rPr>
                <w:rFonts w:ascii="Courier New" w:cs="Courier New" w:eastAsia="Courier New" w:hAnsi="Courier New"/>
                <w:sz w:val="16"/>
                <w:szCs w:val="16"/>
                <w:color w:val="auto"/>
              </w:rPr>
              <w:t>Signature(s) in Box</w:t>
            </w:r>
          </w:p>
        </w:tc>
        <w:tc>
          <w:tcPr>
            <w:tcW w:w="1220" w:type="dxa"/>
            <w:vAlign w:val="bottom"/>
          </w:tcPr>
          <w:p>
            <w:pPr>
              <w:spacing w:after="0"/>
              <w:rPr>
                <w:sz w:val="15"/>
                <w:szCs w:val="15"/>
                <w:color w:val="auto"/>
              </w:rPr>
            </w:pP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Please sign exactly as name appears</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w w:val="97"/>
              </w:rPr>
              <w:t>hereon. When shares are held by joint</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tenants, both should sign. When</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signing as administrator, attorney,</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w w:val="97"/>
              </w:rPr>
              <w:t>executor, guardian or trustee, please</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give full title as such. If a</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corporation, authorized officer</w:t>
            </w:r>
          </w:p>
        </w:tc>
      </w:tr>
      <w:tr>
        <w:trPr>
          <w:trHeight w:val="180"/>
        </w:trPr>
        <w:tc>
          <w:tcPr>
            <w:tcW w:w="3320" w:type="dxa"/>
            <w:vAlign w:val="bottom"/>
          </w:tcPr>
          <w:p>
            <w:pPr>
              <w:spacing w:after="0"/>
              <w:rPr>
                <w:sz w:val="15"/>
                <w:szCs w:val="15"/>
                <w:color w:val="auto"/>
              </w:rPr>
            </w:pPr>
          </w:p>
        </w:tc>
        <w:tc>
          <w:tcPr>
            <w:tcW w:w="41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please sign full corporate name and</w:t>
            </w:r>
          </w:p>
        </w:tc>
      </w:tr>
      <w:tr>
        <w:trPr>
          <w:trHeight w:val="180"/>
        </w:trPr>
        <w:tc>
          <w:tcPr>
            <w:tcW w:w="3320" w:type="dxa"/>
            <w:vAlign w:val="bottom"/>
          </w:tcPr>
          <w:p>
            <w:pPr>
              <w:spacing w:after="0"/>
              <w:rPr>
                <w:sz w:val="15"/>
                <w:szCs w:val="15"/>
                <w:color w:val="auto"/>
              </w:rPr>
            </w:pPr>
          </w:p>
        </w:tc>
        <w:tc>
          <w:tcPr>
            <w:tcW w:w="2960" w:type="dxa"/>
            <w:vAlign w:val="bottom"/>
          </w:tcPr>
          <w:p>
            <w:pPr>
              <w:ind w:left="700"/>
              <w:spacing w:after="0"/>
              <w:rPr>
                <w:sz w:val="20"/>
                <w:szCs w:val="20"/>
                <w:color w:val="auto"/>
              </w:rPr>
            </w:pPr>
            <w:r>
              <w:rPr>
                <w:rFonts w:ascii="Courier New" w:cs="Courier New" w:eastAsia="Courier New" w:hAnsi="Courier New"/>
                <w:sz w:val="16"/>
                <w:szCs w:val="16"/>
                <w:color w:val="auto"/>
              </w:rPr>
              <w:t>indicate office held.</w:t>
            </w:r>
          </w:p>
        </w:tc>
        <w:tc>
          <w:tcPr>
            <w:tcW w:w="1220" w:type="dxa"/>
            <w:vAlign w:val="bottom"/>
          </w:tcPr>
          <w:p>
            <w:pPr>
              <w:spacing w:after="0"/>
              <w:rPr>
                <w:sz w:val="15"/>
                <w:szCs w:val="15"/>
                <w:color w:val="auto"/>
              </w:rPr>
            </w:pPr>
          </w:p>
        </w:tc>
      </w:tr>
      <w:tr>
        <w:trPr>
          <w:trHeight w:val="361"/>
        </w:trPr>
        <w:tc>
          <w:tcPr>
            <w:tcW w:w="33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 - - - -</w:t>
            </w:r>
          </w:p>
        </w:tc>
        <w:tc>
          <w:tcPr>
            <w:tcW w:w="296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 - - -</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upperLetter"/>
      <w:start w:val="24"/>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4"/>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o"/>
      <w:numFmt w:val="bullet"/>
      <w:start w:val="1"/>
    </w:lvl>
  </w:abstractNum>
  <w:abstractNum w:abstractNumId="14">
    <w:nsid w:val="333AB105"/>
    <w:multiLevelType w:val="hybridMultilevel"/>
    <w:lvl w:ilvl="0">
      <w:lvlJc w:val="left"/>
      <w:lvlText w:val="(%1)"/>
      <w:numFmt w:val="lowerRoman"/>
      <w:start w:val="3"/>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o"/>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lvl w:ilvl="1">
      <w:lvlJc w:val="left"/>
      <w:lvlText w:val="%2."/>
      <w:numFmt w:val="decimal"/>
      <w:start w:val="1"/>
    </w:lvl>
  </w:abstractNum>
  <w:abstractNum w:abstractNumId="24">
    <w:nsid w:val="189A769B"/>
    <w:multiLevelType w:val="hybridMultilevel"/>
    <w:lvl w:ilvl="0">
      <w:lvlJc w:val="left"/>
      <w:lvlText w:val="(%1)"/>
      <w:numFmt w:val="decimal"/>
      <w:start w:val="3"/>
    </w:lvl>
    <w:lvl w:ilvl="1">
      <w:lvlJc w:val="left"/>
      <w:lvlText w:val="%2"/>
      <w:numFmt w:val="decimal"/>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amp;"/>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2019-12-13T08:33:47Z</dcterms:created>
  <dcterms:modified xsi:type="dcterms:W3CDTF">2019-12-13T08:33:47Z</dcterms:modified>
</cp:coreProperties>
</file>